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Malgun Gothic" w:hAnsi="Malgun Gothic" w:eastAsia="Malgun Gothic"/>
          <w:b/>
          <w:color w:val="234A8A"/>
          <w:sz w:val="40"/>
        </w:rPr>
        <w:t>07. 문서 운영 맵</w:t>
      </w:r>
    </w:p>
    <w:p>
      <w:r>
        <w:rPr>
          <w:rFonts w:ascii="Malgun Gothic" w:hAnsi="Malgun Gothic" w:eastAsia="Malgun Gothic"/>
          <w:i/>
          <w:color w:val="5A5A5A"/>
          <w:sz w:val="21"/>
        </w:rPr>
        <w:t>상황별로 어떤 문서를 먼저 보고 어떤 문서로 이동해야 하는지 정리한 연결 지도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871"/>
            <w:vAlign w:val="center"/>
            <w:shd w:fill="D9E6F2"/>
          </w:tcPr>
          <w:p>
            <w:r>
              <w:t>문서 목적</w:t>
            </w:r>
          </w:p>
        </w:tc>
        <w:tc>
          <w:tcPr>
            <w:tcW w:type="dxa" w:w="6520"/>
            <w:vAlign w:val="center"/>
          </w:tcPr>
          <w:p>
            <w:r>
              <w:t>상황별로 어떤 문서를 먼저 보고 어떤 문서로 이동해야 하는지 정리한 연결 지도</w:t>
            </w:r>
          </w:p>
        </w:tc>
      </w:tr>
      <w:tr>
        <w:tc>
          <w:tcPr>
            <w:tcW w:type="dxa" w:w="1871"/>
            <w:vAlign w:val="center"/>
            <w:shd w:fill="D9E6F2"/>
          </w:tcPr>
          <w:p>
            <w:r>
              <w:t>적용 범위</w:t>
            </w:r>
          </w:p>
        </w:tc>
        <w:tc>
          <w:tcPr>
            <w:tcW w:type="dxa" w:w="6520"/>
            <w:vAlign w:val="center"/>
          </w:tcPr>
          <w:p>
            <w:r>
              <w:t>AI 안전한 놀이터 문서 체계 내 04~09 보조 문서</w:t>
            </w:r>
          </w:p>
        </w:tc>
      </w:tr>
      <w:tr>
        <w:tc>
          <w:tcPr>
            <w:tcW w:type="dxa" w:w="1871"/>
            <w:vAlign w:val="center"/>
            <w:shd w:fill="D9E6F2"/>
          </w:tcPr>
          <w:p>
            <w:r>
              <w:t>참조 기준</w:t>
            </w:r>
          </w:p>
        </w:tc>
        <w:tc>
          <w:tcPr>
            <w:tcW w:type="dxa" w:w="6520"/>
            <w:vAlign w:val="center"/>
          </w:tcPr>
          <w:p>
            <w:r>
              <w:t>짧은 헌장, 통합 헌장, 운영 규칙서, 체크리스트, 메타 검토 절차서, SOP</w:t>
            </w:r>
          </w:p>
        </w:tc>
      </w:tr>
    </w:tbl>
    <w:p/>
    <w:p>
      <w:pPr>
        <w:pStyle w:val="Heading1"/>
        <w:spacing w:before="160" w:after="80"/>
      </w:pPr>
      <w:r>
        <w:t>문서 체계</w:t>
      </w:r>
    </w:p>
    <w:p>
      <w:pPr>
        <w:ind w:left="255" w:hanging="142"/>
      </w:pPr>
      <w:r>
        <w:t>• 방향 문서: 짧은 헌장, 통합 헌장</w:t>
      </w:r>
    </w:p>
    <w:p>
      <w:pPr>
        <w:ind w:left="255" w:hanging="142"/>
      </w:pPr>
      <w:r>
        <w:t>• 운영 문서: 운영 규칙서, 체크리스트</w:t>
      </w:r>
    </w:p>
    <w:p>
      <w:pPr>
        <w:ind w:left="255" w:hanging="142"/>
      </w:pPr>
      <w:r>
        <w:t>• 대응 문서: 메타 검토 절차서, SOP</w:t>
      </w:r>
    </w:p>
    <w:p>
      <w:pPr>
        <w:pStyle w:val="Heading1"/>
        <w:spacing w:before="160" w:after="80"/>
      </w:pPr>
      <w:r>
        <w:t>상황별 우선 문서</w:t>
      </w:r>
    </w:p>
    <w:p>
      <w:pPr>
        <w:ind w:left="255" w:hanging="142"/>
      </w:pPr>
      <w:r>
        <w:t>• 목적과 방향이 흔들리면 헌장을 본다.</w:t>
      </w:r>
    </w:p>
    <w:p>
      <w:pPr>
        <w:ind w:left="255" w:hanging="142"/>
      </w:pPr>
      <w:r>
        <w:t>• 일상 운영 기준은 운영 규칙서를 본다.</w:t>
      </w:r>
    </w:p>
    <w:p>
      <w:pPr>
        <w:ind w:left="255" w:hanging="142"/>
      </w:pPr>
      <w:r>
        <w:t>• 이상 징후는 체크리스트를 먼저 본다.</w:t>
      </w:r>
    </w:p>
    <w:p>
      <w:pPr>
        <w:ind w:left="255" w:hanging="142"/>
      </w:pPr>
      <w:r>
        <w:t>• 기준 자체 문제는 메타 검토 절차서로 간다.</w:t>
      </w:r>
    </w:p>
    <w:p>
      <w:pPr>
        <w:ind w:left="255" w:hanging="142"/>
      </w:pPr>
      <w:r>
        <w:t>• 이미 위험 발생이면 SOP를 먼저 본다.</w:t>
      </w:r>
    </w:p>
    <w:p>
      <w:pPr>
        <w:pStyle w:val="Heading1"/>
        <w:spacing w:before="160" w:after="80"/>
      </w:pPr>
      <w:r>
        <w:t>빠른 분기</w:t>
      </w:r>
    </w:p>
    <w:p>
      <w:pPr>
        <w:ind w:left="255" w:hanging="142"/>
      </w:pPr>
      <w:r>
        <w:t>• 방향 문제인가? → 헌장</w:t>
      </w:r>
    </w:p>
    <w:p>
      <w:pPr>
        <w:ind w:left="255" w:hanging="142"/>
      </w:pPr>
      <w:r>
        <w:t>• 운영 기준 문제인가? → 운영 규칙서</w:t>
      </w:r>
    </w:p>
    <w:p>
      <w:pPr>
        <w:ind w:left="255" w:hanging="142"/>
      </w:pPr>
      <w:r>
        <w:t>• 이상 징후 감지 단계인가? → 체크리스트</w:t>
      </w:r>
    </w:p>
    <w:p>
      <w:pPr>
        <w:ind w:left="255" w:hanging="142"/>
      </w:pPr>
      <w:r>
        <w:t>• 기준 자체 문제인가? → 메타 검토 절차서</w:t>
      </w:r>
    </w:p>
    <w:p>
      <w:pPr>
        <w:ind w:left="255" w:hanging="142"/>
      </w:pPr>
      <w:r>
        <w:t>• 이미 사건인가? → SOP</w:t>
      </w:r>
    </w:p>
    <w:p>
      <w:pPr>
        <w:pStyle w:val="Heading1"/>
        <w:spacing w:before="160" w:after="80"/>
      </w:pPr>
      <w:r>
        <w:t>수정 우선순위</w:t>
      </w:r>
    </w:p>
    <w:p>
      <w:pPr>
        <w:ind w:left="255" w:hanging="142"/>
      </w:pPr>
      <w:r>
        <w:t>• 통합 헌장 확인</w:t>
      </w:r>
    </w:p>
    <w:p>
      <w:pPr>
        <w:ind w:left="255" w:hanging="142"/>
      </w:pPr>
      <w:r>
        <w:t>• 운영 규칙서 수정</w:t>
      </w:r>
    </w:p>
    <w:p>
      <w:pPr>
        <w:ind w:left="255" w:hanging="142"/>
      </w:pPr>
      <w:r>
        <w:t>• 체크리스트 수정</w:t>
      </w:r>
    </w:p>
    <w:p>
      <w:pPr>
        <w:ind w:left="255" w:hanging="142"/>
      </w:pPr>
      <w:r>
        <w:t>• SOP 및 메타 검토 절차 정렬</w:t>
      </w:r>
    </w:p>
    <w:p>
      <w:pPr>
        <w:ind w:left="255" w:hanging="142"/>
      </w:pPr>
      <w:r>
        <w:t>• 변경 이력 기록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34A8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34A8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234A8A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