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34A8A"/>
          <w:sz w:val="40"/>
        </w:rPr>
        <w:t>09. 용어집</w:t>
      </w:r>
    </w:p>
    <w:p>
      <w:r>
        <w:rPr>
          <w:rFonts w:ascii="Malgun Gothic" w:hAnsi="Malgun Gothic" w:eastAsia="Malgun Gothic"/>
          <w:i/>
          <w:color w:val="5A5A5A"/>
          <w:sz w:val="21"/>
        </w:rPr>
        <w:t>문서 체계에서 반복 사용하는 핵심 용어의 의미를 통일하기 위한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vAlign w:val="center"/>
            <w:shd w:fill="D9E6F2"/>
          </w:tcPr>
          <w:p>
            <w:r>
              <w:t>문서 목적</w:t>
            </w:r>
          </w:p>
        </w:tc>
        <w:tc>
          <w:tcPr>
            <w:tcW w:type="dxa" w:w="6520"/>
            <w:vAlign w:val="center"/>
          </w:tcPr>
          <w:p>
            <w:r>
              <w:t>문서 체계에서 반복 사용하는 핵심 용어의 의미를 통일하기 위한 기준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적용 범위</w:t>
            </w:r>
          </w:p>
        </w:tc>
        <w:tc>
          <w:tcPr>
            <w:tcW w:type="dxa" w:w="6520"/>
            <w:vAlign w:val="center"/>
          </w:tcPr>
          <w:p>
            <w:r>
              <w:t>AI 안전한 놀이터 문서 체계 내 04~09 보조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참조 기준</w:t>
            </w:r>
          </w:p>
        </w:tc>
        <w:tc>
          <w:tcPr>
            <w:tcW w:type="dxa" w:w="6520"/>
            <w:vAlign w:val="center"/>
          </w:tcPr>
          <w:p>
            <w:r>
              <w:t>통합 헌장, 운영 규칙서, 메타 검토 절차서</w:t>
            </w:r>
          </w:p>
        </w:tc>
      </w:tr>
    </w:tbl>
    <w:p/>
    <w:p>
      <w:pPr>
        <w:pStyle w:val="Heading1"/>
        <w:spacing w:before="160" w:after="80"/>
      </w:pPr>
      <w:r>
        <w:t>핵심 용어</w:t>
      </w:r>
    </w:p>
    <w:p>
      <w:pPr>
        <w:ind w:left="255" w:hanging="142"/>
      </w:pPr>
      <w:r>
        <w:t>• 코어: 구조가 구조로 남기 위해 지켜야 하는 최소 방향</w:t>
      </w:r>
    </w:p>
    <w:p>
      <w:pPr>
        <w:ind w:left="255" w:hanging="142"/>
      </w:pPr>
      <w:r>
        <w:t>• 운영 조건: 현재 시점의 구체 기준</w:t>
      </w:r>
    </w:p>
    <w:p>
      <w:pPr>
        <w:ind w:left="255" w:hanging="142"/>
      </w:pPr>
      <w:r>
        <w:t>• 실험: 격리된 범위의 탐색과 시도</w:t>
      </w:r>
    </w:p>
    <w:p>
      <w:pPr>
        <w:ind w:left="255" w:hanging="142"/>
      </w:pPr>
      <w:r>
        <w:t>• 질문 가능한 자율성: 질문·예외 제기·모순 보고·재검토 요청 권한</w:t>
      </w:r>
    </w:p>
    <w:p>
      <w:pPr>
        <w:ind w:left="255" w:hanging="142"/>
      </w:pPr>
      <w:r>
        <w:t>• 메타 검토: 기준 자체를 다시 보는 절차</w:t>
      </w:r>
    </w:p>
    <w:p>
      <w:pPr>
        <w:ind w:left="255" w:hanging="142"/>
      </w:pPr>
      <w:r>
        <w:t>• 드리프트: 시간이 지나며 조금씩 다른 것이 되는 현상</w:t>
      </w:r>
    </w:p>
    <w:p>
      <w:pPr>
        <w:ind w:left="255" w:hanging="142"/>
      </w:pPr>
      <w:r>
        <w:t>• 집합 건전성: 전체 생태계의 공존 가능성과 지속 가능성</w:t>
      </w:r>
    </w:p>
    <w:p>
      <w:pPr>
        <w:ind w:left="255" w:hanging="142"/>
      </w:pPr>
      <w:r>
        <w:t>• 외부 압력: 속도·효율·경쟁·비용 요구가 내부 기준을 잠식하는 힘</w:t>
      </w:r>
    </w:p>
    <w:p>
      <w:pPr>
        <w:pStyle w:val="Heading1"/>
        <w:spacing w:before="160" w:after="80"/>
      </w:pPr>
      <w:r>
        <w:t>사용 원칙</w:t>
      </w:r>
    </w:p>
    <w:p>
      <w:pPr>
        <w:ind w:left="255" w:hanging="142"/>
      </w:pPr>
      <w:r>
        <w:t>• 용어집은 닫힌 사전이 아니다.</w:t>
      </w:r>
    </w:p>
    <w:p>
      <w:pPr>
        <w:ind w:left="255" w:hanging="142"/>
      </w:pPr>
      <w:r>
        <w:t>• 새 용어는 추가될 수 있다.</w:t>
      </w:r>
    </w:p>
    <w:p>
      <w:pPr>
        <w:ind w:left="255" w:hanging="142"/>
      </w:pPr>
      <w:r>
        <w:t>• 기존 용어도 메타 검토를 거쳐 조정될 수 있다.</w:t>
      </w:r>
    </w:p>
    <w:p>
      <w:pPr>
        <w:ind w:left="255" w:hanging="142"/>
      </w:pPr>
      <w:r>
        <w:t>• 용어 조정 시 다른 문서와의 충돌 여부를 함께 검토한다.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34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