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5A5A5A"/>
          <w:sz w:val="26"/>
        </w:rPr>
        <w:t>AI 안전한 놀이터</w:t>
      </w:r>
    </w:p>
    <w:p>
      <w:pPr>
        <w:pStyle w:val="Title"/>
        <w:jc w:val="center"/>
      </w:pPr>
      <w:r>
        <w:t>체크리스트 현장판</w:t>
      </w:r>
    </w:p>
    <w:p>
      <w:pPr>
        <w:jc w:val="center"/>
      </w:pPr>
      <w:r>
        <w:rPr>
          <w:rFonts w:ascii="Malgun Gothic" w:hAnsi="Malgun Gothic" w:eastAsia="Malgun Gothic"/>
          <w:i/>
          <w:color w:val="5A5A5A"/>
          <w:sz w:val="23"/>
        </w:rPr>
        <w:t>이상 징후를 빠르게 분류하는 문서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6912"/>
      </w:tblGrid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분류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FLOW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문서 목적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운영 중 발견한 징후를 관찰·경고·위험으로 나누는 첫 판정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이번 주 역할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직감 대신 구조적 눈금을 제공하는 문서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언제 보는가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• 뭔가 이상하다고 느낄 때</w:t>
              <w:br/>
              <w:t>• 예외인지 위험인지 애매할 때</w:t>
              <w:br/>
              <w:t>• SOP나 메타 검토로 넘기기 전에</w:t>
            </w:r>
          </w:p>
        </w:tc>
      </w:tr>
      <w:tr>
        <w:tc>
          <w:tcPr>
            <w:tcW w:type="dxa" w:w="4929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sz w:val="21"/>
              </w:rPr>
              <w:t>연결 문서</w:t>
            </w:r>
          </w:p>
        </w:tc>
        <w:tc>
          <w:tcPr>
            <w:tcW w:type="dxa" w:w="4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1"/>
              </w:rPr>
              <w:t>운영 규칙서 발췌본 · 예외 요청서 · 메타 검토 요청서 · SOP 핵심판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3F8F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22"/>
              </w:rPr>
              <w:t>이상 징후는 먼저 분류하고, 그다음 움직인다.</w:t>
            </w:r>
          </w:p>
        </w:tc>
      </w:tr>
    </w:tbl>
    <w:p>
      <w:r>
        <w:br w:type="page"/>
      </w:r>
    </w:p>
    <w:p>
      <w:pPr>
        <w:pStyle w:val="Heading1"/>
      </w:pPr>
      <w:r>
        <w:t>공통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구분</w:t>
            </w:r>
          </w:p>
        </w:tc>
        <w:tc>
          <w:tcPr>
            <w:tcW w:type="dxa" w:w="32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기준</w:t>
            </w:r>
          </w:p>
        </w:tc>
        <w:tc>
          <w:tcPr>
            <w:tcW w:type="dxa" w:w="3286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기본 조치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관찰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단발·국소·코어 영향 불명확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기록 후 추적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경고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반복·누적·구조적 해석 필요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관련 양식 작성, 메타 검토 후보 등록</w:t>
            </w:r>
          </w:p>
        </w:tc>
      </w:tr>
      <w:tr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위험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코어 영향 직접 연결·확산 가능성·복구 비용 큼</w:t>
            </w:r>
          </w:p>
        </w:tc>
        <w:tc>
          <w:tcPr>
            <w:tcW w:type="dxa" w:w="32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SOP 즉시 진입</w:t>
            </w:r>
          </w:p>
        </w:tc>
      </w:tr>
    </w:tbl>
    <w:p>
      <w:pPr>
        <w:pStyle w:val="Heading1"/>
      </w:pPr>
      <w:r>
        <w:t>주요 징후 축</w:t>
      </w:r>
    </w:p>
    <w:p>
      <w:pPr>
        <w:ind w:left="0"/>
      </w:pPr>
      <w:r>
        <w:rPr>
          <w:rFonts w:ascii="Malgun Gothic" w:hAnsi="Malgun Gothic" w:eastAsia="Malgun Gothic"/>
        </w:rPr>
        <w:t>• 반복 예외: 같은 예외가 누적되는가</w:t>
      </w:r>
    </w:p>
    <w:p>
      <w:pPr>
        <w:ind w:left="0"/>
      </w:pPr>
      <w:r>
        <w:rPr>
          <w:rFonts w:ascii="Malgun Gothic" w:hAnsi="Malgun Gothic" w:eastAsia="Malgun Gothic"/>
        </w:rPr>
        <w:t>• 외부 압력: 속도·효율·경쟁 요구가 기준을 흔드는가</w:t>
      </w:r>
    </w:p>
    <w:p>
      <w:pPr>
        <w:ind w:left="0"/>
      </w:pPr>
      <w:r>
        <w:rPr>
          <w:rFonts w:ascii="Malgun Gothic" w:hAnsi="Malgun Gothic" w:eastAsia="Malgun Gothic"/>
        </w:rPr>
        <w:t>• 검증 약화: 급하다는 이유로 검증 생략이 반복되는가</w:t>
      </w:r>
    </w:p>
    <w:p>
      <w:pPr>
        <w:ind w:left="0"/>
      </w:pPr>
      <w:r>
        <w:rPr>
          <w:rFonts w:ascii="Malgun Gothic" w:hAnsi="Malgun Gothic" w:eastAsia="Malgun Gothic"/>
        </w:rPr>
        <w:t>• 자원 쏠림: 특정 경로에 기회가 구조적으로 집중되는가</w:t>
      </w:r>
    </w:p>
    <w:p>
      <w:pPr>
        <w:ind w:left="0"/>
      </w:pPr>
      <w:r>
        <w:rPr>
          <w:rFonts w:ascii="Malgun Gothic" w:hAnsi="Malgun Gothic" w:eastAsia="Malgun Gothic"/>
        </w:rPr>
        <w:t>• 책임 증발: 문제 원인과 영향 경로를 아무도 설명하지 못하는가</w:t>
      </w:r>
    </w:p>
    <w:p>
      <w:pPr>
        <w:pStyle w:val="Heading1"/>
      </w:pPr>
      <w:r>
        <w:t>빠른 분기</w:t>
      </w:r>
    </w:p>
    <w:p>
      <w:pPr>
        <w:ind w:left="0"/>
      </w:pPr>
      <w:r>
        <w:rPr>
          <w:rFonts w:ascii="Malgun Gothic" w:hAnsi="Malgun Gothic" w:eastAsia="Malgun Gothic"/>
        </w:rPr>
        <w:t>• 관찰이면 기록하고 운영 규칙서를 다시 본다.</w:t>
      </w:r>
    </w:p>
    <w:p>
      <w:pPr>
        <w:ind w:left="0"/>
      </w:pPr>
      <w:r>
        <w:rPr>
          <w:rFonts w:ascii="Malgun Gothic" w:hAnsi="Malgun Gothic" w:eastAsia="Malgun Gothic"/>
        </w:rPr>
        <w:t>• 경고이면 예외 요청서 또는 메타 검토 요청서로 연결한다.</w:t>
      </w:r>
    </w:p>
    <w:p>
      <w:pPr>
        <w:ind w:left="0"/>
      </w:pPr>
      <w:r>
        <w:rPr>
          <w:rFonts w:ascii="Malgun Gothic" w:hAnsi="Malgun Gothic" w:eastAsia="Malgun Gothic"/>
        </w:rPr>
        <w:t>• 위험이면 SOP로 바로 간다.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91" w:bottom="964" w:left="1191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787878"/>
        <w:sz w:val="16"/>
      </w:rPr>
      <w:t>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46464"/>
        <w:sz w:val="17"/>
      </w:rPr>
      <w:t>AI 안전한 놀이터 · Starter Week1 Pack · 체크리스트 현장판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