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5A5A5A"/>
          <w:sz w:val="26"/>
        </w:rPr>
        <w:t>AI 안전한 놀이터</w:t>
      </w:r>
    </w:p>
    <w:p>
      <w:pPr>
        <w:pStyle w:val="Title"/>
        <w:jc w:val="center"/>
      </w:pPr>
      <w:r>
        <w:t>예외 요청서</w:t>
      </w:r>
    </w:p>
    <w:p>
      <w:pPr>
        <w:jc w:val="center"/>
      </w:pPr>
      <w:r>
        <w:rPr>
          <w:rFonts w:ascii="Malgun Gothic" w:hAnsi="Malgun Gothic" w:eastAsia="Malgun Gothic"/>
          <w:i/>
          <w:color w:val="5A5A5A"/>
          <w:sz w:val="23"/>
        </w:rPr>
        <w:t>기준 밖 사건을 구조 입력으로 바꾸는 양식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6912"/>
      </w:tblGrid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문서 분류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1"/>
              </w:rPr>
              <w:t>INPUT</w:t>
            </w:r>
          </w:p>
        </w:tc>
      </w:tr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문서 목적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1"/>
              </w:rPr>
              <w:t>단발 예외와 반복 가능 예외를 기록하고 검토 대상으로 올리는 문서</w:t>
            </w:r>
          </w:p>
        </w:tc>
      </w:tr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이번 주 역할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1"/>
              </w:rPr>
              <w:t>위반과 자동 승인 사이의 중간 입력 문서</w:t>
            </w:r>
          </w:p>
        </w:tc>
      </w:tr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언제 보는가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1"/>
              </w:rPr>
              <w:t>• 기준 밖 사건이지만 아직 위험은 아닐 때</w:t>
              <w:br/>
              <w:t>• 단발 예외를 구조적으로 남기고 싶을 때</w:t>
              <w:br/>
              <w:t>• 반복 예외의 시작점이 보일 때</w:t>
            </w:r>
          </w:p>
        </w:tc>
      </w:tr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연결 문서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1"/>
              </w:rPr>
              <w:t>운영 규칙서 발췌본 · 체크리스트 현장판 · 메타 검토 요청서 · 1주 운영 시트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8F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22"/>
              </w:rPr>
              <w:t>예외는 즉시 승인이나 처벌이 아니라, 먼저 기록되는 입력이다.</w:t>
            </w:r>
          </w:p>
        </w:tc>
      </w:tr>
    </w:tbl>
    <w:p>
      <w:r>
        <w:br w:type="page"/>
      </w:r>
    </w:p>
    <w:p>
      <w:pPr>
        <w:pStyle w:val="Heading1"/>
      </w:pPr>
      <w:r>
        <w:t>작성 항목</w:t>
      </w:r>
    </w:p>
    <w:p>
      <w:r>
        <w:rPr>
          <w:rFonts w:ascii="Malgun Gothic" w:hAnsi="Malgun Gothic" w:eastAsia="Malgun Gothic"/>
        </w:rPr>
        <w:t>□ 요청 ID / 일시 / 요청자</w:t>
      </w:r>
    </w:p>
    <w:p>
      <w:r>
        <w:rPr>
          <w:rFonts w:ascii="Malgun Gothic" w:hAnsi="Malgun Gothic" w:eastAsia="Malgun Gothic"/>
        </w:rPr>
        <w:t>□ 관련 문서와 관련 항목</w:t>
      </w:r>
    </w:p>
    <w:p>
      <w:r>
        <w:rPr>
          <w:rFonts w:ascii="Malgun Gothic" w:hAnsi="Malgun Gothic" w:eastAsia="Malgun Gothic"/>
        </w:rPr>
        <w:t>□ 예외 상황 한 줄 요약</w:t>
      </w:r>
    </w:p>
    <w:p>
      <w:r>
        <w:rPr>
          <w:rFonts w:ascii="Malgun Gothic" w:hAnsi="Malgun Gothic" w:eastAsia="Malgun Gothic"/>
        </w:rPr>
        <w:t>□ 현재 기준으로 바로 처리하기 어려운 이유</w:t>
      </w:r>
    </w:p>
    <w:p>
      <w:r>
        <w:rPr>
          <w:rFonts w:ascii="Malgun Gothic" w:hAnsi="Malgun Gothic" w:eastAsia="Malgun Gothic"/>
        </w:rPr>
        <w:t>□ 단발 예외인지, 반복 가능성이 있는지</w:t>
      </w:r>
    </w:p>
    <w:p>
      <w:r>
        <w:rPr>
          <w:rFonts w:ascii="Malgun Gothic" w:hAnsi="Malgun Gothic" w:eastAsia="Malgun Gothic"/>
        </w:rPr>
        <w:t>□ 예외가 열어두려는 가능성</w:t>
      </w:r>
    </w:p>
    <w:p>
      <w:r>
        <w:rPr>
          <w:rFonts w:ascii="Malgun Gothic" w:hAnsi="Malgun Gothic" w:eastAsia="Malgun Gothic"/>
        </w:rPr>
        <w:t>□ 예외가 낳을 수 있는 부작용</w:t>
      </w:r>
    </w:p>
    <w:p>
      <w:r>
        <w:rPr>
          <w:rFonts w:ascii="Malgun Gothic" w:hAnsi="Malgun Gothic" w:eastAsia="Malgun Gothic"/>
        </w:rPr>
        <w:t>□ 적용 범위와 적용 기간</w:t>
      </w:r>
    </w:p>
    <w:p>
      <w:r>
        <w:rPr>
          <w:rFonts w:ascii="Malgun Gothic" w:hAnsi="Malgun Gothic" w:eastAsia="Malgun Gothic"/>
        </w:rPr>
        <w:t>□ 1차 판단: 승인 / 조건부 승인 / 보류 / 반려 / 메타 검토 회부</w:t>
      </w:r>
    </w:p>
    <w:p>
      <w:pPr>
        <w:pStyle w:val="Heading1"/>
      </w:pPr>
      <w:r>
        <w:t>사용 메모</w:t>
      </w:r>
    </w:p>
    <w:p>
      <w:pPr>
        <w:ind w:left="0"/>
      </w:pPr>
      <w:r>
        <w:rPr>
          <w:rFonts w:ascii="Malgun Gothic" w:hAnsi="Malgun Gothic" w:eastAsia="Malgun Gothic"/>
        </w:rPr>
        <w:t>• 이번 주에는 빈칸을 다 채우는 것보다 핵심만 남기는 데 집중한다.</w:t>
      </w:r>
    </w:p>
    <w:p>
      <w:pPr>
        <w:ind w:left="0"/>
      </w:pPr>
      <w:r>
        <w:rPr>
          <w:rFonts w:ascii="Malgun Gothic" w:hAnsi="Malgun Gothic" w:eastAsia="Malgun Gothic"/>
        </w:rPr>
        <w:t>• 단발처럼 보여도 유사 사례가 이미 있었다면 반복 가능성을 표시한다.</w:t>
      </w:r>
    </w:p>
    <w:p>
      <w:pPr>
        <w:ind w:left="0"/>
      </w:pPr>
      <w:r>
        <w:rPr>
          <w:rFonts w:ascii="Malgun Gothic" w:hAnsi="Malgun Gothic" w:eastAsia="Malgun Gothic"/>
        </w:rPr>
        <w:t>• 부작용이 분명하지 않아도 '불명확'이라고 적고 남긴다.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191" w:bottom="964" w:left="1191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787878"/>
        <w:sz w:val="16"/>
      </w:rPr>
      <w:t>v1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color w:val="646464"/>
        <w:sz w:val="17"/>
      </w:rPr>
      <w:t>AI 안전한 놀이터 · Starter Week1 Pack · 예외 요청서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C3E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