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2137"/>
          <w:sz w:val="84"/>
        </w:rPr>
        <w:t>Compass</w:t>
      </w:r>
    </w:p>
    <w:p>
      <w:pPr>
        <w:jc w:val="center"/>
      </w:pPr>
      <w:r>
        <w:rPr>
          <w:color w:val="2563EB"/>
          <w:sz w:val="32"/>
        </w:rPr>
        <w:t>The first gig-economy marketplace for</w:t>
        <w:br/>
        <w:t>Community Health Workers.</w:t>
      </w:r>
    </w:p>
    <w:p/>
    <w:p>
      <w:pPr>
        <w:jc w:val="center"/>
      </w:pPr>
      <w:r>
        <w:rPr>
          <w:color w:val="374151"/>
          <w:sz w:val="24"/>
        </w:rPr>
        <w:t>Founded by Akram Mahmoud, Jemal Hussein, and John Thomas</w:t>
      </w:r>
    </w:p>
    <w:p>
      <w:pPr>
        <w:jc w:val="center"/>
      </w:pPr>
      <w:r>
        <w:rPr>
          <w:color w:val="374151"/>
          <w:sz w:val="22"/>
        </w:rPr>
        <w:t>Last updated: March 31, 2026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Table of Contents</w:t>
      </w:r>
    </w:p>
    <w:p>
      <w:r>
        <w:rPr>
          <w:color w:val="2563EB"/>
          <w:sz w:val="22"/>
        </w:rPr>
        <w:t>1. Mission &amp; Vision</w:t>
      </w:r>
    </w:p>
    <w:p>
      <w:r>
        <w:rPr>
          <w:color w:val="2563EB"/>
          <w:sz w:val="22"/>
        </w:rPr>
        <w:t>2. The Problem</w:t>
      </w:r>
    </w:p>
    <w:p>
      <w:r>
        <w:rPr>
          <w:color w:val="2563EB"/>
          <w:sz w:val="22"/>
        </w:rPr>
        <w:t>3. The Solution</w:t>
      </w:r>
    </w:p>
    <w:p>
      <w:r>
        <w:rPr>
          <w:color w:val="2563EB"/>
          <w:sz w:val="22"/>
        </w:rPr>
        <w:t>4. Competitive Landscape</w:t>
      </w:r>
    </w:p>
    <w:p>
      <w:r>
        <w:rPr>
          <w:color w:val="2563EB"/>
          <w:sz w:val="22"/>
        </w:rPr>
        <w:t>5. Platform Architecture</w:t>
      </w:r>
    </w:p>
    <w:p>
      <w:r>
        <w:rPr>
          <w:color w:val="2563EB"/>
          <w:sz w:val="22"/>
        </w:rPr>
        <w:t>6. Service Verticals</w:t>
      </w:r>
    </w:p>
    <w:p>
      <w:r>
        <w:rPr>
          <w:color w:val="2563EB"/>
          <w:sz w:val="22"/>
        </w:rPr>
        <w:t>7. CHW Experience</w:t>
      </w:r>
    </w:p>
    <w:p>
      <w:r>
        <w:rPr>
          <w:color w:val="2563EB"/>
          <w:sz w:val="22"/>
        </w:rPr>
        <w:t>8. Community Member Experience</w:t>
      </w:r>
    </w:p>
    <w:p>
      <w:r>
        <w:rPr>
          <w:color w:val="2563EB"/>
          <w:sz w:val="22"/>
        </w:rPr>
        <w:t>9. Billing &amp; Revenue</w:t>
      </w:r>
    </w:p>
    <w:p>
      <w:r>
        <w:rPr>
          <w:color w:val="2563EB"/>
          <w:sz w:val="22"/>
        </w:rPr>
        <w:t>10. Technology Roadmap</w:t>
      </w:r>
    </w:p>
    <w:p>
      <w:r>
        <w:rPr>
          <w:color w:val="2563EB"/>
          <w:sz w:val="22"/>
        </w:rPr>
        <w:t>11. Team</w:t>
      </w:r>
    </w:p>
    <w:p>
      <w:r>
        <w:rPr>
          <w:color w:val="2563EB"/>
          <w:sz w:val="22"/>
        </w:rPr>
        <w:t>12. Key Metrics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1. Mission &amp; Vision</w:t>
      </w:r>
    </w:p>
    <w:p>
      <w:pPr>
        <w:pStyle w:val="Heading2"/>
      </w:pPr>
      <w:r>
        <w:rPr>
          <w:color w:val="1E3A5F"/>
          <w:sz w:val="28"/>
        </w:rPr>
        <w:t>Mission</w:t>
      </w:r>
    </w:p>
    <w:p>
      <w:pPr>
        <w:spacing w:after="120"/>
      </w:pPr>
      <w:r>
        <w:rPr>
          <w:color w:val="1A1A1A"/>
          <w:sz w:val="21"/>
        </w:rPr>
        <w:t>Compass is a two-sided marketplace that connects certified Community Health Workers with community members who need help navigating housing, food, addiction recovery, mental health, and healthcare systems — on demand, through a gig-economy model that makes community health work accessible, scalable, and sustainable.</w:t>
      </w:r>
    </w:p>
    <w:p>
      <w:pPr>
        <w:pStyle w:val="Heading2"/>
      </w:pPr>
      <w:r>
        <w:rPr>
          <w:color w:val="1E3A5F"/>
          <w:sz w:val="28"/>
        </w:rPr>
        <w:t>Vision</w:t>
      </w:r>
    </w:p>
    <w:p>
      <w:pPr>
        <w:spacing w:after="120"/>
      </w:pPr>
      <w:r>
        <w:rPr>
          <w:color w:val="1A1A1A"/>
          <w:sz w:val="21"/>
        </w:rPr>
        <w:t>A world where every community member has affordable, on-demand access to a trusted health navigator — and every Community Health Worker can build a sustainable livelihood through flexible, dignified work.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2. The Problem</w:t>
      </w:r>
    </w:p>
    <w:p>
      <w:pPr>
        <w:pStyle w:val="Heading2"/>
      </w:pPr>
      <w:r>
        <w:rPr>
          <w:color w:val="1E3A5F"/>
          <w:sz w:val="28"/>
        </w:rPr>
        <w:t>2.1 Community members cannot navigate fragmented systems</w:t>
      </w:r>
    </w:p>
    <w:p>
      <w:pPr>
        <w:spacing w:after="120"/>
      </w:pPr>
      <w:r>
        <w:rPr>
          <w:color w:val="1A1A1A"/>
          <w:sz w:val="21"/>
        </w:rPr>
        <w:t>Social determinants of health — housing, food, addiction, mental health — are addressed by thousands of disconnected community-based organizations (CBOs) and government programs. Community members, especially Medicaid-eligible populations, lack a single point of entry.</w:t>
      </w:r>
    </w:p>
    <w:p>
      <w:pPr>
        <w:spacing w:after="120"/>
      </w:pPr>
      <w:r>
        <w:rPr>
          <w:color w:val="1A1A1A"/>
          <w:sz w:val="21"/>
        </w:rPr>
        <w:t>CityBlock Health proves the demand exists: they achieve an industry-leading 81% engagement rate by assigning dedicated human navigators (Community Health Partners) to each member. But their W-2 employment model costs $63K-$102K per navigator and currently serves only 10 states. The relationship works. The economics don't scale.</w:t>
      </w:r>
    </w:p>
    <w:p>
      <w:pPr>
        <w:pStyle w:val="Heading2"/>
      </w:pPr>
      <w:r>
        <w:rPr>
          <w:color w:val="1E3A5F"/>
          <w:sz w:val="28"/>
        </w:rPr>
        <w:t>2.2 No gig-economy platform exists for CHWs</w:t>
      </w:r>
    </w:p>
    <w:p>
      <w:pPr>
        <w:spacing w:after="120"/>
      </w:pPr>
      <w:r>
        <w:rPr>
          <w:color w:val="1A1A1A"/>
          <w:sz w:val="21"/>
        </w:rPr>
        <w:t>The gig economy has transformed rideshare (Uber), food delivery (DoorDash), and clinical staffing (CareRev, ShiftKey) — but Community Health Workers have been left out entirely.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60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60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CHW gig model?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A1A1A"/>
                <w:sz w:val="18"/>
              </w:rPr>
              <w:t>CareRev / ShiftKey</w:t>
            </w:r>
          </w:p>
        </w:tc>
        <w:tc>
          <w:tcPr>
            <w:tcW w:type="dxa" w:w="3600"/>
          </w:tcPr>
          <w:p>
            <w:r/>
            <w:r>
              <w:rPr>
                <w:color w:val="1A1A1A"/>
                <w:sz w:val="18"/>
              </w:rPr>
              <w:t>Gig shifts for nurses and CNAs</w:t>
            </w:r>
          </w:p>
        </w:tc>
        <w:tc>
          <w:tcPr>
            <w:tcW w:type="dxa" w:w="3600"/>
          </w:tcPr>
          <w:p>
            <w:r/>
            <w:r>
              <w:rPr>
                <w:color w:val="1A1A1A"/>
                <w:sz w:val="18"/>
              </w:rPr>
              <w:t>No — wrong worker segment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color w:val="1A1A1A"/>
                <w:sz w:val="18"/>
              </w:rPr>
              <w:t>CityBlock Health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color w:val="1A1A1A"/>
                <w:sz w:val="18"/>
              </w:rPr>
              <w:t>Employs Community Health Partners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color w:val="1A1A1A"/>
                <w:sz w:val="18"/>
              </w:rPr>
              <w:t>No — traditional W-2 employment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A1A1A"/>
                <w:sz w:val="18"/>
              </w:rPr>
              <w:t>Pear Suite</w:t>
            </w:r>
          </w:p>
        </w:tc>
        <w:tc>
          <w:tcPr>
            <w:tcW w:type="dxa" w:w="3600"/>
          </w:tcPr>
          <w:p>
            <w:r/>
            <w:r>
              <w:rPr>
                <w:color w:val="1A1A1A"/>
                <w:sz w:val="18"/>
              </w:rPr>
              <w:t>CHW enablement and billing</w:t>
            </w:r>
          </w:p>
        </w:tc>
        <w:tc>
          <w:tcPr>
            <w:tcW w:type="dxa" w:w="3600"/>
          </w:tcPr>
          <w:p>
            <w:r/>
            <w:r>
              <w:rPr>
                <w:color w:val="1A1A1A"/>
                <w:sz w:val="18"/>
              </w:rPr>
              <w:t>No — serves existing orgs, no marketplace</w:t>
            </w:r>
          </w:p>
        </w:tc>
      </w:tr>
      <w:tr>
        <w:tc>
          <w:tcPr>
            <w:tcW w:type="dxa" w:w="2592"/>
            <w:shd w:fill="F9FAFB"/>
          </w:tcPr>
          <w:p>
            <w:r/>
            <w:r>
              <w:rPr>
                <w:color w:val="1A1A1A"/>
                <w:sz w:val="18"/>
              </w:rPr>
              <w:t>UniteUs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color w:val="1A1A1A"/>
                <w:sz w:val="18"/>
              </w:rPr>
              <w:t>Referral network connecting CBOs</w:t>
            </w:r>
          </w:p>
        </w:tc>
        <w:tc>
          <w:tcPr>
            <w:tcW w:type="dxa" w:w="3600"/>
            <w:shd w:fill="F9FAFB"/>
          </w:tcPr>
          <w:p>
            <w:r/>
            <w:r>
              <w:rPr>
                <w:color w:val="1A1A1A"/>
                <w:sz w:val="18"/>
              </w:rPr>
              <w:t>No — organization-level, not worker-level</w:t>
            </w:r>
          </w:p>
        </w:tc>
      </w:tr>
    </w:tbl>
    <w:p/>
    <w:p>
      <w:pPr>
        <w:spacing w:before="120" w:after="120"/>
        <w:ind w:left="567"/>
      </w:pPr>
      <w:r>
        <w:rPr>
          <w:b/>
          <w:color w:val="0D2137"/>
          <w:sz w:val="22"/>
        </w:rPr>
        <w:t>The gap is wide open. No platform lets a certified CHW log in, see community demand, and accept work on their own terms.</w:t>
      </w:r>
    </w:p>
    <w:p>
      <w:pPr>
        <w:pStyle w:val="Heading2"/>
      </w:pPr>
      <w:r>
        <w:rPr>
          <w:color w:val="1E3A5F"/>
          <w:sz w:val="28"/>
        </w:rPr>
        <w:t>2.3 Billing infrastructure exists but isn't worker-centric</w:t>
      </w:r>
    </w:p>
    <w:p>
      <w:pPr>
        <w:spacing w:after="120"/>
      </w:pPr>
      <w:r>
        <w:rPr>
          <w:color w:val="1A1A1A"/>
          <w:sz w:val="21"/>
        </w:rPr>
        <w:t>24+ states now allow Medicaid reimbursement for CHW services at $18-$50 per 30-minute session. The billing rails are being built: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UniteUs </w:t>
      </w:r>
      <w:r>
        <w:rPr>
          <w:color w:val="1A1A1A"/>
          <w:sz w:val="21"/>
        </w:rPr>
        <w:t>has a Payments product for CBO-level reimbursement (EDI 837 claims)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Pear Suite </w:t>
      </w:r>
      <w:r>
        <w:rPr>
          <w:color w:val="1A1A1A"/>
          <w:sz w:val="21"/>
        </w:rPr>
        <w:t>enables Medicaid billing for CHW services and takes 15% through its provider network</w:t>
      </w:r>
    </w:p>
    <w:p>
      <w:pPr>
        <w:spacing w:after="120"/>
      </w:pPr>
      <w:r>
        <w:rPr>
          <w:color w:val="1A1A1A"/>
          <w:sz w:val="21"/>
        </w:rPr>
        <w:t>But nobody has built worker-facing gig tooling on top of these rails. The money is flowing to organizations, not directly empowering individual CHWs.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3. The Solution</w:t>
      </w:r>
    </w:p>
    <w:p>
      <w:pPr>
        <w:spacing w:after="120"/>
      </w:pPr>
      <w:r>
        <w:rPr>
          <w:color w:val="1A1A1A"/>
          <w:sz w:val="21"/>
        </w:rPr>
        <w:t>Compass combines the best elements of three proven models into something none of them offer alone: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Inspiration</w:t>
            </w:r>
          </w:p>
        </w:tc>
        <w:tc>
          <w:tcPr>
            <w:tcW w:type="dxa" w:w="3744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Compass Adaptation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1A"/>
                <w:sz w:val="18"/>
              </w:rPr>
              <w:t>Network infrastructure &amp; referral coordination</w:t>
            </w:r>
          </w:p>
        </w:tc>
        <w:tc>
          <w:tcPr>
            <w:tcW w:type="dxa" w:w="3168"/>
          </w:tcPr>
          <w:p>
            <w:r/>
            <w:r>
              <w:rPr>
                <w:color w:val="1A1A1A"/>
                <w:sz w:val="18"/>
              </w:rPr>
              <w:t>UniteUs (1,600+ orgs, 44 states, $1.6B valuation)</w:t>
            </w:r>
          </w:p>
        </w:tc>
        <w:tc>
          <w:tcPr>
            <w:tcW w:type="dxa" w:w="3744"/>
          </w:tcPr>
          <w:p>
            <w:r/>
            <w:r>
              <w:rPr>
                <w:color w:val="1A1A1A"/>
                <w:sz w:val="18"/>
              </w:rPr>
              <w:t>Routes community members to CHWs who know their local CBO networks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color w:val="1A1A1A"/>
                <w:sz w:val="18"/>
              </w:rPr>
              <w:t>Deep community engagement via navigators</w:t>
            </w:r>
          </w:p>
        </w:tc>
        <w:tc>
          <w:tcPr>
            <w:tcW w:type="dxa" w:w="3168"/>
            <w:shd w:fill="F9FAFB"/>
          </w:tcPr>
          <w:p>
            <w:r/>
            <w:r>
              <w:rPr>
                <w:color w:val="1A1A1A"/>
                <w:sz w:val="18"/>
              </w:rPr>
              <w:t>CityBlock Health (81% engagement, $5.7B valuation)</w:t>
            </w:r>
          </w:p>
        </w:tc>
        <w:tc>
          <w:tcPr>
            <w:tcW w:type="dxa" w:w="3744"/>
            <w:shd w:fill="F9FAFB"/>
          </w:tcPr>
          <w:p>
            <w:r/>
            <w:r>
              <w:rPr>
                <w:color w:val="1A1A1A"/>
                <w:sz w:val="18"/>
              </w:rPr>
              <w:t>Delivers the CHP relationship through gig workers, not W-2 employees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1A"/>
                <w:sz w:val="18"/>
              </w:rPr>
              <w:t>Behavioral incentives for engagement</w:t>
            </w:r>
          </w:p>
        </w:tc>
        <w:tc>
          <w:tcPr>
            <w:tcW w:type="dxa" w:w="3168"/>
          </w:tcPr>
          <w:p>
            <w:r/>
            <w:r>
              <w:rPr>
                <w:color w:val="1A1A1A"/>
                <w:sz w:val="18"/>
              </w:rPr>
              <w:t>Wellth (90-95% adherence rates, $79.5M raised)</w:t>
            </w:r>
          </w:p>
        </w:tc>
        <w:tc>
          <w:tcPr>
            <w:tcW w:type="dxa" w:w="3744"/>
          </w:tcPr>
          <w:p>
            <w:r/>
            <w:r>
              <w:rPr>
                <w:color w:val="1A1A1A"/>
                <w:sz w:val="18"/>
              </w:rPr>
              <w:t>Applies incentive design to BOTH sides: CHWs and community members</w:t>
            </w:r>
          </w:p>
        </w:tc>
      </w:tr>
    </w:tbl>
    <w:p/>
    <w:p>
      <w:pPr>
        <w:spacing w:before="120" w:after="120"/>
        <w:ind w:left="567"/>
      </w:pPr>
      <w:r>
        <w:rPr>
          <w:b/>
          <w:color w:val="0D2137"/>
          <w:sz w:val="22"/>
        </w:rPr>
        <w:t>Compass is the first platform to combine gig-economy labor dynamics, Medicaid-reimbursable CHW services, and behavioral incentive mechanics into a single two-sided marketplace.</w:t>
      </w:r>
    </w:p>
    <w:p>
      <w:pPr>
        <w:spacing w:after="120"/>
      </w:pPr>
      <w:r>
        <w:rPr>
          <w:color w:val="1A1A1A"/>
          <w:sz w:val="21"/>
        </w:rPr>
        <w:t>Initial billing is handled through Pear Suite integration, with a roadmap to build proprietary billing infrastructure.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4. Competitive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144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CHW Focus</w:t>
            </w:r>
          </w:p>
        </w:tc>
        <w:tc>
          <w:tcPr>
            <w:tcW w:type="dxa" w:w="72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Gig?</w:t>
            </w:r>
          </w:p>
        </w:tc>
        <w:tc>
          <w:tcPr>
            <w:tcW w:type="dxa" w:w="1728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Billing</w:t>
            </w:r>
          </w:p>
        </w:tc>
        <w:tc>
          <w:tcPr>
            <w:tcW w:type="dxa" w:w="2592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Gap Compass Fills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UniteUs</w:t>
            </w:r>
          </w:p>
        </w:tc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B2B SaaS referral</w:t>
            </w:r>
          </w:p>
        </w:tc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No — org-level</w:t>
            </w:r>
          </w:p>
        </w:tc>
        <w:tc>
          <w:tcPr>
            <w:tcW w:type="dxa" w:w="720"/>
          </w:tcPr>
          <w:p>
            <w:r/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1A1A1A"/>
                <w:sz w:val="18"/>
              </w:rPr>
              <w:t>CBO reimb. (EDI 837)</w:t>
            </w:r>
          </w:p>
        </w:tc>
        <w:tc>
          <w:tcPr>
            <w:tcW w:type="dxa" w:w="2592"/>
          </w:tcPr>
          <w:p>
            <w:r/>
            <w:r>
              <w:rPr>
                <w:color w:val="1A1A1A"/>
                <w:sz w:val="18"/>
              </w:rPr>
              <w:t>No CHW tools or billing</w:t>
            </w:r>
          </w:p>
        </w:tc>
      </w:tr>
      <w:tr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CityBlock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Full-risk capitation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Yes — W-2 CHPs</w:t>
            </w:r>
          </w:p>
        </w:tc>
        <w:tc>
          <w:tcPr>
            <w:tcW w:type="dxa" w:w="720"/>
            <w:shd w:fill="F9FAFB"/>
          </w:tcPr>
          <w:p>
            <w:r/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color w:val="1A1A1A"/>
                <w:sz w:val="18"/>
              </w:rPr>
              <w:t>Health plan contracts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color w:val="1A1A1A"/>
                <w:sz w:val="18"/>
              </w:rPr>
              <w:t>$63K-$102K/CHP, 10 states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Wellth</w:t>
            </w:r>
          </w:p>
        </w:tc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Patient incentives</w:t>
            </w:r>
          </w:p>
        </w:tc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No — patient only</w:t>
            </w:r>
          </w:p>
        </w:tc>
        <w:tc>
          <w:tcPr>
            <w:tcW w:type="dxa" w:w="720"/>
          </w:tcPr>
          <w:p>
            <w:r/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</w:tcPr>
          <w:p>
            <w:r/>
            <w:r>
              <w:rPr>
                <w:color w:val="1A1A1A"/>
                <w:sz w:val="18"/>
              </w:rPr>
              <w:t>SaaS to health plans</w:t>
            </w:r>
          </w:p>
        </w:tc>
        <w:tc>
          <w:tcPr>
            <w:tcW w:type="dxa" w:w="2592"/>
          </w:tcPr>
          <w:p>
            <w:r/>
            <w:r>
              <w:rPr>
                <w:color w:val="1A1A1A"/>
                <w:sz w:val="18"/>
              </w:rPr>
              <w:t>No workforce component</w:t>
            </w:r>
          </w:p>
        </w:tc>
      </w:tr>
      <w:tr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Pear Suite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CHW enablement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Yes — 2,500+ workers</w:t>
            </w:r>
          </w:p>
        </w:tc>
        <w:tc>
          <w:tcPr>
            <w:tcW w:type="dxa" w:w="720"/>
            <w:shd w:fill="F9FAFB"/>
          </w:tcPr>
          <w:p>
            <w:r/>
            <w:r>
              <w:rPr>
                <w:color w:val="1A1A1A"/>
                <w:sz w:val="18"/>
              </w:rPr>
              <w:t>No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color w:val="1A1A1A"/>
                <w:sz w:val="18"/>
              </w:rPr>
              <w:t>15% of Medicaid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color w:val="1A1A1A"/>
                <w:sz w:val="18"/>
              </w:rPr>
              <w:t>No marketplace/matching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CareRev/ShiftKey</w:t>
            </w:r>
          </w:p>
        </w:tc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Clinical gig</w:t>
            </w:r>
          </w:p>
        </w:tc>
        <w:tc>
          <w:tcPr>
            <w:tcW w:type="dxa" w:w="1440"/>
          </w:tcPr>
          <w:p>
            <w:r/>
            <w:r>
              <w:rPr>
                <w:color w:val="1A1A1A"/>
                <w:sz w:val="18"/>
              </w:rPr>
              <w:t>No — nurses/CNAs</w:t>
            </w:r>
          </w:p>
        </w:tc>
        <w:tc>
          <w:tcPr>
            <w:tcW w:type="dxa" w:w="720"/>
          </w:tcPr>
          <w:p>
            <w:r/>
            <w:r>
              <w:rPr>
                <w:color w:val="1A1A1A"/>
                <w:sz w:val="18"/>
              </w:rPr>
              <w:t>Yes</w:t>
            </w:r>
          </w:p>
        </w:tc>
        <w:tc>
          <w:tcPr>
            <w:tcW w:type="dxa" w:w="1728"/>
          </w:tcPr>
          <w:p>
            <w:r/>
            <w:r>
              <w:rPr>
                <w:color w:val="1A1A1A"/>
                <w:sz w:val="18"/>
              </w:rPr>
              <w:t>Facility billing</w:t>
            </w:r>
          </w:p>
        </w:tc>
        <w:tc>
          <w:tcPr>
            <w:tcW w:type="dxa" w:w="2592"/>
          </w:tcPr>
          <w:p>
            <w:r/>
            <w:r>
              <w:rPr>
                <w:color w:val="1A1A1A"/>
                <w:sz w:val="18"/>
              </w:rPr>
              <w:t>Wrong worker segment</w:t>
            </w:r>
          </w:p>
        </w:tc>
      </w:tr>
      <w:tr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Compass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CHW marketplace</w:t>
            </w:r>
          </w:p>
        </w:tc>
        <w:tc>
          <w:tcPr>
            <w:tcW w:type="dxa" w:w="1440"/>
            <w:shd w:fill="F9FAFB"/>
          </w:tcPr>
          <w:p>
            <w:r/>
            <w:r>
              <w:rPr>
                <w:color w:val="1A1A1A"/>
                <w:sz w:val="18"/>
              </w:rPr>
              <w:t>Yes — gig CHWs</w:t>
            </w:r>
          </w:p>
        </w:tc>
        <w:tc>
          <w:tcPr>
            <w:tcW w:type="dxa" w:w="720"/>
            <w:shd w:fill="F9FAFB"/>
          </w:tcPr>
          <w:p>
            <w:r/>
            <w:r>
              <w:rPr>
                <w:color w:val="1A1A1A"/>
                <w:sz w:val="18"/>
              </w:rPr>
              <w:t>Yes!</w:t>
            </w:r>
          </w:p>
        </w:tc>
        <w:tc>
          <w:tcPr>
            <w:tcW w:type="dxa" w:w="1728"/>
            <w:shd w:fill="F9FAFB"/>
          </w:tcPr>
          <w:p>
            <w:r/>
            <w:r>
              <w:rPr>
                <w:color w:val="1A1A1A"/>
                <w:sz w:val="18"/>
              </w:rPr>
              <w:t>Pear Suite &gt; own</w:t>
            </w:r>
          </w:p>
        </w:tc>
        <w:tc>
          <w:tcPr>
            <w:tcW w:type="dxa" w:w="2592"/>
            <w:shd w:fill="F9FAFB"/>
          </w:tcPr>
          <w:p>
            <w:r/>
            <w:r>
              <w:rPr>
                <w:color w:val="1A1A1A"/>
                <w:sz w:val="18"/>
              </w:rPr>
              <w:t>First CHW gig marketplace</w:t>
            </w:r>
          </w:p>
        </w:tc>
      </w:tr>
    </w:tbl>
    <w:p/>
    <w:p>
      <w:pPr>
        <w:pStyle w:val="Heading2"/>
      </w:pPr>
      <w:r>
        <w:rPr>
          <w:color w:val="1E3A5F"/>
          <w:sz w:val="28"/>
        </w:rPr>
        <w:t>Defensibility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Network effects: </w:t>
      </w:r>
      <w:r>
        <w:rPr>
          <w:color w:val="1A1A1A"/>
          <w:sz w:val="21"/>
        </w:rPr>
        <w:t>More CHWs attract more community members and vice versa — classic two-sided marketplace moat.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Data moat: </w:t>
      </w:r>
      <w:r>
        <w:rPr>
          <w:color w:val="1A1A1A"/>
          <w:sz w:val="21"/>
        </w:rPr>
        <w:t>Session outcomes, engagement patterns, and CHW performance ratings create proprietary intelligence.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Regulatory positioning: </w:t>
      </w:r>
      <w:r>
        <w:rPr>
          <w:color w:val="1A1A1A"/>
          <w:sz w:val="21"/>
        </w:rPr>
        <w:t>Early mover in states with CHW Medicaid billing; built-in compliance from day one.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5. Platform Architecture</w:t>
      </w:r>
    </w:p>
    <w:p>
      <w:pPr>
        <w:spacing w:after="240"/>
      </w:pPr>
      <w:r>
        <w:rPr>
          <w:rFonts w:ascii="Courier New" w:hAnsi="Courier New"/>
          <w:color w:val="374151"/>
          <w:sz w:val="17"/>
        </w:rPr>
        <w:t>Community Member (Web/iOS)  &lt;--&gt;  Compass Platform  &lt;--&gt;  CHW (Web/iOS)</w:t>
        <w:br/>
        <w:t xml:space="preserve">         |                              |                       |</w:t>
        <w:br/>
        <w:t xml:space="preserve">   [Onboarding]                 [Matching Engine]        [Availability]</w:t>
        <w:br/>
        <w:t xml:space="preserve">   [Need Configuration]        [Session Management]     [Credentialing]</w:t>
        <w:br/>
        <w:t xml:space="preserve">   [Feedback &amp; Ratings]        [Billing Engine]         [Earnings/Payouts]</w:t>
        <w:br/>
        <w:t xml:space="preserve">   [Engagement Rewards]        [Incentive Engine]       [Performance Dash]</w:t>
        <w:br/>
        <w:t xml:space="preserve">                                [Analytics Dashboard]</w:t>
        <w:br/>
        <w:t xml:space="preserve">                                     |         |</w:t>
        <w:br/>
        <w:t xml:space="preserve">                              [Pear Suite API]  [Medicaid State APIs]</w:t>
      </w:r>
    </w:p>
    <w:p>
      <w:pPr>
        <w:pStyle w:val="Heading2"/>
      </w:pPr>
      <w:r>
        <w:rPr>
          <w:color w:val="1E3A5F"/>
          <w:sz w:val="28"/>
        </w:rPr>
        <w:t>Core Components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Matching Engine — </w:t>
      </w:r>
      <w:r>
        <w:rPr>
          <w:color w:val="1A1A1A"/>
          <w:sz w:val="21"/>
        </w:rPr>
        <w:t>Pairs community members with CHWs based on need type, language, location, availability, and member-configured preferences.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Session Management — </w:t>
      </w:r>
      <w:r>
        <w:rPr>
          <w:color w:val="1A1A1A"/>
          <w:sz w:val="21"/>
        </w:rPr>
        <w:t>Tracks the full session lifecycle: request → accept → in-progress → completed → follow-up.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Billing Engine — </w:t>
      </w:r>
      <w:r>
        <w:rPr>
          <w:color w:val="1A1A1A"/>
          <w:sz w:val="21"/>
        </w:rPr>
        <w:t>Phase 1: proxies through Pear Suite for Medicaid claims. Phase 2: direct EDI 837 submission.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CHW Credentialing — </w:t>
      </w:r>
      <w:r>
        <w:rPr>
          <w:color w:val="1A1A1A"/>
          <w:sz w:val="21"/>
        </w:rPr>
        <w:t>Verifies certifications, background checks, and ongoing compliance.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Incentive Engine — </w:t>
      </w:r>
      <w:r>
        <w:rPr>
          <w:color w:val="1A1A1A"/>
          <w:sz w:val="21"/>
        </w:rPr>
        <w:t>Manages behavioral incentive mechanics for both CHWs and community members.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Analytics Dashboard — </w:t>
      </w:r>
      <w:r>
        <w:rPr>
          <w:color w:val="1A1A1A"/>
          <w:sz w:val="21"/>
        </w:rPr>
        <w:t>Tracks engagement rates, session outcomes, CHW performance, and platform health.</w:t>
      </w:r>
    </w:p>
    <w:p>
      <w:pPr>
        <w:pStyle w:val="Heading2"/>
      </w:pPr>
      <w:r>
        <w:rPr>
          <w:color w:val="1E3A5F"/>
          <w:sz w:val="28"/>
        </w:rPr>
        <w:t>Technical Stack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Web app (ships first): </w:t>
      </w:r>
      <w:r>
        <w:rPr>
          <w:color w:val="1A1A1A"/>
          <w:sz w:val="21"/>
        </w:rPr>
        <w:t>TypeScript/React, strict mode, Zod validation, responsive mobile-first design.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iOS app (parallel): </w:t>
      </w:r>
      <w:r>
        <w:rPr>
          <w:color w:val="1A1A1A"/>
          <w:sz w:val="21"/>
        </w:rPr>
        <w:t>Swift/SwiftUI, async/await, SPM dependencies.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Backend: </w:t>
      </w:r>
      <w:r>
        <w:rPr>
          <w:color w:val="1A1A1A"/>
          <w:sz w:val="21"/>
        </w:rPr>
        <w:t>Python/FastAPI, pydantic data models, async architecture.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Shared API layer: </w:t>
      </w:r>
      <w:r>
        <w:rPr>
          <w:color w:val="1A1A1A"/>
          <w:sz w:val="21"/>
        </w:rPr>
        <w:t>Ensures feature parity — web and iOS stay in sync through a single backend.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Infrastructure: </w:t>
      </w:r>
      <w:r>
        <w:rPr>
          <w:color w:val="1A1A1A"/>
          <w:sz w:val="21"/>
        </w:rPr>
        <w:t>Cloud-native, event-driven matching, HIPAA-compliant hosting.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6. Service Verticals</w:t>
      </w:r>
    </w:p>
    <w:p>
      <w:pPr>
        <w:spacing w:after="120"/>
      </w:pPr>
      <w:r>
        <w:rPr>
          <w:color w:val="1A1A1A"/>
          <w:sz w:val="21"/>
        </w:rPr>
        <w:t>Compass launches with five core service areas — the most urgent social determinants of health:</w:t>
      </w:r>
    </w:p>
    <w:p>
      <w:pPr>
        <w:pStyle w:val="Heading2"/>
      </w:pPr>
      <w:r>
        <w:rPr>
          <w:color w:val="1E3A5F"/>
          <w:sz w:val="28"/>
        </w:rPr>
        <w:t>1. Housing Assistance</w:t>
      </w:r>
    </w:p>
    <w:p>
      <w:pPr>
        <w:spacing w:after="120"/>
      </w:pPr>
      <w:r>
        <w:rPr>
          <w:color w:val="1A1A1A"/>
          <w:sz w:val="21"/>
        </w:rPr>
        <w:t>Emergency shelter navigation, transitional housing, rental assistance programs, eviction prevention. CHW activities: identify available programs, assist with applications, accompany to appointments, follow up on status.</w:t>
      </w:r>
    </w:p>
    <w:p>
      <w:pPr>
        <w:pStyle w:val="Heading2"/>
      </w:pPr>
      <w:r>
        <w:rPr>
          <w:color w:val="1E3A5F"/>
          <w:sz w:val="28"/>
        </w:rPr>
        <w:t>2. Rehab &amp; Addiction Recovery</w:t>
      </w:r>
    </w:p>
    <w:p>
      <w:pPr>
        <w:spacing w:after="120"/>
      </w:pPr>
      <w:r>
        <w:rPr>
          <w:color w:val="1A1A1A"/>
          <w:sz w:val="21"/>
        </w:rPr>
        <w:t>Substance use disorder navigation, treatment facility connections, recovery support networks. CHW activities: connect to treatment programs, provide peer support, arrange transportation to intake, ongoing recovery check-ins.</w:t>
      </w:r>
    </w:p>
    <w:p>
      <w:pPr>
        <w:pStyle w:val="Heading2"/>
      </w:pPr>
      <w:r>
        <w:rPr>
          <w:color w:val="1E3A5F"/>
          <w:sz w:val="28"/>
        </w:rPr>
        <w:t>3. Food &amp; Pantry Navigation</w:t>
      </w:r>
    </w:p>
    <w:p>
      <w:pPr>
        <w:spacing w:after="120"/>
      </w:pPr>
      <w:r>
        <w:rPr>
          <w:color w:val="1A1A1A"/>
          <w:sz w:val="21"/>
        </w:rPr>
        <w:t>Food bank connections, SNAP/WIC enrollment assistance, community nutrition programs. CHW activities: locate pantries, assist with benefit applications, arrange food delivery or transportation.</w:t>
      </w:r>
    </w:p>
    <w:p>
      <w:pPr>
        <w:pStyle w:val="Heading2"/>
      </w:pPr>
      <w:r>
        <w:rPr>
          <w:color w:val="1E3A5F"/>
          <w:sz w:val="28"/>
        </w:rPr>
        <w:t>4. Mental Health Support</w:t>
      </w:r>
    </w:p>
    <w:p>
      <w:pPr>
        <w:spacing w:after="120"/>
      </w:pPr>
      <w:r>
        <w:rPr>
          <w:color w:val="1A1A1A"/>
          <w:sz w:val="21"/>
        </w:rPr>
        <w:t>Counseling referrals, crisis navigation, support group connections, therapy access. CHW activities: screen for needs, connect to providers, warm handoffs to behavioral health specialists, follow-up engagement.</w:t>
      </w:r>
    </w:p>
    <w:p>
      <w:pPr>
        <w:pStyle w:val="Heading2"/>
      </w:pPr>
      <w:r>
        <w:rPr>
          <w:color w:val="1E3A5F"/>
          <w:sz w:val="28"/>
        </w:rPr>
        <w:t>5. Healthcare Navigation</w:t>
      </w:r>
    </w:p>
    <w:p>
      <w:pPr>
        <w:spacing w:after="120"/>
      </w:pPr>
      <w:r>
        <w:rPr>
          <w:color w:val="1A1A1A"/>
          <w:sz w:val="21"/>
        </w:rPr>
        <w:t>Insurance enrollment, primary care matching, appointment scheduling, health literacy education. CHW activities: explain benefits, help with enrollment paperwork, accompany to appointments, translate medical information.</w:t>
      </w:r>
    </w:p>
    <w:p>
      <w:pPr>
        <w:spacing w:after="120"/>
      </w:pPr>
      <w:r>
        <w:rPr>
          <w:color w:val="1A1A1A"/>
          <w:sz w:val="21"/>
        </w:rPr>
        <w:t>CHWs self-select their specializations during onboarding. Community members filter by need. Many members have overlapping needs — the platform supports multi-vertical sessions and referral chains.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7. CHW Experience</w:t>
      </w:r>
    </w:p>
    <w:p>
      <w:pPr>
        <w:pStyle w:val="Heading2"/>
      </w:pPr>
      <w:r>
        <w:rPr>
          <w:color w:val="1E3A5F"/>
          <w:sz w:val="28"/>
        </w:rPr>
        <w:t>Onboarding &amp; Credentialing</w:t>
      </w:r>
    </w:p>
    <w:p>
      <w:pPr>
        <w:pStyle w:val="ListBullet"/>
        <w:spacing w:after="40"/>
      </w:pPr>
      <w:r>
        <w:rPr>
          <w:color w:val="1A1A1A"/>
          <w:sz w:val="21"/>
        </w:rPr>
        <w:t>Upload CHW certification documentation (state-specific)</w:t>
      </w:r>
    </w:p>
    <w:p>
      <w:pPr>
        <w:pStyle w:val="ListBullet"/>
        <w:spacing w:after="40"/>
      </w:pPr>
      <w:r>
        <w:rPr>
          <w:color w:val="1A1A1A"/>
          <w:sz w:val="21"/>
        </w:rPr>
        <w:t>Complete background check (integrated third-party provider)</w:t>
      </w:r>
    </w:p>
    <w:p>
      <w:pPr>
        <w:pStyle w:val="ListBullet"/>
        <w:spacing w:after="40"/>
      </w:pPr>
      <w:r>
        <w:rPr>
          <w:color w:val="1A1A1A"/>
          <w:sz w:val="21"/>
        </w:rPr>
        <w:t>Build profile: specializations (from 5 verticals), languages spoken, geographic coverage, availability windows</w:t>
      </w:r>
    </w:p>
    <w:p>
      <w:pPr>
        <w:pStyle w:val="ListBullet"/>
        <w:spacing w:after="40"/>
      </w:pPr>
      <w:r>
        <w:rPr>
          <w:color w:val="1A1A1A"/>
          <w:sz w:val="21"/>
        </w:rPr>
        <w:t>Enroll through Pear Suite for Medicaid billing eligibility</w:t>
      </w:r>
    </w:p>
    <w:p>
      <w:pPr>
        <w:pStyle w:val="Heading2"/>
      </w:pPr>
      <w:r>
        <w:rPr>
          <w:color w:val="1E3A5F"/>
          <w:sz w:val="28"/>
        </w:rPr>
        <w:t>The Gig Model (How Matching Works)</w:t>
      </w:r>
    </w:p>
    <w:p>
      <w:pPr>
        <w:pStyle w:val="ListBullet"/>
        <w:spacing w:after="40"/>
      </w:pPr>
      <w:r>
        <w:rPr>
          <w:color w:val="1A1A1A"/>
          <w:sz w:val="21"/>
        </w:rPr>
        <w:t>CHW opens the app and toggles status to "Available"</w:t>
      </w:r>
    </w:p>
    <w:p>
      <w:pPr>
        <w:pStyle w:val="ListBullet"/>
        <w:spacing w:after="40"/>
      </w:pPr>
      <w:r>
        <w:rPr>
          <w:color w:val="1A1A1A"/>
          <w:sz w:val="21"/>
        </w:rPr>
        <w:t>Incoming requests appear filtered by: geographic proximity, vertical match, language match, member preferences, CHW rating</w:t>
      </w:r>
    </w:p>
    <w:p>
      <w:pPr>
        <w:pStyle w:val="ListBullet"/>
        <w:spacing w:after="40"/>
      </w:pPr>
      <w:r>
        <w:rPr>
          <w:color w:val="1A1A1A"/>
          <w:sz w:val="21"/>
        </w:rPr>
        <w:t>CHW reviews anonymized request details: need description, estimated session length, session mode (in-person / virtual / phone)</w:t>
      </w:r>
    </w:p>
    <w:p>
      <w:pPr>
        <w:pStyle w:val="ListBullet"/>
        <w:spacing w:after="40"/>
      </w:pPr>
      <w:r>
        <w:rPr>
          <w:color w:val="1A1A1A"/>
          <w:sz w:val="21"/>
        </w:rPr>
        <w:t>CHW accepts or passes — passed requests route to next-best match</w:t>
      </w:r>
    </w:p>
    <w:p>
      <w:pPr>
        <w:pStyle w:val="ListBullet"/>
        <w:spacing w:after="40"/>
      </w:pPr>
      <w:r>
        <w:rPr>
          <w:color w:val="1A1A1A"/>
          <w:sz w:val="21"/>
        </w:rPr>
        <w:t>Unlike pure Uber-style transactional matching, Compass allows CHWs to maintain ongoing relationships with specific community members (recurring sessions)</w:t>
      </w:r>
    </w:p>
    <w:p>
      <w:pPr>
        <w:pStyle w:val="Heading2"/>
      </w:pPr>
      <w:r>
        <w:rPr>
          <w:color w:val="1E3A5F"/>
          <w:sz w:val="28"/>
        </w:rPr>
        <w:t>Session Execution</w:t>
      </w:r>
    </w:p>
    <w:p>
      <w:pPr>
        <w:pStyle w:val="ListBullet"/>
        <w:spacing w:after="40"/>
      </w:pPr>
      <w:r>
        <w:rPr>
          <w:color w:val="1A1A1A"/>
          <w:sz w:val="21"/>
        </w:rPr>
        <w:t>In-app session tracking: start time, session notes, resource referrals logged, end time</w:t>
      </w:r>
    </w:p>
    <w:p>
      <w:pPr>
        <w:pStyle w:val="ListBullet"/>
        <w:spacing w:after="40"/>
      </w:pPr>
      <w:r>
        <w:rPr>
          <w:color w:val="1A1A1A"/>
          <w:sz w:val="21"/>
        </w:rPr>
        <w:t>Structured documentation that maps directly to Medicaid billing requirements (service type, duration, outcome codes)</w:t>
      </w:r>
    </w:p>
    <w:p>
      <w:pPr>
        <w:pStyle w:val="ListBullet"/>
        <w:spacing w:after="40"/>
      </w:pPr>
      <w:r>
        <w:rPr>
          <w:color w:val="1A1A1A"/>
          <w:sz w:val="21"/>
        </w:rPr>
        <w:t>Real-time local resource directory lookup during sessions</w:t>
      </w:r>
    </w:p>
    <w:p>
      <w:pPr>
        <w:pStyle w:val="Heading2"/>
      </w:pPr>
      <w:r>
        <w:rPr>
          <w:color w:val="1E3A5F"/>
          <w:sz w:val="28"/>
        </w:rPr>
        <w:t>Earnings &amp; Payouts</w:t>
      </w:r>
    </w:p>
    <w:p>
      <w:pPr>
        <w:pStyle w:val="ListBullet"/>
        <w:spacing w:after="40"/>
      </w:pPr>
      <w:r>
        <w:rPr>
          <w:color w:val="1A1A1A"/>
          <w:sz w:val="21"/>
        </w:rPr>
        <w:t>Transparent per-session earnings displayed before accepting a request</w:t>
      </w:r>
    </w:p>
    <w:p>
      <w:pPr>
        <w:pStyle w:val="ListBullet"/>
        <w:spacing w:after="40"/>
      </w:pPr>
      <w:r>
        <w:rPr>
          <w:color w:val="1A1A1A"/>
          <w:sz w:val="21"/>
        </w:rPr>
        <w:t>Earnings based on Medicaid reimbursement rates ($18-$50 per 30-min session, state-dependent) minus platform fee</w:t>
      </w:r>
    </w:p>
    <w:p>
      <w:pPr>
        <w:pStyle w:val="ListBullet"/>
        <w:spacing w:after="40"/>
      </w:pPr>
      <w:r>
        <w:rPr>
          <w:color w:val="1A1A1A"/>
          <w:sz w:val="21"/>
        </w:rPr>
        <w:t>Weekly direct deposit (initially via Pear Suite disbursement, later direct)</w:t>
      </w:r>
    </w:p>
    <w:p>
      <w:pPr>
        <w:pStyle w:val="ListBullet"/>
        <w:spacing w:after="40"/>
      </w:pPr>
      <w:r>
        <w:rPr>
          <w:color w:val="1A1A1A"/>
          <w:sz w:val="21"/>
        </w:rPr>
        <w:t>Earnings dashboard: session history, pending claims, projected income</w:t>
      </w:r>
    </w:p>
    <w:p>
      <w:pPr>
        <w:pStyle w:val="Heading2"/>
      </w:pPr>
      <w:r>
        <w:rPr>
          <w:color w:val="1E3A5F"/>
          <w:sz w:val="28"/>
        </w:rPr>
        <w:t>Incentives (Wellth Model, Adapted for Workers)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Availability streaks: </w:t>
      </w:r>
      <w:r>
        <w:rPr>
          <w:color w:val="1A1A1A"/>
          <w:sz w:val="21"/>
        </w:rPr>
        <w:t>Bonuses for consistent weekly availability.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Quality bonuses: </w:t>
      </w:r>
      <w:r>
        <w:rPr>
          <w:color w:val="1A1A1A"/>
          <w:sz w:val="21"/>
        </w:rPr>
        <w:t>Higher ratings and positive outcomes unlock priority matching.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Specialization incentives: </w:t>
      </w:r>
      <w:r>
        <w:rPr>
          <w:color w:val="1A1A1A"/>
          <w:sz w:val="21"/>
        </w:rPr>
        <w:t>Bonus pay for underserved verticals or geographies with high demand.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Milestone rewards: </w:t>
      </w:r>
      <w:r>
        <w:rPr>
          <w:color w:val="1A1A1A"/>
          <w:sz w:val="21"/>
        </w:rPr>
        <w:t>Recognition and bonuses at session count thresholds.</w:t>
      </w:r>
    </w:p>
    <w:p>
      <w:pPr>
        <w:spacing w:after="120"/>
      </w:pPr>
      <w:r>
        <w:rPr>
          <w:color w:val="1A1A1A"/>
          <w:sz w:val="21"/>
        </w:rPr>
        <w:t>Design principle: incentivize consistency and quality, not just volume.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8. Community Member Experience</w:t>
      </w:r>
    </w:p>
    <w:p>
      <w:pPr>
        <w:pStyle w:val="Heading2"/>
      </w:pPr>
      <w:r>
        <w:rPr>
          <w:color w:val="1E3A5F"/>
          <w:sz w:val="28"/>
        </w:rPr>
        <w:t>Onboarding</w:t>
      </w:r>
    </w:p>
    <w:p>
      <w:pPr>
        <w:pStyle w:val="ListBullet"/>
        <w:spacing w:after="40"/>
      </w:pPr>
      <w:r>
        <w:rPr>
          <w:color w:val="1A1A1A"/>
          <w:sz w:val="21"/>
        </w:rPr>
        <w:t>Minimal friction: name, zip code, primary need (from 5 verticals), preferred language</w:t>
      </w:r>
    </w:p>
    <w:p>
      <w:pPr>
        <w:pStyle w:val="ListBullet"/>
        <w:spacing w:after="40"/>
      </w:pPr>
      <w:r>
        <w:rPr>
          <w:color w:val="1A1A1A"/>
          <w:sz w:val="21"/>
        </w:rPr>
        <w:t>No insurance information required upfront — billing is on the CHW side through Pear Suite</w:t>
      </w:r>
    </w:p>
    <w:p>
      <w:pPr>
        <w:pStyle w:val="ListBullet"/>
        <w:spacing w:after="40"/>
      </w:pPr>
      <w:r>
        <w:rPr>
          <w:color w:val="1A1A1A"/>
          <w:sz w:val="21"/>
        </w:rPr>
        <w:t>Optional: insurance details for enhanced matching, demographic info</w:t>
      </w:r>
    </w:p>
    <w:p>
      <w:pPr>
        <w:pStyle w:val="ListBullet"/>
        <w:spacing w:after="40"/>
      </w:pPr>
      <w:r>
        <w:rPr>
          <w:color w:val="1A1A1A"/>
          <w:sz w:val="21"/>
        </w:rPr>
        <w:t>Privacy-first, HIPAA-compliant data handling from day one</w:t>
      </w:r>
    </w:p>
    <w:p>
      <w:pPr>
        <w:pStyle w:val="Heading2"/>
      </w:pPr>
      <w:r>
        <w:rPr>
          <w:color w:val="1E3A5F"/>
          <w:sz w:val="28"/>
        </w:rPr>
        <w:t>Need Configuration &amp; Filtering</w:t>
      </w:r>
    </w:p>
    <w:p>
      <w:pPr>
        <w:pStyle w:val="ListBullet"/>
        <w:spacing w:after="40"/>
      </w:pPr>
      <w:r>
        <w:rPr>
          <w:color w:val="1A1A1A"/>
          <w:sz w:val="21"/>
        </w:rPr>
        <w:t>Select primary need vertical(s)</w:t>
      </w:r>
    </w:p>
    <w:p>
      <w:pPr>
        <w:pStyle w:val="ListBullet"/>
        <w:spacing w:after="40"/>
      </w:pPr>
      <w:r>
        <w:rPr>
          <w:color w:val="1A1A1A"/>
          <w:sz w:val="21"/>
        </w:rPr>
        <w:t>Preference filters: CHW gender preference, language, in-person vs. virtual, availability windows</w:t>
      </w:r>
    </w:p>
    <w:p>
      <w:pPr>
        <w:pStyle w:val="ListBullet"/>
        <w:spacing w:after="40"/>
      </w:pPr>
      <w:r>
        <w:rPr>
          <w:color w:val="1A1A1A"/>
          <w:sz w:val="21"/>
        </w:rPr>
        <w:t>Urgency indicator: routine / soon (within 48 hours) / urgent (same-day)</w:t>
      </w:r>
    </w:p>
    <w:p>
      <w:pPr>
        <w:pStyle w:val="ListBullet"/>
        <w:spacing w:after="40"/>
      </w:pPr>
      <w:r>
        <w:rPr>
          <w:color w:val="1A1A1A"/>
          <w:sz w:val="21"/>
        </w:rPr>
        <w:t>Brief description of what they need help with (free text, optional)</w:t>
      </w:r>
    </w:p>
    <w:p>
      <w:pPr>
        <w:pStyle w:val="Heading2"/>
      </w:pPr>
      <w:r>
        <w:rPr>
          <w:color w:val="1E3A5F"/>
          <w:sz w:val="28"/>
        </w:rPr>
        <w:t>Matching &amp; Sessions</w:t>
      </w:r>
    </w:p>
    <w:p>
      <w:pPr>
        <w:pStyle w:val="ListBullet"/>
        <w:spacing w:after="40"/>
      </w:pPr>
      <w:r>
        <w:rPr>
          <w:color w:val="1A1A1A"/>
          <w:sz w:val="21"/>
        </w:rPr>
        <w:t>Platform presents a matched CHW with profile summary: name, photo, specializations, rating, languages</w:t>
      </w:r>
    </w:p>
    <w:p>
      <w:pPr>
        <w:pStyle w:val="ListBullet"/>
        <w:spacing w:after="40"/>
      </w:pPr>
      <w:r>
        <w:rPr>
          <w:color w:val="1A1A1A"/>
          <w:sz w:val="21"/>
        </w:rPr>
        <w:t>Member confirms or requests another match</w:t>
      </w:r>
    </w:p>
    <w:p>
      <w:pPr>
        <w:pStyle w:val="ListBullet"/>
        <w:spacing w:after="40"/>
      </w:pPr>
      <w:r>
        <w:rPr>
          <w:color w:val="1A1A1A"/>
          <w:sz w:val="21"/>
        </w:rPr>
        <w:t>Session modes: in-person (CHW comes to the member), virtual (video/audio), phone</w:t>
      </w:r>
    </w:p>
    <w:p>
      <w:pPr>
        <w:pStyle w:val="ListBullet"/>
        <w:spacing w:after="40"/>
      </w:pPr>
      <w:r>
        <w:rPr>
          <w:color w:val="1A1A1A"/>
          <w:sz w:val="21"/>
        </w:rPr>
        <w:t>Post-session: brief outcome survey (3-5 questions), option to schedule follow-up</w:t>
      </w:r>
    </w:p>
    <w:p>
      <w:pPr>
        <w:pStyle w:val="Heading2"/>
      </w:pPr>
      <w:r>
        <w:rPr>
          <w:color w:val="1E3A5F"/>
          <w:sz w:val="28"/>
        </w:rPr>
        <w:t>Engagement Incentives (Wellth Model, Adapted for Members)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Follow-through rewards: </w:t>
      </w:r>
      <w:r>
        <w:rPr>
          <w:color w:val="1A1A1A"/>
          <w:sz w:val="21"/>
        </w:rPr>
        <w:t>Earn credits for completing referral actions (attending a scheduled appointment, submitting a benefit application).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Loss-aversion mechanic: </w:t>
      </w:r>
      <w:r>
        <w:rPr>
          <w:color w:val="1A1A1A"/>
          <w:sz w:val="21"/>
        </w:rPr>
        <w:t>Small monthly engagement credit that decreases with missed follow-ups (modeled on Wellth's $30/month with $2 daily deductions).</w:t>
      </w:r>
    </w:p>
    <w:p>
      <w:pPr>
        <w:spacing w:after="120"/>
      </w:pPr>
      <w:r>
        <w:rPr>
          <w:color w:val="1A1A1A"/>
          <w:sz w:val="21"/>
        </w:rPr>
        <w:t>Credits redeemable for: transportation vouchers, grocery gift cards, phone minutes — things that address immediate needs.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9. Billing &amp; Revenue</w:t>
      </w:r>
    </w:p>
    <w:p>
      <w:pPr>
        <w:pStyle w:val="Heading2"/>
      </w:pPr>
      <w:r>
        <w:rPr>
          <w:color w:val="1E3A5F"/>
          <w:sz w:val="28"/>
        </w:rPr>
        <w:t>Phase 1: Pear Suite Integration (Launch)</w:t>
      </w:r>
    </w:p>
    <w:p>
      <w:pPr>
        <w:spacing w:after="120"/>
      </w:pPr>
      <w:r>
        <w:rPr>
          <w:color w:val="1A1A1A"/>
          <w:sz w:val="21"/>
        </w:rPr>
        <w:t>Compass routes completed session documentation to Pear Suite's billing platform. Pear Suite submits Medicaid claims through its Pear Cares Provider Network.</w:t>
      </w:r>
    </w:p>
    <w:p>
      <w:pPr>
        <w:spacing w:after="120"/>
      </w:pPr>
      <w:r>
        <w:rPr>
          <w:color w:val="1A1A1A"/>
          <w:sz w:val="21"/>
        </w:rPr>
        <w:t>Revenue split example at $40/session Medi-Cal rate:</w:t>
      </w:r>
    </w:p>
    <w:p>
      <w:pPr>
        <w:pStyle w:val="ListBullet"/>
        <w:spacing w:after="40"/>
      </w:pPr>
      <w:r>
        <w:rPr>
          <w:color w:val="1A1A1A"/>
          <w:sz w:val="21"/>
        </w:rPr>
        <w:t>Medicaid pays: $40.00</w:t>
      </w:r>
    </w:p>
    <w:p>
      <w:pPr>
        <w:pStyle w:val="ListBullet"/>
        <w:spacing w:after="40"/>
      </w:pPr>
      <w:r>
        <w:rPr>
          <w:color w:val="1A1A1A"/>
          <w:sz w:val="21"/>
        </w:rPr>
        <w:t>Pear Suite takes 15%: -$6.00</w:t>
      </w:r>
    </w:p>
    <w:p>
      <w:pPr>
        <w:pStyle w:val="ListBullet"/>
        <w:spacing w:after="40"/>
      </w:pPr>
      <w:r>
        <w:rPr>
          <w:color w:val="1A1A1A"/>
          <w:sz w:val="21"/>
        </w:rPr>
        <w:t>Compass takes 10-15%: -$3.40 to $5.10</w:t>
      </w:r>
    </w:p>
    <w:p>
      <w:pPr>
        <w:pStyle w:val="ListBullet"/>
        <w:spacing w:after="40"/>
      </w:pPr>
      <w:r>
        <w:rPr>
          <w:color w:val="1A1A1A"/>
          <w:sz w:val="21"/>
        </w:rPr>
        <w:t>CHW receives: $28.90-$30.60</w:t>
      </w:r>
    </w:p>
    <w:p>
      <w:pPr>
        <w:spacing w:after="120"/>
      </w:pPr>
      <w:r>
        <w:rPr>
          <w:color w:val="1A1A1A"/>
          <w:sz w:val="21"/>
        </w:rPr>
        <w:t>Advantage: immediate billing capability without building claims infrastructure. Tradeoff: margin compression from double intermediary fees.</w:t>
      </w:r>
    </w:p>
    <w:p>
      <w:pPr>
        <w:pStyle w:val="Heading2"/>
      </w:pPr>
      <w:r>
        <w:rPr>
          <w:color w:val="1E3A5F"/>
          <w:sz w:val="28"/>
        </w:rPr>
        <w:t>Phase 2: Proprietary Billing (Month 12+)</w:t>
      </w:r>
    </w:p>
    <w:p>
      <w:pPr>
        <w:spacing w:after="120"/>
      </w:pPr>
      <w:r>
        <w:rPr>
          <w:color w:val="1A1A1A"/>
          <w:sz w:val="21"/>
        </w:rPr>
        <w:t>Build direct Medicaid claim submission (EDI 837 professional claims). Eliminates Pear Suite's 15% fee.</w:t>
      </w:r>
    </w:p>
    <w:p>
      <w:pPr>
        <w:pStyle w:val="ListBullet"/>
        <w:spacing w:after="40"/>
      </w:pPr>
      <w:r>
        <w:rPr>
          <w:color w:val="1A1A1A"/>
          <w:sz w:val="21"/>
        </w:rPr>
        <w:t>Medicaid pays: $40.00</w:t>
      </w:r>
    </w:p>
    <w:p>
      <w:pPr>
        <w:pStyle w:val="ListBullet"/>
        <w:spacing w:after="40"/>
      </w:pPr>
      <w:r>
        <w:rPr>
          <w:color w:val="1A1A1A"/>
          <w:sz w:val="21"/>
        </w:rPr>
        <w:t>Compass takes 15-20%: -$6.00 to $8.00</w:t>
      </w:r>
    </w:p>
    <w:p>
      <w:pPr>
        <w:pStyle w:val="ListBullet"/>
        <w:spacing w:after="40"/>
      </w:pPr>
      <w:r>
        <w:rPr>
          <w:color w:val="1A1A1A"/>
          <w:sz w:val="21"/>
        </w:rPr>
        <w:t>CHW receives: $32.00-$34.00</w:t>
      </w:r>
    </w:p>
    <w:p>
      <w:pPr>
        <w:spacing w:before="120" w:after="120"/>
        <w:ind w:left="567"/>
      </w:pPr>
      <w:r>
        <w:rPr>
          <w:b/>
          <w:color w:val="0D2137"/>
          <w:sz w:val="22"/>
        </w:rPr>
        <w:t>This is the primary margin expansion lever.</w:t>
      </w:r>
    </w:p>
    <w:p>
      <w:pPr>
        <w:pStyle w:val="Heading2"/>
      </w:pPr>
      <w:r>
        <w:rPr>
          <w:color w:val="1E3A5F"/>
          <w:sz w:val="28"/>
        </w:rPr>
        <w:t>Future Revenue Streams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Health plan contracts: </w:t>
      </w:r>
      <w:r>
        <w:rPr>
          <w:color w:val="1A1A1A"/>
          <w:sz w:val="21"/>
        </w:rPr>
        <w:t>Sell outcomes data and engagement analytics to Medicaid MCOs (modeled on UniteUs B2B SaaS).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Employer-sponsored plans: </w:t>
      </w:r>
      <w:r>
        <w:rPr>
          <w:color w:val="1A1A1A"/>
          <w:sz w:val="21"/>
        </w:rPr>
        <w:t>Companies purchase Compass access for employees (EAP-adjacent).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 xml:space="preserve">Training &amp; certification: </w:t>
      </w:r>
      <w:r>
        <w:rPr>
          <w:color w:val="1A1A1A"/>
          <w:sz w:val="21"/>
        </w:rPr>
        <w:t>Compass-branded CHW training programs (revenue + supply-side growth).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10. Technology Roadmap</w:t>
      </w:r>
    </w:p>
    <w:p>
      <w:pPr>
        <w:pStyle w:val="Heading2"/>
      </w:pPr>
      <w:r>
        <w:rPr>
          <w:color w:val="1E3A5F"/>
          <w:sz w:val="28"/>
        </w:rPr>
        <w:t>Phase 0: Foundation (Months 1-3)</w:t>
      </w:r>
    </w:p>
    <w:p>
      <w:pPr>
        <w:pStyle w:val="ListBullet"/>
        <w:spacing w:after="40"/>
      </w:pPr>
      <w:r>
        <w:rPr>
          <w:color w:val="1A1A1A"/>
          <w:sz w:val="21"/>
        </w:rPr>
        <w:t>Repository and project structure established</w:t>
      </w:r>
    </w:p>
    <w:p>
      <w:pPr>
        <w:pStyle w:val="ListBullet"/>
        <w:spacing w:after="40"/>
      </w:pPr>
      <w:r>
        <w:rPr>
          <w:color w:val="1A1A1A"/>
          <w:sz w:val="21"/>
        </w:rPr>
        <w:t>HIPAA compliance framework selected and implemented</w:t>
      </w:r>
    </w:p>
    <w:p>
      <w:pPr>
        <w:pStyle w:val="ListBullet"/>
        <w:spacing w:after="40"/>
      </w:pPr>
      <w:r>
        <w:rPr>
          <w:color w:val="1A1A1A"/>
          <w:sz w:val="21"/>
        </w:rPr>
        <w:t>Design system and wireframes (JT/CDO leads)</w:t>
      </w:r>
    </w:p>
    <w:p>
      <w:pPr>
        <w:pStyle w:val="ListBullet"/>
        <w:spacing w:after="40"/>
      </w:pPr>
      <w:r>
        <w:rPr>
          <w:color w:val="1A1A1A"/>
          <w:sz w:val="21"/>
        </w:rPr>
        <w:t>Pear Suite API integration scoped and prototyped</w:t>
      </w:r>
    </w:p>
    <w:p>
      <w:pPr>
        <w:pStyle w:val="ListBullet"/>
        <w:spacing w:after="40"/>
      </w:pPr>
      <w:r>
        <w:rPr>
          <w:color w:val="1A1A1A"/>
          <w:sz w:val="21"/>
        </w:rPr>
        <w:t>Web app scaffolding: React frontend + FastAPI backend</w:t>
      </w:r>
    </w:p>
    <w:p>
      <w:pPr>
        <w:pStyle w:val="ListBullet"/>
        <w:spacing w:after="40"/>
      </w:pPr>
      <w:r>
        <w:rPr>
          <w:color w:val="1A1A1A"/>
          <w:sz w:val="21"/>
        </w:rPr>
        <w:t>CHW onboarding and community member request flows designed</w:t>
      </w:r>
    </w:p>
    <w:p>
      <w:pPr>
        <w:pStyle w:val="Heading2"/>
      </w:pPr>
      <w:r>
        <w:rPr>
          <w:color w:val="1E3A5F"/>
          <w:sz w:val="28"/>
        </w:rPr>
        <w:t>Phase 1: Los Angeles Pilot (Months 3-6)</w:t>
      </w:r>
    </w:p>
    <w:p>
      <w:pPr>
        <w:pStyle w:val="ListBullet"/>
        <w:spacing w:after="40"/>
      </w:pPr>
      <w:r>
        <w:rPr>
          <w:color w:val="1A1A1A"/>
          <w:sz w:val="21"/>
        </w:rPr>
        <w:t>Medi-Cal market — California has established CHW Medicaid billing provisions</w:t>
      </w:r>
    </w:p>
    <w:p>
      <w:pPr>
        <w:pStyle w:val="ListBullet"/>
        <w:spacing w:after="40"/>
      </w:pPr>
      <w:r>
        <w:rPr>
          <w:color w:val="1A1A1A"/>
          <w:sz w:val="21"/>
        </w:rPr>
        <w:t>Responsive web app for both CHWs and community members</w:t>
      </w:r>
    </w:p>
    <w:p>
      <w:pPr>
        <w:pStyle w:val="ListBullet"/>
        <w:spacing w:after="40"/>
      </w:pPr>
      <w:r>
        <w:rPr>
          <w:color w:val="1A1A1A"/>
          <w:sz w:val="21"/>
        </w:rPr>
        <w:t>Basic matching engine (geographic + vertical + language)</w:t>
      </w:r>
    </w:p>
    <w:p>
      <w:pPr>
        <w:pStyle w:val="ListBullet"/>
        <w:spacing w:after="40"/>
      </w:pPr>
      <w:r>
        <w:rPr>
          <w:color w:val="1A1A1A"/>
          <w:sz w:val="21"/>
        </w:rPr>
        <w:t>Session tracking and structured documentation</w:t>
      </w:r>
    </w:p>
    <w:p>
      <w:pPr>
        <w:pStyle w:val="ListBullet"/>
        <w:spacing w:after="40"/>
      </w:pPr>
      <w:r>
        <w:rPr>
          <w:color w:val="1A1A1A"/>
          <w:sz w:val="21"/>
        </w:rPr>
        <w:t>Pear Suite billing integration live; iOS begins in parallel</w:t>
      </w:r>
    </w:p>
    <w:p>
      <w:pPr>
        <w:pStyle w:val="ListBullet"/>
        <w:spacing w:after="40"/>
      </w:pPr>
      <w:r>
        <w:rPr>
          <w:color w:val="1A1A1A"/>
          <w:sz w:val="21"/>
        </w:rPr>
        <w:t>Target: 20-50 CHWs, 100-500 completed sessions</w:t>
      </w:r>
    </w:p>
    <w:p>
      <w:pPr>
        <w:pStyle w:val="Heading2"/>
      </w:pPr>
      <w:r>
        <w:rPr>
          <w:color w:val="1E3A5F"/>
          <w:sz w:val="28"/>
        </w:rPr>
        <w:t>Phase 2: Product-Market Fit (Months 6-12)</w:t>
      </w:r>
    </w:p>
    <w:p>
      <w:pPr>
        <w:pStyle w:val="ListBullet"/>
        <w:spacing w:after="40"/>
      </w:pPr>
      <w:r>
        <w:rPr>
          <w:color w:val="1A1A1A"/>
          <w:sz w:val="21"/>
        </w:rPr>
        <w:t>iOS app launch</w:t>
      </w:r>
    </w:p>
    <w:p>
      <w:pPr>
        <w:pStyle w:val="ListBullet"/>
        <w:spacing w:after="40"/>
      </w:pPr>
      <w:r>
        <w:rPr>
          <w:color w:val="1A1A1A"/>
          <w:sz w:val="21"/>
        </w:rPr>
        <w:t>Advanced matching: preference filtering, rating-weighted ranking, availability optimization</w:t>
      </w:r>
    </w:p>
    <w:p>
      <w:pPr>
        <w:pStyle w:val="ListBullet"/>
        <w:spacing w:after="40"/>
      </w:pPr>
      <w:r>
        <w:rPr>
          <w:color w:val="1A1A1A"/>
          <w:sz w:val="21"/>
        </w:rPr>
        <w:t>Incentive engines for CHWs (streaks, bonuses) and community members (follow-through rewards)</w:t>
      </w:r>
    </w:p>
    <w:p>
      <w:pPr>
        <w:pStyle w:val="ListBullet"/>
        <w:spacing w:after="40"/>
      </w:pPr>
      <w:r>
        <w:rPr>
          <w:color w:val="1A1A1A"/>
          <w:sz w:val="21"/>
        </w:rPr>
        <w:t>Analytics dashboard for founders and operations</w:t>
      </w:r>
    </w:p>
    <w:p>
      <w:pPr>
        <w:pStyle w:val="ListBullet"/>
        <w:spacing w:after="40"/>
      </w:pPr>
      <w:r>
        <w:rPr>
          <w:color w:val="1A1A1A"/>
          <w:sz w:val="21"/>
        </w:rPr>
        <w:t>Expand to 2-3 additional cities</w:t>
      </w:r>
    </w:p>
    <w:p>
      <w:pPr>
        <w:pStyle w:val="Heading2"/>
      </w:pPr>
      <w:r>
        <w:rPr>
          <w:color w:val="1E3A5F"/>
          <w:sz w:val="28"/>
        </w:rPr>
        <w:t>Phase 3: Scale (Months 12-24)</w:t>
      </w:r>
    </w:p>
    <w:p>
      <w:pPr>
        <w:pStyle w:val="ListBullet"/>
        <w:spacing w:after="40"/>
      </w:pPr>
      <w:r>
        <w:rPr>
          <w:color w:val="1A1A1A"/>
          <w:sz w:val="21"/>
        </w:rPr>
        <w:t>Proprietary Medicaid billing infrastructure (replace Pear Suite dependency)</w:t>
      </w:r>
    </w:p>
    <w:p>
      <w:pPr>
        <w:pStyle w:val="ListBullet"/>
        <w:spacing w:after="40"/>
      </w:pPr>
      <w:r>
        <w:rPr>
          <w:color w:val="1A1A1A"/>
          <w:sz w:val="21"/>
        </w:rPr>
        <w:t>EHR integration exploration (Epic SMART on FHIR, following UniteUs's pattern)</w:t>
      </w:r>
    </w:p>
    <w:p>
      <w:pPr>
        <w:pStyle w:val="ListBullet"/>
        <w:spacing w:after="40"/>
      </w:pPr>
      <w:r>
        <w:rPr>
          <w:color w:val="1A1A1A"/>
          <w:sz w:val="21"/>
        </w:rPr>
        <w:t>Health plan partnership pipeline (B2B revenue stream)</w:t>
      </w:r>
    </w:p>
    <w:p>
      <w:pPr>
        <w:pStyle w:val="ListBullet"/>
        <w:spacing w:after="40"/>
      </w:pPr>
      <w:r>
        <w:rPr>
          <w:color w:val="1A1A1A"/>
          <w:sz w:val="21"/>
        </w:rPr>
        <w:t>Multi-state expansion targeting states with established CHW Medicaid billing</w:t>
      </w:r>
    </w:p>
    <w:p>
      <w:pPr>
        <w:pStyle w:val="Heading2"/>
      </w:pPr>
      <w:r>
        <w:rPr>
          <w:color w:val="1E3A5F"/>
          <w:sz w:val="28"/>
        </w:rPr>
        <w:t>Phase 4: Platform (Month 24+)</w:t>
      </w:r>
    </w:p>
    <w:p>
      <w:pPr>
        <w:pStyle w:val="ListBullet"/>
        <w:spacing w:after="40"/>
      </w:pPr>
      <w:r>
        <w:rPr>
          <w:color w:val="1A1A1A"/>
          <w:sz w:val="21"/>
        </w:rPr>
        <w:t>Open API for CBO and partner integrations</w:t>
      </w:r>
    </w:p>
    <w:p>
      <w:pPr>
        <w:pStyle w:val="ListBullet"/>
        <w:spacing w:after="40"/>
      </w:pPr>
      <w:r>
        <w:rPr>
          <w:color w:val="1A1A1A"/>
          <w:sz w:val="21"/>
        </w:rPr>
        <w:t>Employer-sponsored plans</w:t>
      </w:r>
    </w:p>
    <w:p>
      <w:pPr>
        <w:pStyle w:val="ListBullet"/>
        <w:spacing w:after="40"/>
      </w:pPr>
      <w:r>
        <w:rPr>
          <w:color w:val="1A1A1A"/>
          <w:sz w:val="21"/>
        </w:rPr>
        <w:t>Outcomes-based contracting with health plans</w:t>
      </w:r>
    </w:p>
    <w:p>
      <w:pPr>
        <w:pStyle w:val="ListBullet"/>
        <w:spacing w:after="40"/>
      </w:pPr>
      <w:r>
        <w:rPr>
          <w:color w:val="1A1A1A"/>
          <w:sz w:val="21"/>
        </w:rPr>
        <w:t>National scale</w:t>
      </w:r>
    </w:p>
    <w:p>
      <w:r>
        <w:br w:type="page"/>
      </w:r>
    </w:p>
    <w:p>
      <w:pPr>
        <w:pStyle w:val="Heading1"/>
      </w:pPr>
      <w:r>
        <w:rPr>
          <w:color w:val="0D2137"/>
          <w:sz w:val="40"/>
        </w:rPr>
        <w:t>11.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880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032"/>
            <w:shd w:fill="1E3A5F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Focus Areas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1A"/>
                <w:sz w:val="18"/>
              </w:rPr>
              <w:t>Akram Mahmoud</w:t>
            </w:r>
          </w:p>
        </w:tc>
        <w:tc>
          <w:tcPr>
            <w:tcW w:type="dxa" w:w="2880"/>
          </w:tcPr>
          <w:p>
            <w:r/>
            <w:r>
              <w:rPr>
                <w:color w:val="1A1A1A"/>
                <w:sz w:val="18"/>
              </w:rPr>
              <w:t>Co-Founder &amp; CTO</w:t>
            </w:r>
          </w:p>
        </w:tc>
        <w:tc>
          <w:tcPr>
            <w:tcW w:type="dxa" w:w="4032"/>
          </w:tcPr>
          <w:p>
            <w:r/>
            <w:r>
              <w:rPr>
                <w:color w:val="1A1A1A"/>
                <w:sz w:val="18"/>
              </w:rPr>
              <w:t>Product, Engineering, Platform Architecture</w:t>
            </w:r>
          </w:p>
        </w:tc>
      </w:tr>
      <w:tr>
        <w:tc>
          <w:tcPr>
            <w:tcW w:type="dxa" w:w="2880"/>
            <w:shd w:fill="F9FAFB"/>
          </w:tcPr>
          <w:p>
            <w:r/>
            <w:r>
              <w:rPr>
                <w:color w:val="1A1A1A"/>
                <w:sz w:val="18"/>
              </w:rPr>
              <w:t>Jemal Hussein</w:t>
            </w:r>
          </w:p>
        </w:tc>
        <w:tc>
          <w:tcPr>
            <w:tcW w:type="dxa" w:w="2880"/>
            <w:shd w:fill="F9FAFB"/>
          </w:tcPr>
          <w:p>
            <w:r/>
            <w:r>
              <w:rPr>
                <w:color w:val="1A1A1A"/>
                <w:sz w:val="18"/>
              </w:rPr>
              <w:t>Co-Founder &amp; CEO</w:t>
            </w:r>
          </w:p>
        </w:tc>
        <w:tc>
          <w:tcPr>
            <w:tcW w:type="dxa" w:w="4032"/>
            <w:shd w:fill="F9FAFB"/>
          </w:tcPr>
          <w:p>
            <w:r/>
            <w:r>
              <w:rPr>
                <w:color w:val="1A1A1A"/>
                <w:sz w:val="18"/>
              </w:rPr>
              <w:t>Strategy, Operations, Partnerships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color w:val="1A1A1A"/>
                <w:sz w:val="18"/>
              </w:rPr>
              <w:t>John Thomas (JT)</w:t>
            </w:r>
          </w:p>
        </w:tc>
        <w:tc>
          <w:tcPr>
            <w:tcW w:type="dxa" w:w="2880"/>
          </w:tcPr>
          <w:p>
            <w:r/>
            <w:r>
              <w:rPr>
                <w:color w:val="1A1A1A"/>
                <w:sz w:val="18"/>
              </w:rPr>
              <w:t>Co-Founder &amp; CDO</w:t>
            </w:r>
          </w:p>
        </w:tc>
        <w:tc>
          <w:tcPr>
            <w:tcW w:type="dxa" w:w="4032"/>
          </w:tcPr>
          <w:p>
            <w:r/>
            <w:r>
              <w:rPr>
                <w:color w:val="1A1A1A"/>
                <w:sz w:val="18"/>
              </w:rPr>
              <w:t>Design, User Experience, Brand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2137"/>
          <w:sz w:val="40"/>
        </w:rPr>
        <w:t>12. Key Metrics</w:t>
      </w:r>
    </w:p>
    <w:p>
      <w:pPr>
        <w:pStyle w:val="Heading2"/>
      </w:pPr>
      <w:r>
        <w:rPr>
          <w:color w:val="1E3A5F"/>
          <w:sz w:val="28"/>
        </w:rPr>
        <w:t>Supply Side (CHW)</w:t>
      </w:r>
    </w:p>
    <w:p>
      <w:pPr>
        <w:pStyle w:val="ListBullet"/>
        <w:spacing w:after="40"/>
      </w:pPr>
      <w:r>
        <w:rPr>
          <w:color w:val="1A1A1A"/>
          <w:sz w:val="21"/>
        </w:rPr>
        <w:t>CHW sign-up and credentialing completion rate</w:t>
      </w:r>
    </w:p>
    <w:p>
      <w:pPr>
        <w:pStyle w:val="ListBullet"/>
        <w:spacing w:after="40"/>
      </w:pPr>
      <w:r>
        <w:rPr>
          <w:color w:val="1A1A1A"/>
          <w:sz w:val="21"/>
        </w:rPr>
        <w:t>Weekly active CHWs (available at least once per week)</w:t>
      </w:r>
    </w:p>
    <w:p>
      <w:pPr>
        <w:pStyle w:val="ListBullet"/>
        <w:spacing w:after="40"/>
      </w:pPr>
      <w:r>
        <w:rPr>
          <w:color w:val="1A1A1A"/>
          <w:sz w:val="21"/>
        </w:rPr>
        <w:t>Average sessions per CHW per week</w:t>
      </w:r>
    </w:p>
    <w:p>
      <w:pPr>
        <w:pStyle w:val="ListBullet"/>
        <w:spacing w:after="40"/>
      </w:pPr>
      <w:r>
        <w:rPr>
          <w:color w:val="1A1A1A"/>
          <w:sz w:val="21"/>
        </w:rPr>
        <w:t>CHW retention at 30 / 60 / 90 days</w:t>
      </w:r>
    </w:p>
    <w:p>
      <w:pPr>
        <w:pStyle w:val="ListBullet"/>
        <w:spacing w:after="40"/>
      </w:pPr>
      <w:r>
        <w:rPr>
          <w:color w:val="1A1A1A"/>
          <w:sz w:val="21"/>
        </w:rPr>
        <w:t>Average CHW earnings per week</w:t>
      </w:r>
    </w:p>
    <w:p>
      <w:pPr>
        <w:pStyle w:val="ListBullet"/>
        <w:spacing w:after="40"/>
      </w:pPr>
      <w:r>
        <w:rPr>
          <w:color w:val="1A1A1A"/>
          <w:sz w:val="21"/>
        </w:rPr>
        <w:t>CHW Net Promoter Score</w:t>
      </w:r>
    </w:p>
    <w:p>
      <w:pPr>
        <w:pStyle w:val="Heading2"/>
      </w:pPr>
      <w:r>
        <w:rPr>
          <w:color w:val="1E3A5F"/>
          <w:sz w:val="28"/>
        </w:rPr>
        <w:t>Demand Side (Community Members)</w:t>
      </w:r>
    </w:p>
    <w:p>
      <w:pPr>
        <w:pStyle w:val="ListBullet"/>
        <w:spacing w:after="40"/>
      </w:pPr>
      <w:r>
        <w:rPr>
          <w:color w:val="1A1A1A"/>
          <w:sz w:val="21"/>
        </w:rPr>
        <w:t>Registration rate</w:t>
      </w:r>
    </w:p>
    <w:p>
      <w:pPr>
        <w:pStyle w:val="ListBullet"/>
        <w:spacing w:after="40"/>
      </w:pPr>
      <w:r>
        <w:rPr>
          <w:color w:val="1A1A1A"/>
          <w:sz w:val="21"/>
        </w:rPr>
        <w:t>Request-to-match rate (% of requests resulting in a matched CHW)</w:t>
      </w:r>
    </w:p>
    <w:p>
      <w:pPr>
        <w:pStyle w:val="ListBullet"/>
        <w:spacing w:after="40"/>
      </w:pPr>
      <w:r>
        <w:rPr>
          <w:color w:val="1A1A1A"/>
          <w:sz w:val="21"/>
        </w:rPr>
        <w:t>Match-to-session rate (% of matches where session occurs)</w:t>
      </w:r>
    </w:p>
    <w:p>
      <w:pPr>
        <w:pStyle w:val="ListBullet"/>
        <w:spacing w:after="40"/>
      </w:pPr>
      <w:r>
        <w:rPr>
          <w:color w:val="1A1A1A"/>
          <w:sz w:val="21"/>
        </w:rPr>
        <w:t>Session completion rate</w:t>
      </w:r>
    </w:p>
    <w:p>
      <w:pPr>
        <w:pStyle w:val="ListBullet"/>
        <w:spacing w:after="40"/>
      </w:pPr>
      <w:r>
        <w:rPr>
          <w:color w:val="1A1A1A"/>
          <w:sz w:val="21"/>
        </w:rPr>
        <w:t>Follow-through rate (% of referrals acted upon)</w:t>
      </w:r>
    </w:p>
    <w:p>
      <w:pPr>
        <w:pStyle w:val="ListBullet"/>
        <w:spacing w:after="40"/>
      </w:pPr>
      <w:r>
        <w:rPr>
          <w:color w:val="1A1A1A"/>
          <w:sz w:val="21"/>
        </w:rPr>
        <w:t>Engagement rate (target: CityBlock's 81%)</w:t>
      </w:r>
    </w:p>
    <w:p>
      <w:pPr>
        <w:pStyle w:val="ListBullet"/>
        <w:spacing w:after="40"/>
      </w:pPr>
      <w:r>
        <w:rPr>
          <w:color w:val="1A1A1A"/>
          <w:sz w:val="21"/>
        </w:rPr>
        <w:t>Community member NPS</w:t>
      </w:r>
    </w:p>
    <w:p>
      <w:pPr>
        <w:pStyle w:val="Heading2"/>
      </w:pPr>
      <w:r>
        <w:rPr>
          <w:color w:val="1E3A5F"/>
          <w:sz w:val="28"/>
        </w:rPr>
        <w:t>Business</w:t>
      </w:r>
    </w:p>
    <w:p>
      <w:pPr>
        <w:pStyle w:val="ListBullet"/>
        <w:spacing w:after="40"/>
      </w:pPr>
      <w:r>
        <w:rPr>
          <w:color w:val="1A1A1A"/>
          <w:sz w:val="21"/>
        </w:rPr>
        <w:t>Total sessions per week/month</w:t>
      </w:r>
    </w:p>
    <w:p>
      <w:pPr>
        <w:pStyle w:val="ListBullet"/>
        <w:spacing w:after="40"/>
      </w:pPr>
      <w:r>
        <w:rPr>
          <w:color w:val="1A1A1A"/>
          <w:sz w:val="21"/>
        </w:rPr>
        <w:t>Gross Marketplace Value (total Medicaid billing through platform)</w:t>
      </w:r>
    </w:p>
    <w:p>
      <w:pPr>
        <w:pStyle w:val="ListBullet"/>
        <w:spacing w:after="40"/>
      </w:pPr>
      <w:r>
        <w:rPr>
          <w:color w:val="1A1A1A"/>
          <w:sz w:val="21"/>
        </w:rPr>
        <w:t>Platform take rate (effective %)</w:t>
      </w:r>
    </w:p>
    <w:p>
      <w:pPr>
        <w:pStyle w:val="ListBullet"/>
        <w:spacing w:after="40"/>
      </w:pPr>
      <w:r>
        <w:rPr>
          <w:color w:val="1A1A1A"/>
          <w:sz w:val="21"/>
        </w:rPr>
        <w:t>Revenue per session</w:t>
      </w:r>
    </w:p>
    <w:p>
      <w:pPr>
        <w:pStyle w:val="ListBullet"/>
        <w:spacing w:after="40"/>
      </w:pPr>
      <w:r>
        <w:rPr>
          <w:color w:val="1A1A1A"/>
          <w:sz w:val="21"/>
        </w:rPr>
        <w:t>Billing claim success rate</w:t>
      </w:r>
    </w:p>
    <w:p>
      <w:pPr>
        <w:pStyle w:val="ListBullet"/>
        <w:spacing w:after="40"/>
      </w:pPr>
      <w:r>
        <w:rPr>
          <w:color w:val="1A1A1A"/>
          <w:sz w:val="21"/>
        </w:rPr>
        <w:t>Time from session completion to CHW payout</w:t>
      </w:r>
    </w:p>
    <w:p>
      <w:pPr>
        <w:pStyle w:val="ListBullet"/>
        <w:spacing w:after="40"/>
      </w:pPr>
      <w:r>
        <w:rPr>
          <w:color w:val="1A1A1A"/>
          <w:sz w:val="21"/>
        </w:rPr>
        <w:t>Unit economics: CAC and LTV for both CHWs and community members</w:t>
      </w:r>
    </w:p>
    <w:p>
      <w:pPr>
        <w:pStyle w:val="Heading2"/>
      </w:pPr>
      <w:r>
        <w:rPr>
          <w:color w:val="1E3A5F"/>
          <w:sz w:val="28"/>
        </w:rPr>
        <w:t>Pilot Success Thresholds (Phase 1 — LA)</w:t>
      </w:r>
    </w:p>
    <w:p>
      <w:pPr>
        <w:pStyle w:val="ListBullet"/>
        <w:spacing w:after="40"/>
      </w:pPr>
      <w:r>
        <w:rPr>
          <w:color w:val="1A1A1A"/>
          <w:sz w:val="21"/>
        </w:rPr>
        <w:t>20+ active CHWs</w:t>
      </w:r>
    </w:p>
    <w:p>
      <w:pPr>
        <w:pStyle w:val="ListBullet"/>
        <w:spacing w:after="40"/>
      </w:pPr>
      <w:r>
        <w:rPr>
          <w:color w:val="1A1A1A"/>
          <w:sz w:val="21"/>
        </w:rPr>
        <w:t>50+ completed sessions per month</w:t>
      </w:r>
    </w:p>
    <w:p>
      <w:pPr>
        <w:pStyle w:val="ListBullet"/>
        <w:spacing w:after="40"/>
      </w:pPr>
      <w:r>
        <w:rPr>
          <w:color w:val="1A1A1A"/>
          <w:sz w:val="21"/>
        </w:rPr>
        <w:t>80%+ billing claim success rate</w:t>
      </w:r>
    </w:p>
    <w:p>
      <w:pPr>
        <w:pStyle w:val="ListBullet"/>
        <w:spacing w:after="40"/>
      </w:pPr>
      <w:r>
        <w:rPr>
          <w:color w:val="1A1A1A"/>
          <w:sz w:val="21"/>
        </w:rPr>
        <w:t>60%+ CHW 30-day retention</w:t>
      </w:r>
    </w:p>
    <w:p>
      <w:pPr>
        <w:pStyle w:val="ListBullet"/>
        <w:spacing w:after="40"/>
      </w:pPr>
      <w:r>
        <w:rPr>
          <w:color w:val="1A1A1A"/>
          <w:sz w:val="21"/>
        </w:rPr>
        <w:t>70%+ match-to-session rate</w:t>
      </w:r>
    </w:p>
    <w:p/>
    <w:p>
      <w:pPr>
        <w:jc w:val="center"/>
      </w:pPr>
      <w:r>
        <w:rPr>
          <w:i/>
          <w:color w:val="374151"/>
          <w:sz w:val="18"/>
        </w:rPr>
        <w:t>Compass is a living document. Quarterly review recommended as the platform evolves.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