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80A79">
      <w:pPr>
        <w:spacing w:after="218" w:afterLines="70"/>
        <w:ind w:firstLine="0" w:firstLineChars="0"/>
        <w:outlineLvl w:val="0"/>
        <w:rPr>
          <w:rFonts w:ascii="楷体" w:hAnsi="楷体" w:eastAsia="楷体" w:cs="Times New Roman"/>
          <w:b/>
          <w:bCs/>
          <w:sz w:val="28"/>
          <w:szCs w:val="28"/>
        </w:rPr>
      </w:pPr>
      <w:r>
        <w:rPr>
          <w:rFonts w:ascii="楷体" w:hAnsi="楷体" w:eastAsia="楷体" w:cs="Times New Roman"/>
          <w:b/>
          <w:bCs/>
          <w:sz w:val="28"/>
          <w:szCs w:val="28"/>
        </w:rPr>
        <w:t>2026年中国研究生数学建模竞赛</w:t>
      </w:r>
      <w:r>
        <w:rPr>
          <w:rFonts w:hint="eastAsia" w:ascii="楷体" w:hAnsi="楷体" w:eastAsia="楷体" w:cs="Times New Roman"/>
          <w:b/>
          <w:bCs/>
          <w:sz w:val="28"/>
          <w:szCs w:val="28"/>
        </w:rPr>
        <w:t>B</w:t>
      </w:r>
      <w:r>
        <w:rPr>
          <w:rFonts w:ascii="楷体" w:hAnsi="楷体" w:eastAsia="楷体" w:cs="Times New Roman"/>
          <w:b/>
          <w:bCs/>
          <w:sz w:val="28"/>
          <w:szCs w:val="28"/>
        </w:rPr>
        <w:t>题</w:t>
      </w:r>
    </w:p>
    <w:p w14:paraId="1CC5C6C3">
      <w:pPr>
        <w:spacing w:after="218" w:afterLines="70"/>
        <w:ind w:firstLine="0" w:firstLineChars="0"/>
        <w:jc w:val="center"/>
        <w:outlineLvl w:val="0"/>
        <w:rPr>
          <w:rFonts w:ascii="黑体" w:hAnsi="黑体" w:eastAsia="黑体" w:cs="Times New Roman"/>
          <w:b/>
          <w:bCs/>
          <w:sz w:val="32"/>
          <w:szCs w:val="32"/>
        </w:rPr>
      </w:pPr>
      <w:r>
        <w:rPr>
          <w:rFonts w:hint="eastAsia" w:ascii="黑体" w:hAnsi="黑体" w:eastAsia="黑体" w:cs="Times New Roman"/>
          <w:b/>
          <w:bCs/>
          <w:sz w:val="32"/>
          <w:szCs w:val="32"/>
        </w:rPr>
        <w:t>氢燃料电池低温冷启动建模与控制策略研究</w:t>
      </w:r>
    </w:p>
    <w:p w14:paraId="609D9809">
      <w:pPr>
        <w:spacing w:after="156" w:afterLines="50"/>
        <w:ind w:firstLine="0" w:firstLineChars="0"/>
        <w:rPr>
          <w:rFonts w:cs="Times New Roman"/>
          <w:b/>
          <w:bCs/>
          <w:szCs w:val="24"/>
        </w:rPr>
      </w:pPr>
      <w:r>
        <w:rPr>
          <w:rFonts w:cs="Times New Roman"/>
          <w:b/>
          <w:bCs/>
          <w:szCs w:val="24"/>
        </w:rPr>
        <w:t>一、</w:t>
      </w:r>
      <w:r>
        <w:rPr>
          <w:rFonts w:hint="eastAsia" w:cs="Times New Roman"/>
          <w:b/>
          <w:bCs/>
          <w:szCs w:val="24"/>
        </w:rPr>
        <w:t>背景</w:t>
      </w:r>
    </w:p>
    <w:p w14:paraId="327285E0">
      <w:pPr>
        <w:ind w:firstLine="480"/>
        <w:rPr>
          <w:rFonts w:ascii="宋体" w:hAnsi="宋体" w:cs="Times New Roman"/>
        </w:rPr>
      </w:pPr>
      <w:r>
        <w:rPr>
          <w:rFonts w:ascii="宋体" w:hAnsi="宋体" w:cs="Times New Roman"/>
        </w:rPr>
        <w:t>氢燃料电池具有能量转化效率高、响应速度快、运行噪声低和排放清洁等优点，在新能源汽车、无人装备、船舶动力</w:t>
      </w:r>
      <w:r>
        <w:rPr>
          <w:rFonts w:hint="eastAsia" w:ascii="宋体" w:hAnsi="宋体" w:cs="Times New Roman"/>
        </w:rPr>
        <w:t>、航天动力</w:t>
      </w:r>
      <w:r>
        <w:rPr>
          <w:rFonts w:ascii="宋体" w:hAnsi="宋体" w:cs="Times New Roman"/>
        </w:rPr>
        <w:t>及寒区供能系统中具有广阔的应用前景。然而，当环境温度</w:t>
      </w:r>
      <w:r>
        <w:rPr>
          <w:rFonts w:ascii="宋体" w:hAnsi="宋体" w:cs="Times New Roman"/>
          <w:highlight w:val="yellow"/>
        </w:rPr>
        <w:t>低于冰点</w:t>
      </w:r>
      <w:r>
        <w:rPr>
          <w:rFonts w:ascii="宋体" w:hAnsi="宋体" w:cs="Times New Roman"/>
        </w:rPr>
        <w:t>时，电池内部残余水和电化学反应生成水容易发生冻结。</w:t>
      </w:r>
      <w:r>
        <w:rPr>
          <w:rFonts w:ascii="宋体" w:hAnsi="宋体" w:cs="Times New Roman"/>
          <w:highlight w:val="yellow"/>
        </w:rPr>
        <w:t>生成的冰会占据催化层</w:t>
      </w:r>
      <w:r>
        <w:rPr>
          <w:rFonts w:hint="eastAsia" w:ascii="宋体" w:hAnsi="宋体" w:cs="Times New Roman"/>
          <w:highlight w:val="yellow"/>
        </w:rPr>
        <w:t>（CL）</w:t>
      </w:r>
      <w:r>
        <w:rPr>
          <w:rFonts w:ascii="宋体" w:hAnsi="宋体" w:cs="Times New Roman"/>
          <w:highlight w:val="yellow"/>
        </w:rPr>
        <w:t>和气体扩散层</w:t>
      </w:r>
      <w:r>
        <w:rPr>
          <w:rFonts w:hint="eastAsia" w:ascii="宋体" w:hAnsi="宋体" w:cs="Times New Roman"/>
          <w:highlight w:val="yellow"/>
        </w:rPr>
        <w:t>（GDL）</w:t>
      </w:r>
      <w:r>
        <w:rPr>
          <w:rFonts w:ascii="宋体" w:hAnsi="宋体" w:cs="Times New Roman"/>
          <w:highlight w:val="yellow"/>
        </w:rPr>
        <w:t>中的有效孔隙，降低氧气传输能力</w:t>
      </w:r>
      <w:r>
        <w:rPr>
          <w:rFonts w:ascii="宋体" w:hAnsi="宋体" w:cs="Times New Roman"/>
        </w:rPr>
        <w:t>，</w:t>
      </w:r>
      <w:r>
        <w:rPr>
          <w:rFonts w:hint="eastAsia" w:ascii="宋体" w:hAnsi="宋体" w:cs="Times New Roman"/>
        </w:rPr>
        <w:t>如图1所示，</w:t>
      </w:r>
      <w:r>
        <w:rPr>
          <w:rFonts w:ascii="宋体" w:hAnsi="宋体" w:cs="Times New Roman"/>
        </w:rPr>
        <w:t>严重时会引起电压快速衰减甚至启动失败。因此，低温冷启动能力是制约氢燃料电池寒区应用和工程化发展的关键因素之一</w:t>
      </w:r>
      <w:r>
        <w:rPr>
          <w:rFonts w:ascii="宋体" w:hAnsi="宋体" w:cs="Times New Roman"/>
          <w:vertAlign w:val="superscript"/>
        </w:rPr>
        <w:t>[1,2]</w:t>
      </w:r>
      <w:r>
        <w:rPr>
          <w:rFonts w:ascii="宋体" w:hAnsi="宋体" w:cs="Times New Roman"/>
        </w:rPr>
        <w:t>。</w:t>
      </w:r>
    </w:p>
    <w:p w14:paraId="6650E953">
      <w:pPr>
        <w:ind w:firstLine="0" w:firstLineChars="0"/>
        <w:jc w:val="center"/>
        <w:rPr>
          <w:rFonts w:cs="Times New Roman"/>
          <w:szCs w:val="24"/>
        </w:rPr>
      </w:pPr>
      <w:r>
        <w:rPr>
          <w:rFonts w:cs="Times New Roman"/>
          <w:szCs w:val="24"/>
        </w:rPr>
        <w:drawing>
          <wp:inline distT="0" distB="0" distL="0" distR="0">
            <wp:extent cx="2658745" cy="256032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2705655" cy="2605323"/>
                    </a:xfrm>
                    <a:prstGeom prst="rect">
                      <a:avLst/>
                    </a:prstGeom>
                  </pic:spPr>
                </pic:pic>
              </a:graphicData>
            </a:graphic>
          </wp:inline>
        </w:drawing>
      </w:r>
    </w:p>
    <w:p w14:paraId="623DD519">
      <w:pPr>
        <w:ind w:firstLine="0" w:firstLineChars="0"/>
        <w:jc w:val="center"/>
        <w:rPr>
          <w:rFonts w:cs="Times New Roman"/>
          <w:sz w:val="21"/>
          <w:szCs w:val="21"/>
        </w:rPr>
      </w:pPr>
      <w:r>
        <w:rPr>
          <w:rFonts w:hint="eastAsia" w:cs="Times New Roman"/>
          <w:sz w:val="21"/>
          <w:szCs w:val="21"/>
        </w:rPr>
        <w:t xml:space="preserve">图1 </w:t>
      </w:r>
      <w:r>
        <w:rPr>
          <w:rFonts w:cs="Times New Roman"/>
          <w:sz w:val="21"/>
          <w:szCs w:val="21"/>
        </w:rPr>
        <w:t>氢燃料电池</w:t>
      </w:r>
      <w:r>
        <w:rPr>
          <w:rFonts w:hint="eastAsia" w:cs="Times New Roman"/>
          <w:sz w:val="21"/>
          <w:szCs w:val="21"/>
          <w14:ligatures w14:val="standardContextual"/>
        </w:rPr>
        <w:t>冷启动时主要传输现象示意图</w:t>
      </w:r>
      <w:r>
        <w:rPr>
          <w:rFonts w:hint="eastAsia" w:cs="Times New Roman"/>
          <w:sz w:val="21"/>
          <w:szCs w:val="21"/>
          <w:vertAlign w:val="superscript"/>
        </w:rPr>
        <w:t>[2]</w:t>
      </w:r>
    </w:p>
    <w:p w14:paraId="6E86AC8D">
      <w:pPr>
        <w:ind w:firstLine="480"/>
        <w:rPr>
          <w:rFonts w:cs="Times New Roman"/>
        </w:rPr>
      </w:pPr>
      <w:r>
        <w:rPr>
          <w:rFonts w:cs="Times New Roman"/>
        </w:rPr>
        <w:t>氢燃料电池低温冷启动涉及</w:t>
      </w:r>
      <w:r>
        <w:rPr>
          <w:rFonts w:cs="Times New Roman"/>
          <w:highlight w:val="yellow"/>
        </w:rPr>
        <w:t>电化学反应、热量传递、气体扩散、水迁移以及水</w:t>
      </w:r>
      <w:r>
        <w:rPr>
          <w:rFonts w:hint="eastAsia" w:cs="Times New Roman"/>
          <w:highlight w:val="yellow"/>
        </w:rPr>
        <w:t>/</w:t>
      </w:r>
      <w:r>
        <w:rPr>
          <w:rFonts w:cs="Times New Roman"/>
          <w:highlight w:val="yellow"/>
        </w:rPr>
        <w:t>冰相变</w:t>
      </w:r>
      <w:r>
        <w:rPr>
          <w:rFonts w:cs="Times New Roman"/>
        </w:rPr>
        <w:t>等多个过程，</w:t>
      </w:r>
      <w:r>
        <w:rPr>
          <w:rFonts w:hint="eastAsia" w:cs="Times New Roman"/>
        </w:rPr>
        <w:t>本问题主要关注的是</w:t>
      </w:r>
      <w:r>
        <w:rPr>
          <w:rFonts w:cs="Times New Roman"/>
          <w:highlight w:val="yellow"/>
        </w:rPr>
        <w:t>反应产热与环境散热、反应产水与冻结之间的动态竞争</w:t>
      </w:r>
      <w:r>
        <w:rPr>
          <w:rFonts w:cs="Times New Roman"/>
        </w:rPr>
        <w:t>。随着冰不断累积，阴极多孔介质中的气体传输通道逐渐缩小，氧气供应能力下降，造成电压衰减和反应分布恶化。</w:t>
      </w:r>
    </w:p>
    <w:p w14:paraId="227DC3D9">
      <w:pPr>
        <w:ind w:firstLine="480"/>
        <w:rPr>
          <w:rFonts w:cs="Times New Roman"/>
        </w:rPr>
      </w:pPr>
      <w:r>
        <w:rPr>
          <w:rFonts w:cs="Times New Roman"/>
        </w:rPr>
        <w:t>在电堆</w:t>
      </w:r>
      <w:r>
        <w:rPr>
          <w:rFonts w:hint="eastAsia" w:cs="Times New Roman"/>
        </w:rPr>
        <w:t>（由多片单电池串联，如图2所示）</w:t>
      </w:r>
      <w:r>
        <w:rPr>
          <w:rFonts w:cs="Times New Roman"/>
        </w:rPr>
        <w:t>尺度，各片单电池还可能因</w:t>
      </w:r>
      <w:r>
        <w:rPr>
          <w:rFonts w:cs="Times New Roman"/>
          <w:highlight w:val="yellow"/>
        </w:rPr>
        <w:t>散热条件、气体分配和初始温度</w:t>
      </w:r>
      <w:r>
        <w:rPr>
          <w:rFonts w:cs="Times New Roman"/>
        </w:rPr>
        <w:t>不同而表现出明显的非均匀性。特别是</w:t>
      </w:r>
      <w:r>
        <w:rPr>
          <w:rFonts w:hint="eastAsia" w:cs="Times New Roman"/>
          <w:color w:val="000000" w:themeColor="text1"/>
          <w:highlight w:val="yellow"/>
          <w14:textFill>
            <w14:solidFill>
              <w14:schemeClr w14:val="tx1"/>
            </w14:solidFill>
          </w14:textFill>
        </w:rPr>
        <w:t>寒冷环境下，</w:t>
      </w:r>
      <w:r>
        <w:rPr>
          <w:rFonts w:cs="Times New Roman"/>
          <w:color w:val="000000" w:themeColor="text1"/>
          <w:highlight w:val="yellow"/>
          <w14:textFill>
            <w14:solidFill>
              <w14:schemeClr w14:val="tx1"/>
            </w14:solidFill>
          </w14:textFill>
        </w:rPr>
        <w:t>靠近电堆端部的单电池通常散热更快、温升更慢，更容易出现局部结冰和低电压现象</w:t>
      </w:r>
      <w:r>
        <w:rPr>
          <w:rFonts w:cs="Times New Roman"/>
        </w:rPr>
        <w:t>。仅依靠反应产热可能难以满足极低温条件下的启动需求，而</w:t>
      </w:r>
      <w:r>
        <w:rPr>
          <w:rFonts w:cs="Times New Roman"/>
          <w:highlight w:val="yellow"/>
        </w:rPr>
        <w:t>辅助加热</w:t>
      </w:r>
      <w:r>
        <w:rPr>
          <w:rFonts w:cs="Times New Roman"/>
        </w:rPr>
        <w:t>虽然能够改善启动性能，却会带来</w:t>
      </w:r>
      <w:r>
        <w:rPr>
          <w:rFonts w:cs="Times New Roman"/>
          <w:highlight w:val="yellow"/>
        </w:rPr>
        <w:t>额外能耗</w:t>
      </w:r>
      <w:r>
        <w:rPr>
          <w:rFonts w:cs="Times New Roman"/>
        </w:rPr>
        <w:t>。因此，建立能够反</w:t>
      </w:r>
      <w:r>
        <w:rPr>
          <w:rFonts w:cs="Times New Roman"/>
          <w:color w:val="EE0000"/>
        </w:rPr>
        <w:t>映水热状态、电化学性能</w:t>
      </w:r>
      <w:r>
        <w:rPr>
          <w:rFonts w:hint="eastAsia" w:cs="Times New Roman"/>
          <w:color w:val="EE0000"/>
        </w:rPr>
        <w:t>的氢燃料电池瞬态</w:t>
      </w:r>
      <w:r>
        <w:rPr>
          <w:rFonts w:cs="Times New Roman"/>
          <w:color w:val="EE0000"/>
        </w:rPr>
        <w:t>冷启动模型</w:t>
      </w:r>
      <w:r>
        <w:rPr>
          <w:rFonts w:cs="Times New Roman"/>
        </w:rPr>
        <w:t>，是</w:t>
      </w:r>
      <w:r>
        <w:rPr>
          <w:rFonts w:hint="eastAsia" w:cs="Times New Roman"/>
        </w:rPr>
        <w:t>研究</w:t>
      </w:r>
      <w:r>
        <w:rPr>
          <w:rFonts w:cs="Times New Roman"/>
        </w:rPr>
        <w:t>冷启动规律的重要基础。</w:t>
      </w:r>
      <w:r>
        <w:rPr>
          <w:rFonts w:cs="Times New Roman"/>
          <w:highlight w:val="yellow"/>
        </w:rPr>
        <w:t>附件1</w:t>
      </w:r>
      <w:r>
        <w:rPr>
          <w:rFonts w:hint="eastAsia" w:cs="Times New Roman"/>
          <w:highlight w:val="yellow"/>
        </w:rPr>
        <w:t>中</w:t>
      </w:r>
      <w:r>
        <w:rPr>
          <w:rFonts w:cs="Times New Roman"/>
          <w:highlight w:val="yellow"/>
        </w:rPr>
        <w:t>给出了建立氢燃料电池模型所需的相关参数，附件2</w:t>
      </w:r>
      <w:r>
        <w:rPr>
          <w:rFonts w:hint="eastAsia" w:cs="Times New Roman"/>
          <w:highlight w:val="yellow"/>
        </w:rPr>
        <w:t>中</w:t>
      </w:r>
      <w:r>
        <w:rPr>
          <w:rFonts w:cs="Times New Roman"/>
          <w:highlight w:val="yellow"/>
        </w:rPr>
        <w:t>提供了冷启动实验数据</w:t>
      </w:r>
      <w:r>
        <w:rPr>
          <w:rFonts w:cs="Times New Roman"/>
        </w:rPr>
        <w:t>。</w:t>
      </w:r>
    </w:p>
    <w:p w14:paraId="5C32521A">
      <w:pPr>
        <w:ind w:firstLine="0" w:firstLineChars="0"/>
        <w:jc w:val="center"/>
        <w:rPr>
          <w:rFonts w:cs="Times New Roman"/>
        </w:rPr>
      </w:pPr>
      <w:r>
        <w:rPr>
          <w:rFonts w:cs="Times New Roman"/>
        </w:rPr>
        <w:drawing>
          <wp:inline distT="0" distB="0" distL="0" distR="0">
            <wp:extent cx="3488055" cy="2448560"/>
            <wp:effectExtent l="0" t="0" r="0" b="8890"/>
            <wp:docPr id="5"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示&#10;&#10;描述已自动生成"/>
                    <pic:cNvPicPr>
                      <a:picLocks noChangeAspect="1"/>
                    </pic:cNvPicPr>
                  </pic:nvPicPr>
                  <pic:blipFill>
                    <a:blip r:embed="rId13"/>
                    <a:stretch>
                      <a:fillRect/>
                    </a:stretch>
                  </pic:blipFill>
                  <pic:spPr>
                    <a:xfrm>
                      <a:off x="0" y="0"/>
                      <a:ext cx="3557948" cy="2497758"/>
                    </a:xfrm>
                    <a:prstGeom prst="rect">
                      <a:avLst/>
                    </a:prstGeom>
                  </pic:spPr>
                </pic:pic>
              </a:graphicData>
            </a:graphic>
          </wp:inline>
        </w:drawing>
      </w:r>
    </w:p>
    <w:p w14:paraId="617C4753">
      <w:pPr>
        <w:ind w:firstLine="0" w:firstLineChars="0"/>
        <w:jc w:val="center"/>
        <w:rPr>
          <w:rFonts w:cs="Times New Roman"/>
          <w:sz w:val="21"/>
          <w:szCs w:val="21"/>
        </w:rPr>
      </w:pPr>
      <w:r>
        <w:rPr>
          <w:rFonts w:hint="eastAsia" w:cs="Times New Roman"/>
          <w:sz w:val="21"/>
          <w:szCs w:val="21"/>
        </w:rPr>
        <w:t>图2 电堆结构</w:t>
      </w:r>
      <w:r>
        <w:rPr>
          <w:rFonts w:hint="eastAsia" w:cs="Times New Roman"/>
          <w:sz w:val="21"/>
          <w:szCs w:val="21"/>
          <w14:ligatures w14:val="standardContextual"/>
        </w:rPr>
        <w:t>示意图</w:t>
      </w:r>
    </w:p>
    <w:p w14:paraId="1FCBC85B">
      <w:pPr>
        <w:spacing w:before="312" w:beforeLines="100" w:after="156" w:afterLines="50"/>
        <w:ind w:firstLine="0" w:firstLineChars="0"/>
        <w:rPr>
          <w:rFonts w:cs="Times New Roman"/>
          <w:b/>
          <w:bCs/>
          <w:szCs w:val="24"/>
        </w:rPr>
      </w:pPr>
      <w:r>
        <w:rPr>
          <w:rFonts w:hint="eastAsia" w:cs="Times New Roman"/>
          <w:b/>
          <w:bCs/>
          <w:szCs w:val="24"/>
        </w:rPr>
        <w:t>二</w:t>
      </w:r>
      <w:r>
        <w:rPr>
          <w:rFonts w:cs="Times New Roman"/>
          <w:b/>
          <w:bCs/>
          <w:szCs w:val="24"/>
        </w:rPr>
        <w:t>、</w:t>
      </w:r>
      <w:r>
        <w:rPr>
          <w:rFonts w:hint="eastAsia" w:cs="Times New Roman"/>
          <w:b/>
          <w:bCs/>
          <w:szCs w:val="24"/>
        </w:rPr>
        <w:t>完成如下问题</w:t>
      </w:r>
    </w:p>
    <w:p w14:paraId="54CFB5E6">
      <w:pPr>
        <w:spacing w:after="156" w:afterLines="50"/>
        <w:ind w:firstLine="0" w:firstLineChars="0"/>
        <w:rPr>
          <w:rFonts w:ascii="宋体" w:hAnsi="宋体" w:cs="Times New Roman"/>
          <w:b/>
          <w:bCs/>
          <w:szCs w:val="24"/>
        </w:rPr>
      </w:pPr>
      <w:r>
        <w:rPr>
          <w:rFonts w:cs="Times New Roman"/>
          <w:b/>
          <w:bCs/>
          <w:szCs w:val="24"/>
        </w:rPr>
        <w:t>问题1：</w:t>
      </w:r>
      <w:r>
        <w:rPr>
          <w:rFonts w:hint="eastAsia" w:ascii="宋体" w:hAnsi="宋体" w:cs="Times New Roman"/>
          <w:b/>
          <w:bCs/>
          <w:szCs w:val="24"/>
        </w:rPr>
        <w:t>一维单电池瞬态自冷启动模型建立及验证</w:t>
      </w:r>
    </w:p>
    <w:p w14:paraId="72608B98">
      <w:pPr>
        <w:ind w:firstLine="480"/>
        <w:rPr>
          <w:rFonts w:cs="Times New Roman"/>
          <w:szCs w:val="24"/>
        </w:rPr>
      </w:pPr>
      <w:r>
        <w:rPr>
          <w:rFonts w:cs="Times New Roman"/>
          <w:szCs w:val="24"/>
        </w:rPr>
        <w:t>低温冷启动过程中，</w:t>
      </w:r>
      <w:r>
        <w:rPr>
          <w:rFonts w:cs="Times New Roman"/>
          <w:highlight w:val="yellow"/>
        </w:rPr>
        <w:t>氢燃料电池</w:t>
      </w:r>
      <w:r>
        <w:rPr>
          <w:rFonts w:cs="Times New Roman"/>
          <w:szCs w:val="24"/>
          <w:highlight w:val="yellow"/>
        </w:rPr>
        <w:t>的</w:t>
      </w:r>
      <w:r>
        <w:rPr>
          <w:rFonts w:cs="Times New Roman"/>
          <w:highlight w:val="yellow"/>
        </w:rPr>
        <w:t>反应产热与环境散热、反应产水与冻结之间的动态竞争</w:t>
      </w:r>
      <w:r>
        <w:rPr>
          <w:rFonts w:cs="Times New Roman"/>
          <w:szCs w:val="24"/>
          <w:highlight w:val="yellow"/>
        </w:rPr>
        <w:t>关系是判断启动成败的关键</w:t>
      </w:r>
      <w:r>
        <w:rPr>
          <w:rFonts w:hint="eastAsia" w:cs="Times New Roman"/>
          <w:szCs w:val="24"/>
          <w:vertAlign w:val="superscript"/>
        </w:rPr>
        <w:t>[3, 4]</w:t>
      </w:r>
      <w:r>
        <w:rPr>
          <w:rFonts w:hint="eastAsia" w:cs="Times New Roman"/>
          <w:szCs w:val="24"/>
        </w:rPr>
        <w:t>。备注1中给出了</w:t>
      </w:r>
      <w:bookmarkStart w:id="0" w:name="_Hlk238838608"/>
      <w:r>
        <w:rPr>
          <w:rFonts w:hint="eastAsia" w:cs="Times New Roman"/>
          <w:szCs w:val="24"/>
        </w:rPr>
        <w:t>一维</w:t>
      </w:r>
      <w:r>
        <w:rPr>
          <w:rFonts w:cs="Times New Roman"/>
        </w:rPr>
        <w:t>氢燃料电池</w:t>
      </w:r>
      <w:bookmarkEnd w:id="0"/>
      <w:r>
        <w:rPr>
          <w:rFonts w:hint="eastAsia" w:cs="Times New Roman"/>
          <w:b/>
          <w:bCs/>
          <w:szCs w:val="24"/>
        </w:rPr>
        <w:t>常温</w:t>
      </w:r>
      <w:r>
        <w:rPr>
          <w:rFonts w:hint="eastAsia" w:cs="Times New Roman"/>
          <w:b/>
          <w:bCs/>
        </w:rPr>
        <w:t>启动</w:t>
      </w:r>
      <w:r>
        <w:rPr>
          <w:rFonts w:hint="eastAsia" w:cs="Times New Roman"/>
          <w:b/>
          <w:bCs/>
          <w:szCs w:val="24"/>
        </w:rPr>
        <w:t>模型</w:t>
      </w:r>
      <w:r>
        <w:rPr>
          <w:rFonts w:hint="eastAsia" w:cs="Times New Roman"/>
          <w:szCs w:val="24"/>
        </w:rPr>
        <w:t>，</w:t>
      </w:r>
      <w:r>
        <w:rPr>
          <w:rFonts w:cs="Times New Roman"/>
          <w:szCs w:val="24"/>
        </w:rPr>
        <w:t>请在</w:t>
      </w:r>
      <w:r>
        <w:rPr>
          <w:rFonts w:hint="eastAsia" w:cs="Times New Roman"/>
          <w:szCs w:val="24"/>
        </w:rPr>
        <w:t>该常温</w:t>
      </w:r>
      <w:r>
        <w:rPr>
          <w:rFonts w:hint="eastAsia" w:cs="Times New Roman"/>
        </w:rPr>
        <w:t>启动</w:t>
      </w:r>
      <w:r>
        <w:rPr>
          <w:rFonts w:hint="eastAsia" w:cs="Times New Roman"/>
          <w:szCs w:val="24"/>
        </w:rPr>
        <w:t>模型</w:t>
      </w:r>
      <w:r>
        <w:rPr>
          <w:rFonts w:cs="Times New Roman"/>
          <w:szCs w:val="24"/>
        </w:rPr>
        <w:t>基础上</w:t>
      </w:r>
      <w:r>
        <w:rPr>
          <w:rFonts w:hint="eastAsia"/>
          <w:highlight w:val="yellow"/>
        </w:rPr>
        <w:t>加入冰的影响</w:t>
      </w:r>
      <w:r>
        <w:rPr>
          <w:rFonts w:hint="eastAsia"/>
        </w:rPr>
        <w:t>，</w:t>
      </w:r>
      <w:r>
        <w:rPr>
          <w:rFonts w:cs="Times New Roman"/>
          <w:b/>
          <w:bCs/>
          <w:szCs w:val="24"/>
        </w:rPr>
        <w:t>建立一维单电池瞬态自冷启动模型</w:t>
      </w:r>
      <w:r>
        <w:rPr>
          <w:rFonts w:hint="eastAsia" w:cs="Times New Roman"/>
          <w:szCs w:val="24"/>
        </w:rPr>
        <w:t>（</w:t>
      </w:r>
      <w:r>
        <w:t>将总水量分为水蒸气</w:t>
      </w:r>
      <w:r>
        <w:rPr>
          <w:rFonts w:hint="eastAsia"/>
          <w:i/>
          <w:iCs/>
        </w:rPr>
        <w:t>m</w:t>
      </w:r>
      <w:r>
        <w:rPr>
          <w:rFonts w:hint="eastAsia"/>
          <w:i/>
          <w:iCs/>
          <w:vertAlign w:val="subscript"/>
        </w:rPr>
        <w:t>v</w:t>
      </w:r>
      <w:r>
        <w:t>、液态水</w:t>
      </w:r>
      <w:r>
        <w:rPr>
          <w:rFonts w:hint="eastAsia"/>
          <w:i/>
          <w:iCs/>
        </w:rPr>
        <w:t>m</w:t>
      </w:r>
      <w:r>
        <w:rPr>
          <w:rFonts w:hint="eastAsia"/>
          <w:i/>
          <w:iCs/>
          <w:vertAlign w:val="subscript"/>
        </w:rPr>
        <w:t>l</w:t>
      </w:r>
      <w:r>
        <w:t>和固态冰</w:t>
      </w:r>
      <w:r>
        <w:rPr>
          <w:rFonts w:hint="eastAsia"/>
          <w:i/>
          <w:iCs/>
        </w:rPr>
        <w:t>m</w:t>
      </w:r>
      <w:r>
        <w:rPr>
          <w:rFonts w:hint="eastAsia"/>
          <w:i/>
          <w:iCs/>
          <w:vertAlign w:val="subscript"/>
        </w:rPr>
        <w:t>i</w:t>
      </w:r>
      <w:r>
        <w:rPr>
          <w:rFonts w:hint="eastAsia"/>
        </w:rPr>
        <w:t>，</w:t>
      </w:r>
      <w:r>
        <w:rPr>
          <w:rFonts w:hint="eastAsia" w:cs="Times New Roman"/>
          <w:highlight w:val="yellow"/>
        </w:rPr>
        <w:t>并</w:t>
      </w:r>
      <w:r>
        <w:rPr>
          <w:rFonts w:cs="Times New Roman"/>
          <w:szCs w:val="24"/>
          <w:highlight w:val="yellow"/>
        </w:rPr>
        <w:t>考虑低温结冰及冰占孔效应</w:t>
      </w:r>
      <w:r>
        <w:rPr>
          <w:rFonts w:hint="eastAsia" w:cs="Times New Roman"/>
          <w:szCs w:val="24"/>
        </w:rPr>
        <w:t>；</w:t>
      </w:r>
      <w:r>
        <w:rPr>
          <w:rFonts w:cs="Times New Roman"/>
          <w:szCs w:val="24"/>
        </w:rPr>
        <w:t>模型应包含</w:t>
      </w:r>
      <w:r>
        <w:rPr>
          <w:rFonts w:cs="Times New Roman"/>
          <w:szCs w:val="24"/>
          <w:highlight w:val="yellow"/>
        </w:rPr>
        <w:t>液态水</w:t>
      </w:r>
      <w:r>
        <w:rPr>
          <w:rFonts w:hint="eastAsia" w:cs="Times New Roman"/>
          <w:szCs w:val="24"/>
          <w:highlight w:val="yellow"/>
        </w:rPr>
        <w:t>/</w:t>
      </w:r>
      <w:r>
        <w:rPr>
          <w:rFonts w:cs="Times New Roman"/>
          <w:szCs w:val="24"/>
          <w:highlight w:val="yellow"/>
        </w:rPr>
        <w:t>冰相变控制方程</w:t>
      </w:r>
      <w:r>
        <w:rPr>
          <w:rFonts w:cs="Times New Roman"/>
          <w:szCs w:val="24"/>
        </w:rPr>
        <w:t>，并根据</w:t>
      </w:r>
      <w:r>
        <w:rPr>
          <w:rFonts w:cs="Times New Roman"/>
          <w:szCs w:val="24"/>
          <w:highlight w:val="yellow"/>
        </w:rPr>
        <w:t>冰累积量修正</w:t>
      </w:r>
      <w:r>
        <w:rPr>
          <w:rFonts w:cs="Times New Roman"/>
          <w:szCs w:val="24"/>
        </w:rPr>
        <w:t>有效孔隙率、有效扩散系数及催化层有效反应面积</w:t>
      </w:r>
      <w:r>
        <w:rPr>
          <w:rFonts w:hint="eastAsia" w:cs="Times New Roman"/>
          <w:szCs w:val="24"/>
        </w:rPr>
        <w:t>等参数）。根据建立的冷启动模型及</w:t>
      </w:r>
      <w:r>
        <w:rPr>
          <w:rFonts w:cs="Times New Roman"/>
          <w:szCs w:val="24"/>
        </w:rPr>
        <w:t>附件1中的参数进行数值</w:t>
      </w:r>
      <w:r>
        <w:rPr>
          <w:rFonts w:hint="eastAsia" w:cs="Times New Roman"/>
          <w:szCs w:val="24"/>
        </w:rPr>
        <w:t>计算</w:t>
      </w:r>
      <w:r>
        <w:rPr>
          <w:rFonts w:cs="Times New Roman"/>
          <w:szCs w:val="24"/>
        </w:rPr>
        <w:t>，获得</w:t>
      </w:r>
      <w:r>
        <w:rPr>
          <w:rFonts w:hint="eastAsia" w:cs="Times New Roman"/>
          <w:color w:val="EE0000"/>
          <w:szCs w:val="24"/>
        </w:rPr>
        <w:t>单电池平均温度</w:t>
      </w:r>
      <w:r>
        <w:rPr>
          <w:rFonts w:hint="eastAsia" w:cs="Times New Roman"/>
          <w:szCs w:val="24"/>
        </w:rPr>
        <w:t>（由模型计算得到的局部温度在计算域内的空间平均值）</w:t>
      </w:r>
      <w:r>
        <w:rPr>
          <w:rFonts w:cs="Times New Roman"/>
          <w:szCs w:val="24"/>
        </w:rPr>
        <w:t>、</w:t>
      </w:r>
      <w:r>
        <w:rPr>
          <w:rFonts w:cs="Times New Roman"/>
          <w:color w:val="EE0000"/>
          <w:szCs w:val="24"/>
        </w:rPr>
        <w:t>冰体积分数</w:t>
      </w:r>
      <w:r>
        <w:rPr>
          <w:rFonts w:hint="eastAsia" w:cs="Times New Roman"/>
          <w:szCs w:val="24"/>
        </w:rPr>
        <w:t>（见公式（9））</w:t>
      </w:r>
      <w:r>
        <w:rPr>
          <w:rFonts w:cs="Times New Roman"/>
          <w:szCs w:val="24"/>
        </w:rPr>
        <w:t>和</w:t>
      </w:r>
      <w:r>
        <w:rPr>
          <w:rFonts w:cs="Times New Roman"/>
          <w:color w:val="EE0000"/>
          <w:szCs w:val="24"/>
        </w:rPr>
        <w:t>电压随时间的变化</w:t>
      </w:r>
      <w:r>
        <w:rPr>
          <w:rFonts w:hint="eastAsia" w:cs="Times New Roman"/>
          <w:color w:val="EE0000"/>
          <w:szCs w:val="24"/>
        </w:rPr>
        <w:t>规律</w:t>
      </w:r>
      <w:r>
        <w:rPr>
          <w:rFonts w:hint="eastAsia" w:cs="Times New Roman"/>
          <w:szCs w:val="24"/>
        </w:rPr>
        <w:t>；</w:t>
      </w:r>
      <w:r>
        <w:rPr>
          <w:rFonts w:cs="Times New Roman"/>
          <w:szCs w:val="24"/>
        </w:rPr>
        <w:t>利用附件2中的冷启动实验数据进行参数</w:t>
      </w:r>
      <w:r>
        <w:rPr>
          <w:rFonts w:hint="eastAsia" w:cs="Times New Roman"/>
          <w:szCs w:val="24"/>
        </w:rPr>
        <w:t>校准</w:t>
      </w:r>
      <w:r>
        <w:rPr>
          <w:rFonts w:cs="Times New Roman"/>
          <w:szCs w:val="24"/>
        </w:rPr>
        <w:t>与模型验证，分析</w:t>
      </w:r>
      <w:r>
        <w:rPr>
          <w:rFonts w:hint="eastAsia" w:cs="Times New Roman"/>
          <w:szCs w:val="24"/>
        </w:rPr>
        <w:t>实验与模型的相对</w:t>
      </w:r>
      <w:r>
        <w:rPr>
          <w:rFonts w:cs="Times New Roman"/>
          <w:szCs w:val="24"/>
        </w:rPr>
        <w:t>误差及预测能力。</w:t>
      </w:r>
      <w:r>
        <w:rPr>
          <w:rFonts w:hint="eastAsia" w:cs="Times New Roman"/>
          <w:szCs w:val="24"/>
        </w:rPr>
        <w:t>相对误差</w:t>
      </w:r>
      <w:r>
        <w:rPr>
          <w:rFonts w:cs="Times New Roman"/>
          <w:i/>
          <w:iCs/>
          <w:szCs w:val="24"/>
        </w:rPr>
        <w:t>ε</w:t>
      </w:r>
      <w:r>
        <w:rPr>
          <w:rFonts w:hint="eastAsia" w:cs="Times New Roman"/>
          <w:i/>
          <w:iCs/>
          <w:szCs w:val="24"/>
          <w:vertAlign w:val="subscript"/>
        </w:rPr>
        <w:t>X</w:t>
      </w:r>
      <w:r>
        <w:rPr>
          <w:rFonts w:hint="eastAsia" w:cs="Times New Roman"/>
          <w:szCs w:val="24"/>
        </w:rPr>
        <w:t>定义为：</w:t>
      </w:r>
    </w:p>
    <w:p w14:paraId="0E800117">
      <w:pPr>
        <w:pStyle w:val="30"/>
      </w:pPr>
      <w:r>
        <w:rPr>
          <w:rFonts w:hint="eastAsia"/>
        </w:rPr>
        <w:tab/>
      </w:r>
      <w:r>
        <w:rPr>
          <w:rFonts w:hint="eastAsia"/>
          <w:position w:val="-30"/>
        </w:rPr>
        <w:object>
          <v:shape id="_x0000_i1025" o:spt="75" type="#_x0000_t75" style="height:33.75pt;width:130.4pt;" o:ole="t" filled="f" o:preferrelative="t" stroked="f" coordsize="21600,21600">
            <v:path/>
            <v:fill on="f" focussize="0,0"/>
            <v:stroke on="f" joinstyle="miter"/>
            <v:imagedata r:id="rId15" o:title=""/>
            <o:lock v:ext="edit" aspectratio="t"/>
            <w10:wrap type="none"/>
            <w10:anchorlock/>
          </v:shape>
          <o:OLEObject Type="Embed" ProgID="Equation.DSMT4" ShapeID="_x0000_i1025" DrawAspect="Content" ObjectID="_1468075725" r:id="rId14">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w:instrText>
      </w:r>
      <w:r>
        <w:rPr>
          <w:rFonts w:hint="eastAsia"/>
        </w:rPr>
        <w:fldChar w:fldCharType="end"/>
      </w:r>
      <w:r>
        <w:rPr>
          <w:rFonts w:hint="eastAsia"/>
        </w:rPr>
        <w:instrText xml:space="preserve">)</w:instrText>
      </w:r>
      <w:r>
        <w:rPr>
          <w:rFonts w:hint="eastAsia"/>
        </w:rPr>
        <w:fldChar w:fldCharType="end"/>
      </w:r>
    </w:p>
    <w:p w14:paraId="40000F57">
      <w:pPr>
        <w:ind w:firstLine="0" w:firstLineChars="0"/>
      </w:pPr>
      <w:r>
        <w:rPr>
          <w:rFonts w:hint="eastAsia"/>
        </w:rPr>
        <w:t>式</w:t>
      </w:r>
      <w:r>
        <w:t>中，</w:t>
      </w:r>
      <w:r>
        <w:rPr>
          <w:i/>
          <w:iCs/>
        </w:rPr>
        <w:t>X</w:t>
      </w:r>
      <w:r>
        <w:t>表示待验证变量</w:t>
      </w:r>
      <w:r>
        <w:rPr>
          <w:rFonts w:hint="eastAsia"/>
        </w:rPr>
        <w:t>（单电池电压或温度）</w:t>
      </w:r>
      <w:r>
        <w:t>，</w:t>
      </w:r>
      <w:r>
        <w:rPr>
          <w:i/>
          <w:iCs/>
        </w:rPr>
        <w:t>X</w:t>
      </w:r>
      <w:r>
        <w:rPr>
          <w:rFonts w:hint="eastAsia"/>
          <w:vertAlign w:val="subscript"/>
        </w:rPr>
        <w:t>sim</w:t>
      </w:r>
      <w:r>
        <w:rPr>
          <w:rFonts w:hint="eastAsia"/>
        </w:rPr>
        <w:t>和</w:t>
      </w:r>
      <w:r>
        <w:rPr>
          <w:i/>
          <w:iCs/>
        </w:rPr>
        <w:t>X</w:t>
      </w:r>
      <w:r>
        <w:rPr>
          <w:rFonts w:hint="eastAsia"/>
          <w:vertAlign w:val="subscript"/>
        </w:rPr>
        <w:t>exp</w:t>
      </w:r>
      <w:r>
        <w:rPr>
          <w:rFonts w:hint="eastAsia"/>
        </w:rPr>
        <w:t>分别为数值计算和实验结果</w:t>
      </w:r>
      <w:r>
        <w:t>。</w:t>
      </w:r>
      <w:r>
        <w:rPr>
          <w:rFonts w:hint="eastAsia" w:cs="Times New Roman"/>
          <w:szCs w:val="24"/>
        </w:rPr>
        <w:t>并填写下表：</w:t>
      </w:r>
    </w:p>
    <w:p w14:paraId="37008615">
      <w:pPr>
        <w:ind w:firstLine="0" w:firstLineChars="0"/>
        <w:jc w:val="center"/>
        <w:rPr>
          <w:rFonts w:cs="Times New Roman"/>
          <w:szCs w:val="24"/>
        </w:rPr>
      </w:pPr>
    </w:p>
    <w:p w14:paraId="3D9839C0">
      <w:pPr>
        <w:ind w:firstLine="0" w:firstLineChars="0"/>
        <w:jc w:val="center"/>
        <w:rPr>
          <w:rFonts w:cs="Times New Roman"/>
          <w:szCs w:val="24"/>
        </w:rPr>
      </w:pPr>
      <w:r>
        <w:rPr>
          <w:rFonts w:cs="Times New Roman"/>
          <w:szCs w:val="24"/>
        </w:rPr>
        <w:t>表</w:t>
      </w:r>
      <w:r>
        <w:rPr>
          <w:rFonts w:hint="eastAsia" w:cs="Times New Roman"/>
          <w:szCs w:val="24"/>
        </w:rPr>
        <w:t>1</w:t>
      </w:r>
      <w:r>
        <w:rPr>
          <w:rFonts w:cs="Times New Roman"/>
          <w:szCs w:val="24"/>
        </w:rPr>
        <w:t xml:space="preserve"> 一维单电池瞬态自冷启动模型预测与实验验证结果（-20</w:t>
      </w:r>
      <w:r>
        <w:rPr>
          <w:rFonts w:hint="eastAsia" w:cs="Times New Roman"/>
          <w:szCs w:val="24"/>
        </w:rPr>
        <w:t xml:space="preserve"> </w:t>
      </w:r>
      <w:r>
        <w:rPr>
          <w:rFonts w:cs="Times New Roman"/>
          <w:szCs w:val="24"/>
        </w:rPr>
        <w:t>℃）</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04"/>
        <w:gridCol w:w="956"/>
        <w:gridCol w:w="873"/>
        <w:gridCol w:w="1248"/>
        <w:gridCol w:w="1012"/>
        <w:gridCol w:w="948"/>
        <w:gridCol w:w="1248"/>
        <w:gridCol w:w="1507"/>
      </w:tblGrid>
      <w:tr w14:paraId="1019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04" w:type="pct"/>
            <w:vAlign w:val="center"/>
          </w:tcPr>
          <w:p w14:paraId="207ADFF3">
            <w:pPr>
              <w:spacing w:line="240" w:lineRule="auto"/>
              <w:ind w:firstLine="0" w:firstLineChars="0"/>
              <w:jc w:val="center"/>
              <w:rPr>
                <w:rFonts w:cs="Times New Roman"/>
                <w:b/>
                <w:bCs/>
                <w:sz w:val="21"/>
                <w:szCs w:val="21"/>
              </w:rPr>
            </w:pPr>
            <w:r>
              <w:rPr>
                <w:rFonts w:cs="Times New Roman"/>
                <w:b/>
                <w:bCs/>
                <w:sz w:val="21"/>
                <w:szCs w:val="21"/>
              </w:rPr>
              <w:t>时间/s</w:t>
            </w:r>
          </w:p>
        </w:tc>
        <w:tc>
          <w:tcPr>
            <w:tcW w:w="576" w:type="pct"/>
            <w:vAlign w:val="center"/>
          </w:tcPr>
          <w:p w14:paraId="24EE2A92">
            <w:pPr>
              <w:spacing w:line="240" w:lineRule="auto"/>
              <w:ind w:firstLine="0" w:firstLineChars="0"/>
              <w:jc w:val="center"/>
              <w:rPr>
                <w:rFonts w:cs="Times New Roman"/>
                <w:b/>
                <w:bCs/>
                <w:sz w:val="21"/>
                <w:szCs w:val="21"/>
              </w:rPr>
            </w:pPr>
            <w:r>
              <w:rPr>
                <w:rFonts w:cs="Times New Roman"/>
                <w:b/>
                <w:bCs/>
                <w:sz w:val="21"/>
                <w:szCs w:val="21"/>
              </w:rPr>
              <w:t>实验电压/V</w:t>
            </w:r>
          </w:p>
        </w:tc>
        <w:tc>
          <w:tcPr>
            <w:tcW w:w="526" w:type="pct"/>
            <w:vAlign w:val="center"/>
          </w:tcPr>
          <w:p w14:paraId="5FE3ECD8">
            <w:pPr>
              <w:spacing w:line="240" w:lineRule="auto"/>
              <w:ind w:firstLine="0" w:firstLineChars="0"/>
              <w:jc w:val="center"/>
              <w:rPr>
                <w:rFonts w:cs="Times New Roman"/>
                <w:b/>
                <w:bCs/>
                <w:sz w:val="21"/>
                <w:szCs w:val="21"/>
              </w:rPr>
            </w:pPr>
            <w:r>
              <w:rPr>
                <w:rFonts w:cs="Times New Roman"/>
                <w:b/>
                <w:bCs/>
                <w:sz w:val="21"/>
                <w:szCs w:val="21"/>
              </w:rPr>
              <w:t>模型电压/V</w:t>
            </w:r>
          </w:p>
        </w:tc>
        <w:tc>
          <w:tcPr>
            <w:tcW w:w="752" w:type="pct"/>
            <w:vAlign w:val="center"/>
          </w:tcPr>
          <w:p w14:paraId="4601F116">
            <w:pPr>
              <w:spacing w:line="240" w:lineRule="auto"/>
              <w:ind w:firstLine="0" w:firstLineChars="0"/>
              <w:jc w:val="center"/>
              <w:rPr>
                <w:rFonts w:cs="Times New Roman"/>
                <w:b/>
                <w:bCs/>
                <w:sz w:val="21"/>
                <w:szCs w:val="21"/>
              </w:rPr>
            </w:pPr>
            <w:r>
              <w:rPr>
                <w:rFonts w:cs="Times New Roman"/>
                <w:b/>
                <w:bCs/>
                <w:sz w:val="21"/>
                <w:szCs w:val="21"/>
              </w:rPr>
              <w:t>电压</w:t>
            </w:r>
            <w:r>
              <w:rPr>
                <w:rFonts w:hint="eastAsia" w:cs="Times New Roman"/>
                <w:b/>
                <w:bCs/>
                <w:sz w:val="21"/>
                <w:szCs w:val="21"/>
              </w:rPr>
              <w:t>相对</w:t>
            </w:r>
            <w:r>
              <w:rPr>
                <w:rFonts w:cs="Times New Roman"/>
                <w:b/>
                <w:bCs/>
                <w:sz w:val="21"/>
                <w:szCs w:val="21"/>
              </w:rPr>
              <w:t>误差/%</w:t>
            </w:r>
          </w:p>
        </w:tc>
        <w:tc>
          <w:tcPr>
            <w:tcW w:w="610" w:type="pct"/>
            <w:vAlign w:val="center"/>
          </w:tcPr>
          <w:p w14:paraId="538AB1EE">
            <w:pPr>
              <w:spacing w:line="240" w:lineRule="auto"/>
              <w:ind w:firstLine="0" w:firstLineChars="0"/>
              <w:jc w:val="center"/>
              <w:rPr>
                <w:rFonts w:cs="Times New Roman"/>
                <w:b/>
                <w:bCs/>
                <w:sz w:val="21"/>
                <w:szCs w:val="21"/>
              </w:rPr>
            </w:pPr>
            <w:r>
              <w:rPr>
                <w:rFonts w:cs="Times New Roman"/>
                <w:b/>
                <w:bCs/>
                <w:sz w:val="21"/>
                <w:szCs w:val="21"/>
              </w:rPr>
              <w:t>实验温度/℃</w:t>
            </w:r>
          </w:p>
        </w:tc>
        <w:tc>
          <w:tcPr>
            <w:tcW w:w="571" w:type="pct"/>
            <w:vAlign w:val="center"/>
          </w:tcPr>
          <w:p w14:paraId="0AD8E89B">
            <w:pPr>
              <w:spacing w:line="240" w:lineRule="auto"/>
              <w:ind w:firstLine="0" w:firstLineChars="0"/>
              <w:jc w:val="center"/>
              <w:rPr>
                <w:rFonts w:cs="Times New Roman"/>
                <w:b/>
                <w:bCs/>
                <w:sz w:val="21"/>
                <w:szCs w:val="21"/>
              </w:rPr>
            </w:pPr>
            <w:r>
              <w:rPr>
                <w:rFonts w:cs="Times New Roman"/>
                <w:b/>
                <w:bCs/>
                <w:sz w:val="21"/>
                <w:szCs w:val="21"/>
              </w:rPr>
              <w:t>模型温度/℃</w:t>
            </w:r>
          </w:p>
        </w:tc>
        <w:tc>
          <w:tcPr>
            <w:tcW w:w="752" w:type="pct"/>
            <w:vAlign w:val="center"/>
          </w:tcPr>
          <w:p w14:paraId="3E60406D">
            <w:pPr>
              <w:spacing w:line="240" w:lineRule="auto"/>
              <w:ind w:firstLine="0" w:firstLineChars="0"/>
              <w:jc w:val="center"/>
              <w:rPr>
                <w:rFonts w:cs="Times New Roman"/>
                <w:b/>
                <w:bCs/>
                <w:sz w:val="21"/>
                <w:szCs w:val="21"/>
              </w:rPr>
            </w:pPr>
            <w:r>
              <w:rPr>
                <w:rFonts w:cs="Times New Roman"/>
                <w:b/>
                <w:bCs/>
                <w:sz w:val="21"/>
                <w:szCs w:val="21"/>
              </w:rPr>
              <w:t>温度</w:t>
            </w:r>
            <w:r>
              <w:rPr>
                <w:rFonts w:hint="eastAsia" w:cs="Times New Roman"/>
                <w:b/>
                <w:bCs/>
                <w:sz w:val="21"/>
                <w:szCs w:val="21"/>
              </w:rPr>
              <w:t>相对</w:t>
            </w:r>
            <w:r>
              <w:rPr>
                <w:rFonts w:cs="Times New Roman"/>
                <w:b/>
                <w:bCs/>
                <w:sz w:val="21"/>
                <w:szCs w:val="21"/>
              </w:rPr>
              <w:t>误差/%</w:t>
            </w:r>
          </w:p>
        </w:tc>
        <w:tc>
          <w:tcPr>
            <w:tcW w:w="908" w:type="pct"/>
            <w:vAlign w:val="center"/>
          </w:tcPr>
          <w:p w14:paraId="0D945F55">
            <w:pPr>
              <w:spacing w:line="240" w:lineRule="auto"/>
              <w:ind w:firstLine="0" w:firstLineChars="0"/>
              <w:jc w:val="center"/>
              <w:rPr>
                <w:rFonts w:cs="Times New Roman"/>
                <w:b/>
                <w:bCs/>
                <w:sz w:val="21"/>
                <w:szCs w:val="21"/>
              </w:rPr>
            </w:pPr>
            <w:r>
              <w:rPr>
                <w:rFonts w:cs="Times New Roman"/>
                <w:b/>
                <w:bCs/>
                <w:sz w:val="21"/>
                <w:szCs w:val="21"/>
              </w:rPr>
              <w:t>模型</w:t>
            </w:r>
            <w:r>
              <w:rPr>
                <w:rFonts w:hint="eastAsia" w:cs="Times New Roman"/>
                <w:b/>
                <w:bCs/>
                <w:sz w:val="21"/>
                <w:szCs w:val="21"/>
              </w:rPr>
              <w:t>最大</w:t>
            </w:r>
            <w:r>
              <w:rPr>
                <w:rFonts w:cs="Times New Roman"/>
                <w:b/>
                <w:bCs/>
                <w:sz w:val="21"/>
                <w:szCs w:val="21"/>
              </w:rPr>
              <w:t>冰体积分数</w:t>
            </w:r>
          </w:p>
        </w:tc>
      </w:tr>
      <w:tr w14:paraId="22AC8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04" w:type="pct"/>
            <w:vAlign w:val="center"/>
          </w:tcPr>
          <w:p w14:paraId="4D12CD51">
            <w:pPr>
              <w:spacing w:line="240" w:lineRule="auto"/>
              <w:ind w:firstLine="0" w:firstLineChars="0"/>
              <w:jc w:val="center"/>
              <w:rPr>
                <w:rFonts w:cs="Times New Roman"/>
                <w:sz w:val="21"/>
                <w:szCs w:val="21"/>
              </w:rPr>
            </w:pPr>
            <w:r>
              <w:rPr>
                <w:rFonts w:cs="Times New Roman"/>
                <w:sz w:val="21"/>
                <w:szCs w:val="21"/>
              </w:rPr>
              <w:t>0</w:t>
            </w:r>
          </w:p>
        </w:tc>
        <w:tc>
          <w:tcPr>
            <w:tcW w:w="576" w:type="pct"/>
            <w:vAlign w:val="center"/>
          </w:tcPr>
          <w:p w14:paraId="655B8D31">
            <w:pPr>
              <w:spacing w:line="240" w:lineRule="auto"/>
              <w:ind w:firstLine="0" w:firstLineChars="0"/>
              <w:jc w:val="center"/>
              <w:rPr>
                <w:rFonts w:cs="Times New Roman"/>
                <w:szCs w:val="24"/>
              </w:rPr>
            </w:pPr>
            <w:r>
              <w:rPr>
                <w:rFonts w:hint="eastAsia" w:cs="Times New Roman"/>
                <w:szCs w:val="24"/>
              </w:rPr>
              <w:t>0.799</w:t>
            </w:r>
          </w:p>
        </w:tc>
        <w:tc>
          <w:tcPr>
            <w:tcW w:w="526" w:type="pct"/>
            <w:vAlign w:val="center"/>
          </w:tcPr>
          <w:p w14:paraId="044478CE">
            <w:pPr>
              <w:spacing w:line="240" w:lineRule="auto"/>
              <w:ind w:firstLine="0" w:firstLineChars="0"/>
              <w:jc w:val="center"/>
              <w:rPr>
                <w:rFonts w:cs="Times New Roman"/>
                <w:szCs w:val="24"/>
              </w:rPr>
            </w:pPr>
          </w:p>
        </w:tc>
        <w:tc>
          <w:tcPr>
            <w:tcW w:w="752" w:type="pct"/>
            <w:vAlign w:val="center"/>
          </w:tcPr>
          <w:p w14:paraId="51DB2ECE">
            <w:pPr>
              <w:spacing w:line="240" w:lineRule="auto"/>
              <w:ind w:firstLine="0" w:firstLineChars="0"/>
              <w:jc w:val="center"/>
              <w:rPr>
                <w:rFonts w:cs="Times New Roman"/>
                <w:szCs w:val="24"/>
              </w:rPr>
            </w:pPr>
          </w:p>
        </w:tc>
        <w:tc>
          <w:tcPr>
            <w:tcW w:w="610" w:type="pct"/>
            <w:vAlign w:val="center"/>
          </w:tcPr>
          <w:p w14:paraId="609F88F9">
            <w:pPr>
              <w:spacing w:line="240" w:lineRule="auto"/>
              <w:ind w:firstLine="0" w:firstLineChars="0"/>
              <w:jc w:val="center"/>
              <w:rPr>
                <w:rFonts w:cs="Times New Roman"/>
                <w:szCs w:val="24"/>
              </w:rPr>
            </w:pPr>
            <w:r>
              <w:rPr>
                <w:rFonts w:hint="eastAsia" w:cs="Times New Roman"/>
                <w:szCs w:val="24"/>
              </w:rPr>
              <w:t>-20</w:t>
            </w:r>
          </w:p>
        </w:tc>
        <w:tc>
          <w:tcPr>
            <w:tcW w:w="571" w:type="pct"/>
            <w:vAlign w:val="center"/>
          </w:tcPr>
          <w:p w14:paraId="6356A720">
            <w:pPr>
              <w:spacing w:line="240" w:lineRule="auto"/>
              <w:ind w:firstLine="0" w:firstLineChars="0"/>
              <w:jc w:val="center"/>
              <w:rPr>
                <w:rFonts w:cs="Times New Roman"/>
                <w:szCs w:val="24"/>
              </w:rPr>
            </w:pPr>
          </w:p>
        </w:tc>
        <w:tc>
          <w:tcPr>
            <w:tcW w:w="752" w:type="pct"/>
            <w:vAlign w:val="center"/>
          </w:tcPr>
          <w:p w14:paraId="0E565B55">
            <w:pPr>
              <w:spacing w:line="240" w:lineRule="auto"/>
              <w:ind w:firstLine="0" w:firstLineChars="0"/>
              <w:jc w:val="center"/>
              <w:rPr>
                <w:rFonts w:cs="Times New Roman"/>
                <w:szCs w:val="24"/>
              </w:rPr>
            </w:pPr>
          </w:p>
        </w:tc>
        <w:tc>
          <w:tcPr>
            <w:tcW w:w="908" w:type="pct"/>
            <w:vAlign w:val="center"/>
          </w:tcPr>
          <w:p w14:paraId="21FA8427">
            <w:pPr>
              <w:spacing w:line="240" w:lineRule="auto"/>
              <w:ind w:firstLine="0" w:firstLineChars="0"/>
              <w:jc w:val="center"/>
              <w:rPr>
                <w:rFonts w:cs="Times New Roman"/>
                <w:szCs w:val="24"/>
              </w:rPr>
            </w:pPr>
          </w:p>
        </w:tc>
      </w:tr>
      <w:tr w14:paraId="74F48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04" w:type="pct"/>
            <w:vAlign w:val="center"/>
          </w:tcPr>
          <w:p w14:paraId="51083353">
            <w:pPr>
              <w:spacing w:line="240" w:lineRule="auto"/>
              <w:ind w:firstLine="0" w:firstLineChars="0"/>
              <w:jc w:val="center"/>
              <w:rPr>
                <w:rFonts w:cs="Times New Roman"/>
                <w:sz w:val="21"/>
                <w:szCs w:val="21"/>
              </w:rPr>
            </w:pPr>
            <w:r>
              <w:rPr>
                <w:rFonts w:cs="Times New Roman"/>
                <w:sz w:val="21"/>
                <w:szCs w:val="21"/>
              </w:rPr>
              <w:t>5</w:t>
            </w:r>
          </w:p>
        </w:tc>
        <w:tc>
          <w:tcPr>
            <w:tcW w:w="576" w:type="pct"/>
            <w:vAlign w:val="center"/>
          </w:tcPr>
          <w:p w14:paraId="42A5DD5B">
            <w:pPr>
              <w:spacing w:line="240" w:lineRule="auto"/>
              <w:ind w:firstLine="0" w:firstLineChars="0"/>
              <w:jc w:val="center"/>
              <w:rPr>
                <w:rFonts w:cs="Times New Roman"/>
                <w:szCs w:val="24"/>
              </w:rPr>
            </w:pPr>
            <w:r>
              <w:rPr>
                <w:rFonts w:hint="eastAsia" w:cs="Times New Roman"/>
                <w:szCs w:val="24"/>
              </w:rPr>
              <w:t>0.801</w:t>
            </w:r>
          </w:p>
        </w:tc>
        <w:tc>
          <w:tcPr>
            <w:tcW w:w="526" w:type="pct"/>
            <w:vAlign w:val="center"/>
          </w:tcPr>
          <w:p w14:paraId="7029BC9B">
            <w:pPr>
              <w:spacing w:line="240" w:lineRule="auto"/>
              <w:ind w:firstLine="0" w:firstLineChars="0"/>
              <w:jc w:val="center"/>
              <w:rPr>
                <w:rFonts w:cs="Times New Roman"/>
                <w:szCs w:val="24"/>
              </w:rPr>
            </w:pPr>
          </w:p>
        </w:tc>
        <w:tc>
          <w:tcPr>
            <w:tcW w:w="752" w:type="pct"/>
            <w:vAlign w:val="center"/>
          </w:tcPr>
          <w:p w14:paraId="0C356A44">
            <w:pPr>
              <w:spacing w:line="240" w:lineRule="auto"/>
              <w:ind w:firstLine="0" w:firstLineChars="0"/>
              <w:rPr>
                <w:rFonts w:cs="Times New Roman"/>
                <w:szCs w:val="24"/>
              </w:rPr>
            </w:pPr>
          </w:p>
        </w:tc>
        <w:tc>
          <w:tcPr>
            <w:tcW w:w="610" w:type="pct"/>
            <w:vAlign w:val="center"/>
          </w:tcPr>
          <w:p w14:paraId="783A722A">
            <w:pPr>
              <w:spacing w:line="240" w:lineRule="auto"/>
              <w:ind w:firstLine="0" w:firstLineChars="0"/>
              <w:jc w:val="center"/>
              <w:rPr>
                <w:rFonts w:cs="Times New Roman"/>
                <w:szCs w:val="24"/>
              </w:rPr>
            </w:pPr>
            <w:r>
              <w:rPr>
                <w:rFonts w:hint="eastAsia" w:cs="Times New Roman"/>
                <w:szCs w:val="24"/>
              </w:rPr>
              <w:t>-19.96</w:t>
            </w:r>
          </w:p>
        </w:tc>
        <w:tc>
          <w:tcPr>
            <w:tcW w:w="571" w:type="pct"/>
            <w:vAlign w:val="center"/>
          </w:tcPr>
          <w:p w14:paraId="753AAFB0">
            <w:pPr>
              <w:spacing w:line="240" w:lineRule="auto"/>
              <w:ind w:firstLine="0" w:firstLineChars="0"/>
              <w:jc w:val="center"/>
              <w:rPr>
                <w:rFonts w:cs="Times New Roman"/>
                <w:szCs w:val="24"/>
              </w:rPr>
            </w:pPr>
          </w:p>
        </w:tc>
        <w:tc>
          <w:tcPr>
            <w:tcW w:w="752" w:type="pct"/>
            <w:vAlign w:val="center"/>
          </w:tcPr>
          <w:p w14:paraId="6772EBA5">
            <w:pPr>
              <w:spacing w:line="240" w:lineRule="auto"/>
              <w:ind w:firstLine="0" w:firstLineChars="0"/>
              <w:jc w:val="center"/>
              <w:rPr>
                <w:rFonts w:cs="Times New Roman"/>
                <w:szCs w:val="24"/>
              </w:rPr>
            </w:pPr>
          </w:p>
        </w:tc>
        <w:tc>
          <w:tcPr>
            <w:tcW w:w="908" w:type="pct"/>
            <w:vAlign w:val="center"/>
          </w:tcPr>
          <w:p w14:paraId="3EC70AC2">
            <w:pPr>
              <w:spacing w:line="240" w:lineRule="auto"/>
              <w:ind w:firstLine="0" w:firstLineChars="0"/>
              <w:jc w:val="center"/>
              <w:rPr>
                <w:rFonts w:cs="Times New Roman"/>
                <w:szCs w:val="24"/>
              </w:rPr>
            </w:pPr>
          </w:p>
        </w:tc>
      </w:tr>
      <w:tr w14:paraId="5EAFA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4" w:type="pct"/>
            <w:vAlign w:val="center"/>
          </w:tcPr>
          <w:p w14:paraId="648330EA">
            <w:pPr>
              <w:spacing w:line="240" w:lineRule="auto"/>
              <w:ind w:firstLine="0" w:firstLineChars="0"/>
              <w:jc w:val="center"/>
              <w:rPr>
                <w:rFonts w:cs="Times New Roman"/>
                <w:sz w:val="21"/>
                <w:szCs w:val="21"/>
              </w:rPr>
            </w:pPr>
            <w:r>
              <w:rPr>
                <w:rFonts w:cs="Times New Roman"/>
                <w:sz w:val="21"/>
                <w:szCs w:val="21"/>
              </w:rPr>
              <w:t>10</w:t>
            </w:r>
          </w:p>
        </w:tc>
        <w:tc>
          <w:tcPr>
            <w:tcW w:w="576" w:type="pct"/>
            <w:vAlign w:val="center"/>
          </w:tcPr>
          <w:p w14:paraId="17F87A78">
            <w:pPr>
              <w:spacing w:line="240" w:lineRule="auto"/>
              <w:ind w:firstLine="0" w:firstLineChars="0"/>
              <w:jc w:val="center"/>
              <w:rPr>
                <w:rFonts w:cs="Times New Roman"/>
                <w:szCs w:val="24"/>
              </w:rPr>
            </w:pPr>
            <w:r>
              <w:rPr>
                <w:rFonts w:hint="eastAsia" w:cs="Times New Roman"/>
                <w:szCs w:val="24"/>
              </w:rPr>
              <w:t>0.538</w:t>
            </w:r>
          </w:p>
        </w:tc>
        <w:tc>
          <w:tcPr>
            <w:tcW w:w="526" w:type="pct"/>
            <w:vAlign w:val="center"/>
          </w:tcPr>
          <w:p w14:paraId="327F11EE">
            <w:pPr>
              <w:spacing w:line="240" w:lineRule="auto"/>
              <w:ind w:firstLine="0" w:firstLineChars="0"/>
              <w:jc w:val="center"/>
              <w:rPr>
                <w:rFonts w:cs="Times New Roman"/>
                <w:szCs w:val="24"/>
              </w:rPr>
            </w:pPr>
          </w:p>
        </w:tc>
        <w:tc>
          <w:tcPr>
            <w:tcW w:w="752" w:type="pct"/>
            <w:vAlign w:val="center"/>
          </w:tcPr>
          <w:p w14:paraId="4FDFA41D">
            <w:pPr>
              <w:spacing w:line="240" w:lineRule="auto"/>
              <w:ind w:firstLine="0" w:firstLineChars="0"/>
              <w:jc w:val="center"/>
              <w:rPr>
                <w:rFonts w:cs="Times New Roman"/>
                <w:szCs w:val="24"/>
              </w:rPr>
            </w:pPr>
          </w:p>
        </w:tc>
        <w:tc>
          <w:tcPr>
            <w:tcW w:w="610" w:type="pct"/>
            <w:vAlign w:val="center"/>
          </w:tcPr>
          <w:p w14:paraId="51A7BF68">
            <w:pPr>
              <w:spacing w:line="240" w:lineRule="auto"/>
              <w:ind w:firstLine="0" w:firstLineChars="0"/>
              <w:jc w:val="center"/>
              <w:rPr>
                <w:rFonts w:cs="Times New Roman"/>
                <w:szCs w:val="24"/>
              </w:rPr>
            </w:pPr>
            <w:r>
              <w:rPr>
                <w:rFonts w:hint="eastAsia" w:cs="Times New Roman"/>
                <w:szCs w:val="24"/>
              </w:rPr>
              <w:t>-19.65</w:t>
            </w:r>
          </w:p>
        </w:tc>
        <w:tc>
          <w:tcPr>
            <w:tcW w:w="571" w:type="pct"/>
            <w:vAlign w:val="center"/>
          </w:tcPr>
          <w:p w14:paraId="2B66CE93">
            <w:pPr>
              <w:spacing w:line="240" w:lineRule="auto"/>
              <w:ind w:firstLine="0" w:firstLineChars="0"/>
              <w:jc w:val="center"/>
              <w:rPr>
                <w:rFonts w:cs="Times New Roman"/>
                <w:szCs w:val="24"/>
              </w:rPr>
            </w:pPr>
          </w:p>
        </w:tc>
        <w:tc>
          <w:tcPr>
            <w:tcW w:w="752" w:type="pct"/>
            <w:vAlign w:val="center"/>
          </w:tcPr>
          <w:p w14:paraId="220FB66B">
            <w:pPr>
              <w:spacing w:line="240" w:lineRule="auto"/>
              <w:ind w:firstLine="0" w:firstLineChars="0"/>
              <w:jc w:val="center"/>
              <w:rPr>
                <w:rFonts w:cs="Times New Roman"/>
                <w:szCs w:val="24"/>
              </w:rPr>
            </w:pPr>
          </w:p>
        </w:tc>
        <w:tc>
          <w:tcPr>
            <w:tcW w:w="908" w:type="pct"/>
            <w:vAlign w:val="center"/>
          </w:tcPr>
          <w:p w14:paraId="4FD5F89E">
            <w:pPr>
              <w:spacing w:line="240" w:lineRule="auto"/>
              <w:ind w:firstLine="0" w:firstLineChars="0"/>
              <w:jc w:val="center"/>
              <w:rPr>
                <w:rFonts w:cs="Times New Roman"/>
                <w:szCs w:val="24"/>
              </w:rPr>
            </w:pPr>
          </w:p>
        </w:tc>
      </w:tr>
      <w:tr w14:paraId="3A7CC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4" w:type="pct"/>
            <w:vAlign w:val="center"/>
          </w:tcPr>
          <w:p w14:paraId="1376CD95">
            <w:pPr>
              <w:spacing w:line="240" w:lineRule="auto"/>
              <w:ind w:firstLine="0" w:firstLineChars="0"/>
              <w:jc w:val="center"/>
              <w:rPr>
                <w:rFonts w:cs="Times New Roman"/>
                <w:sz w:val="21"/>
                <w:szCs w:val="21"/>
              </w:rPr>
            </w:pPr>
            <w:r>
              <w:rPr>
                <w:rFonts w:cs="Times New Roman"/>
                <w:sz w:val="21"/>
                <w:szCs w:val="21"/>
              </w:rPr>
              <w:t>15</w:t>
            </w:r>
          </w:p>
        </w:tc>
        <w:tc>
          <w:tcPr>
            <w:tcW w:w="576" w:type="pct"/>
            <w:vAlign w:val="center"/>
          </w:tcPr>
          <w:p w14:paraId="4FB99941">
            <w:pPr>
              <w:spacing w:line="240" w:lineRule="auto"/>
              <w:ind w:firstLine="0" w:firstLineChars="0"/>
              <w:jc w:val="center"/>
              <w:rPr>
                <w:rFonts w:cs="Times New Roman"/>
                <w:szCs w:val="24"/>
              </w:rPr>
            </w:pPr>
            <w:r>
              <w:rPr>
                <w:rFonts w:hint="eastAsia" w:cs="Times New Roman"/>
                <w:szCs w:val="24"/>
              </w:rPr>
              <w:t>0.521</w:t>
            </w:r>
          </w:p>
        </w:tc>
        <w:tc>
          <w:tcPr>
            <w:tcW w:w="526" w:type="pct"/>
            <w:vAlign w:val="center"/>
          </w:tcPr>
          <w:p w14:paraId="1E39416F">
            <w:pPr>
              <w:spacing w:line="240" w:lineRule="auto"/>
              <w:ind w:firstLine="0" w:firstLineChars="0"/>
              <w:jc w:val="center"/>
              <w:rPr>
                <w:rFonts w:cs="Times New Roman"/>
                <w:szCs w:val="24"/>
              </w:rPr>
            </w:pPr>
          </w:p>
        </w:tc>
        <w:tc>
          <w:tcPr>
            <w:tcW w:w="752" w:type="pct"/>
            <w:vAlign w:val="center"/>
          </w:tcPr>
          <w:p w14:paraId="15900B9B">
            <w:pPr>
              <w:spacing w:line="240" w:lineRule="auto"/>
              <w:ind w:firstLine="0" w:firstLineChars="0"/>
              <w:jc w:val="center"/>
              <w:rPr>
                <w:rFonts w:cs="Times New Roman"/>
                <w:szCs w:val="24"/>
              </w:rPr>
            </w:pPr>
          </w:p>
        </w:tc>
        <w:tc>
          <w:tcPr>
            <w:tcW w:w="610" w:type="pct"/>
            <w:vAlign w:val="center"/>
          </w:tcPr>
          <w:p w14:paraId="5219E956">
            <w:pPr>
              <w:spacing w:line="240" w:lineRule="auto"/>
              <w:ind w:firstLine="0" w:firstLineChars="0"/>
              <w:jc w:val="center"/>
              <w:rPr>
                <w:rFonts w:cs="Times New Roman"/>
                <w:szCs w:val="24"/>
              </w:rPr>
            </w:pPr>
            <w:r>
              <w:rPr>
                <w:rFonts w:hint="eastAsia" w:cs="Times New Roman"/>
                <w:szCs w:val="24"/>
              </w:rPr>
              <w:t>-18.41</w:t>
            </w:r>
          </w:p>
        </w:tc>
        <w:tc>
          <w:tcPr>
            <w:tcW w:w="571" w:type="pct"/>
            <w:vAlign w:val="center"/>
          </w:tcPr>
          <w:p w14:paraId="471972A4">
            <w:pPr>
              <w:spacing w:line="240" w:lineRule="auto"/>
              <w:ind w:firstLine="0" w:firstLineChars="0"/>
              <w:jc w:val="center"/>
              <w:rPr>
                <w:rFonts w:cs="Times New Roman"/>
                <w:szCs w:val="24"/>
              </w:rPr>
            </w:pPr>
          </w:p>
        </w:tc>
        <w:tc>
          <w:tcPr>
            <w:tcW w:w="752" w:type="pct"/>
            <w:vAlign w:val="center"/>
          </w:tcPr>
          <w:p w14:paraId="364FD4B8">
            <w:pPr>
              <w:spacing w:line="240" w:lineRule="auto"/>
              <w:ind w:firstLine="0" w:firstLineChars="0"/>
              <w:jc w:val="center"/>
              <w:rPr>
                <w:rFonts w:cs="Times New Roman"/>
                <w:szCs w:val="24"/>
              </w:rPr>
            </w:pPr>
          </w:p>
        </w:tc>
        <w:tc>
          <w:tcPr>
            <w:tcW w:w="908" w:type="pct"/>
            <w:vAlign w:val="center"/>
          </w:tcPr>
          <w:p w14:paraId="2FA07A33">
            <w:pPr>
              <w:spacing w:line="240" w:lineRule="auto"/>
              <w:ind w:firstLine="0" w:firstLineChars="0"/>
              <w:jc w:val="center"/>
              <w:rPr>
                <w:rFonts w:cs="Times New Roman"/>
                <w:szCs w:val="24"/>
              </w:rPr>
            </w:pPr>
          </w:p>
        </w:tc>
      </w:tr>
      <w:tr w14:paraId="23C8C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04" w:type="pct"/>
            <w:vAlign w:val="center"/>
          </w:tcPr>
          <w:p w14:paraId="607DC164">
            <w:pPr>
              <w:spacing w:line="240" w:lineRule="auto"/>
              <w:ind w:firstLine="0" w:firstLineChars="0"/>
              <w:jc w:val="center"/>
              <w:rPr>
                <w:rFonts w:cs="Times New Roman"/>
                <w:sz w:val="21"/>
                <w:szCs w:val="21"/>
              </w:rPr>
            </w:pPr>
            <w:r>
              <w:rPr>
                <w:rFonts w:cs="Times New Roman"/>
                <w:sz w:val="21"/>
                <w:szCs w:val="21"/>
              </w:rPr>
              <w:t>20</w:t>
            </w:r>
          </w:p>
        </w:tc>
        <w:tc>
          <w:tcPr>
            <w:tcW w:w="576" w:type="pct"/>
            <w:vAlign w:val="center"/>
          </w:tcPr>
          <w:p w14:paraId="5370F0C5">
            <w:pPr>
              <w:spacing w:line="240" w:lineRule="auto"/>
              <w:ind w:firstLine="0" w:firstLineChars="0"/>
              <w:jc w:val="center"/>
              <w:rPr>
                <w:rFonts w:cs="Times New Roman"/>
                <w:szCs w:val="24"/>
              </w:rPr>
            </w:pPr>
            <w:r>
              <w:rPr>
                <w:rFonts w:hint="eastAsia" w:cs="Times New Roman"/>
                <w:szCs w:val="24"/>
              </w:rPr>
              <w:t>0.599</w:t>
            </w:r>
          </w:p>
        </w:tc>
        <w:tc>
          <w:tcPr>
            <w:tcW w:w="526" w:type="pct"/>
            <w:vAlign w:val="center"/>
          </w:tcPr>
          <w:p w14:paraId="2ED18E6F">
            <w:pPr>
              <w:spacing w:line="240" w:lineRule="auto"/>
              <w:ind w:firstLine="0" w:firstLineChars="0"/>
              <w:jc w:val="center"/>
              <w:rPr>
                <w:rFonts w:cs="Times New Roman"/>
                <w:szCs w:val="24"/>
              </w:rPr>
            </w:pPr>
          </w:p>
        </w:tc>
        <w:tc>
          <w:tcPr>
            <w:tcW w:w="752" w:type="pct"/>
            <w:vAlign w:val="center"/>
          </w:tcPr>
          <w:p w14:paraId="3851FC23">
            <w:pPr>
              <w:spacing w:line="240" w:lineRule="auto"/>
              <w:ind w:firstLine="0" w:firstLineChars="0"/>
              <w:jc w:val="center"/>
              <w:rPr>
                <w:rFonts w:cs="Times New Roman"/>
                <w:szCs w:val="24"/>
              </w:rPr>
            </w:pPr>
          </w:p>
        </w:tc>
        <w:tc>
          <w:tcPr>
            <w:tcW w:w="610" w:type="pct"/>
            <w:vAlign w:val="center"/>
          </w:tcPr>
          <w:p w14:paraId="3C428CF4">
            <w:pPr>
              <w:spacing w:line="240" w:lineRule="auto"/>
              <w:ind w:firstLine="0" w:firstLineChars="0"/>
              <w:jc w:val="center"/>
              <w:rPr>
                <w:rFonts w:cs="Times New Roman"/>
                <w:szCs w:val="24"/>
              </w:rPr>
            </w:pPr>
            <w:r>
              <w:rPr>
                <w:rFonts w:hint="eastAsia" w:cs="Times New Roman"/>
                <w:szCs w:val="24"/>
              </w:rPr>
              <w:t>-17.08</w:t>
            </w:r>
          </w:p>
        </w:tc>
        <w:tc>
          <w:tcPr>
            <w:tcW w:w="571" w:type="pct"/>
            <w:vAlign w:val="center"/>
          </w:tcPr>
          <w:p w14:paraId="602635FE">
            <w:pPr>
              <w:spacing w:line="240" w:lineRule="auto"/>
              <w:ind w:firstLine="0" w:firstLineChars="0"/>
              <w:jc w:val="center"/>
              <w:rPr>
                <w:rFonts w:cs="Times New Roman"/>
                <w:szCs w:val="24"/>
              </w:rPr>
            </w:pPr>
          </w:p>
        </w:tc>
        <w:tc>
          <w:tcPr>
            <w:tcW w:w="752" w:type="pct"/>
            <w:vAlign w:val="center"/>
          </w:tcPr>
          <w:p w14:paraId="34F24ACF">
            <w:pPr>
              <w:spacing w:line="240" w:lineRule="auto"/>
              <w:ind w:firstLine="0" w:firstLineChars="0"/>
              <w:jc w:val="center"/>
              <w:rPr>
                <w:rFonts w:cs="Times New Roman"/>
                <w:szCs w:val="24"/>
              </w:rPr>
            </w:pPr>
          </w:p>
        </w:tc>
        <w:tc>
          <w:tcPr>
            <w:tcW w:w="908" w:type="pct"/>
            <w:vAlign w:val="center"/>
          </w:tcPr>
          <w:p w14:paraId="4E2CB280">
            <w:pPr>
              <w:spacing w:line="240" w:lineRule="auto"/>
              <w:ind w:firstLine="0" w:firstLineChars="0"/>
              <w:jc w:val="center"/>
              <w:rPr>
                <w:rFonts w:cs="Times New Roman"/>
                <w:szCs w:val="24"/>
              </w:rPr>
            </w:pPr>
          </w:p>
        </w:tc>
      </w:tr>
      <w:tr w14:paraId="7A8DD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04" w:type="pct"/>
            <w:vAlign w:val="center"/>
          </w:tcPr>
          <w:p w14:paraId="689640EF">
            <w:pPr>
              <w:spacing w:line="240" w:lineRule="auto"/>
              <w:ind w:firstLine="0" w:firstLineChars="0"/>
              <w:jc w:val="center"/>
              <w:rPr>
                <w:rFonts w:cs="Times New Roman"/>
                <w:sz w:val="21"/>
                <w:szCs w:val="21"/>
              </w:rPr>
            </w:pPr>
            <w:r>
              <w:rPr>
                <w:rFonts w:cs="Times New Roman"/>
                <w:sz w:val="21"/>
                <w:szCs w:val="21"/>
              </w:rPr>
              <w:t>25</w:t>
            </w:r>
          </w:p>
        </w:tc>
        <w:tc>
          <w:tcPr>
            <w:tcW w:w="576" w:type="pct"/>
            <w:vAlign w:val="center"/>
          </w:tcPr>
          <w:p w14:paraId="67460975">
            <w:pPr>
              <w:spacing w:line="240" w:lineRule="auto"/>
              <w:ind w:firstLine="0" w:firstLineChars="0"/>
              <w:jc w:val="center"/>
              <w:rPr>
                <w:rFonts w:cs="Times New Roman"/>
                <w:szCs w:val="24"/>
              </w:rPr>
            </w:pPr>
            <w:r>
              <w:rPr>
                <w:rFonts w:hint="eastAsia" w:cs="Times New Roman"/>
                <w:szCs w:val="24"/>
              </w:rPr>
              <w:t>0.626</w:t>
            </w:r>
          </w:p>
        </w:tc>
        <w:tc>
          <w:tcPr>
            <w:tcW w:w="526" w:type="pct"/>
            <w:vAlign w:val="center"/>
          </w:tcPr>
          <w:p w14:paraId="04E5B848">
            <w:pPr>
              <w:spacing w:line="240" w:lineRule="auto"/>
              <w:ind w:firstLine="0" w:firstLineChars="0"/>
              <w:jc w:val="center"/>
              <w:rPr>
                <w:rFonts w:cs="Times New Roman"/>
                <w:szCs w:val="24"/>
              </w:rPr>
            </w:pPr>
          </w:p>
        </w:tc>
        <w:tc>
          <w:tcPr>
            <w:tcW w:w="752" w:type="pct"/>
            <w:vAlign w:val="center"/>
          </w:tcPr>
          <w:p w14:paraId="7BDB4F69">
            <w:pPr>
              <w:spacing w:line="240" w:lineRule="auto"/>
              <w:ind w:firstLine="0" w:firstLineChars="0"/>
              <w:jc w:val="center"/>
              <w:rPr>
                <w:rFonts w:cs="Times New Roman"/>
                <w:szCs w:val="24"/>
              </w:rPr>
            </w:pPr>
          </w:p>
        </w:tc>
        <w:tc>
          <w:tcPr>
            <w:tcW w:w="610" w:type="pct"/>
            <w:vAlign w:val="center"/>
          </w:tcPr>
          <w:p w14:paraId="27826442">
            <w:pPr>
              <w:spacing w:line="240" w:lineRule="auto"/>
              <w:ind w:firstLine="0" w:firstLineChars="0"/>
              <w:jc w:val="center"/>
              <w:rPr>
                <w:rFonts w:cs="Times New Roman"/>
                <w:szCs w:val="24"/>
              </w:rPr>
            </w:pPr>
            <w:r>
              <w:rPr>
                <w:rFonts w:hint="eastAsia" w:cs="Times New Roman"/>
                <w:szCs w:val="24"/>
              </w:rPr>
              <w:t>-15.90</w:t>
            </w:r>
          </w:p>
        </w:tc>
        <w:tc>
          <w:tcPr>
            <w:tcW w:w="571" w:type="pct"/>
            <w:vAlign w:val="center"/>
          </w:tcPr>
          <w:p w14:paraId="504D0E38">
            <w:pPr>
              <w:spacing w:line="240" w:lineRule="auto"/>
              <w:ind w:firstLine="0" w:firstLineChars="0"/>
              <w:jc w:val="center"/>
              <w:rPr>
                <w:rFonts w:cs="Times New Roman"/>
                <w:szCs w:val="24"/>
              </w:rPr>
            </w:pPr>
          </w:p>
        </w:tc>
        <w:tc>
          <w:tcPr>
            <w:tcW w:w="752" w:type="pct"/>
            <w:vAlign w:val="center"/>
          </w:tcPr>
          <w:p w14:paraId="372756CE">
            <w:pPr>
              <w:spacing w:line="240" w:lineRule="auto"/>
              <w:ind w:firstLine="0" w:firstLineChars="0"/>
              <w:jc w:val="center"/>
              <w:rPr>
                <w:rFonts w:cs="Times New Roman"/>
                <w:szCs w:val="24"/>
              </w:rPr>
            </w:pPr>
          </w:p>
        </w:tc>
        <w:tc>
          <w:tcPr>
            <w:tcW w:w="908" w:type="pct"/>
            <w:vAlign w:val="center"/>
          </w:tcPr>
          <w:p w14:paraId="7B39FC37">
            <w:pPr>
              <w:spacing w:line="240" w:lineRule="auto"/>
              <w:ind w:firstLine="0" w:firstLineChars="0"/>
              <w:jc w:val="center"/>
              <w:rPr>
                <w:rFonts w:cs="Times New Roman"/>
                <w:szCs w:val="24"/>
              </w:rPr>
            </w:pPr>
          </w:p>
        </w:tc>
      </w:tr>
      <w:tr w14:paraId="2E2F1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04" w:type="pct"/>
            <w:vAlign w:val="center"/>
          </w:tcPr>
          <w:p w14:paraId="2DE28F9E">
            <w:pPr>
              <w:spacing w:line="240" w:lineRule="auto"/>
              <w:ind w:firstLine="0" w:firstLineChars="0"/>
              <w:jc w:val="center"/>
              <w:rPr>
                <w:rFonts w:cs="Times New Roman"/>
                <w:sz w:val="21"/>
                <w:szCs w:val="21"/>
              </w:rPr>
            </w:pPr>
            <w:r>
              <w:rPr>
                <w:rFonts w:cs="Times New Roman"/>
                <w:sz w:val="21"/>
                <w:szCs w:val="21"/>
              </w:rPr>
              <w:t>30</w:t>
            </w:r>
          </w:p>
        </w:tc>
        <w:tc>
          <w:tcPr>
            <w:tcW w:w="576" w:type="pct"/>
            <w:vAlign w:val="center"/>
          </w:tcPr>
          <w:p w14:paraId="67AC640E">
            <w:pPr>
              <w:spacing w:line="240" w:lineRule="auto"/>
              <w:ind w:firstLine="0" w:firstLineChars="0"/>
              <w:jc w:val="center"/>
              <w:rPr>
                <w:rFonts w:cs="Times New Roman"/>
                <w:szCs w:val="24"/>
              </w:rPr>
            </w:pPr>
            <w:r>
              <w:rPr>
                <w:rFonts w:hint="eastAsia" w:cs="Times New Roman"/>
                <w:szCs w:val="24"/>
              </w:rPr>
              <w:t>0.633</w:t>
            </w:r>
          </w:p>
        </w:tc>
        <w:tc>
          <w:tcPr>
            <w:tcW w:w="526" w:type="pct"/>
            <w:vAlign w:val="center"/>
          </w:tcPr>
          <w:p w14:paraId="5B876E1C">
            <w:pPr>
              <w:spacing w:line="240" w:lineRule="auto"/>
              <w:ind w:firstLine="0" w:firstLineChars="0"/>
              <w:jc w:val="center"/>
              <w:rPr>
                <w:rFonts w:cs="Times New Roman"/>
                <w:szCs w:val="24"/>
              </w:rPr>
            </w:pPr>
          </w:p>
        </w:tc>
        <w:tc>
          <w:tcPr>
            <w:tcW w:w="752" w:type="pct"/>
            <w:vAlign w:val="center"/>
          </w:tcPr>
          <w:p w14:paraId="75982021">
            <w:pPr>
              <w:spacing w:line="240" w:lineRule="auto"/>
              <w:ind w:firstLine="0" w:firstLineChars="0"/>
              <w:jc w:val="center"/>
              <w:rPr>
                <w:rFonts w:cs="Times New Roman"/>
                <w:szCs w:val="24"/>
              </w:rPr>
            </w:pPr>
          </w:p>
        </w:tc>
        <w:tc>
          <w:tcPr>
            <w:tcW w:w="610" w:type="pct"/>
            <w:vAlign w:val="center"/>
          </w:tcPr>
          <w:p w14:paraId="68158AC5">
            <w:pPr>
              <w:spacing w:line="240" w:lineRule="auto"/>
              <w:ind w:firstLine="0" w:firstLineChars="0"/>
              <w:jc w:val="center"/>
              <w:rPr>
                <w:rFonts w:cs="Times New Roman"/>
                <w:szCs w:val="24"/>
              </w:rPr>
            </w:pPr>
            <w:r>
              <w:rPr>
                <w:rFonts w:hint="eastAsia" w:cs="Times New Roman"/>
                <w:szCs w:val="24"/>
              </w:rPr>
              <w:t>-14.27</w:t>
            </w:r>
          </w:p>
        </w:tc>
        <w:tc>
          <w:tcPr>
            <w:tcW w:w="571" w:type="pct"/>
            <w:vAlign w:val="center"/>
          </w:tcPr>
          <w:p w14:paraId="1D79A047">
            <w:pPr>
              <w:spacing w:line="240" w:lineRule="auto"/>
              <w:ind w:firstLine="0" w:firstLineChars="0"/>
              <w:jc w:val="center"/>
              <w:rPr>
                <w:rFonts w:cs="Times New Roman"/>
                <w:szCs w:val="24"/>
              </w:rPr>
            </w:pPr>
          </w:p>
        </w:tc>
        <w:tc>
          <w:tcPr>
            <w:tcW w:w="752" w:type="pct"/>
            <w:vAlign w:val="center"/>
          </w:tcPr>
          <w:p w14:paraId="5E068F2B">
            <w:pPr>
              <w:spacing w:line="240" w:lineRule="auto"/>
              <w:ind w:firstLine="0" w:firstLineChars="0"/>
              <w:jc w:val="center"/>
              <w:rPr>
                <w:rFonts w:cs="Times New Roman"/>
                <w:szCs w:val="24"/>
              </w:rPr>
            </w:pPr>
          </w:p>
        </w:tc>
        <w:tc>
          <w:tcPr>
            <w:tcW w:w="908" w:type="pct"/>
            <w:vAlign w:val="center"/>
          </w:tcPr>
          <w:p w14:paraId="3CAF5A7C">
            <w:pPr>
              <w:spacing w:line="240" w:lineRule="auto"/>
              <w:ind w:firstLine="0" w:firstLineChars="0"/>
              <w:jc w:val="center"/>
              <w:rPr>
                <w:rFonts w:cs="Times New Roman"/>
                <w:szCs w:val="24"/>
              </w:rPr>
            </w:pPr>
          </w:p>
        </w:tc>
      </w:tr>
      <w:tr w14:paraId="512E4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04" w:type="pct"/>
            <w:vAlign w:val="center"/>
          </w:tcPr>
          <w:p w14:paraId="5F7268A1">
            <w:pPr>
              <w:spacing w:line="240" w:lineRule="auto"/>
              <w:ind w:firstLine="0" w:firstLineChars="0"/>
              <w:jc w:val="center"/>
              <w:rPr>
                <w:rFonts w:cs="Times New Roman"/>
                <w:sz w:val="21"/>
                <w:szCs w:val="21"/>
              </w:rPr>
            </w:pPr>
            <w:r>
              <w:rPr>
                <w:rFonts w:cs="Times New Roman"/>
                <w:sz w:val="21"/>
                <w:szCs w:val="21"/>
              </w:rPr>
              <w:t>35</w:t>
            </w:r>
          </w:p>
        </w:tc>
        <w:tc>
          <w:tcPr>
            <w:tcW w:w="576" w:type="pct"/>
            <w:vAlign w:val="center"/>
          </w:tcPr>
          <w:p w14:paraId="4324CFBD">
            <w:pPr>
              <w:spacing w:line="240" w:lineRule="auto"/>
              <w:ind w:firstLine="0" w:firstLineChars="0"/>
              <w:jc w:val="center"/>
              <w:rPr>
                <w:rFonts w:cs="Times New Roman"/>
                <w:szCs w:val="24"/>
              </w:rPr>
            </w:pPr>
            <w:r>
              <w:rPr>
                <w:rFonts w:hint="eastAsia" w:cs="Times New Roman"/>
                <w:szCs w:val="24"/>
              </w:rPr>
              <w:t>0.666</w:t>
            </w:r>
          </w:p>
        </w:tc>
        <w:tc>
          <w:tcPr>
            <w:tcW w:w="526" w:type="pct"/>
            <w:vAlign w:val="center"/>
          </w:tcPr>
          <w:p w14:paraId="76426B09">
            <w:pPr>
              <w:spacing w:line="240" w:lineRule="auto"/>
              <w:ind w:firstLine="0" w:firstLineChars="0"/>
              <w:jc w:val="center"/>
              <w:rPr>
                <w:rFonts w:cs="Times New Roman"/>
                <w:szCs w:val="24"/>
              </w:rPr>
            </w:pPr>
          </w:p>
        </w:tc>
        <w:tc>
          <w:tcPr>
            <w:tcW w:w="752" w:type="pct"/>
            <w:vAlign w:val="center"/>
          </w:tcPr>
          <w:p w14:paraId="6D112F41">
            <w:pPr>
              <w:spacing w:line="240" w:lineRule="auto"/>
              <w:ind w:firstLine="0" w:firstLineChars="0"/>
              <w:jc w:val="center"/>
              <w:rPr>
                <w:rFonts w:cs="Times New Roman"/>
                <w:szCs w:val="24"/>
              </w:rPr>
            </w:pPr>
          </w:p>
        </w:tc>
        <w:tc>
          <w:tcPr>
            <w:tcW w:w="610" w:type="pct"/>
            <w:vAlign w:val="center"/>
          </w:tcPr>
          <w:p w14:paraId="474EBB89">
            <w:pPr>
              <w:spacing w:line="240" w:lineRule="auto"/>
              <w:ind w:firstLine="0" w:firstLineChars="0"/>
              <w:jc w:val="center"/>
              <w:rPr>
                <w:rFonts w:cs="Times New Roman"/>
                <w:szCs w:val="24"/>
              </w:rPr>
            </w:pPr>
            <w:r>
              <w:rPr>
                <w:rFonts w:hint="eastAsia" w:cs="Times New Roman"/>
                <w:szCs w:val="24"/>
              </w:rPr>
              <w:t>-12.67</w:t>
            </w:r>
          </w:p>
        </w:tc>
        <w:tc>
          <w:tcPr>
            <w:tcW w:w="571" w:type="pct"/>
            <w:vAlign w:val="center"/>
          </w:tcPr>
          <w:p w14:paraId="327D5867">
            <w:pPr>
              <w:spacing w:line="240" w:lineRule="auto"/>
              <w:ind w:firstLine="0" w:firstLineChars="0"/>
              <w:jc w:val="center"/>
              <w:rPr>
                <w:rFonts w:cs="Times New Roman"/>
                <w:szCs w:val="24"/>
              </w:rPr>
            </w:pPr>
          </w:p>
        </w:tc>
        <w:tc>
          <w:tcPr>
            <w:tcW w:w="752" w:type="pct"/>
            <w:vAlign w:val="center"/>
          </w:tcPr>
          <w:p w14:paraId="0DB534E6">
            <w:pPr>
              <w:spacing w:line="240" w:lineRule="auto"/>
              <w:ind w:firstLine="0" w:firstLineChars="0"/>
              <w:jc w:val="center"/>
              <w:rPr>
                <w:rFonts w:cs="Times New Roman"/>
                <w:szCs w:val="24"/>
              </w:rPr>
            </w:pPr>
          </w:p>
        </w:tc>
        <w:tc>
          <w:tcPr>
            <w:tcW w:w="908" w:type="pct"/>
            <w:vAlign w:val="center"/>
          </w:tcPr>
          <w:p w14:paraId="7BBB07FC">
            <w:pPr>
              <w:spacing w:line="240" w:lineRule="auto"/>
              <w:ind w:firstLine="0" w:firstLineChars="0"/>
              <w:jc w:val="center"/>
              <w:rPr>
                <w:rFonts w:cs="Times New Roman"/>
                <w:szCs w:val="24"/>
              </w:rPr>
            </w:pPr>
          </w:p>
        </w:tc>
      </w:tr>
    </w:tbl>
    <w:p w14:paraId="1FF7140E">
      <w:pPr>
        <w:ind w:firstLine="0" w:firstLineChars="0"/>
        <w:jc w:val="center"/>
        <w:rPr>
          <w:rFonts w:cs="Times New Roman"/>
          <w:szCs w:val="24"/>
        </w:rPr>
      </w:pPr>
      <w:r>
        <w:rPr>
          <w:rFonts w:cs="Times New Roman"/>
          <w:szCs w:val="24"/>
        </w:rPr>
        <w:t>表</w:t>
      </w:r>
      <w:r>
        <w:rPr>
          <w:rFonts w:hint="eastAsia" w:cs="Times New Roman"/>
          <w:szCs w:val="24"/>
        </w:rPr>
        <w:t>2</w:t>
      </w:r>
      <w:r>
        <w:rPr>
          <w:rFonts w:cs="Times New Roman"/>
          <w:szCs w:val="24"/>
        </w:rPr>
        <w:t xml:space="preserve"> 一维单电池瞬态自冷启动模型预测与实验验证结果（-25</w:t>
      </w:r>
      <w:r>
        <w:rPr>
          <w:rFonts w:hint="eastAsia" w:cs="Times New Roman"/>
          <w:szCs w:val="24"/>
        </w:rPr>
        <w:t xml:space="preserve"> </w:t>
      </w:r>
      <w:r>
        <w:rPr>
          <w:rFonts w:cs="Times New Roman"/>
          <w:szCs w:val="24"/>
        </w:rPr>
        <w:t>℃）</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04"/>
        <w:gridCol w:w="956"/>
        <w:gridCol w:w="873"/>
        <w:gridCol w:w="1248"/>
        <w:gridCol w:w="1012"/>
        <w:gridCol w:w="948"/>
        <w:gridCol w:w="1248"/>
        <w:gridCol w:w="1507"/>
      </w:tblGrid>
      <w:tr w14:paraId="2CD45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04" w:type="pct"/>
            <w:vAlign w:val="center"/>
          </w:tcPr>
          <w:p w14:paraId="64C9180D">
            <w:pPr>
              <w:spacing w:line="240" w:lineRule="auto"/>
              <w:ind w:firstLine="0" w:firstLineChars="0"/>
              <w:jc w:val="center"/>
              <w:rPr>
                <w:rFonts w:cs="Times New Roman"/>
                <w:b/>
                <w:bCs/>
                <w:sz w:val="21"/>
                <w:szCs w:val="21"/>
              </w:rPr>
            </w:pPr>
            <w:r>
              <w:rPr>
                <w:rFonts w:cs="Times New Roman"/>
                <w:b/>
                <w:bCs/>
                <w:sz w:val="21"/>
                <w:szCs w:val="21"/>
              </w:rPr>
              <w:t>时间/s</w:t>
            </w:r>
          </w:p>
        </w:tc>
        <w:tc>
          <w:tcPr>
            <w:tcW w:w="576" w:type="pct"/>
            <w:vAlign w:val="center"/>
          </w:tcPr>
          <w:p w14:paraId="11ACA90E">
            <w:pPr>
              <w:spacing w:line="240" w:lineRule="auto"/>
              <w:ind w:firstLine="0" w:firstLineChars="0"/>
              <w:jc w:val="center"/>
              <w:rPr>
                <w:rFonts w:cs="Times New Roman"/>
                <w:b/>
                <w:bCs/>
                <w:sz w:val="21"/>
                <w:szCs w:val="21"/>
              </w:rPr>
            </w:pPr>
            <w:r>
              <w:rPr>
                <w:rFonts w:cs="Times New Roman"/>
                <w:b/>
                <w:bCs/>
                <w:sz w:val="21"/>
                <w:szCs w:val="21"/>
              </w:rPr>
              <w:t>实验电压/V</w:t>
            </w:r>
          </w:p>
        </w:tc>
        <w:tc>
          <w:tcPr>
            <w:tcW w:w="526" w:type="pct"/>
            <w:vAlign w:val="center"/>
          </w:tcPr>
          <w:p w14:paraId="27DE3B01">
            <w:pPr>
              <w:spacing w:line="240" w:lineRule="auto"/>
              <w:ind w:firstLine="0" w:firstLineChars="0"/>
              <w:jc w:val="center"/>
              <w:rPr>
                <w:rFonts w:cs="Times New Roman"/>
                <w:b/>
                <w:bCs/>
                <w:sz w:val="21"/>
                <w:szCs w:val="21"/>
              </w:rPr>
            </w:pPr>
            <w:r>
              <w:rPr>
                <w:rFonts w:cs="Times New Roman"/>
                <w:b/>
                <w:bCs/>
                <w:sz w:val="21"/>
                <w:szCs w:val="21"/>
              </w:rPr>
              <w:t>模型电压/V</w:t>
            </w:r>
          </w:p>
        </w:tc>
        <w:tc>
          <w:tcPr>
            <w:tcW w:w="752" w:type="pct"/>
            <w:vAlign w:val="center"/>
          </w:tcPr>
          <w:p w14:paraId="138A62B1">
            <w:pPr>
              <w:spacing w:line="240" w:lineRule="auto"/>
              <w:ind w:firstLine="0" w:firstLineChars="0"/>
              <w:jc w:val="center"/>
              <w:rPr>
                <w:rFonts w:cs="Times New Roman"/>
                <w:b/>
                <w:bCs/>
                <w:sz w:val="21"/>
                <w:szCs w:val="21"/>
              </w:rPr>
            </w:pPr>
            <w:r>
              <w:rPr>
                <w:rFonts w:cs="Times New Roman"/>
                <w:b/>
                <w:bCs/>
                <w:sz w:val="21"/>
                <w:szCs w:val="21"/>
              </w:rPr>
              <w:t>电压</w:t>
            </w:r>
            <w:r>
              <w:rPr>
                <w:rFonts w:hint="eastAsia" w:cs="Times New Roman"/>
                <w:b/>
                <w:bCs/>
                <w:sz w:val="21"/>
                <w:szCs w:val="21"/>
              </w:rPr>
              <w:t>相对</w:t>
            </w:r>
            <w:r>
              <w:rPr>
                <w:rFonts w:cs="Times New Roman"/>
                <w:b/>
                <w:bCs/>
                <w:sz w:val="21"/>
                <w:szCs w:val="21"/>
              </w:rPr>
              <w:t>误差/%</w:t>
            </w:r>
          </w:p>
        </w:tc>
        <w:tc>
          <w:tcPr>
            <w:tcW w:w="610" w:type="pct"/>
            <w:vAlign w:val="center"/>
          </w:tcPr>
          <w:p w14:paraId="3EF8E529">
            <w:pPr>
              <w:spacing w:line="240" w:lineRule="auto"/>
              <w:ind w:firstLine="0" w:firstLineChars="0"/>
              <w:jc w:val="center"/>
              <w:rPr>
                <w:rFonts w:cs="Times New Roman"/>
                <w:b/>
                <w:bCs/>
                <w:sz w:val="21"/>
                <w:szCs w:val="21"/>
              </w:rPr>
            </w:pPr>
            <w:r>
              <w:rPr>
                <w:rFonts w:cs="Times New Roman"/>
                <w:b/>
                <w:bCs/>
                <w:sz w:val="21"/>
                <w:szCs w:val="21"/>
              </w:rPr>
              <w:t>实验温度/℃</w:t>
            </w:r>
          </w:p>
        </w:tc>
        <w:tc>
          <w:tcPr>
            <w:tcW w:w="571" w:type="pct"/>
            <w:vAlign w:val="center"/>
          </w:tcPr>
          <w:p w14:paraId="6D7C2CF5">
            <w:pPr>
              <w:spacing w:line="240" w:lineRule="auto"/>
              <w:ind w:firstLine="0" w:firstLineChars="0"/>
              <w:jc w:val="center"/>
              <w:rPr>
                <w:rFonts w:cs="Times New Roman"/>
                <w:b/>
                <w:bCs/>
                <w:sz w:val="21"/>
                <w:szCs w:val="21"/>
              </w:rPr>
            </w:pPr>
            <w:r>
              <w:rPr>
                <w:rFonts w:cs="Times New Roman"/>
                <w:b/>
                <w:bCs/>
                <w:sz w:val="21"/>
                <w:szCs w:val="21"/>
              </w:rPr>
              <w:t>模型温度/℃</w:t>
            </w:r>
          </w:p>
        </w:tc>
        <w:tc>
          <w:tcPr>
            <w:tcW w:w="752" w:type="pct"/>
            <w:vAlign w:val="center"/>
          </w:tcPr>
          <w:p w14:paraId="4FD5B5C1">
            <w:pPr>
              <w:spacing w:line="240" w:lineRule="auto"/>
              <w:ind w:firstLine="0" w:firstLineChars="0"/>
              <w:jc w:val="center"/>
              <w:rPr>
                <w:rFonts w:cs="Times New Roman"/>
                <w:b/>
                <w:bCs/>
                <w:sz w:val="21"/>
                <w:szCs w:val="21"/>
              </w:rPr>
            </w:pPr>
            <w:r>
              <w:rPr>
                <w:rFonts w:cs="Times New Roman"/>
                <w:b/>
                <w:bCs/>
                <w:sz w:val="21"/>
                <w:szCs w:val="21"/>
              </w:rPr>
              <w:t>温度</w:t>
            </w:r>
            <w:r>
              <w:rPr>
                <w:rFonts w:hint="eastAsia" w:cs="Times New Roman"/>
                <w:b/>
                <w:bCs/>
                <w:sz w:val="21"/>
                <w:szCs w:val="21"/>
              </w:rPr>
              <w:t>相对</w:t>
            </w:r>
            <w:r>
              <w:rPr>
                <w:rFonts w:cs="Times New Roman"/>
                <w:b/>
                <w:bCs/>
                <w:sz w:val="21"/>
                <w:szCs w:val="21"/>
              </w:rPr>
              <w:t>误差/%</w:t>
            </w:r>
          </w:p>
        </w:tc>
        <w:tc>
          <w:tcPr>
            <w:tcW w:w="908" w:type="pct"/>
            <w:vAlign w:val="center"/>
          </w:tcPr>
          <w:p w14:paraId="54AA859A">
            <w:pPr>
              <w:spacing w:line="240" w:lineRule="auto"/>
              <w:ind w:firstLine="0" w:firstLineChars="0"/>
              <w:jc w:val="center"/>
              <w:rPr>
                <w:rFonts w:cs="Times New Roman"/>
                <w:b/>
                <w:bCs/>
                <w:sz w:val="21"/>
                <w:szCs w:val="21"/>
              </w:rPr>
            </w:pPr>
            <w:r>
              <w:rPr>
                <w:rFonts w:cs="Times New Roman"/>
                <w:b/>
                <w:bCs/>
                <w:sz w:val="21"/>
                <w:szCs w:val="21"/>
              </w:rPr>
              <w:t>模型</w:t>
            </w:r>
            <w:r>
              <w:rPr>
                <w:rFonts w:hint="eastAsia" w:cs="Times New Roman"/>
                <w:b/>
                <w:bCs/>
                <w:sz w:val="21"/>
                <w:szCs w:val="21"/>
              </w:rPr>
              <w:t>最大</w:t>
            </w:r>
            <w:r>
              <w:rPr>
                <w:rFonts w:cs="Times New Roman"/>
                <w:b/>
                <w:bCs/>
                <w:sz w:val="21"/>
                <w:szCs w:val="21"/>
              </w:rPr>
              <w:t>冰体积分数</w:t>
            </w:r>
          </w:p>
        </w:tc>
      </w:tr>
      <w:tr w14:paraId="3FF1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04" w:type="pct"/>
            <w:vAlign w:val="center"/>
          </w:tcPr>
          <w:p w14:paraId="6873346B">
            <w:pPr>
              <w:spacing w:line="240" w:lineRule="auto"/>
              <w:ind w:firstLine="0" w:firstLineChars="0"/>
              <w:jc w:val="center"/>
              <w:rPr>
                <w:rFonts w:cs="Times New Roman"/>
                <w:sz w:val="21"/>
                <w:szCs w:val="21"/>
              </w:rPr>
            </w:pPr>
            <w:r>
              <w:rPr>
                <w:rFonts w:cs="Times New Roman"/>
                <w:sz w:val="21"/>
                <w:szCs w:val="21"/>
              </w:rPr>
              <w:t>0</w:t>
            </w:r>
          </w:p>
        </w:tc>
        <w:tc>
          <w:tcPr>
            <w:tcW w:w="576" w:type="pct"/>
            <w:vAlign w:val="center"/>
          </w:tcPr>
          <w:p w14:paraId="26AEDAB8">
            <w:pPr>
              <w:spacing w:line="240" w:lineRule="auto"/>
              <w:ind w:firstLine="0" w:firstLineChars="0"/>
              <w:jc w:val="center"/>
              <w:rPr>
                <w:rFonts w:cs="Times New Roman"/>
                <w:szCs w:val="24"/>
              </w:rPr>
            </w:pPr>
            <w:r>
              <w:rPr>
                <w:rFonts w:hint="eastAsia" w:cs="Times New Roman"/>
                <w:szCs w:val="24"/>
              </w:rPr>
              <w:t>0.799</w:t>
            </w:r>
          </w:p>
        </w:tc>
        <w:tc>
          <w:tcPr>
            <w:tcW w:w="526" w:type="pct"/>
            <w:vAlign w:val="center"/>
          </w:tcPr>
          <w:p w14:paraId="1D098343">
            <w:pPr>
              <w:spacing w:line="240" w:lineRule="auto"/>
              <w:ind w:firstLine="0" w:firstLineChars="0"/>
              <w:jc w:val="center"/>
              <w:rPr>
                <w:rFonts w:cs="Times New Roman"/>
                <w:szCs w:val="24"/>
              </w:rPr>
            </w:pPr>
          </w:p>
        </w:tc>
        <w:tc>
          <w:tcPr>
            <w:tcW w:w="752" w:type="pct"/>
            <w:vAlign w:val="center"/>
          </w:tcPr>
          <w:p w14:paraId="10FD6095">
            <w:pPr>
              <w:spacing w:line="240" w:lineRule="auto"/>
              <w:ind w:firstLine="0" w:firstLineChars="0"/>
              <w:jc w:val="center"/>
              <w:rPr>
                <w:rFonts w:cs="Times New Roman"/>
                <w:szCs w:val="24"/>
              </w:rPr>
            </w:pPr>
          </w:p>
        </w:tc>
        <w:tc>
          <w:tcPr>
            <w:tcW w:w="610" w:type="pct"/>
            <w:vAlign w:val="center"/>
          </w:tcPr>
          <w:p w14:paraId="636EF34B">
            <w:pPr>
              <w:spacing w:line="240" w:lineRule="auto"/>
              <w:ind w:firstLine="0" w:firstLineChars="0"/>
              <w:jc w:val="center"/>
              <w:rPr>
                <w:rFonts w:cs="Times New Roman"/>
                <w:szCs w:val="24"/>
              </w:rPr>
            </w:pPr>
            <w:r>
              <w:rPr>
                <w:rFonts w:hint="eastAsia" w:cs="Times New Roman"/>
                <w:szCs w:val="24"/>
              </w:rPr>
              <w:t>-25</w:t>
            </w:r>
          </w:p>
        </w:tc>
        <w:tc>
          <w:tcPr>
            <w:tcW w:w="571" w:type="pct"/>
            <w:vAlign w:val="center"/>
          </w:tcPr>
          <w:p w14:paraId="327862CF">
            <w:pPr>
              <w:spacing w:line="240" w:lineRule="auto"/>
              <w:ind w:firstLine="0" w:firstLineChars="0"/>
              <w:jc w:val="center"/>
              <w:rPr>
                <w:rFonts w:cs="Times New Roman"/>
                <w:szCs w:val="24"/>
              </w:rPr>
            </w:pPr>
          </w:p>
        </w:tc>
        <w:tc>
          <w:tcPr>
            <w:tcW w:w="752" w:type="pct"/>
            <w:vAlign w:val="center"/>
          </w:tcPr>
          <w:p w14:paraId="4F735B84">
            <w:pPr>
              <w:spacing w:line="240" w:lineRule="auto"/>
              <w:ind w:firstLine="0" w:firstLineChars="0"/>
              <w:jc w:val="center"/>
              <w:rPr>
                <w:rFonts w:cs="Times New Roman"/>
                <w:szCs w:val="24"/>
              </w:rPr>
            </w:pPr>
          </w:p>
        </w:tc>
        <w:tc>
          <w:tcPr>
            <w:tcW w:w="908" w:type="pct"/>
            <w:vAlign w:val="center"/>
          </w:tcPr>
          <w:p w14:paraId="178AB943">
            <w:pPr>
              <w:spacing w:line="240" w:lineRule="auto"/>
              <w:ind w:firstLine="0" w:firstLineChars="0"/>
              <w:jc w:val="center"/>
              <w:rPr>
                <w:rFonts w:cs="Times New Roman"/>
                <w:szCs w:val="24"/>
              </w:rPr>
            </w:pPr>
          </w:p>
        </w:tc>
      </w:tr>
      <w:tr w14:paraId="0D88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04" w:type="pct"/>
            <w:vAlign w:val="center"/>
          </w:tcPr>
          <w:p w14:paraId="41C8F8E8">
            <w:pPr>
              <w:spacing w:line="240" w:lineRule="auto"/>
              <w:ind w:firstLine="0" w:firstLineChars="0"/>
              <w:jc w:val="center"/>
              <w:rPr>
                <w:rFonts w:cs="Times New Roman"/>
                <w:sz w:val="21"/>
                <w:szCs w:val="21"/>
              </w:rPr>
            </w:pPr>
            <w:r>
              <w:rPr>
                <w:rFonts w:cs="Times New Roman"/>
                <w:sz w:val="21"/>
                <w:szCs w:val="21"/>
              </w:rPr>
              <w:t>5</w:t>
            </w:r>
          </w:p>
        </w:tc>
        <w:tc>
          <w:tcPr>
            <w:tcW w:w="576" w:type="pct"/>
            <w:vAlign w:val="center"/>
          </w:tcPr>
          <w:p w14:paraId="5601AE7A">
            <w:pPr>
              <w:spacing w:line="240" w:lineRule="auto"/>
              <w:ind w:firstLine="0" w:firstLineChars="0"/>
              <w:jc w:val="center"/>
              <w:rPr>
                <w:rFonts w:cs="Times New Roman"/>
                <w:szCs w:val="24"/>
              </w:rPr>
            </w:pPr>
            <w:r>
              <w:rPr>
                <w:rFonts w:hint="eastAsia" w:cs="Times New Roman"/>
                <w:szCs w:val="24"/>
              </w:rPr>
              <w:t>0.800</w:t>
            </w:r>
          </w:p>
        </w:tc>
        <w:tc>
          <w:tcPr>
            <w:tcW w:w="526" w:type="pct"/>
            <w:vAlign w:val="center"/>
          </w:tcPr>
          <w:p w14:paraId="198F6221">
            <w:pPr>
              <w:spacing w:line="240" w:lineRule="auto"/>
              <w:ind w:firstLine="0" w:firstLineChars="0"/>
              <w:jc w:val="center"/>
              <w:rPr>
                <w:rFonts w:cs="Times New Roman"/>
                <w:szCs w:val="24"/>
              </w:rPr>
            </w:pPr>
          </w:p>
        </w:tc>
        <w:tc>
          <w:tcPr>
            <w:tcW w:w="752" w:type="pct"/>
            <w:vAlign w:val="center"/>
          </w:tcPr>
          <w:p w14:paraId="2CB43D5E">
            <w:pPr>
              <w:spacing w:line="240" w:lineRule="auto"/>
              <w:ind w:firstLine="0" w:firstLineChars="0"/>
              <w:rPr>
                <w:rFonts w:cs="Times New Roman"/>
                <w:szCs w:val="24"/>
              </w:rPr>
            </w:pPr>
          </w:p>
        </w:tc>
        <w:tc>
          <w:tcPr>
            <w:tcW w:w="610" w:type="pct"/>
            <w:vAlign w:val="center"/>
          </w:tcPr>
          <w:p w14:paraId="19A30D87">
            <w:pPr>
              <w:spacing w:line="240" w:lineRule="auto"/>
              <w:ind w:firstLine="0" w:firstLineChars="0"/>
              <w:jc w:val="center"/>
              <w:rPr>
                <w:rFonts w:cs="Times New Roman"/>
                <w:szCs w:val="24"/>
              </w:rPr>
            </w:pPr>
            <w:r>
              <w:rPr>
                <w:rFonts w:hint="eastAsia" w:cs="Times New Roman"/>
                <w:szCs w:val="24"/>
              </w:rPr>
              <w:t>-24.96</w:t>
            </w:r>
          </w:p>
        </w:tc>
        <w:tc>
          <w:tcPr>
            <w:tcW w:w="571" w:type="pct"/>
            <w:vAlign w:val="center"/>
          </w:tcPr>
          <w:p w14:paraId="1F4AA75F">
            <w:pPr>
              <w:spacing w:line="240" w:lineRule="auto"/>
              <w:ind w:firstLine="0" w:firstLineChars="0"/>
              <w:jc w:val="center"/>
              <w:rPr>
                <w:rFonts w:cs="Times New Roman"/>
                <w:szCs w:val="24"/>
              </w:rPr>
            </w:pPr>
          </w:p>
        </w:tc>
        <w:tc>
          <w:tcPr>
            <w:tcW w:w="752" w:type="pct"/>
            <w:vAlign w:val="center"/>
          </w:tcPr>
          <w:p w14:paraId="0E03AB40">
            <w:pPr>
              <w:spacing w:line="240" w:lineRule="auto"/>
              <w:ind w:firstLine="0" w:firstLineChars="0"/>
              <w:jc w:val="center"/>
              <w:rPr>
                <w:rFonts w:cs="Times New Roman"/>
                <w:szCs w:val="24"/>
              </w:rPr>
            </w:pPr>
          </w:p>
        </w:tc>
        <w:tc>
          <w:tcPr>
            <w:tcW w:w="908" w:type="pct"/>
            <w:vAlign w:val="center"/>
          </w:tcPr>
          <w:p w14:paraId="3DCD7185">
            <w:pPr>
              <w:spacing w:line="240" w:lineRule="auto"/>
              <w:ind w:firstLine="0" w:firstLineChars="0"/>
              <w:jc w:val="center"/>
              <w:rPr>
                <w:rFonts w:cs="Times New Roman"/>
                <w:szCs w:val="24"/>
              </w:rPr>
            </w:pPr>
          </w:p>
        </w:tc>
      </w:tr>
      <w:tr w14:paraId="6B1F1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04" w:type="pct"/>
            <w:vAlign w:val="center"/>
          </w:tcPr>
          <w:p w14:paraId="538BE68A">
            <w:pPr>
              <w:spacing w:line="240" w:lineRule="auto"/>
              <w:ind w:firstLine="0" w:firstLineChars="0"/>
              <w:jc w:val="center"/>
              <w:rPr>
                <w:rFonts w:cs="Times New Roman"/>
                <w:sz w:val="21"/>
                <w:szCs w:val="21"/>
              </w:rPr>
            </w:pPr>
            <w:r>
              <w:rPr>
                <w:rFonts w:cs="Times New Roman"/>
                <w:sz w:val="21"/>
                <w:szCs w:val="21"/>
              </w:rPr>
              <w:t>10</w:t>
            </w:r>
          </w:p>
        </w:tc>
        <w:tc>
          <w:tcPr>
            <w:tcW w:w="576" w:type="pct"/>
            <w:vAlign w:val="center"/>
          </w:tcPr>
          <w:p w14:paraId="39183152">
            <w:pPr>
              <w:spacing w:line="240" w:lineRule="auto"/>
              <w:ind w:firstLine="0" w:firstLineChars="0"/>
              <w:jc w:val="center"/>
              <w:rPr>
                <w:rFonts w:cs="Times New Roman"/>
                <w:szCs w:val="24"/>
              </w:rPr>
            </w:pPr>
            <w:r>
              <w:rPr>
                <w:rFonts w:hint="eastAsia" w:cs="Times New Roman"/>
                <w:szCs w:val="24"/>
              </w:rPr>
              <w:t>0.537</w:t>
            </w:r>
          </w:p>
        </w:tc>
        <w:tc>
          <w:tcPr>
            <w:tcW w:w="526" w:type="pct"/>
            <w:vAlign w:val="center"/>
          </w:tcPr>
          <w:p w14:paraId="7028F3EC">
            <w:pPr>
              <w:spacing w:line="240" w:lineRule="auto"/>
              <w:ind w:firstLine="0" w:firstLineChars="0"/>
              <w:jc w:val="center"/>
              <w:rPr>
                <w:rFonts w:cs="Times New Roman"/>
                <w:szCs w:val="24"/>
              </w:rPr>
            </w:pPr>
          </w:p>
        </w:tc>
        <w:tc>
          <w:tcPr>
            <w:tcW w:w="752" w:type="pct"/>
            <w:vAlign w:val="center"/>
          </w:tcPr>
          <w:p w14:paraId="6E229C78">
            <w:pPr>
              <w:spacing w:line="240" w:lineRule="auto"/>
              <w:ind w:firstLine="0" w:firstLineChars="0"/>
              <w:jc w:val="center"/>
              <w:rPr>
                <w:rFonts w:cs="Times New Roman"/>
                <w:szCs w:val="24"/>
              </w:rPr>
            </w:pPr>
          </w:p>
        </w:tc>
        <w:tc>
          <w:tcPr>
            <w:tcW w:w="610" w:type="pct"/>
            <w:vAlign w:val="center"/>
          </w:tcPr>
          <w:p w14:paraId="40D98BA0">
            <w:pPr>
              <w:spacing w:line="240" w:lineRule="auto"/>
              <w:ind w:firstLine="0" w:firstLineChars="0"/>
              <w:jc w:val="center"/>
              <w:rPr>
                <w:rFonts w:cs="Times New Roman"/>
                <w:szCs w:val="24"/>
              </w:rPr>
            </w:pPr>
            <w:r>
              <w:rPr>
                <w:rFonts w:hint="eastAsia" w:cs="Times New Roman"/>
                <w:szCs w:val="24"/>
              </w:rPr>
              <w:t>-24.65</w:t>
            </w:r>
          </w:p>
        </w:tc>
        <w:tc>
          <w:tcPr>
            <w:tcW w:w="571" w:type="pct"/>
            <w:vAlign w:val="center"/>
          </w:tcPr>
          <w:p w14:paraId="74CE3F7B">
            <w:pPr>
              <w:spacing w:line="240" w:lineRule="auto"/>
              <w:ind w:firstLine="0" w:firstLineChars="0"/>
              <w:jc w:val="center"/>
              <w:rPr>
                <w:rFonts w:cs="Times New Roman"/>
                <w:szCs w:val="24"/>
              </w:rPr>
            </w:pPr>
          </w:p>
        </w:tc>
        <w:tc>
          <w:tcPr>
            <w:tcW w:w="752" w:type="pct"/>
            <w:vAlign w:val="center"/>
          </w:tcPr>
          <w:p w14:paraId="27664107">
            <w:pPr>
              <w:spacing w:line="240" w:lineRule="auto"/>
              <w:ind w:firstLine="0" w:firstLineChars="0"/>
              <w:jc w:val="center"/>
              <w:rPr>
                <w:rFonts w:cs="Times New Roman"/>
                <w:szCs w:val="24"/>
              </w:rPr>
            </w:pPr>
          </w:p>
        </w:tc>
        <w:tc>
          <w:tcPr>
            <w:tcW w:w="908" w:type="pct"/>
            <w:vAlign w:val="center"/>
          </w:tcPr>
          <w:p w14:paraId="18D98063">
            <w:pPr>
              <w:spacing w:line="240" w:lineRule="auto"/>
              <w:ind w:firstLine="0" w:firstLineChars="0"/>
              <w:jc w:val="center"/>
              <w:rPr>
                <w:rFonts w:cs="Times New Roman"/>
                <w:szCs w:val="24"/>
              </w:rPr>
            </w:pPr>
          </w:p>
        </w:tc>
      </w:tr>
      <w:tr w14:paraId="2F10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4" w:type="pct"/>
            <w:vAlign w:val="center"/>
          </w:tcPr>
          <w:p w14:paraId="23B98332">
            <w:pPr>
              <w:spacing w:line="240" w:lineRule="auto"/>
              <w:ind w:firstLine="0" w:firstLineChars="0"/>
              <w:jc w:val="center"/>
              <w:rPr>
                <w:rFonts w:cs="Times New Roman"/>
                <w:sz w:val="21"/>
                <w:szCs w:val="21"/>
              </w:rPr>
            </w:pPr>
            <w:r>
              <w:rPr>
                <w:rFonts w:cs="Times New Roman"/>
                <w:sz w:val="21"/>
                <w:szCs w:val="21"/>
              </w:rPr>
              <w:t>15</w:t>
            </w:r>
          </w:p>
        </w:tc>
        <w:tc>
          <w:tcPr>
            <w:tcW w:w="576" w:type="pct"/>
            <w:vAlign w:val="center"/>
          </w:tcPr>
          <w:p w14:paraId="1EEAD47B">
            <w:pPr>
              <w:spacing w:line="240" w:lineRule="auto"/>
              <w:ind w:firstLine="0" w:firstLineChars="0"/>
              <w:jc w:val="center"/>
              <w:rPr>
                <w:rFonts w:cs="Times New Roman"/>
                <w:szCs w:val="24"/>
              </w:rPr>
            </w:pPr>
            <w:r>
              <w:rPr>
                <w:rFonts w:hint="eastAsia" w:cs="Times New Roman"/>
                <w:szCs w:val="24"/>
              </w:rPr>
              <w:t>0.518</w:t>
            </w:r>
          </w:p>
        </w:tc>
        <w:tc>
          <w:tcPr>
            <w:tcW w:w="526" w:type="pct"/>
            <w:vAlign w:val="center"/>
          </w:tcPr>
          <w:p w14:paraId="31E638D1">
            <w:pPr>
              <w:spacing w:line="240" w:lineRule="auto"/>
              <w:ind w:firstLine="0" w:firstLineChars="0"/>
              <w:jc w:val="center"/>
              <w:rPr>
                <w:rFonts w:cs="Times New Roman"/>
                <w:szCs w:val="24"/>
              </w:rPr>
            </w:pPr>
          </w:p>
        </w:tc>
        <w:tc>
          <w:tcPr>
            <w:tcW w:w="752" w:type="pct"/>
            <w:vAlign w:val="center"/>
          </w:tcPr>
          <w:p w14:paraId="681E845D">
            <w:pPr>
              <w:spacing w:line="240" w:lineRule="auto"/>
              <w:ind w:firstLine="0" w:firstLineChars="0"/>
              <w:jc w:val="center"/>
              <w:rPr>
                <w:rFonts w:cs="Times New Roman"/>
                <w:szCs w:val="24"/>
              </w:rPr>
            </w:pPr>
          </w:p>
        </w:tc>
        <w:tc>
          <w:tcPr>
            <w:tcW w:w="610" w:type="pct"/>
            <w:vAlign w:val="center"/>
          </w:tcPr>
          <w:p w14:paraId="75C8C6D6">
            <w:pPr>
              <w:spacing w:line="240" w:lineRule="auto"/>
              <w:ind w:firstLine="0" w:firstLineChars="0"/>
              <w:jc w:val="center"/>
              <w:rPr>
                <w:rFonts w:cs="Times New Roman"/>
                <w:szCs w:val="24"/>
              </w:rPr>
            </w:pPr>
            <w:r>
              <w:rPr>
                <w:rFonts w:hint="eastAsia" w:cs="Times New Roman"/>
                <w:szCs w:val="24"/>
              </w:rPr>
              <w:t>-23.38</w:t>
            </w:r>
          </w:p>
        </w:tc>
        <w:tc>
          <w:tcPr>
            <w:tcW w:w="571" w:type="pct"/>
            <w:vAlign w:val="center"/>
          </w:tcPr>
          <w:p w14:paraId="328104E4">
            <w:pPr>
              <w:spacing w:line="240" w:lineRule="auto"/>
              <w:ind w:firstLine="0" w:firstLineChars="0"/>
              <w:jc w:val="center"/>
              <w:rPr>
                <w:rFonts w:cs="Times New Roman"/>
                <w:szCs w:val="24"/>
              </w:rPr>
            </w:pPr>
          </w:p>
        </w:tc>
        <w:tc>
          <w:tcPr>
            <w:tcW w:w="752" w:type="pct"/>
            <w:vAlign w:val="center"/>
          </w:tcPr>
          <w:p w14:paraId="1AA57021">
            <w:pPr>
              <w:spacing w:line="240" w:lineRule="auto"/>
              <w:ind w:firstLine="0" w:firstLineChars="0"/>
              <w:jc w:val="center"/>
              <w:rPr>
                <w:rFonts w:cs="Times New Roman"/>
                <w:szCs w:val="24"/>
              </w:rPr>
            </w:pPr>
          </w:p>
        </w:tc>
        <w:tc>
          <w:tcPr>
            <w:tcW w:w="908" w:type="pct"/>
            <w:vAlign w:val="center"/>
          </w:tcPr>
          <w:p w14:paraId="57CB5889">
            <w:pPr>
              <w:spacing w:line="240" w:lineRule="auto"/>
              <w:ind w:firstLine="0" w:firstLineChars="0"/>
              <w:jc w:val="center"/>
              <w:rPr>
                <w:rFonts w:cs="Times New Roman"/>
                <w:szCs w:val="24"/>
              </w:rPr>
            </w:pPr>
          </w:p>
        </w:tc>
      </w:tr>
      <w:tr w14:paraId="780A8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4" w:type="pct"/>
            <w:vAlign w:val="center"/>
          </w:tcPr>
          <w:p w14:paraId="22A377D4">
            <w:pPr>
              <w:spacing w:line="240" w:lineRule="auto"/>
              <w:ind w:firstLine="0" w:firstLineChars="0"/>
              <w:jc w:val="center"/>
              <w:rPr>
                <w:rFonts w:cs="Times New Roman"/>
                <w:sz w:val="21"/>
                <w:szCs w:val="21"/>
              </w:rPr>
            </w:pPr>
            <w:r>
              <w:rPr>
                <w:rFonts w:cs="Times New Roman"/>
                <w:sz w:val="21"/>
                <w:szCs w:val="21"/>
              </w:rPr>
              <w:t>20</w:t>
            </w:r>
          </w:p>
        </w:tc>
        <w:tc>
          <w:tcPr>
            <w:tcW w:w="576" w:type="pct"/>
            <w:vAlign w:val="center"/>
          </w:tcPr>
          <w:p w14:paraId="7438B73C">
            <w:pPr>
              <w:spacing w:line="240" w:lineRule="auto"/>
              <w:ind w:firstLine="0" w:firstLineChars="0"/>
              <w:jc w:val="center"/>
              <w:rPr>
                <w:rFonts w:cs="Times New Roman"/>
                <w:szCs w:val="24"/>
              </w:rPr>
            </w:pPr>
            <w:r>
              <w:rPr>
                <w:rFonts w:hint="eastAsia" w:cs="Times New Roman"/>
                <w:szCs w:val="24"/>
              </w:rPr>
              <w:t>0.592</w:t>
            </w:r>
          </w:p>
        </w:tc>
        <w:tc>
          <w:tcPr>
            <w:tcW w:w="526" w:type="pct"/>
            <w:vAlign w:val="center"/>
          </w:tcPr>
          <w:p w14:paraId="3EDA73FB">
            <w:pPr>
              <w:spacing w:line="240" w:lineRule="auto"/>
              <w:ind w:firstLine="0" w:firstLineChars="0"/>
              <w:jc w:val="center"/>
              <w:rPr>
                <w:rFonts w:cs="Times New Roman"/>
                <w:szCs w:val="24"/>
              </w:rPr>
            </w:pPr>
          </w:p>
        </w:tc>
        <w:tc>
          <w:tcPr>
            <w:tcW w:w="752" w:type="pct"/>
            <w:vAlign w:val="center"/>
          </w:tcPr>
          <w:p w14:paraId="5DA02F56">
            <w:pPr>
              <w:spacing w:line="240" w:lineRule="auto"/>
              <w:ind w:firstLine="0" w:firstLineChars="0"/>
              <w:jc w:val="center"/>
              <w:rPr>
                <w:rFonts w:cs="Times New Roman"/>
                <w:szCs w:val="24"/>
              </w:rPr>
            </w:pPr>
          </w:p>
        </w:tc>
        <w:tc>
          <w:tcPr>
            <w:tcW w:w="610" w:type="pct"/>
            <w:vAlign w:val="center"/>
          </w:tcPr>
          <w:p w14:paraId="6544D733">
            <w:pPr>
              <w:spacing w:line="240" w:lineRule="auto"/>
              <w:ind w:firstLine="0" w:firstLineChars="0"/>
              <w:jc w:val="center"/>
              <w:rPr>
                <w:rFonts w:cs="Times New Roman"/>
                <w:szCs w:val="24"/>
              </w:rPr>
            </w:pPr>
            <w:r>
              <w:rPr>
                <w:rFonts w:hint="eastAsia" w:cs="Times New Roman"/>
                <w:szCs w:val="24"/>
              </w:rPr>
              <w:t>-22.03</w:t>
            </w:r>
          </w:p>
        </w:tc>
        <w:tc>
          <w:tcPr>
            <w:tcW w:w="571" w:type="pct"/>
            <w:vAlign w:val="center"/>
          </w:tcPr>
          <w:p w14:paraId="1D009B04">
            <w:pPr>
              <w:spacing w:line="240" w:lineRule="auto"/>
              <w:ind w:firstLine="0" w:firstLineChars="0"/>
              <w:jc w:val="center"/>
              <w:rPr>
                <w:rFonts w:cs="Times New Roman"/>
                <w:szCs w:val="24"/>
              </w:rPr>
            </w:pPr>
          </w:p>
        </w:tc>
        <w:tc>
          <w:tcPr>
            <w:tcW w:w="752" w:type="pct"/>
            <w:vAlign w:val="center"/>
          </w:tcPr>
          <w:p w14:paraId="3B47B9FA">
            <w:pPr>
              <w:spacing w:line="240" w:lineRule="auto"/>
              <w:ind w:firstLine="0" w:firstLineChars="0"/>
              <w:jc w:val="center"/>
              <w:rPr>
                <w:rFonts w:cs="Times New Roman"/>
                <w:szCs w:val="24"/>
              </w:rPr>
            </w:pPr>
          </w:p>
        </w:tc>
        <w:tc>
          <w:tcPr>
            <w:tcW w:w="908" w:type="pct"/>
            <w:vAlign w:val="center"/>
          </w:tcPr>
          <w:p w14:paraId="49B67746">
            <w:pPr>
              <w:spacing w:line="240" w:lineRule="auto"/>
              <w:ind w:firstLine="0" w:firstLineChars="0"/>
              <w:jc w:val="center"/>
              <w:rPr>
                <w:rFonts w:cs="Times New Roman"/>
                <w:szCs w:val="24"/>
              </w:rPr>
            </w:pPr>
          </w:p>
        </w:tc>
      </w:tr>
      <w:tr w14:paraId="578A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04" w:type="pct"/>
            <w:vAlign w:val="center"/>
          </w:tcPr>
          <w:p w14:paraId="4818D88F">
            <w:pPr>
              <w:spacing w:line="240" w:lineRule="auto"/>
              <w:ind w:firstLine="0" w:firstLineChars="0"/>
              <w:jc w:val="center"/>
              <w:rPr>
                <w:rFonts w:cs="Times New Roman"/>
                <w:sz w:val="21"/>
                <w:szCs w:val="21"/>
              </w:rPr>
            </w:pPr>
            <w:r>
              <w:rPr>
                <w:rFonts w:cs="Times New Roman"/>
                <w:sz w:val="21"/>
                <w:szCs w:val="21"/>
              </w:rPr>
              <w:t>25</w:t>
            </w:r>
          </w:p>
        </w:tc>
        <w:tc>
          <w:tcPr>
            <w:tcW w:w="576" w:type="pct"/>
            <w:vAlign w:val="center"/>
          </w:tcPr>
          <w:p w14:paraId="7C38B90B">
            <w:pPr>
              <w:spacing w:line="240" w:lineRule="auto"/>
              <w:ind w:firstLine="0" w:firstLineChars="0"/>
              <w:jc w:val="center"/>
              <w:rPr>
                <w:rFonts w:cs="Times New Roman"/>
                <w:szCs w:val="24"/>
              </w:rPr>
            </w:pPr>
            <w:r>
              <w:rPr>
                <w:rFonts w:hint="eastAsia" w:cs="Times New Roman"/>
                <w:szCs w:val="24"/>
              </w:rPr>
              <w:t>0.618</w:t>
            </w:r>
          </w:p>
        </w:tc>
        <w:tc>
          <w:tcPr>
            <w:tcW w:w="526" w:type="pct"/>
            <w:vAlign w:val="center"/>
          </w:tcPr>
          <w:p w14:paraId="271FC5B2">
            <w:pPr>
              <w:spacing w:line="240" w:lineRule="auto"/>
              <w:ind w:firstLine="0" w:firstLineChars="0"/>
              <w:jc w:val="center"/>
              <w:rPr>
                <w:rFonts w:cs="Times New Roman"/>
                <w:szCs w:val="24"/>
              </w:rPr>
            </w:pPr>
          </w:p>
        </w:tc>
        <w:tc>
          <w:tcPr>
            <w:tcW w:w="752" w:type="pct"/>
            <w:vAlign w:val="center"/>
          </w:tcPr>
          <w:p w14:paraId="08F00A52">
            <w:pPr>
              <w:spacing w:line="240" w:lineRule="auto"/>
              <w:ind w:firstLine="0" w:firstLineChars="0"/>
              <w:jc w:val="center"/>
              <w:rPr>
                <w:rFonts w:cs="Times New Roman"/>
                <w:szCs w:val="24"/>
              </w:rPr>
            </w:pPr>
          </w:p>
        </w:tc>
        <w:tc>
          <w:tcPr>
            <w:tcW w:w="610" w:type="pct"/>
            <w:vAlign w:val="center"/>
          </w:tcPr>
          <w:p w14:paraId="7BC8984B">
            <w:pPr>
              <w:spacing w:line="240" w:lineRule="auto"/>
              <w:ind w:firstLine="0" w:firstLineChars="0"/>
              <w:jc w:val="center"/>
              <w:rPr>
                <w:rFonts w:cs="Times New Roman"/>
                <w:szCs w:val="24"/>
              </w:rPr>
            </w:pPr>
            <w:r>
              <w:rPr>
                <w:rFonts w:hint="eastAsia" w:cs="Times New Roman"/>
                <w:szCs w:val="24"/>
              </w:rPr>
              <w:t>-20.85</w:t>
            </w:r>
          </w:p>
        </w:tc>
        <w:tc>
          <w:tcPr>
            <w:tcW w:w="571" w:type="pct"/>
            <w:vAlign w:val="center"/>
          </w:tcPr>
          <w:p w14:paraId="59877167">
            <w:pPr>
              <w:spacing w:line="240" w:lineRule="auto"/>
              <w:ind w:firstLine="0" w:firstLineChars="0"/>
              <w:jc w:val="center"/>
              <w:rPr>
                <w:rFonts w:cs="Times New Roman"/>
                <w:szCs w:val="24"/>
              </w:rPr>
            </w:pPr>
          </w:p>
        </w:tc>
        <w:tc>
          <w:tcPr>
            <w:tcW w:w="752" w:type="pct"/>
            <w:vAlign w:val="center"/>
          </w:tcPr>
          <w:p w14:paraId="3C165582">
            <w:pPr>
              <w:spacing w:line="240" w:lineRule="auto"/>
              <w:ind w:firstLine="0" w:firstLineChars="0"/>
              <w:jc w:val="center"/>
              <w:rPr>
                <w:rFonts w:cs="Times New Roman"/>
                <w:szCs w:val="24"/>
              </w:rPr>
            </w:pPr>
          </w:p>
        </w:tc>
        <w:tc>
          <w:tcPr>
            <w:tcW w:w="908" w:type="pct"/>
            <w:vAlign w:val="center"/>
          </w:tcPr>
          <w:p w14:paraId="3FDB34F1">
            <w:pPr>
              <w:spacing w:line="240" w:lineRule="auto"/>
              <w:ind w:firstLine="0" w:firstLineChars="0"/>
              <w:jc w:val="center"/>
              <w:rPr>
                <w:rFonts w:cs="Times New Roman"/>
                <w:szCs w:val="24"/>
              </w:rPr>
            </w:pPr>
          </w:p>
        </w:tc>
      </w:tr>
      <w:tr w14:paraId="09D6A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4" w:type="pct"/>
            <w:vAlign w:val="center"/>
          </w:tcPr>
          <w:p w14:paraId="056B58DE">
            <w:pPr>
              <w:spacing w:line="240" w:lineRule="auto"/>
              <w:ind w:firstLine="0" w:firstLineChars="0"/>
              <w:jc w:val="center"/>
              <w:rPr>
                <w:rFonts w:cs="Times New Roman"/>
                <w:sz w:val="21"/>
                <w:szCs w:val="21"/>
              </w:rPr>
            </w:pPr>
            <w:r>
              <w:rPr>
                <w:rFonts w:cs="Times New Roman"/>
                <w:sz w:val="21"/>
                <w:szCs w:val="21"/>
              </w:rPr>
              <w:t>30</w:t>
            </w:r>
          </w:p>
        </w:tc>
        <w:tc>
          <w:tcPr>
            <w:tcW w:w="576" w:type="pct"/>
            <w:vAlign w:val="center"/>
          </w:tcPr>
          <w:p w14:paraId="023CDEE5">
            <w:pPr>
              <w:spacing w:line="240" w:lineRule="auto"/>
              <w:ind w:firstLine="0" w:firstLineChars="0"/>
              <w:jc w:val="center"/>
              <w:rPr>
                <w:rFonts w:cs="Times New Roman"/>
                <w:szCs w:val="24"/>
              </w:rPr>
            </w:pPr>
            <w:r>
              <w:rPr>
                <w:rFonts w:hint="eastAsia" w:cs="Times New Roman"/>
                <w:szCs w:val="24"/>
              </w:rPr>
              <w:t>0.621</w:t>
            </w:r>
          </w:p>
        </w:tc>
        <w:tc>
          <w:tcPr>
            <w:tcW w:w="526" w:type="pct"/>
            <w:vAlign w:val="center"/>
          </w:tcPr>
          <w:p w14:paraId="743FAB0A">
            <w:pPr>
              <w:spacing w:line="240" w:lineRule="auto"/>
              <w:ind w:firstLine="0" w:firstLineChars="0"/>
              <w:jc w:val="center"/>
              <w:rPr>
                <w:rFonts w:cs="Times New Roman"/>
                <w:szCs w:val="24"/>
              </w:rPr>
            </w:pPr>
          </w:p>
        </w:tc>
        <w:tc>
          <w:tcPr>
            <w:tcW w:w="752" w:type="pct"/>
            <w:vAlign w:val="center"/>
          </w:tcPr>
          <w:p w14:paraId="49919326">
            <w:pPr>
              <w:spacing w:line="240" w:lineRule="auto"/>
              <w:ind w:firstLine="0" w:firstLineChars="0"/>
              <w:jc w:val="center"/>
              <w:rPr>
                <w:rFonts w:cs="Times New Roman"/>
                <w:szCs w:val="24"/>
              </w:rPr>
            </w:pPr>
          </w:p>
        </w:tc>
        <w:tc>
          <w:tcPr>
            <w:tcW w:w="610" w:type="pct"/>
            <w:vAlign w:val="center"/>
          </w:tcPr>
          <w:p w14:paraId="70C6F497">
            <w:pPr>
              <w:spacing w:line="240" w:lineRule="auto"/>
              <w:ind w:firstLine="0" w:firstLineChars="0"/>
              <w:jc w:val="center"/>
              <w:rPr>
                <w:rFonts w:cs="Times New Roman"/>
                <w:szCs w:val="24"/>
              </w:rPr>
            </w:pPr>
            <w:r>
              <w:rPr>
                <w:rFonts w:hint="eastAsia" w:cs="Times New Roman"/>
                <w:szCs w:val="24"/>
              </w:rPr>
              <w:t>-19.20</w:t>
            </w:r>
          </w:p>
        </w:tc>
        <w:tc>
          <w:tcPr>
            <w:tcW w:w="571" w:type="pct"/>
            <w:vAlign w:val="center"/>
          </w:tcPr>
          <w:p w14:paraId="1BA23241">
            <w:pPr>
              <w:spacing w:line="240" w:lineRule="auto"/>
              <w:ind w:firstLine="0" w:firstLineChars="0"/>
              <w:jc w:val="center"/>
              <w:rPr>
                <w:rFonts w:cs="Times New Roman"/>
                <w:szCs w:val="24"/>
              </w:rPr>
            </w:pPr>
          </w:p>
        </w:tc>
        <w:tc>
          <w:tcPr>
            <w:tcW w:w="752" w:type="pct"/>
            <w:vAlign w:val="center"/>
          </w:tcPr>
          <w:p w14:paraId="386EA295">
            <w:pPr>
              <w:spacing w:line="240" w:lineRule="auto"/>
              <w:ind w:firstLine="0" w:firstLineChars="0"/>
              <w:jc w:val="center"/>
              <w:rPr>
                <w:rFonts w:cs="Times New Roman"/>
                <w:szCs w:val="24"/>
              </w:rPr>
            </w:pPr>
          </w:p>
        </w:tc>
        <w:tc>
          <w:tcPr>
            <w:tcW w:w="908" w:type="pct"/>
            <w:vAlign w:val="center"/>
          </w:tcPr>
          <w:p w14:paraId="07600619">
            <w:pPr>
              <w:spacing w:line="240" w:lineRule="auto"/>
              <w:ind w:firstLine="0" w:firstLineChars="0"/>
              <w:jc w:val="center"/>
              <w:rPr>
                <w:rFonts w:cs="Times New Roman"/>
                <w:szCs w:val="24"/>
              </w:rPr>
            </w:pPr>
          </w:p>
        </w:tc>
      </w:tr>
      <w:tr w14:paraId="39D90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04" w:type="pct"/>
            <w:vAlign w:val="center"/>
          </w:tcPr>
          <w:p w14:paraId="0B448F54">
            <w:pPr>
              <w:spacing w:line="240" w:lineRule="auto"/>
              <w:ind w:firstLine="0" w:firstLineChars="0"/>
              <w:jc w:val="center"/>
              <w:rPr>
                <w:rFonts w:cs="Times New Roman"/>
                <w:sz w:val="21"/>
                <w:szCs w:val="21"/>
              </w:rPr>
            </w:pPr>
            <w:r>
              <w:rPr>
                <w:rFonts w:cs="Times New Roman"/>
                <w:sz w:val="21"/>
                <w:szCs w:val="21"/>
              </w:rPr>
              <w:t>35</w:t>
            </w:r>
          </w:p>
        </w:tc>
        <w:tc>
          <w:tcPr>
            <w:tcW w:w="576" w:type="pct"/>
            <w:vAlign w:val="center"/>
          </w:tcPr>
          <w:p w14:paraId="603B4E60">
            <w:pPr>
              <w:spacing w:line="240" w:lineRule="auto"/>
              <w:ind w:firstLine="0" w:firstLineChars="0"/>
              <w:jc w:val="center"/>
              <w:rPr>
                <w:rFonts w:cs="Times New Roman"/>
                <w:szCs w:val="24"/>
              </w:rPr>
            </w:pPr>
            <w:r>
              <w:rPr>
                <w:rFonts w:hint="eastAsia" w:cs="Times New Roman"/>
                <w:szCs w:val="24"/>
              </w:rPr>
              <w:t>0.644</w:t>
            </w:r>
          </w:p>
        </w:tc>
        <w:tc>
          <w:tcPr>
            <w:tcW w:w="526" w:type="pct"/>
            <w:vAlign w:val="center"/>
          </w:tcPr>
          <w:p w14:paraId="5E3A8FF1">
            <w:pPr>
              <w:spacing w:line="240" w:lineRule="auto"/>
              <w:ind w:firstLine="0" w:firstLineChars="0"/>
              <w:jc w:val="center"/>
              <w:rPr>
                <w:rFonts w:cs="Times New Roman"/>
                <w:szCs w:val="24"/>
              </w:rPr>
            </w:pPr>
          </w:p>
        </w:tc>
        <w:tc>
          <w:tcPr>
            <w:tcW w:w="752" w:type="pct"/>
            <w:vAlign w:val="center"/>
          </w:tcPr>
          <w:p w14:paraId="07B0ECF1">
            <w:pPr>
              <w:spacing w:line="240" w:lineRule="auto"/>
              <w:ind w:firstLine="0" w:firstLineChars="0"/>
              <w:jc w:val="center"/>
              <w:rPr>
                <w:rFonts w:cs="Times New Roman"/>
                <w:szCs w:val="24"/>
              </w:rPr>
            </w:pPr>
          </w:p>
        </w:tc>
        <w:tc>
          <w:tcPr>
            <w:tcW w:w="610" w:type="pct"/>
            <w:vAlign w:val="center"/>
          </w:tcPr>
          <w:p w14:paraId="297E8B9B">
            <w:pPr>
              <w:spacing w:line="240" w:lineRule="auto"/>
              <w:ind w:firstLine="0" w:firstLineChars="0"/>
              <w:jc w:val="center"/>
              <w:rPr>
                <w:rFonts w:cs="Times New Roman"/>
                <w:szCs w:val="24"/>
              </w:rPr>
            </w:pPr>
            <w:r>
              <w:rPr>
                <w:rFonts w:hint="eastAsia" w:cs="Times New Roman"/>
                <w:szCs w:val="24"/>
              </w:rPr>
              <w:t>-17.59</w:t>
            </w:r>
          </w:p>
        </w:tc>
        <w:tc>
          <w:tcPr>
            <w:tcW w:w="571" w:type="pct"/>
            <w:vAlign w:val="center"/>
          </w:tcPr>
          <w:p w14:paraId="76BE79AB">
            <w:pPr>
              <w:spacing w:line="240" w:lineRule="auto"/>
              <w:ind w:firstLine="0" w:firstLineChars="0"/>
              <w:jc w:val="center"/>
              <w:rPr>
                <w:rFonts w:cs="Times New Roman"/>
                <w:szCs w:val="24"/>
              </w:rPr>
            </w:pPr>
          </w:p>
        </w:tc>
        <w:tc>
          <w:tcPr>
            <w:tcW w:w="752" w:type="pct"/>
            <w:vAlign w:val="center"/>
          </w:tcPr>
          <w:p w14:paraId="044E9674">
            <w:pPr>
              <w:spacing w:line="240" w:lineRule="auto"/>
              <w:ind w:firstLine="0" w:firstLineChars="0"/>
              <w:jc w:val="center"/>
              <w:rPr>
                <w:rFonts w:cs="Times New Roman"/>
                <w:szCs w:val="24"/>
              </w:rPr>
            </w:pPr>
          </w:p>
        </w:tc>
        <w:tc>
          <w:tcPr>
            <w:tcW w:w="908" w:type="pct"/>
            <w:vAlign w:val="center"/>
          </w:tcPr>
          <w:p w14:paraId="55EE8108">
            <w:pPr>
              <w:spacing w:line="240" w:lineRule="auto"/>
              <w:ind w:firstLine="0" w:firstLineChars="0"/>
              <w:jc w:val="center"/>
              <w:rPr>
                <w:rFonts w:cs="Times New Roman"/>
                <w:szCs w:val="24"/>
              </w:rPr>
            </w:pPr>
          </w:p>
        </w:tc>
      </w:tr>
    </w:tbl>
    <w:p w14:paraId="44712C6B">
      <w:pPr>
        <w:ind w:firstLine="0" w:firstLineChars="0"/>
        <w:rPr>
          <w:rFonts w:ascii="宋体" w:hAnsi="宋体" w:cs="Times New Roman"/>
          <w:b/>
          <w:bCs/>
          <w:szCs w:val="24"/>
        </w:rPr>
      </w:pPr>
      <w:r>
        <w:rPr>
          <w:rFonts w:cs="Times New Roman"/>
          <w:b/>
          <w:bCs/>
          <w:szCs w:val="24"/>
        </w:rPr>
        <w:t>问题</w:t>
      </w:r>
      <w:r>
        <w:rPr>
          <w:rFonts w:hint="eastAsia" w:cs="Times New Roman"/>
          <w:b/>
          <w:bCs/>
          <w:szCs w:val="24"/>
        </w:rPr>
        <w:t>2</w:t>
      </w:r>
      <w:r>
        <w:rPr>
          <w:rFonts w:cs="Times New Roman"/>
          <w:b/>
          <w:bCs/>
          <w:szCs w:val="24"/>
        </w:rPr>
        <w:t>：</w:t>
      </w:r>
      <w:r>
        <w:rPr>
          <w:rFonts w:hint="eastAsia" w:ascii="宋体" w:hAnsi="宋体" w:cs="Times New Roman"/>
          <w:b/>
          <w:bCs/>
          <w:szCs w:val="24"/>
        </w:rPr>
        <w:t>给定电荷量约束下的电堆自冷启动策略建模与优化</w:t>
      </w:r>
    </w:p>
    <w:p w14:paraId="15A87CF1">
      <w:pPr>
        <w:ind w:firstLine="480"/>
        <w:rPr>
          <w:rFonts w:cs="Times New Roman"/>
          <w:szCs w:val="24"/>
        </w:rPr>
      </w:pPr>
      <w:r>
        <w:rPr>
          <w:rFonts w:cs="Times New Roman"/>
          <w:szCs w:val="24"/>
        </w:rPr>
        <w:t>自冷启动过程中，</w:t>
      </w:r>
      <w:r>
        <w:rPr>
          <w:rFonts w:hint="eastAsia" w:cs="Times New Roman"/>
          <w:szCs w:val="24"/>
        </w:rPr>
        <w:t>可通过电流加载产热，</w:t>
      </w:r>
      <w:r>
        <w:rPr>
          <w:rFonts w:cs="Times New Roman"/>
          <w:szCs w:val="24"/>
        </w:rPr>
        <w:t>电流过小会导致产热不足和冰持续积累，电流过大则可能加速产水与冰堵，引起单片电压快速下降</w:t>
      </w:r>
      <w:r>
        <w:rPr>
          <w:rFonts w:hint="eastAsia" w:cs="Times New Roman"/>
          <w:szCs w:val="24"/>
        </w:rPr>
        <w:t>，进而可能导致启动失败，因此</w:t>
      </w:r>
      <w:r>
        <w:rPr>
          <w:rFonts w:cs="Times New Roman"/>
          <w:szCs w:val="24"/>
        </w:rPr>
        <w:t>电流加载策略对启动成败至关重要</w:t>
      </w:r>
      <w:r>
        <w:rPr>
          <w:rFonts w:hint="eastAsia" w:cs="Times New Roman"/>
          <w:szCs w:val="24"/>
        </w:rPr>
        <w:t>。常见启动策略包括恒定电流</w:t>
      </w:r>
      <w:r>
        <w:rPr>
          <w:rFonts w:cs="Times New Roman"/>
          <w:szCs w:val="24"/>
        </w:rPr>
        <w:t>、线性升载</w:t>
      </w:r>
      <w:r>
        <w:rPr>
          <w:rFonts w:hint="eastAsia" w:cs="Times New Roman"/>
          <w:szCs w:val="24"/>
        </w:rPr>
        <w:t>和</w:t>
      </w:r>
      <w:r>
        <w:rPr>
          <w:rFonts w:cs="Times New Roman"/>
          <w:szCs w:val="24"/>
        </w:rPr>
        <w:t>分段阶梯</w:t>
      </w:r>
      <w:r>
        <w:rPr>
          <w:rFonts w:hint="eastAsia" w:cs="Times New Roman"/>
          <w:szCs w:val="24"/>
        </w:rPr>
        <w:t>等</w:t>
      </w:r>
      <w:r>
        <w:rPr>
          <w:rFonts w:cs="Times New Roman"/>
          <w:szCs w:val="24"/>
        </w:rPr>
        <w:t>形式</w:t>
      </w:r>
      <w:r>
        <w:rPr>
          <w:rFonts w:hint="eastAsia" w:cs="Times New Roman"/>
          <w:szCs w:val="24"/>
        </w:rPr>
        <w:t>（如图3所示）。</w:t>
      </w:r>
    </w:p>
    <w:p w14:paraId="6DEEA1B9">
      <w:pPr>
        <w:ind w:firstLine="0" w:firstLineChars="0"/>
        <w:jc w:val="center"/>
        <w:rPr>
          <w:rFonts w:cs="Times New Roman"/>
          <w:szCs w:val="24"/>
        </w:rPr>
      </w:pPr>
      <w:r>
        <w:rPr>
          <w:rFonts w:hint="eastAsia" w:cs="Times New Roman"/>
          <w:szCs w:val="24"/>
        </w:rPr>
        <w:drawing>
          <wp:inline distT="0" distB="0" distL="0" distR="0">
            <wp:extent cx="5288915" cy="1733550"/>
            <wp:effectExtent l="0" t="0" r="6985" b="0"/>
            <wp:docPr id="1"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折线图&#10;&#10;描述已自动生成"/>
                    <pic:cNvPicPr>
                      <a:picLocks noChangeAspect="1"/>
                    </pic:cNvPicPr>
                  </pic:nvPicPr>
                  <pic:blipFill>
                    <a:blip r:embed="rId16"/>
                    <a:srcRect/>
                    <a:stretch>
                      <a:fillRect/>
                    </a:stretch>
                  </pic:blipFill>
                  <pic:spPr>
                    <a:xfrm>
                      <a:off x="0" y="0"/>
                      <a:ext cx="5748090" cy="1883936"/>
                    </a:xfrm>
                    <a:prstGeom prst="rect">
                      <a:avLst/>
                    </a:prstGeom>
                    <a:ln>
                      <a:noFill/>
                    </a:ln>
                  </pic:spPr>
                </pic:pic>
              </a:graphicData>
            </a:graphic>
          </wp:inline>
        </w:drawing>
      </w:r>
    </w:p>
    <w:p w14:paraId="76BF19DC">
      <w:pPr>
        <w:ind w:firstLine="0" w:firstLineChars="0"/>
        <w:jc w:val="center"/>
        <w:rPr>
          <w:rFonts w:cs="Times New Roman"/>
          <w:sz w:val="21"/>
          <w:szCs w:val="21"/>
        </w:rPr>
      </w:pPr>
      <w:r>
        <w:rPr>
          <w:rFonts w:hint="eastAsia" w:cs="Times New Roman"/>
          <w:sz w:val="21"/>
          <w:szCs w:val="21"/>
        </w:rPr>
        <w:t xml:space="preserve">图3 </w:t>
      </w:r>
      <w:r>
        <w:rPr>
          <w:rFonts w:hint="eastAsia" w:cs="Times New Roman"/>
          <w:sz w:val="21"/>
          <w:szCs w:val="21"/>
          <w14:ligatures w14:val="standardContextual"/>
        </w:rPr>
        <w:t>恒流、线性升载和分段阶梯形式电流加载策略示意图</w:t>
      </w:r>
    </w:p>
    <w:p w14:paraId="2BA845DE">
      <w:pPr>
        <w:ind w:firstLine="480"/>
        <w:rPr>
          <w:rFonts w:cs="Times New Roman"/>
          <w:szCs w:val="24"/>
        </w:rPr>
      </w:pPr>
      <w:r>
        <w:rPr>
          <w:rFonts w:cs="Times New Roman"/>
          <w:szCs w:val="24"/>
        </w:rPr>
        <w:t>对于</w:t>
      </w:r>
      <w:r>
        <w:rPr>
          <w:rFonts w:hint="eastAsia" w:cs="Times New Roman"/>
          <w:szCs w:val="24"/>
        </w:rPr>
        <w:t>5</w:t>
      </w:r>
      <w:r>
        <w:rPr>
          <w:rFonts w:cs="Times New Roman"/>
          <w:szCs w:val="24"/>
        </w:rPr>
        <w:t>片</w:t>
      </w:r>
      <w:r>
        <w:rPr>
          <w:rFonts w:hint="eastAsia" w:cs="Times New Roman"/>
          <w:szCs w:val="24"/>
        </w:rPr>
        <w:t>单电池</w:t>
      </w:r>
      <w:r>
        <w:rPr>
          <w:rFonts w:cs="Times New Roman"/>
          <w:szCs w:val="24"/>
        </w:rPr>
        <w:t>串联</w:t>
      </w:r>
      <w:r>
        <w:rPr>
          <w:rFonts w:hint="eastAsia" w:cs="Times New Roman"/>
          <w:szCs w:val="24"/>
        </w:rPr>
        <w:t>的</w:t>
      </w:r>
      <w:r>
        <w:rPr>
          <w:rFonts w:cs="Times New Roman"/>
          <w:szCs w:val="24"/>
        </w:rPr>
        <w:t>电堆，各</w:t>
      </w:r>
      <w:r>
        <w:rPr>
          <w:rFonts w:hint="eastAsia" w:cs="Times New Roman"/>
          <w:szCs w:val="24"/>
        </w:rPr>
        <w:t>片</w:t>
      </w:r>
      <w:r>
        <w:rPr>
          <w:rFonts w:cs="Times New Roman"/>
          <w:szCs w:val="24"/>
        </w:rPr>
        <w:t>单电池通过</w:t>
      </w:r>
      <w:r>
        <w:rPr>
          <w:rFonts w:hint="eastAsia" w:cs="Times New Roman"/>
          <w:szCs w:val="24"/>
        </w:rPr>
        <w:t>导热</w:t>
      </w:r>
      <w:r>
        <w:rPr>
          <w:rFonts w:cs="Times New Roman"/>
          <w:szCs w:val="24"/>
        </w:rPr>
        <w:t>进行热交换，端部单电池还受到端板热容及</w:t>
      </w:r>
      <w:r>
        <w:rPr>
          <w:rFonts w:hint="eastAsia" w:cs="Times New Roman"/>
          <w:szCs w:val="24"/>
        </w:rPr>
        <w:t>对流换热</w:t>
      </w:r>
      <w:r>
        <w:rPr>
          <w:rFonts w:cs="Times New Roman"/>
          <w:szCs w:val="24"/>
        </w:rPr>
        <w:t>的影响，因而可能出现温度、电压和冰积累的不一致性</w:t>
      </w:r>
      <w:r>
        <w:rPr>
          <w:rFonts w:hint="eastAsia" w:cs="Times New Roman"/>
          <w:color w:val="000000"/>
          <w:szCs w:val="24"/>
          <w:vertAlign w:val="superscript"/>
        </w:rPr>
        <w:t>[5]</w:t>
      </w:r>
      <w:r>
        <w:rPr>
          <w:rFonts w:cs="Times New Roman"/>
          <w:szCs w:val="24"/>
        </w:rPr>
        <w:t>。</w:t>
      </w:r>
      <w:r>
        <w:rPr>
          <w:rFonts w:hint="eastAsia" w:cs="Times New Roman"/>
          <w:szCs w:val="24"/>
        </w:rPr>
        <w:t>单片电池之间的导热模型为：</w:t>
      </w:r>
    </w:p>
    <w:p w14:paraId="6EE4D819">
      <w:pPr>
        <w:pStyle w:val="30"/>
        <w:spacing w:before="0" w:beforeLines="0" w:after="0" w:afterLines="0"/>
      </w:pPr>
      <w:r>
        <w:rPr>
          <w:rFonts w:hint="eastAsia"/>
        </w:rPr>
        <w:tab/>
      </w:r>
      <w:r>
        <w:rPr>
          <w:rFonts w:hint="eastAsia"/>
          <w:position w:val="-24"/>
        </w:rPr>
        <w:object>
          <v:shape id="_x0000_i1026" o:spt="75" type="#_x0000_t75" style="height:31.7pt;width:203.9pt;" o:ole="t" filled="f" o:preferrelative="t" stroked="f" coordsize="21600,21600">
            <v:path/>
            <v:fill on="f" focussize="0,0"/>
            <v:stroke on="f" joinstyle="miter"/>
            <v:imagedata r:id="rId18" o:title=""/>
            <o:lock v:ext="edit" aspectratio="t"/>
            <w10:wrap type="none"/>
            <w10:anchorlock/>
          </v:shape>
          <o:OLEObject Type="Embed" ProgID="Equation.DSMT4" ShapeID="_x0000_i1026" DrawAspect="Content" ObjectID="_1468075726" r:id="rId17">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2</w:instrText>
      </w:r>
      <w:r>
        <w:rPr>
          <w:rFonts w:hint="eastAsia"/>
        </w:rPr>
        <w:fldChar w:fldCharType="end"/>
      </w:r>
      <w:r>
        <w:rPr>
          <w:rFonts w:hint="eastAsia"/>
        </w:rPr>
        <w:instrText xml:space="preserve">)</w:instrText>
      </w:r>
      <w:r>
        <w:rPr>
          <w:rFonts w:hint="eastAsia"/>
        </w:rPr>
        <w:fldChar w:fldCharType="end"/>
      </w:r>
    </w:p>
    <w:p w14:paraId="421215C7">
      <w:pPr>
        <w:ind w:firstLine="0" w:firstLineChars="0"/>
      </w:pPr>
      <w:r>
        <w:t>端部单电池与环境的对流换热</w:t>
      </w:r>
      <w:r>
        <w:rPr>
          <w:rFonts w:hint="eastAsia"/>
        </w:rPr>
        <w:t>模型为</w:t>
      </w:r>
      <w:r>
        <w:t>：</w:t>
      </w:r>
    </w:p>
    <w:p w14:paraId="3A0A7AA7">
      <w:pPr>
        <w:pStyle w:val="30"/>
        <w:spacing w:before="0" w:beforeLines="0" w:after="0" w:afterLines="0"/>
      </w:pPr>
      <w:r>
        <w:rPr>
          <w:rFonts w:hint="eastAsia"/>
        </w:rPr>
        <w:tab/>
      </w:r>
      <w:bookmarkStart w:id="1" w:name="OLE_LINK2"/>
      <w:r>
        <w:rPr>
          <w:rFonts w:hint="eastAsia"/>
          <w:position w:val="-10"/>
        </w:rPr>
        <w:object>
          <v:shape id="_x0000_i1027" o:spt="75" type="#_x0000_t75" style="height:18.15pt;width:162.15pt;" o:ole="t" filled="f" o:preferrelative="t" stroked="f" coordsize="21600,21600">
            <v:path/>
            <v:fill on="f" focussize="0,0"/>
            <v:stroke on="f" joinstyle="miter"/>
            <v:imagedata r:id="rId20" o:title=""/>
            <o:lock v:ext="edit" aspectratio="t"/>
            <w10:wrap type="none"/>
            <w10:anchorlock/>
          </v:shape>
          <o:OLEObject Type="Embed" ProgID="Equation.DSMT4" ShapeID="_x0000_i1027" DrawAspect="Content" ObjectID="_1468075727" r:id="rId19">
            <o:LockedField>false</o:LockedField>
          </o:OLEObject>
        </w:object>
      </w:r>
      <w:bookmarkEnd w:id="1"/>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3</w:instrText>
      </w:r>
      <w:r>
        <w:rPr>
          <w:rFonts w:hint="eastAsia"/>
        </w:rPr>
        <w:fldChar w:fldCharType="end"/>
      </w:r>
      <w:r>
        <w:rPr>
          <w:rFonts w:hint="eastAsia"/>
        </w:rPr>
        <w:instrText xml:space="preserve">)</w:instrText>
      </w:r>
      <w:r>
        <w:rPr>
          <w:rFonts w:hint="eastAsia"/>
        </w:rPr>
        <w:fldChar w:fldCharType="end"/>
      </w:r>
    </w:p>
    <w:p w14:paraId="45D3F46D">
      <w:pPr>
        <w:ind w:firstLine="0" w:firstLineChars="0"/>
      </w:pPr>
      <w:r>
        <w:rPr>
          <w:rFonts w:hint="eastAsia"/>
        </w:rPr>
        <w:t>式中</w:t>
      </w:r>
      <w:r>
        <w:t>，</w:t>
      </w:r>
      <w:r>
        <w:rPr>
          <w:rFonts w:hint="eastAsia"/>
          <w:position w:val="-10"/>
        </w:rPr>
        <w:object>
          <v:shape id="_x0000_i1028" o:spt="75" type="#_x0000_t75" style="height:18.15pt;width:11.6pt;" o:ole="t" filled="f" o:preferrelative="t" stroked="f" coordsize="21600,21600">
            <v:path/>
            <v:fill on="f" focussize="0,0"/>
            <v:stroke on="f" joinstyle="miter"/>
            <v:imagedata r:id="rId22" o:title=""/>
            <o:lock v:ext="edit" aspectratio="t"/>
            <w10:wrap type="none"/>
            <w10:anchorlock/>
          </v:shape>
          <o:OLEObject Type="Embed" ProgID="Equation.DSMT4" ShapeID="_x0000_i1028" DrawAspect="Content" ObjectID="_1468075728" r:id="rId21">
            <o:LockedField>false</o:LockedField>
          </o:OLEObject>
        </w:object>
      </w:r>
      <w:r>
        <w:rPr>
          <w:rFonts w:hint="eastAsia"/>
        </w:rPr>
        <w:t>为功率，</w:t>
      </w:r>
      <w:r>
        <w:rPr>
          <w:rFonts w:hint="eastAsia"/>
          <w:i/>
          <w:iCs/>
        </w:rPr>
        <w:t>A</w:t>
      </w:r>
      <w:r>
        <w:rPr>
          <w:rFonts w:hint="eastAsia"/>
        </w:rPr>
        <w:t>为换热面积，即电池截面积</w:t>
      </w:r>
      <w:r>
        <w:rPr>
          <w:rFonts w:hint="eastAsia"/>
          <w:i/>
          <w:iCs/>
        </w:rPr>
        <w:t>A</w:t>
      </w:r>
      <w:r>
        <w:rPr>
          <w:rFonts w:hint="eastAsia"/>
        </w:rPr>
        <w:t>=25 cm</w:t>
      </w:r>
      <w:r>
        <w:rPr>
          <w:rFonts w:hint="eastAsia"/>
          <w:vertAlign w:val="superscript"/>
        </w:rPr>
        <w:t>2</w:t>
      </w:r>
      <w:r>
        <w:rPr>
          <w:rFonts w:hint="eastAsia"/>
        </w:rPr>
        <w:t>，</w:t>
      </w:r>
      <w:r>
        <w:rPr>
          <w:rFonts w:hint="eastAsia"/>
          <w:i/>
          <w:iCs/>
        </w:rPr>
        <w:t>T</w:t>
      </w:r>
      <w:r>
        <w:rPr>
          <w:rFonts w:hint="eastAsia"/>
          <w:i/>
          <w:iCs/>
          <w:vertAlign w:val="subscript"/>
        </w:rPr>
        <w:t>k</w:t>
      </w:r>
      <w:r>
        <w:rPr>
          <w:rFonts w:hint="eastAsia"/>
        </w:rPr>
        <w:t>(</w:t>
      </w:r>
      <w:r>
        <w:rPr>
          <w:rFonts w:hint="eastAsia"/>
          <w:i/>
          <w:iCs/>
        </w:rPr>
        <w:t>t</w:t>
      </w:r>
      <w:r>
        <w:rPr>
          <w:rFonts w:hint="eastAsia"/>
        </w:rPr>
        <w:t>)为第</w:t>
      </w:r>
      <w:r>
        <w:rPr>
          <w:rFonts w:hint="eastAsia"/>
          <w:i/>
          <w:iCs/>
        </w:rPr>
        <w:t>k</w:t>
      </w:r>
      <w:r>
        <w:rPr>
          <w:rFonts w:hint="eastAsia"/>
        </w:rPr>
        <w:t>片单电池在</w:t>
      </w:r>
      <w:r>
        <w:rPr>
          <w:rFonts w:hint="eastAsia"/>
          <w:i/>
          <w:iCs/>
        </w:rPr>
        <w:t>t</w:t>
      </w:r>
      <w:r>
        <w:rPr>
          <w:rFonts w:hint="eastAsia"/>
        </w:rPr>
        <w:t>时刻的平均温度，</w:t>
      </w:r>
      <w:r>
        <w:rPr>
          <w:rFonts w:hint="eastAsia"/>
          <w:i/>
          <w:iCs/>
        </w:rPr>
        <w:t>T</w:t>
      </w:r>
      <w:r>
        <w:rPr>
          <w:rFonts w:hint="eastAsia"/>
          <w:vertAlign w:val="subscript"/>
        </w:rPr>
        <w:t>amb</w:t>
      </w:r>
      <w:r>
        <w:rPr>
          <w:rFonts w:hint="eastAsia"/>
        </w:rPr>
        <w:t>为环境温度，</w:t>
      </w:r>
      <w:r>
        <w:rPr>
          <w:rFonts w:hint="eastAsia"/>
          <w:i/>
          <w:iCs/>
        </w:rPr>
        <w:t>k</w:t>
      </w:r>
      <w:r>
        <w:rPr>
          <w:vertAlign w:val="subscript"/>
        </w:rPr>
        <w:t>eff</w:t>
      </w:r>
      <w:r>
        <w:t>为等效导热系数，</w:t>
      </w:r>
      <w:r>
        <w:rPr>
          <w:i/>
          <w:iCs/>
        </w:rPr>
        <w:t>δ</w:t>
      </w:r>
      <w:r>
        <w:t>为相邻电池间的传热距离，</w:t>
      </w:r>
      <w:r>
        <w:rPr>
          <w:i/>
          <w:iCs/>
        </w:rPr>
        <w:t>h</w:t>
      </w:r>
      <w:r>
        <w:rPr>
          <w:rFonts w:hint="eastAsia"/>
        </w:rPr>
        <w:t>=</w:t>
      </w:r>
      <w:r>
        <w:t>40</w:t>
      </w:r>
      <w:r>
        <w:rPr>
          <w:rFonts w:hint="eastAsia"/>
        </w:rPr>
        <w:t xml:space="preserve"> </w:t>
      </w:r>
      <w:r>
        <w:t>W</w:t>
      </w:r>
      <w:r>
        <w:rPr>
          <w:rFonts w:cs="Times New Roman"/>
        </w:rPr>
        <w:t>·</w:t>
      </w:r>
      <w:r>
        <w:t>m</w:t>
      </w:r>
      <w:r>
        <w:rPr>
          <w:vertAlign w:val="superscript"/>
        </w:rPr>
        <w:t>−2</w:t>
      </w:r>
      <w:r>
        <w:rPr>
          <w:rFonts w:cs="Times New Roman"/>
        </w:rPr>
        <w:t>·</w:t>
      </w:r>
      <w:r>
        <w:t>K</w:t>
      </w:r>
      <w:r>
        <w:rPr>
          <w:vertAlign w:val="superscript"/>
        </w:rPr>
        <w:t>−1</w:t>
      </w:r>
      <w:r>
        <w:t>为对流换热系数</w:t>
      </w:r>
      <w:r>
        <w:rPr>
          <w:rFonts w:hint="eastAsia"/>
        </w:rPr>
        <w:t>，</w:t>
      </w:r>
      <w:r>
        <w:t>阳极、阴极双极板厚度均为2 mm，端板厚度为10 mm</w:t>
      </w:r>
      <w:r>
        <w:rPr>
          <w:rFonts w:hint="eastAsia"/>
        </w:rPr>
        <w:t>。</w:t>
      </w:r>
      <w:r>
        <w:t>将相邻单电池间的导热功率及端部对流散热功率计入备注1所示的单电池能量守恒方程，即可求得各片单电池的温度随时间的变化。</w:t>
      </w:r>
      <w:r>
        <w:rPr>
          <w:rFonts w:cs="Times New Roman"/>
          <w:szCs w:val="24"/>
        </w:rPr>
        <w:t>假设各电池反应气体流量分配</w:t>
      </w:r>
      <w:r>
        <w:rPr>
          <w:rFonts w:hint="eastAsia" w:cs="Times New Roman"/>
          <w:szCs w:val="24"/>
        </w:rPr>
        <w:t>均匀</w:t>
      </w:r>
      <w:r>
        <w:rPr>
          <w:rFonts w:cs="Times New Roman"/>
          <w:szCs w:val="24"/>
        </w:rPr>
        <w:t>，不考虑分配差异，仅考虑端部效应及电池间传热。五片单电池串联工作，</w:t>
      </w:r>
      <w:r>
        <w:rPr>
          <w:rFonts w:hint="eastAsia" w:cs="Times New Roman"/>
          <w:szCs w:val="24"/>
        </w:rPr>
        <w:t>施加</w:t>
      </w:r>
      <w:r>
        <w:rPr>
          <w:rFonts w:cs="Times New Roman"/>
          <w:szCs w:val="24"/>
        </w:rPr>
        <w:t>相同的电流密度</w:t>
      </w:r>
      <w:r>
        <w:rPr>
          <w:rFonts w:hint="eastAsia" w:cs="Times New Roman"/>
          <w:szCs w:val="24"/>
        </w:rPr>
        <w:t>。</w:t>
      </w:r>
      <w:r>
        <w:rPr>
          <w:rFonts w:cs="Times New Roman"/>
          <w:szCs w:val="24"/>
        </w:rPr>
        <w:t>给定单位面积累积电荷量上限</w:t>
      </w:r>
      <w:r>
        <w:rPr>
          <w:rFonts w:cs="Times New Roman"/>
          <w:i/>
          <w:iCs/>
          <w:szCs w:val="24"/>
        </w:rPr>
        <w:t>q</w:t>
      </w:r>
      <w:r>
        <w:rPr>
          <w:rFonts w:cs="Times New Roman"/>
          <w:szCs w:val="24"/>
          <w:vertAlign w:val="subscript"/>
        </w:rPr>
        <w:t>max</w:t>
      </w:r>
      <w:r>
        <w:rPr>
          <w:rFonts w:hint="eastAsia" w:cs="Times New Roman"/>
          <w:szCs w:val="24"/>
        </w:rPr>
        <w:t>=20 C</w:t>
      </w:r>
      <w:r>
        <w:rPr>
          <w:rFonts w:cs="Times New Roman"/>
        </w:rPr>
        <w:t>·</w:t>
      </w:r>
      <w:r>
        <w:rPr>
          <w:rFonts w:hint="eastAsia" w:cs="Times New Roman"/>
          <w:szCs w:val="24"/>
        </w:rPr>
        <w:t>cm</w:t>
      </w:r>
      <w:r>
        <w:rPr>
          <w:rFonts w:hint="eastAsia" w:cs="Times New Roman"/>
          <w:szCs w:val="24"/>
          <w:vertAlign w:val="superscript"/>
        </w:rPr>
        <w:t>-2</w:t>
      </w:r>
      <w:r>
        <w:rPr>
          <w:rFonts w:cs="Times New Roman"/>
          <w:szCs w:val="24"/>
        </w:rPr>
        <w:t>和最大电流密度</w:t>
      </w:r>
      <w:r>
        <w:rPr>
          <w:rFonts w:cs="Times New Roman"/>
          <w:i/>
          <w:iCs/>
          <w:szCs w:val="24"/>
        </w:rPr>
        <w:t>j</w:t>
      </w:r>
      <w:r>
        <w:rPr>
          <w:rFonts w:cs="Times New Roman"/>
          <w:szCs w:val="24"/>
          <w:vertAlign w:val="subscript"/>
        </w:rPr>
        <w:t>max</w:t>
      </w:r>
      <w:r>
        <w:rPr>
          <w:rFonts w:hint="eastAsia" w:cs="Times New Roman"/>
          <w:szCs w:val="24"/>
        </w:rPr>
        <w:t>=0.5 A</w:t>
      </w:r>
      <w:r>
        <w:rPr>
          <w:rFonts w:cs="Times New Roman"/>
        </w:rPr>
        <w:t>·</w:t>
      </w:r>
      <w:r>
        <w:rPr>
          <w:rFonts w:hint="eastAsia" w:cs="Times New Roman"/>
          <w:szCs w:val="24"/>
        </w:rPr>
        <w:t>cm</w:t>
      </w:r>
      <w:r>
        <w:rPr>
          <w:rFonts w:hint="eastAsia" w:cs="Times New Roman"/>
          <w:szCs w:val="24"/>
          <w:vertAlign w:val="superscript"/>
        </w:rPr>
        <w:t>-2</w:t>
      </w:r>
      <w:r>
        <w:rPr>
          <w:rFonts w:cs="Times New Roman"/>
          <w:szCs w:val="24"/>
        </w:rPr>
        <w:t>，电流加载</w:t>
      </w:r>
      <w:r>
        <w:rPr>
          <w:rFonts w:hint="eastAsia" w:cs="Times New Roman"/>
          <w:szCs w:val="24"/>
        </w:rPr>
        <w:t>策略曲线</w:t>
      </w:r>
      <w:r>
        <w:rPr>
          <w:rFonts w:hint="eastAsia"/>
          <w:position w:val="-10"/>
        </w:rPr>
        <w:object>
          <v:shape id="_x0000_i1029" o:spt="75" type="#_x0000_t75" style="height:15.6pt;width:20.15pt;" o:ole="t" filled="f" o:preferrelative="t" stroked="f" coordsize="21600,21600">
            <v:path/>
            <v:fill on="f" focussize="0,0"/>
            <v:stroke on="f" joinstyle="miter"/>
            <v:imagedata r:id="rId24" o:title=""/>
            <o:lock v:ext="edit" aspectratio="t"/>
            <w10:wrap type="none"/>
            <w10:anchorlock/>
          </v:shape>
          <o:OLEObject Type="Embed" ProgID="Equation.DSMT4" ShapeID="_x0000_i1029" DrawAspect="Content" ObjectID="_1468075729" r:id="rId23">
            <o:LockedField>false</o:LockedField>
          </o:OLEObject>
        </w:object>
      </w:r>
      <w:r>
        <w:rPr>
          <w:rFonts w:cs="Times New Roman"/>
          <w:szCs w:val="24"/>
        </w:rPr>
        <w:t>应满足</w:t>
      </w:r>
      <w:r>
        <w:rPr>
          <w:rFonts w:hint="eastAsia" w:cs="Times New Roman"/>
          <w:szCs w:val="24"/>
        </w:rPr>
        <w:t>约束条件：</w:t>
      </w:r>
    </w:p>
    <w:p w14:paraId="185EAA40">
      <w:pPr>
        <w:pStyle w:val="30"/>
        <w:spacing w:before="0" w:beforeLines="0" w:after="0" w:afterLines="0"/>
      </w:pPr>
      <w:r>
        <w:rPr>
          <w:rFonts w:hint="eastAsia"/>
        </w:rPr>
        <w:tab/>
      </w:r>
      <w:r>
        <w:rPr>
          <w:rFonts w:hint="eastAsia"/>
          <w:position w:val="-18"/>
        </w:rPr>
        <w:object>
          <v:shape id="_x0000_i1030" o:spt="75" type="#_x0000_t75" style="height:26.2pt;width:159.6pt;" o:ole="t" filled="f" o:preferrelative="t" stroked="f" coordsize="21600,21600">
            <v:path/>
            <v:fill on="f" focussize="0,0"/>
            <v:stroke on="f" joinstyle="miter"/>
            <v:imagedata r:id="rId26" o:title=""/>
            <o:lock v:ext="edit" aspectratio="t"/>
            <w10:wrap type="none"/>
            <w10:anchorlock/>
          </v:shape>
          <o:OLEObject Type="Embed" ProgID="Equation.DSMT4" ShapeID="_x0000_i1030" DrawAspect="Content" ObjectID="_1468075730" r:id="rId25">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4</w:instrText>
      </w:r>
      <w:r>
        <w:rPr>
          <w:rFonts w:hint="eastAsia"/>
        </w:rPr>
        <w:fldChar w:fldCharType="end"/>
      </w:r>
      <w:r>
        <w:rPr>
          <w:rFonts w:hint="eastAsia"/>
        </w:rPr>
        <w:instrText xml:space="preserve">)</w:instrText>
      </w:r>
      <w:r>
        <w:rPr>
          <w:rFonts w:hint="eastAsia"/>
        </w:rPr>
        <w:fldChar w:fldCharType="end"/>
      </w:r>
    </w:p>
    <w:p w14:paraId="26388534">
      <w:pPr>
        <w:ind w:firstLine="0" w:firstLineChars="0"/>
      </w:pPr>
      <w:r>
        <w:rPr>
          <w:rFonts w:hint="eastAsia"/>
        </w:rPr>
        <w:t>式中，</w:t>
      </w:r>
      <w:r>
        <w:rPr>
          <w:rFonts w:hint="eastAsia"/>
          <w:i/>
          <w:iCs/>
        </w:rPr>
        <w:t>t</w:t>
      </w:r>
      <w:r>
        <w:rPr>
          <w:rFonts w:hint="eastAsia"/>
          <w:i/>
          <w:iCs/>
          <w:vertAlign w:val="subscript"/>
        </w:rPr>
        <w:t>s</w:t>
      </w:r>
      <w:r>
        <w:rPr>
          <w:rFonts w:hint="eastAsia"/>
        </w:rPr>
        <w:t>为</w:t>
      </w:r>
      <w:r>
        <w:t>达到</w:t>
      </w:r>
      <w:r>
        <w:rPr>
          <w:rFonts w:hint="eastAsia"/>
        </w:rPr>
        <w:t>启动成功</w:t>
      </w:r>
      <w:r>
        <w:t>条件的时刻</w:t>
      </w:r>
      <w:r>
        <w:rPr>
          <w:rFonts w:hint="eastAsia"/>
        </w:rPr>
        <w:t>。</w:t>
      </w:r>
      <w:r>
        <w:t>实际消耗单位面积累积电荷量</w:t>
      </w:r>
      <w:r>
        <w:rPr>
          <w:rFonts w:hint="eastAsia"/>
          <w:position w:val="-10"/>
        </w:rPr>
        <w:object>
          <v:shape id="_x0000_i1031" o:spt="75" type="#_x0000_t75" style="height:18.15pt;width:18.15pt;" o:ole="t" filled="f" o:preferrelative="t" stroked="f" coordsize="21600,21600">
            <v:path/>
            <v:fill on="f" focussize="0,0"/>
            <v:stroke on="f" joinstyle="miter"/>
            <v:imagedata r:id="rId28" o:title=""/>
            <o:lock v:ext="edit" aspectratio="t"/>
            <w10:wrap type="none"/>
            <w10:anchorlock/>
          </v:shape>
          <o:OLEObject Type="Embed" ProgID="Equation.DSMT4" ShapeID="_x0000_i1031" DrawAspect="Content" ObjectID="_1468075731" r:id="rId27">
            <o:LockedField>false</o:LockedField>
          </o:OLEObject>
        </w:object>
      </w:r>
      <w:r>
        <w:t>为</w:t>
      </w:r>
      <w:r>
        <w:rPr>
          <w:rFonts w:hint="eastAsia"/>
        </w:rPr>
        <w:t>：</w:t>
      </w:r>
    </w:p>
    <w:p w14:paraId="489E9877">
      <w:pPr>
        <w:pStyle w:val="30"/>
        <w:spacing w:before="0" w:beforeLines="0" w:after="0" w:afterLines="0"/>
      </w:pPr>
      <w:r>
        <w:rPr>
          <w:rFonts w:hint="eastAsia"/>
        </w:rPr>
        <w:tab/>
      </w:r>
      <w:r>
        <w:rPr>
          <w:rFonts w:hint="eastAsia"/>
          <w:position w:val="-18"/>
        </w:rPr>
        <w:object>
          <v:shape id="_x0000_i1032" o:spt="75" type="#_x0000_t75" style="height:26.2pt;width:76.55pt;" o:ole="t" filled="f" o:preferrelative="t" stroked="f" coordsize="21600,21600">
            <v:path/>
            <v:fill on="f" focussize="0,0"/>
            <v:stroke on="f" joinstyle="miter"/>
            <v:imagedata r:id="rId30" o:title=""/>
            <o:lock v:ext="edit" aspectratio="t"/>
            <w10:wrap type="none"/>
            <w10:anchorlock/>
          </v:shape>
          <o:OLEObject Type="Embed" ProgID="Equation.DSMT4" ShapeID="_x0000_i1032" DrawAspect="Content" ObjectID="_1468075732" r:id="rId29">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5</w:instrText>
      </w:r>
      <w:r>
        <w:rPr>
          <w:rFonts w:hint="eastAsia"/>
        </w:rPr>
        <w:fldChar w:fldCharType="end"/>
      </w:r>
      <w:r>
        <w:rPr>
          <w:rFonts w:hint="eastAsia"/>
        </w:rPr>
        <w:instrText xml:space="preserve">)</w:instrText>
      </w:r>
      <w:r>
        <w:rPr>
          <w:rFonts w:hint="eastAsia"/>
        </w:rPr>
        <w:fldChar w:fldCharType="end"/>
      </w:r>
    </w:p>
    <w:p w14:paraId="3F856732">
      <w:pPr>
        <w:ind w:firstLine="480"/>
      </w:pPr>
      <w:r>
        <w:t>将所有单电池同时达到以下条件的最早时刻定义为电堆启动成功</w:t>
      </w:r>
      <w:r>
        <w:rPr>
          <w:rFonts w:hint="eastAsia"/>
        </w:rPr>
        <w:t>：</w:t>
      </w:r>
    </w:p>
    <w:p w14:paraId="5550BAAF">
      <w:pPr>
        <w:pStyle w:val="30"/>
        <w:spacing w:before="0" w:beforeLines="0" w:after="0" w:afterLines="0"/>
      </w:pPr>
      <w:r>
        <w:rPr>
          <w:rFonts w:hint="eastAsia"/>
        </w:rPr>
        <w:tab/>
      </w:r>
      <w:r>
        <w:rPr>
          <w:rFonts w:hint="eastAsia"/>
          <w:position w:val="-10"/>
        </w:rPr>
        <w:object>
          <v:shape id="_x0000_i1033" o:spt="75" type="#_x0000_t75" style="height:18.15pt;width:104.2pt;" o:ole="t" filled="f" o:preferrelative="t" stroked="f" coordsize="21600,21600">
            <v:path/>
            <v:fill on="f" focussize="0,0"/>
            <v:stroke on="f" joinstyle="miter"/>
            <v:imagedata r:id="rId32" o:title=""/>
            <o:lock v:ext="edit" aspectratio="t"/>
            <w10:wrap type="none"/>
            <w10:anchorlock/>
          </v:shape>
          <o:OLEObject Type="Embed" ProgID="Equation.DSMT4" ShapeID="_x0000_i1033" DrawAspect="Content" ObjectID="_1468075733" r:id="rId31">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6</w:instrText>
      </w:r>
      <w:r>
        <w:rPr>
          <w:rFonts w:hint="eastAsia"/>
        </w:rPr>
        <w:fldChar w:fldCharType="end"/>
      </w:r>
      <w:r>
        <w:rPr>
          <w:rFonts w:hint="eastAsia"/>
        </w:rPr>
        <w:instrText xml:space="preserve">)</w:instrText>
      </w:r>
      <w:r>
        <w:rPr>
          <w:rFonts w:hint="eastAsia"/>
        </w:rPr>
        <w:fldChar w:fldCharType="end"/>
      </w:r>
    </w:p>
    <w:p w14:paraId="7E8FE559">
      <w:pPr>
        <w:pStyle w:val="30"/>
        <w:spacing w:before="0" w:beforeLines="0" w:after="0" w:afterLines="0"/>
      </w:pPr>
      <w:r>
        <w:rPr>
          <w:rFonts w:hint="eastAsia"/>
        </w:rPr>
        <w:tab/>
      </w:r>
      <w:r>
        <w:rPr>
          <w:rFonts w:hint="eastAsia"/>
          <w:position w:val="-10"/>
        </w:rPr>
        <w:object>
          <v:shape id="_x0000_i1034" o:spt="75" type="#_x0000_t75" style="height:18.15pt;width:114.3pt;" o:ole="t" filled="f" o:preferrelative="t" stroked="f" coordsize="21600,21600">
            <v:path/>
            <v:fill on="f" focussize="0,0"/>
            <v:stroke on="f" joinstyle="miter"/>
            <v:imagedata r:id="rId34" o:title=""/>
            <o:lock v:ext="edit" aspectratio="t"/>
            <w10:wrap type="none"/>
            <w10:anchorlock/>
          </v:shape>
          <o:OLEObject Type="Embed" ProgID="Equation.DSMT4" ShapeID="_x0000_i1034" DrawAspect="Content" ObjectID="_1468075734" r:id="rId33">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7</w:instrText>
      </w:r>
      <w:r>
        <w:rPr>
          <w:rFonts w:hint="eastAsia"/>
        </w:rPr>
        <w:fldChar w:fldCharType="end"/>
      </w:r>
      <w:r>
        <w:rPr>
          <w:rFonts w:hint="eastAsia"/>
        </w:rPr>
        <w:instrText xml:space="preserve">)</w:instrText>
      </w:r>
      <w:r>
        <w:rPr>
          <w:rFonts w:hint="eastAsia"/>
        </w:rPr>
        <w:fldChar w:fldCharType="end"/>
      </w:r>
    </w:p>
    <w:p w14:paraId="34E93499">
      <w:pPr>
        <w:pStyle w:val="30"/>
        <w:spacing w:before="0" w:beforeLines="0" w:after="0" w:afterLines="0"/>
      </w:pPr>
      <w:r>
        <w:rPr>
          <w:rFonts w:hint="eastAsia"/>
        </w:rPr>
        <w:tab/>
      </w:r>
      <w:r>
        <w:rPr>
          <w:rFonts w:hint="eastAsia"/>
          <w:position w:val="-10"/>
        </w:rPr>
        <w:object>
          <v:shape id="_x0000_i1035" o:spt="75" type="#_x0000_t75" style="height:18.15pt;width:165.15pt;" o:ole="t" filled="f" o:preferrelative="t" stroked="f" coordsize="21600,21600">
            <v:path/>
            <v:fill on="f" focussize="0,0"/>
            <v:stroke on="f" joinstyle="miter"/>
            <v:imagedata r:id="rId36" o:title=""/>
            <o:lock v:ext="edit" aspectratio="t"/>
            <w10:wrap type="none"/>
            <w10:anchorlock/>
          </v:shape>
          <o:OLEObject Type="Embed" ProgID="Equation.DSMT4" ShapeID="_x0000_i1035" DrawAspect="Content" ObjectID="_1468075735" r:id="rId35">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8</w:instrText>
      </w:r>
      <w:r>
        <w:rPr>
          <w:rFonts w:hint="eastAsia"/>
        </w:rPr>
        <w:fldChar w:fldCharType="end"/>
      </w:r>
      <w:r>
        <w:rPr>
          <w:rFonts w:hint="eastAsia"/>
        </w:rPr>
        <w:instrText xml:space="preserve">)</w:instrText>
      </w:r>
      <w:r>
        <w:rPr>
          <w:rFonts w:hint="eastAsia"/>
        </w:rPr>
        <w:fldChar w:fldCharType="end"/>
      </w:r>
    </w:p>
    <w:p w14:paraId="0AF61BB0">
      <w:pPr>
        <w:ind w:firstLine="0" w:firstLineChars="0"/>
      </w:pPr>
      <w:r>
        <w:rPr>
          <w:rFonts w:hint="eastAsia"/>
        </w:rPr>
        <w:t>式中</w:t>
      </w:r>
      <w:r>
        <w:t>，</w:t>
      </w:r>
      <w:r>
        <w:rPr>
          <w:i/>
          <w:iCs/>
        </w:rPr>
        <w:t>V</w:t>
      </w:r>
      <w:r>
        <w:rPr>
          <w:i/>
          <w:iCs/>
          <w:vertAlign w:val="subscript"/>
        </w:rPr>
        <w:t>k</w:t>
      </w:r>
      <w:r>
        <w:t xml:space="preserve"> (</w:t>
      </w:r>
      <w:r>
        <w:rPr>
          <w:i/>
          <w:iCs/>
        </w:rPr>
        <w:t>t</w:t>
      </w:r>
      <w:r>
        <w:t>)为</w:t>
      </w:r>
      <w:r>
        <w:rPr>
          <w:i/>
          <w:iCs/>
        </w:rPr>
        <w:t>t</w:t>
      </w:r>
      <w:r>
        <w:t>时刻第</w:t>
      </w:r>
      <w:r>
        <w:rPr>
          <w:i/>
          <w:iCs/>
        </w:rPr>
        <w:t>k</w:t>
      </w:r>
      <w:r>
        <w:t>片电池的电压</w:t>
      </w:r>
      <w:r>
        <w:rPr>
          <w:rFonts w:hint="eastAsia"/>
        </w:rPr>
        <w:t>，</w:t>
      </w:r>
      <w:r>
        <w:rPr>
          <w:i/>
          <w:iCs/>
        </w:rPr>
        <w:t>ε</w:t>
      </w:r>
      <w:r>
        <w:rPr>
          <w:i/>
          <w:iCs/>
          <w:vertAlign w:val="subscript"/>
        </w:rPr>
        <w:t>i</w:t>
      </w:r>
      <w:r>
        <w:rPr>
          <w:rFonts w:hint="eastAsia"/>
          <w:i/>
          <w:iCs/>
          <w:vertAlign w:val="subscript"/>
        </w:rPr>
        <w:t>ce,</w:t>
      </w:r>
      <w:r>
        <w:rPr>
          <w:i/>
          <w:iCs/>
          <w:vertAlign w:val="subscript"/>
        </w:rPr>
        <w:t>k</w:t>
      </w:r>
      <w:r>
        <w:rPr>
          <w:rFonts w:hint="eastAsia"/>
          <w:i/>
          <w:iCs/>
        </w:rPr>
        <w:t xml:space="preserve"> </w:t>
      </w:r>
      <w:r>
        <w:rPr>
          <w:rFonts w:hint="eastAsia"/>
        </w:rPr>
        <w:t>(</w:t>
      </w:r>
      <w:r>
        <w:rPr>
          <w:rFonts w:hint="eastAsia"/>
          <w:i/>
          <w:iCs/>
        </w:rPr>
        <w:t>t</w:t>
      </w:r>
      <w:r>
        <w:rPr>
          <w:rFonts w:hint="eastAsia"/>
        </w:rPr>
        <w:t>)</w:t>
      </w:r>
      <w:r>
        <w:t>为</w:t>
      </w:r>
      <w:r>
        <w:rPr>
          <w:i/>
          <w:iCs/>
        </w:rPr>
        <w:t>t</w:t>
      </w:r>
      <w:r>
        <w:t>时刻第</w:t>
      </w:r>
      <w:r>
        <w:rPr>
          <w:i/>
          <w:iCs/>
        </w:rPr>
        <w:t>k</w:t>
      </w:r>
      <w:r>
        <w:t>片单电池内的局部冰体积分数</w:t>
      </w:r>
      <w:r>
        <w:rPr>
          <w:rFonts w:hint="eastAsia"/>
        </w:rPr>
        <w:t>，</w:t>
      </w:r>
      <w:r>
        <w:t>用于表征冰相在多孔介质中的空间占据程度，其定义为冰相体积与对应控制体总体积的比值</w:t>
      </w:r>
      <w:r>
        <w:rPr>
          <w:rFonts w:hint="eastAsia"/>
        </w:rPr>
        <w:t>，可</w:t>
      </w:r>
      <w:r>
        <w:t>由</w:t>
      </w:r>
      <w:r>
        <w:rPr>
          <w:rFonts w:hint="eastAsia"/>
        </w:rPr>
        <w:t>离散后的</w:t>
      </w:r>
      <w:r>
        <w:t>冰相控制方程在各网格节点处求解得到</w:t>
      </w:r>
      <w:r>
        <w:rPr>
          <w:rFonts w:hint="eastAsia"/>
        </w:rPr>
        <w:t>：</w:t>
      </w:r>
    </w:p>
    <w:p w14:paraId="025E1C27">
      <w:pPr>
        <w:pStyle w:val="30"/>
      </w:pPr>
      <w:r>
        <w:rPr>
          <w:rFonts w:hint="eastAsia"/>
        </w:rPr>
        <w:tab/>
      </w:r>
      <w:r>
        <w:rPr>
          <w:rFonts w:hint="eastAsia"/>
          <w:position w:val="-28"/>
        </w:rPr>
        <w:object>
          <v:shape id="_x0000_i1036" o:spt="75" type="#_x0000_t75" style="height:33.25pt;width:132.4pt;" o:ole="t" filled="f" o:preferrelative="t" stroked="f" coordsize="21600,21600">
            <v:path/>
            <v:fill on="f" focussize="0,0"/>
            <v:stroke on="f" joinstyle="miter"/>
            <v:imagedata r:id="rId38" o:title=""/>
            <o:lock v:ext="edit" aspectratio="t"/>
            <w10:wrap type="none"/>
            <w10:anchorlock/>
          </v:shape>
          <o:OLEObject Type="Embed" ProgID="Equation.DSMT4" ShapeID="_x0000_i1036" DrawAspect="Content" ObjectID="_1468075736" r:id="rId37">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9</w:instrText>
      </w:r>
      <w:r>
        <w:rPr>
          <w:rFonts w:hint="eastAsia"/>
        </w:rPr>
        <w:fldChar w:fldCharType="end"/>
      </w:r>
      <w:r>
        <w:rPr>
          <w:rFonts w:hint="eastAsia"/>
        </w:rPr>
        <w:instrText xml:space="preserve">)</w:instrText>
      </w:r>
      <w:r>
        <w:rPr>
          <w:rFonts w:hint="eastAsia"/>
        </w:rPr>
        <w:fldChar w:fldCharType="end"/>
      </w:r>
    </w:p>
    <w:p w14:paraId="6FE3DACB">
      <w:pPr>
        <w:ind w:firstLine="0" w:firstLineChars="0"/>
      </w:pPr>
      <w:r>
        <w:t>式中，</w:t>
      </w:r>
      <w:r>
        <w:rPr>
          <w:i/>
          <w:iCs/>
        </w:rPr>
        <w:t>ε</w:t>
      </w:r>
      <w:r>
        <w:rPr>
          <w:i/>
          <w:iCs/>
          <w:vertAlign w:val="subscript"/>
        </w:rPr>
        <w:t>ice,i​</w:t>
      </w:r>
      <w:r>
        <w:t>(</w:t>
      </w:r>
      <w:r>
        <w:rPr>
          <w:i/>
          <w:iCs/>
        </w:rPr>
        <w:t>t)</w:t>
      </w:r>
      <w:r>
        <w:t>为</w:t>
      </w:r>
      <w:r>
        <w:rPr>
          <w:i/>
          <w:iCs/>
        </w:rPr>
        <w:t>t</w:t>
      </w:r>
      <w:r>
        <w:t>时刻第</w:t>
      </w:r>
      <w:r>
        <w:rPr>
          <w:i/>
          <w:iCs/>
        </w:rPr>
        <w:t>i</w:t>
      </w:r>
      <w:r>
        <w:t>个计算网格内的局部冰体积分数，</w:t>
      </w:r>
      <w:r>
        <w:rPr>
          <w:i/>
          <w:iCs/>
        </w:rPr>
        <w:t>V</w:t>
      </w:r>
      <w:r>
        <w:rPr>
          <w:i/>
          <w:iCs/>
          <w:vertAlign w:val="subscript"/>
        </w:rPr>
        <w:t>ice,i</w:t>
      </w:r>
      <w:r>
        <w:t>​(</w:t>
      </w:r>
      <w:r>
        <w:rPr>
          <w:i/>
          <w:iCs/>
        </w:rPr>
        <w:t>t</w:t>
      </w:r>
      <w:r>
        <w:t>)和</w:t>
      </w:r>
      <w:r>
        <w:rPr>
          <w:i/>
          <w:iCs/>
        </w:rPr>
        <w:t>V</w:t>
      </w:r>
      <w:r>
        <w:rPr>
          <w:i/>
          <w:iCs/>
          <w:vertAlign w:val="subscript"/>
        </w:rPr>
        <w:t>cell,i</w:t>
      </w:r>
      <w:r>
        <w:rPr>
          <w:i/>
          <w:iCs/>
        </w:rPr>
        <w:t>​</w:t>
      </w:r>
      <w:r>
        <w:t>分别表示该网格内冰相体积和控制体总体积；对于一维厚度方向离散模型，其等效表示为冰相占据厚度Δ</w:t>
      </w:r>
      <w:r>
        <w:rPr>
          <w:i/>
          <w:iCs/>
        </w:rPr>
        <w:t>x</w:t>
      </w:r>
      <w:r>
        <w:rPr>
          <w:i/>
          <w:iCs/>
          <w:vertAlign w:val="subscript"/>
        </w:rPr>
        <w:t>ice,i</w:t>
      </w:r>
      <w:r>
        <w:t>​(</w:t>
      </w:r>
      <w:r>
        <w:rPr>
          <w:i/>
          <w:iCs/>
        </w:rPr>
        <w:t>t</w:t>
      </w:r>
      <w:r>
        <w:t>)与网格厚度Δ</w:t>
      </w:r>
      <w:r>
        <w:rPr>
          <w:i/>
          <w:iCs/>
        </w:rPr>
        <w:t>x</w:t>
      </w:r>
      <w:r>
        <w:rPr>
          <w:i/>
          <w:iCs/>
          <w:vertAlign w:val="subscript"/>
        </w:rPr>
        <w:t>i</w:t>
      </w:r>
      <w:r>
        <w:t>​的比值。</w:t>
      </w:r>
      <w:r>
        <w:rPr>
          <w:rFonts w:hint="eastAsia"/>
        </w:rPr>
        <w:t>请解决以下问题</w:t>
      </w:r>
      <w:r>
        <w:t>：</w:t>
      </w:r>
    </w:p>
    <w:p w14:paraId="00F158AF">
      <w:pPr>
        <w:ind w:firstLine="480"/>
        <w:rPr>
          <w:rFonts w:cs="Times New Roman"/>
          <w:szCs w:val="24"/>
        </w:rPr>
      </w:pPr>
      <w:r>
        <w:rPr>
          <w:rFonts w:hint="eastAsia" w:cs="Times New Roman"/>
          <w:szCs w:val="24"/>
        </w:rPr>
        <w:t>（1）基于</w:t>
      </w:r>
      <w:r>
        <w:rPr>
          <w:rFonts w:cs="Times New Roman"/>
          <w:szCs w:val="24"/>
        </w:rPr>
        <w:t>问题1单电池</w:t>
      </w:r>
      <w:r>
        <w:rPr>
          <w:rFonts w:hint="eastAsia" w:cs="Times New Roman"/>
          <w:szCs w:val="24"/>
        </w:rPr>
        <w:t>瞬态冷启动</w:t>
      </w:r>
      <w:r>
        <w:rPr>
          <w:rFonts w:cs="Times New Roman"/>
          <w:szCs w:val="24"/>
        </w:rPr>
        <w:t>模型</w:t>
      </w:r>
      <w:r>
        <w:rPr>
          <w:rFonts w:hint="eastAsia" w:cs="Times New Roman"/>
          <w:szCs w:val="24"/>
        </w:rPr>
        <w:t>，</w:t>
      </w:r>
      <w:r>
        <w:rPr>
          <w:rFonts w:cs="Times New Roman"/>
          <w:szCs w:val="24"/>
        </w:rPr>
        <w:t>在</w:t>
      </w:r>
      <w:r>
        <w:rPr>
          <w:rFonts w:hint="eastAsia" w:cs="Times New Roman"/>
          <w:szCs w:val="24"/>
        </w:rPr>
        <w:t>固定</w:t>
      </w:r>
      <w:r>
        <w:rPr>
          <w:rFonts w:cs="Times New Roman"/>
          <w:szCs w:val="24"/>
        </w:rPr>
        <w:t>初始温度为−10 ℃的条件下，以缩短</w:t>
      </w:r>
      <w:r>
        <w:t>达到</w:t>
      </w:r>
      <w:r>
        <w:rPr>
          <w:rFonts w:hint="eastAsia"/>
        </w:rPr>
        <w:t>启动成功</w:t>
      </w:r>
      <w:r>
        <w:t>条件的时刻</w:t>
      </w:r>
      <w:r>
        <w:rPr>
          <w:rFonts w:hint="eastAsia" w:cs="Times New Roman"/>
          <w:i/>
          <w:iCs/>
          <w:szCs w:val="24"/>
        </w:rPr>
        <w:t>t</w:t>
      </w:r>
      <w:r>
        <w:rPr>
          <w:rFonts w:hint="eastAsia" w:cs="Times New Roman"/>
          <w:i/>
          <w:iCs/>
          <w:szCs w:val="24"/>
          <w:vertAlign w:val="subscript"/>
        </w:rPr>
        <w:t>s</w:t>
      </w:r>
      <w:r>
        <w:rPr>
          <w:rFonts w:cs="Times New Roman"/>
          <w:szCs w:val="24"/>
        </w:rPr>
        <w:t>为</w:t>
      </w:r>
      <w:r>
        <w:rPr>
          <w:rFonts w:hint="eastAsia" w:cs="Times New Roman"/>
          <w:szCs w:val="24"/>
        </w:rPr>
        <w:t>优化</w:t>
      </w:r>
      <w:r>
        <w:rPr>
          <w:rFonts w:cs="Times New Roman"/>
          <w:szCs w:val="24"/>
        </w:rPr>
        <w:t>目标</w:t>
      </w:r>
      <w:r>
        <w:rPr>
          <w:rFonts w:hint="eastAsia" w:cs="Times New Roman"/>
          <w:szCs w:val="24"/>
        </w:rPr>
        <w:t>，设计</w:t>
      </w:r>
      <w:r>
        <w:rPr>
          <w:rFonts w:cs="Times New Roman"/>
          <w:szCs w:val="24"/>
        </w:rPr>
        <w:t>恒流加载、线性升载和分段阶梯形式的</w:t>
      </w:r>
      <w:r>
        <w:rPr>
          <w:rFonts w:cs="Times New Roman"/>
          <w:i/>
          <w:iCs/>
          <w:szCs w:val="24"/>
        </w:rPr>
        <w:t>j</w:t>
      </w:r>
      <w:r>
        <w:rPr>
          <w:rFonts w:cs="Times New Roman"/>
          <w:szCs w:val="24"/>
        </w:rPr>
        <w:t>(</w:t>
      </w:r>
      <w:r>
        <w:rPr>
          <w:rFonts w:cs="Times New Roman"/>
          <w:i/>
          <w:iCs/>
          <w:szCs w:val="24"/>
        </w:rPr>
        <w:t>t</w:t>
      </w:r>
      <w:r>
        <w:rPr>
          <w:rFonts w:cs="Times New Roman"/>
          <w:szCs w:val="24"/>
        </w:rPr>
        <w:t>)</w:t>
      </w:r>
      <w:r>
        <w:rPr>
          <w:rFonts w:hint="eastAsia" w:cs="Times New Roman"/>
          <w:szCs w:val="24"/>
        </w:rPr>
        <w:t>，并填写下表：</w:t>
      </w:r>
    </w:p>
    <w:p w14:paraId="1D16B2B3">
      <w:pPr>
        <w:ind w:firstLine="0" w:firstLineChars="0"/>
        <w:jc w:val="center"/>
        <w:rPr>
          <w:rFonts w:cs="Times New Roman"/>
          <w:szCs w:val="24"/>
        </w:rPr>
      </w:pPr>
      <w:r>
        <w:rPr>
          <w:rFonts w:cs="Times New Roman"/>
          <w:szCs w:val="24"/>
        </w:rPr>
        <w:t>表</w:t>
      </w:r>
      <w:r>
        <w:rPr>
          <w:rFonts w:hint="eastAsia" w:cs="Times New Roman"/>
          <w:szCs w:val="24"/>
        </w:rPr>
        <w:t>3</w:t>
      </w:r>
      <w:r>
        <w:rPr>
          <w:rFonts w:cs="Times New Roman"/>
          <w:szCs w:val="24"/>
        </w:rPr>
        <w:t xml:space="preserve"> 不同加载策略下</w:t>
      </w:r>
      <w:r>
        <w:rPr>
          <w:rFonts w:hint="eastAsia" w:cs="Times New Roman"/>
          <w:szCs w:val="24"/>
        </w:rPr>
        <w:t>电堆</w:t>
      </w:r>
      <w:r>
        <w:rPr>
          <w:rFonts w:cs="Times New Roman"/>
          <w:szCs w:val="24"/>
        </w:rPr>
        <w:t>冷启动性能优化结果对比</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1"/>
        <w:gridCol w:w="1004"/>
        <w:gridCol w:w="829"/>
        <w:gridCol w:w="1291"/>
        <w:gridCol w:w="1422"/>
        <w:gridCol w:w="872"/>
        <w:gridCol w:w="1135"/>
        <w:gridCol w:w="742"/>
      </w:tblGrid>
      <w:tr w14:paraId="38FD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0" w:type="auto"/>
            <w:noWrap/>
            <w:vAlign w:val="center"/>
          </w:tcPr>
          <w:p w14:paraId="151CB4B5">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加载策略</w:t>
            </w:r>
          </w:p>
        </w:tc>
        <w:tc>
          <w:tcPr>
            <w:tcW w:w="0" w:type="auto"/>
            <w:noWrap/>
            <w:vAlign w:val="center"/>
          </w:tcPr>
          <w:p w14:paraId="094D3104">
            <w:pPr>
              <w:widowControl/>
              <w:spacing w:line="240" w:lineRule="auto"/>
              <w:ind w:firstLine="0" w:firstLineChars="0"/>
              <w:jc w:val="center"/>
              <w:rPr>
                <w:rFonts w:ascii="宋体" w:hAnsi="宋体" w:cs="宋体"/>
                <w:b/>
                <w:bCs/>
                <w:color w:val="000000"/>
                <w:kern w:val="0"/>
                <w:sz w:val="21"/>
                <w:szCs w:val="21"/>
              </w:rPr>
            </w:pPr>
            <w:r>
              <w:rPr>
                <w:rFonts w:hint="eastAsia" w:ascii="宋体" w:hAnsi="宋体" w:cs="宋体"/>
                <w:b/>
                <w:bCs/>
                <w:color w:val="000000"/>
                <w:kern w:val="0"/>
                <w:sz w:val="21"/>
                <w:szCs w:val="21"/>
              </w:rPr>
              <w:t>最优加载参数</w:t>
            </w:r>
          </w:p>
        </w:tc>
        <w:tc>
          <w:tcPr>
            <w:tcW w:w="0" w:type="auto"/>
            <w:noWrap/>
            <w:vAlign w:val="center"/>
          </w:tcPr>
          <w:p w14:paraId="715E0ED6">
            <w:pPr>
              <w:widowControl/>
              <w:spacing w:line="240" w:lineRule="auto"/>
              <w:ind w:firstLine="0" w:firstLineChars="0"/>
              <w:jc w:val="center"/>
              <w:rPr>
                <w:rFonts w:cs="Times New Roman"/>
                <w:b/>
                <w:bCs/>
                <w:color w:val="000000"/>
                <w:kern w:val="0"/>
                <w:sz w:val="21"/>
                <w:szCs w:val="21"/>
              </w:rPr>
            </w:pPr>
            <w:r>
              <w:rPr>
                <w:rFonts w:cs="Times New Roman"/>
                <w:b/>
                <w:bCs/>
                <w:color w:val="000000"/>
                <w:kern w:val="0"/>
                <w:sz w:val="21"/>
                <w:szCs w:val="21"/>
              </w:rPr>
              <w:t>启动时间/s</w:t>
            </w:r>
          </w:p>
        </w:tc>
        <w:tc>
          <w:tcPr>
            <w:tcW w:w="0" w:type="auto"/>
            <w:noWrap/>
            <w:vAlign w:val="center"/>
          </w:tcPr>
          <w:p w14:paraId="406C2446">
            <w:pPr>
              <w:widowControl/>
              <w:spacing w:line="240" w:lineRule="auto"/>
              <w:ind w:firstLine="0" w:firstLineChars="0"/>
              <w:jc w:val="center"/>
              <w:rPr>
                <w:rFonts w:cs="Times New Roman"/>
                <w:b/>
                <w:bCs/>
                <w:color w:val="000000"/>
                <w:kern w:val="0"/>
                <w:sz w:val="21"/>
                <w:szCs w:val="21"/>
              </w:rPr>
            </w:pPr>
            <w:r>
              <w:rPr>
                <w:rFonts w:cs="Times New Roman"/>
                <w:b/>
                <w:bCs/>
                <w:color w:val="000000"/>
                <w:kern w:val="0"/>
                <w:sz w:val="21"/>
                <w:szCs w:val="21"/>
              </w:rPr>
              <w:t>累计电荷量/C</w:t>
            </w:r>
            <w:r>
              <w:rPr>
                <w:rFonts w:cs="Times New Roman"/>
              </w:rPr>
              <w:t>·</w:t>
            </w:r>
            <w:r>
              <w:rPr>
                <w:rFonts w:cs="Times New Roman"/>
                <w:b/>
                <w:bCs/>
                <w:color w:val="000000"/>
                <w:kern w:val="0"/>
                <w:sz w:val="21"/>
                <w:szCs w:val="21"/>
              </w:rPr>
              <w:t>cm</w:t>
            </w:r>
            <w:r>
              <w:rPr>
                <w:rFonts w:cs="Times New Roman"/>
                <w:b/>
                <w:bCs/>
                <w:color w:val="000000"/>
                <w:kern w:val="0"/>
                <w:sz w:val="21"/>
                <w:szCs w:val="21"/>
                <w:vertAlign w:val="superscript"/>
              </w:rPr>
              <w:t>-2</w:t>
            </w:r>
          </w:p>
        </w:tc>
        <w:tc>
          <w:tcPr>
            <w:tcW w:w="0" w:type="auto"/>
            <w:noWrap/>
            <w:vAlign w:val="center"/>
          </w:tcPr>
          <w:p w14:paraId="0FB86713">
            <w:pPr>
              <w:widowControl/>
              <w:spacing w:line="240" w:lineRule="auto"/>
              <w:ind w:firstLine="0" w:firstLineChars="0"/>
              <w:jc w:val="center"/>
              <w:rPr>
                <w:rFonts w:cs="Times New Roman"/>
                <w:b/>
                <w:bCs/>
                <w:color w:val="000000"/>
                <w:kern w:val="0"/>
                <w:sz w:val="21"/>
                <w:szCs w:val="21"/>
              </w:rPr>
            </w:pPr>
            <w:r>
              <w:rPr>
                <w:rFonts w:cs="Times New Roman"/>
                <w:b/>
                <w:bCs/>
                <w:color w:val="000000"/>
                <w:kern w:val="0"/>
                <w:sz w:val="21"/>
                <w:szCs w:val="21"/>
              </w:rPr>
              <w:t>最大电流密度</w:t>
            </w:r>
            <w:r>
              <w:rPr>
                <w:rFonts w:hint="eastAsia" w:cs="Times New Roman"/>
                <w:b/>
                <w:bCs/>
                <w:color w:val="000000"/>
                <w:kern w:val="0"/>
                <w:sz w:val="21"/>
                <w:szCs w:val="21"/>
              </w:rPr>
              <w:t>/A</w:t>
            </w:r>
            <w:r>
              <w:rPr>
                <w:rFonts w:cs="Times New Roman"/>
              </w:rPr>
              <w:t>·</w:t>
            </w:r>
            <w:r>
              <w:rPr>
                <w:rFonts w:hint="eastAsia" w:cs="Times New Roman"/>
                <w:b/>
                <w:bCs/>
                <w:color w:val="000000"/>
                <w:kern w:val="0"/>
                <w:sz w:val="21"/>
                <w:szCs w:val="21"/>
              </w:rPr>
              <w:t>cm</w:t>
            </w:r>
            <w:r>
              <w:rPr>
                <w:rFonts w:hint="eastAsia" w:cs="Times New Roman"/>
                <w:b/>
                <w:bCs/>
                <w:color w:val="000000"/>
                <w:kern w:val="0"/>
                <w:sz w:val="21"/>
                <w:szCs w:val="21"/>
                <w:vertAlign w:val="superscript"/>
              </w:rPr>
              <w:t>-2</w:t>
            </w:r>
          </w:p>
        </w:tc>
        <w:tc>
          <w:tcPr>
            <w:tcW w:w="0" w:type="auto"/>
            <w:noWrap/>
            <w:vAlign w:val="center"/>
          </w:tcPr>
          <w:p w14:paraId="30570EFB">
            <w:pPr>
              <w:widowControl/>
              <w:spacing w:line="240" w:lineRule="auto"/>
              <w:ind w:firstLine="0" w:firstLineChars="0"/>
              <w:jc w:val="center"/>
              <w:rPr>
                <w:rFonts w:cs="Times New Roman"/>
                <w:b/>
                <w:bCs/>
                <w:color w:val="000000"/>
                <w:kern w:val="0"/>
                <w:sz w:val="21"/>
                <w:szCs w:val="21"/>
              </w:rPr>
            </w:pPr>
            <w:r>
              <w:rPr>
                <w:rFonts w:cs="Times New Roman"/>
                <w:b/>
                <w:bCs/>
                <w:color w:val="000000"/>
                <w:kern w:val="0"/>
                <w:sz w:val="21"/>
                <w:szCs w:val="21"/>
              </w:rPr>
              <w:t>最低电压</w:t>
            </w:r>
            <w:r>
              <w:rPr>
                <w:rFonts w:hint="eastAsia" w:cs="Times New Roman"/>
                <w:b/>
                <w:bCs/>
                <w:color w:val="000000"/>
                <w:kern w:val="0"/>
                <w:sz w:val="21"/>
                <w:szCs w:val="21"/>
              </w:rPr>
              <w:t>/V</w:t>
            </w:r>
          </w:p>
        </w:tc>
        <w:tc>
          <w:tcPr>
            <w:tcW w:w="0" w:type="auto"/>
            <w:noWrap/>
            <w:vAlign w:val="center"/>
          </w:tcPr>
          <w:p w14:paraId="16E68D2D">
            <w:pPr>
              <w:widowControl/>
              <w:spacing w:line="240" w:lineRule="auto"/>
              <w:ind w:firstLine="0" w:firstLineChars="0"/>
              <w:jc w:val="center"/>
              <w:rPr>
                <w:rFonts w:cs="Times New Roman"/>
                <w:b/>
                <w:bCs/>
                <w:color w:val="000000"/>
                <w:kern w:val="0"/>
                <w:sz w:val="21"/>
                <w:szCs w:val="21"/>
              </w:rPr>
            </w:pPr>
            <w:r>
              <w:rPr>
                <w:rFonts w:cs="Times New Roman"/>
                <w:b/>
                <w:bCs/>
                <w:color w:val="000000"/>
                <w:kern w:val="0"/>
                <w:sz w:val="21"/>
                <w:szCs w:val="21"/>
              </w:rPr>
              <w:t>最大冰体积分数</w:t>
            </w:r>
          </w:p>
        </w:tc>
        <w:tc>
          <w:tcPr>
            <w:tcW w:w="0" w:type="auto"/>
            <w:noWrap/>
            <w:vAlign w:val="center"/>
          </w:tcPr>
          <w:p w14:paraId="25C2B098">
            <w:pPr>
              <w:widowControl/>
              <w:spacing w:line="240" w:lineRule="auto"/>
              <w:ind w:firstLine="0" w:firstLineChars="0"/>
              <w:jc w:val="center"/>
              <w:rPr>
                <w:rFonts w:cs="Times New Roman"/>
                <w:b/>
                <w:bCs/>
                <w:color w:val="000000"/>
                <w:kern w:val="0"/>
                <w:sz w:val="21"/>
                <w:szCs w:val="21"/>
              </w:rPr>
            </w:pPr>
            <w:r>
              <w:rPr>
                <w:rFonts w:cs="Times New Roman"/>
                <w:b/>
                <w:bCs/>
                <w:color w:val="000000"/>
                <w:kern w:val="0"/>
                <w:sz w:val="21"/>
                <w:szCs w:val="21"/>
              </w:rPr>
              <w:t>启动结果</w:t>
            </w:r>
          </w:p>
        </w:tc>
      </w:tr>
      <w:tr w14:paraId="2970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0" w:type="auto"/>
            <w:noWrap/>
            <w:vAlign w:val="center"/>
          </w:tcPr>
          <w:p w14:paraId="71654D1F">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恒流策略</w:t>
            </w:r>
          </w:p>
        </w:tc>
        <w:tc>
          <w:tcPr>
            <w:tcW w:w="0" w:type="auto"/>
            <w:noWrap/>
            <w:vAlign w:val="center"/>
          </w:tcPr>
          <w:p w14:paraId="564C8955">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513D7172">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3D360E03">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5DC45CA2">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5122A0FF">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388730ED">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356CC938">
            <w:pPr>
              <w:widowControl/>
              <w:spacing w:line="240" w:lineRule="auto"/>
              <w:ind w:firstLine="0" w:firstLineChars="0"/>
              <w:jc w:val="center"/>
              <w:rPr>
                <w:rFonts w:ascii="宋体" w:hAnsi="宋体" w:cs="宋体"/>
                <w:color w:val="000000"/>
                <w:kern w:val="0"/>
                <w:sz w:val="21"/>
                <w:szCs w:val="21"/>
              </w:rPr>
            </w:pPr>
          </w:p>
        </w:tc>
      </w:tr>
      <w:tr w14:paraId="3E9B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0" w:type="auto"/>
            <w:noWrap/>
            <w:vAlign w:val="center"/>
          </w:tcPr>
          <w:p w14:paraId="4F085F33">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线性升载</w:t>
            </w:r>
          </w:p>
        </w:tc>
        <w:tc>
          <w:tcPr>
            <w:tcW w:w="0" w:type="auto"/>
            <w:noWrap/>
            <w:vAlign w:val="center"/>
          </w:tcPr>
          <w:p w14:paraId="0F390484">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196EFF64">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52486516">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3E5ADAF4">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3E8E93F0">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7ECE3B18">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48BE10EA">
            <w:pPr>
              <w:widowControl/>
              <w:spacing w:line="240" w:lineRule="auto"/>
              <w:ind w:firstLine="0" w:firstLineChars="0"/>
              <w:jc w:val="center"/>
              <w:rPr>
                <w:rFonts w:ascii="宋体" w:hAnsi="宋体" w:cs="宋体"/>
                <w:color w:val="000000"/>
                <w:kern w:val="0"/>
                <w:sz w:val="21"/>
                <w:szCs w:val="21"/>
              </w:rPr>
            </w:pPr>
          </w:p>
        </w:tc>
      </w:tr>
      <w:tr w14:paraId="7B3B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0" w:type="auto"/>
            <w:noWrap/>
            <w:vAlign w:val="center"/>
          </w:tcPr>
          <w:p w14:paraId="74FA83EB">
            <w:pPr>
              <w:widowControl/>
              <w:spacing w:line="240" w:lineRule="auto"/>
              <w:ind w:firstLine="0" w:firstLineChars="0"/>
              <w:jc w:val="center"/>
              <w:rPr>
                <w:rFonts w:ascii="宋体" w:hAnsi="宋体" w:cs="宋体"/>
                <w:color w:val="000000"/>
                <w:kern w:val="0"/>
                <w:sz w:val="21"/>
                <w:szCs w:val="21"/>
              </w:rPr>
            </w:pPr>
            <w:r>
              <w:rPr>
                <w:rFonts w:hint="eastAsia" w:ascii="宋体" w:hAnsi="宋体" w:cs="宋体"/>
                <w:color w:val="000000"/>
                <w:kern w:val="0"/>
                <w:sz w:val="21"/>
                <w:szCs w:val="21"/>
              </w:rPr>
              <w:t>分段阶梯加载</w:t>
            </w:r>
          </w:p>
        </w:tc>
        <w:tc>
          <w:tcPr>
            <w:tcW w:w="0" w:type="auto"/>
            <w:noWrap/>
            <w:vAlign w:val="center"/>
          </w:tcPr>
          <w:p w14:paraId="49A3C56F">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2AD9FEEE">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0815AE81">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42D44DA0">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65B2C6E5">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16851BE1">
            <w:pPr>
              <w:widowControl/>
              <w:spacing w:line="240" w:lineRule="auto"/>
              <w:ind w:firstLine="0" w:firstLineChars="0"/>
              <w:jc w:val="center"/>
              <w:rPr>
                <w:rFonts w:ascii="宋体" w:hAnsi="宋体" w:cs="宋体"/>
                <w:color w:val="000000"/>
                <w:kern w:val="0"/>
                <w:sz w:val="21"/>
                <w:szCs w:val="21"/>
              </w:rPr>
            </w:pPr>
          </w:p>
        </w:tc>
        <w:tc>
          <w:tcPr>
            <w:tcW w:w="0" w:type="auto"/>
            <w:noWrap/>
            <w:vAlign w:val="center"/>
          </w:tcPr>
          <w:p w14:paraId="0B8B54AB">
            <w:pPr>
              <w:widowControl/>
              <w:spacing w:line="240" w:lineRule="auto"/>
              <w:ind w:firstLine="0" w:firstLineChars="0"/>
              <w:jc w:val="center"/>
              <w:rPr>
                <w:rFonts w:ascii="宋体" w:hAnsi="宋体" w:cs="宋体"/>
                <w:color w:val="000000"/>
                <w:kern w:val="0"/>
                <w:sz w:val="21"/>
                <w:szCs w:val="21"/>
              </w:rPr>
            </w:pPr>
          </w:p>
        </w:tc>
      </w:tr>
    </w:tbl>
    <w:p w14:paraId="0422B2FA">
      <w:pPr>
        <w:ind w:firstLine="480"/>
        <w:rPr>
          <w:rFonts w:cs="Times New Roman"/>
          <w:color w:val="00B050"/>
          <w:szCs w:val="24"/>
        </w:rPr>
      </w:pPr>
      <w:r>
        <w:rPr>
          <w:rFonts w:cs="Times New Roman"/>
          <w:szCs w:val="24"/>
        </w:rPr>
        <w:t>（2）采用优化后的加载策略</w:t>
      </w:r>
      <w:r>
        <w:rPr>
          <w:rFonts w:hint="eastAsia" w:cs="Times New Roman"/>
          <w:szCs w:val="24"/>
        </w:rPr>
        <w:t>模型</w:t>
      </w:r>
      <w:r>
        <w:rPr>
          <w:rFonts w:cs="Times New Roman"/>
          <w:szCs w:val="24"/>
        </w:rPr>
        <w:t>，</w:t>
      </w:r>
      <w:r>
        <w:rPr>
          <w:rFonts w:hint="eastAsia" w:cs="Times New Roman"/>
          <w:szCs w:val="24"/>
        </w:rPr>
        <w:t>在</w:t>
      </w:r>
      <w:r>
        <w:rPr>
          <w:rFonts w:cs="Times New Roman"/>
          <w:i/>
          <w:iCs/>
          <w:szCs w:val="24"/>
        </w:rPr>
        <w:t>q</w:t>
      </w:r>
      <w:r>
        <w:rPr>
          <w:rFonts w:cs="Times New Roman"/>
          <w:szCs w:val="24"/>
          <w:vertAlign w:val="subscript"/>
        </w:rPr>
        <w:t>max</w:t>
      </w:r>
      <w:r>
        <w:rPr>
          <w:rFonts w:hint="eastAsia" w:cs="Times New Roman"/>
          <w:szCs w:val="24"/>
        </w:rPr>
        <w:t>=20 C</w:t>
      </w:r>
      <w:r>
        <w:rPr>
          <w:rFonts w:cs="Times New Roman"/>
        </w:rPr>
        <w:t>·</w:t>
      </w:r>
      <w:r>
        <w:rPr>
          <w:rFonts w:hint="eastAsia" w:cs="Times New Roman"/>
          <w:szCs w:val="24"/>
        </w:rPr>
        <w:t>cm</w:t>
      </w:r>
      <w:r>
        <w:rPr>
          <w:rFonts w:hint="eastAsia" w:cs="Times New Roman"/>
          <w:szCs w:val="24"/>
          <w:vertAlign w:val="superscript"/>
        </w:rPr>
        <w:t>-2</w:t>
      </w:r>
      <w:r>
        <w:rPr>
          <w:rFonts w:cs="Times New Roman"/>
          <w:szCs w:val="24"/>
        </w:rPr>
        <w:t>和</w:t>
      </w:r>
      <w:r>
        <w:rPr>
          <w:rFonts w:cs="Times New Roman"/>
          <w:i/>
          <w:iCs/>
          <w:szCs w:val="24"/>
        </w:rPr>
        <w:t>j</w:t>
      </w:r>
      <w:r>
        <w:rPr>
          <w:rFonts w:cs="Times New Roman"/>
          <w:szCs w:val="24"/>
          <w:vertAlign w:val="subscript"/>
        </w:rPr>
        <w:t>max</w:t>
      </w:r>
      <w:r>
        <w:rPr>
          <w:rFonts w:hint="eastAsia" w:cs="Times New Roman"/>
          <w:szCs w:val="24"/>
        </w:rPr>
        <w:t>=0.5 A</w:t>
      </w:r>
      <w:r>
        <w:rPr>
          <w:rFonts w:cs="Times New Roman"/>
        </w:rPr>
        <w:t>·</w:t>
      </w:r>
      <w:r>
        <w:rPr>
          <w:rFonts w:hint="eastAsia" w:cs="Times New Roman"/>
          <w:szCs w:val="24"/>
        </w:rPr>
        <w:t>cm</w:t>
      </w:r>
      <w:r>
        <w:rPr>
          <w:rFonts w:hint="eastAsia" w:cs="Times New Roman"/>
          <w:szCs w:val="24"/>
          <w:vertAlign w:val="superscript"/>
        </w:rPr>
        <w:t>-2</w:t>
      </w:r>
      <w:r>
        <w:rPr>
          <w:rFonts w:hint="eastAsia" w:cs="Times New Roman"/>
          <w:szCs w:val="24"/>
        </w:rPr>
        <w:t>约束</w:t>
      </w:r>
      <w:r>
        <w:rPr>
          <w:rFonts w:cs="Times New Roman"/>
          <w:szCs w:val="24"/>
        </w:rPr>
        <w:t>下</w:t>
      </w:r>
      <w:r>
        <w:rPr>
          <w:rFonts w:hint="eastAsia" w:cs="Times New Roman"/>
          <w:szCs w:val="24"/>
        </w:rPr>
        <w:t>，</w:t>
      </w:r>
      <w:r>
        <w:rPr>
          <w:rFonts w:cs="Times New Roman"/>
          <w:szCs w:val="24"/>
        </w:rPr>
        <w:t>确定电堆能够实现自冷启动的最低初始温度</w:t>
      </w:r>
      <w:r>
        <w:rPr>
          <w:rFonts w:hint="eastAsia" w:cs="Times New Roman"/>
          <w:i/>
          <w:iCs/>
          <w:szCs w:val="24"/>
        </w:rPr>
        <w:t>T</w:t>
      </w:r>
      <w:r>
        <w:rPr>
          <w:rFonts w:cs="Times New Roman"/>
          <w:szCs w:val="24"/>
          <w:vertAlign w:val="subscript"/>
        </w:rPr>
        <w:t>0</w:t>
      </w:r>
      <w:r>
        <w:rPr>
          <w:rFonts w:hint="eastAsia" w:cs="Times New Roman"/>
          <w:szCs w:val="24"/>
        </w:rPr>
        <w:t>；</w:t>
      </w:r>
      <w:r>
        <w:t>并分析</w:t>
      </w:r>
      <w:r>
        <w:rPr>
          <w:rFonts w:hint="eastAsia"/>
        </w:rPr>
        <w:t>当温度低于</w:t>
      </w:r>
      <w:r>
        <w:rPr>
          <w:rFonts w:hint="eastAsia" w:cs="Times New Roman"/>
          <w:i/>
          <w:iCs/>
          <w:szCs w:val="24"/>
        </w:rPr>
        <w:t>T</w:t>
      </w:r>
      <w:r>
        <w:rPr>
          <w:rFonts w:cs="Times New Roman"/>
          <w:szCs w:val="24"/>
          <w:vertAlign w:val="subscript"/>
        </w:rPr>
        <w:t>0</w:t>
      </w:r>
      <w:r>
        <w:rPr>
          <w:rFonts w:hint="eastAsia"/>
        </w:rPr>
        <w:t>时</w:t>
      </w:r>
      <w:r>
        <w:t>导致电堆启动失败的关键单电池</w:t>
      </w:r>
      <w:r>
        <w:rPr>
          <w:rFonts w:hint="eastAsia"/>
        </w:rPr>
        <w:t>及其</w:t>
      </w:r>
      <w:r>
        <w:t>原因</w:t>
      </w:r>
      <w:r>
        <w:rPr>
          <w:rFonts w:cs="Times New Roman"/>
          <w:szCs w:val="24"/>
        </w:rPr>
        <w:t>。</w:t>
      </w:r>
      <w:bookmarkStart w:id="9" w:name="_GoBack"/>
      <w:bookmarkEnd w:id="9"/>
    </w:p>
    <w:p w14:paraId="635BF5A2">
      <w:pPr>
        <w:spacing w:after="156" w:afterLines="50"/>
        <w:ind w:firstLine="0" w:firstLineChars="0"/>
        <w:rPr>
          <w:rFonts w:ascii="宋体" w:hAnsi="宋体" w:cs="Times New Roman"/>
          <w:b/>
          <w:bCs/>
          <w:szCs w:val="24"/>
        </w:rPr>
      </w:pPr>
      <w:r>
        <w:rPr>
          <w:rFonts w:cs="Times New Roman"/>
          <w:b/>
          <w:bCs/>
          <w:szCs w:val="24"/>
        </w:rPr>
        <w:t>问题</w:t>
      </w:r>
      <w:r>
        <w:rPr>
          <w:rFonts w:hint="eastAsia" w:cs="Times New Roman"/>
          <w:b/>
          <w:bCs/>
          <w:szCs w:val="24"/>
        </w:rPr>
        <w:t>3</w:t>
      </w:r>
      <w:r>
        <w:rPr>
          <w:rFonts w:cs="Times New Roman"/>
          <w:b/>
          <w:bCs/>
          <w:szCs w:val="24"/>
        </w:rPr>
        <w:t>：</w:t>
      </w:r>
      <w:r>
        <w:rPr>
          <w:rFonts w:hint="eastAsia" w:cs="Times New Roman"/>
          <w:b/>
          <w:bCs/>
          <w:szCs w:val="24"/>
        </w:rPr>
        <w:t>电堆</w:t>
      </w:r>
      <w:r>
        <w:rPr>
          <w:rFonts w:hint="eastAsia" w:ascii="宋体" w:hAnsi="宋体" w:cs="Times New Roman"/>
          <w:b/>
          <w:bCs/>
          <w:szCs w:val="24"/>
        </w:rPr>
        <w:t>辅助冷启动策略建模与优化</w:t>
      </w:r>
    </w:p>
    <w:p w14:paraId="76292633">
      <w:pPr>
        <w:snapToGrid w:val="0"/>
        <w:ind w:firstLine="480"/>
        <w:rPr>
          <w:rFonts w:cs="Times New Roman"/>
          <w:szCs w:val="24"/>
        </w:rPr>
      </w:pPr>
      <w:r>
        <w:rPr>
          <w:rFonts w:cs="Times New Roman"/>
          <w:szCs w:val="24"/>
        </w:rPr>
        <w:t>问题2通过优化电流加载曲线提高了电堆的自冷启动能力，但在更低环境温度下</w:t>
      </w:r>
      <w:r>
        <w:rPr>
          <w:rFonts w:hint="eastAsia" w:cs="Times New Roman"/>
          <w:szCs w:val="24"/>
        </w:rPr>
        <w:t>（比如-</w:t>
      </w:r>
      <w:r>
        <w:rPr>
          <w:rFonts w:cs="Times New Roman"/>
          <w:szCs w:val="24"/>
        </w:rPr>
        <w:t>30</w:t>
      </w:r>
      <w:r>
        <w:rPr>
          <w:rFonts w:cs="Times New Roman"/>
        </w:rPr>
        <w:t>℃</w:t>
      </w:r>
      <w:r>
        <w:rPr>
          <w:rFonts w:hint="eastAsia" w:cs="Times New Roman"/>
        </w:rPr>
        <w:t>及以下</w:t>
      </w:r>
      <w:r>
        <w:rPr>
          <w:rFonts w:hint="eastAsia" w:cs="Times New Roman"/>
          <w:szCs w:val="24"/>
        </w:rPr>
        <w:t>）</w:t>
      </w:r>
      <w:r>
        <w:rPr>
          <w:rFonts w:cs="Times New Roman"/>
          <w:szCs w:val="24"/>
        </w:rPr>
        <w:t>，仅依靠电化学反应产热仍可能无法</w:t>
      </w:r>
      <w:r>
        <w:rPr>
          <w:rFonts w:hint="eastAsia" w:cs="Times New Roman"/>
          <w:szCs w:val="24"/>
        </w:rPr>
        <w:t>实现成功冷启动</w:t>
      </w:r>
      <w:r>
        <w:rPr>
          <w:rFonts w:cs="Times New Roman"/>
          <w:szCs w:val="24"/>
          <w:vertAlign w:val="superscript"/>
        </w:rPr>
        <w:t>[6]</w:t>
      </w:r>
      <w:r>
        <w:rPr>
          <w:rFonts w:cs="Times New Roman"/>
          <w:szCs w:val="24"/>
        </w:rPr>
        <w:t>。为此，在各片单电池的双极板内分别布置功率可独立调节的电热丝。</w:t>
      </w:r>
    </w:p>
    <w:p w14:paraId="340AF56F">
      <w:pPr>
        <w:snapToGrid w:val="0"/>
        <w:ind w:firstLine="480"/>
        <w:rPr>
          <w:rFonts w:cs="Times New Roman"/>
          <w:szCs w:val="24"/>
        </w:rPr>
      </w:pPr>
      <w:r>
        <w:rPr>
          <w:rFonts w:hint="eastAsia" w:cs="Times New Roman"/>
          <w:szCs w:val="24"/>
        </w:rPr>
        <w:t>辅助冷启动方式可分为纯预加热启动和恒定功率协同启动，</w:t>
      </w:r>
      <w:r>
        <w:rPr>
          <w:rFonts w:cs="Times New Roman"/>
          <w:szCs w:val="24"/>
        </w:rPr>
        <w:t>前者在加载电流前利用电热丝加热电堆，</w:t>
      </w:r>
      <w:r>
        <w:t>直至五片单电池温度均超过0</w:t>
      </w:r>
      <w:r>
        <w:rPr>
          <w:rFonts w:cs="Times New Roman"/>
        </w:rPr>
        <w:t xml:space="preserve"> ℃</w:t>
      </w:r>
      <w:r>
        <w:rPr>
          <w:rFonts w:cs="Times New Roman"/>
          <w:szCs w:val="24"/>
        </w:rPr>
        <w:t>后开始加载电流</w:t>
      </w:r>
      <w:r>
        <w:rPr>
          <w:rFonts w:hint="eastAsia" w:cs="Times New Roman"/>
          <w:szCs w:val="24"/>
        </w:rPr>
        <w:t>，</w:t>
      </w:r>
      <w:r>
        <w:rPr>
          <w:rFonts w:cs="Times New Roman"/>
          <w:szCs w:val="24"/>
        </w:rPr>
        <w:t>后者则从电流加载时刻起同步施加恒定功率辅助加热。除</w:t>
      </w:r>
      <w:r>
        <w:rPr>
          <w:rFonts w:hint="eastAsia" w:cs="Times New Roman"/>
          <w:szCs w:val="24"/>
        </w:rPr>
        <w:t>纯预加热启动</w:t>
      </w:r>
      <w:r>
        <w:rPr>
          <w:rFonts w:cs="Times New Roman"/>
          <w:szCs w:val="24"/>
        </w:rPr>
        <w:t>外，</w:t>
      </w:r>
      <w:r>
        <w:rPr>
          <w:rFonts w:hint="eastAsia" w:cs="Times New Roman"/>
          <w:szCs w:val="24"/>
        </w:rPr>
        <w:t>本题中假设</w:t>
      </w:r>
      <w:r>
        <w:rPr>
          <w:rFonts w:cs="Times New Roman"/>
          <w:szCs w:val="24"/>
        </w:rPr>
        <w:t>各工况统一采用以下电流加载曲线：</w:t>
      </w:r>
      <w:r>
        <w:rPr>
          <w:rFonts w:hint="eastAsia" w:cs="Times New Roman"/>
          <w:szCs w:val="24"/>
        </w:rPr>
        <w:t>电流密度从0开始，以</w:t>
      </w:r>
      <w:r>
        <w:rPr>
          <w:rFonts w:cs="Times New Roman"/>
          <w:color w:val="000000"/>
        </w:rPr>
        <w:t>0.005 A·cm</w:t>
      </w:r>
      <w:r>
        <w:rPr>
          <w:rFonts w:cs="Times New Roman"/>
          <w:color w:val="000000"/>
          <w:vertAlign w:val="superscript"/>
        </w:rPr>
        <w:t>-2</w:t>
      </w:r>
      <w:r>
        <w:rPr>
          <w:rFonts w:hint="eastAsia" w:cs="Times New Roman"/>
          <w:color w:val="000000"/>
        </w:rPr>
        <w:t xml:space="preserve"> </w:t>
      </w:r>
      <w:r>
        <w:rPr>
          <w:rFonts w:cs="Times New Roman"/>
          <w:color w:val="000000"/>
        </w:rPr>
        <w:t>s</w:t>
      </w:r>
      <w:r>
        <w:rPr>
          <w:rFonts w:cs="Times New Roman"/>
          <w:color w:val="000000"/>
          <w:vertAlign w:val="superscript"/>
        </w:rPr>
        <w:t>-1</w:t>
      </w:r>
      <w:r>
        <w:rPr>
          <w:rFonts w:hint="eastAsia" w:cs="Times New Roman"/>
          <w:szCs w:val="24"/>
        </w:rPr>
        <w:t>的速率线性增加60 s，随后保持在0.3 A</w:t>
      </w:r>
      <w:r>
        <w:rPr>
          <w:rFonts w:cs="Times New Roman"/>
        </w:rPr>
        <w:t>·</w:t>
      </w:r>
      <w:r>
        <w:rPr>
          <w:rFonts w:hint="eastAsia" w:cs="Times New Roman"/>
          <w:szCs w:val="24"/>
        </w:rPr>
        <w:t>cm</w:t>
      </w:r>
      <w:r>
        <w:rPr>
          <w:rFonts w:cs="Times New Roman"/>
          <w:szCs w:val="24"/>
          <w:vertAlign w:val="superscript"/>
        </w:rPr>
        <w:t>−2</w:t>
      </w:r>
      <w:r>
        <w:rPr>
          <w:rFonts w:cs="Times New Roman"/>
          <w:szCs w:val="24"/>
        </w:rPr>
        <w:t>。在辅助加热期间，第</w:t>
      </w:r>
      <w:r>
        <w:rPr>
          <w:rFonts w:cs="Times New Roman"/>
          <w:i/>
          <w:iCs/>
          <w:szCs w:val="24"/>
        </w:rPr>
        <w:t>k</w:t>
      </w:r>
      <w:r>
        <w:rPr>
          <w:rFonts w:cs="Times New Roman"/>
          <w:szCs w:val="24"/>
        </w:rPr>
        <w:t>片电热丝的功率密度</w:t>
      </w:r>
      <w:r>
        <w:rPr>
          <w:rFonts w:hint="eastAsia"/>
          <w:position w:val="-10"/>
        </w:rPr>
        <w:object>
          <v:shape id="_x0000_i1037" o:spt="75" type="#_x0000_t75" style="height:18.15pt;width:14.1pt;" o:ole="t" filled="f" o:preferrelative="t" stroked="f" coordsize="21600,21600">
            <v:path/>
            <v:fill on="f" focussize="0,0"/>
            <v:stroke on="f" joinstyle="miter"/>
            <v:imagedata r:id="rId40" o:title=""/>
            <o:lock v:ext="edit" aspectratio="t"/>
            <w10:wrap type="none"/>
            <w10:anchorlock/>
          </v:shape>
          <o:OLEObject Type="Embed" ProgID="Equation.DSMT4" ShapeID="_x0000_i1037" DrawAspect="Content" ObjectID="_1468075737" r:id="rId39">
            <o:LockedField>false</o:LockedField>
          </o:OLEObject>
        </w:object>
      </w:r>
      <w:r>
        <w:rPr>
          <w:rFonts w:cs="Times New Roman"/>
          <w:szCs w:val="24"/>
        </w:rPr>
        <w:t>保持不变，并满足</w:t>
      </w:r>
      <w:r>
        <w:rPr>
          <w:rFonts w:hint="eastAsia" w:cs="Times New Roman"/>
          <w:szCs w:val="24"/>
        </w:rPr>
        <w:t>：</w:t>
      </w:r>
    </w:p>
    <w:p w14:paraId="06ADDAA9">
      <w:pPr>
        <w:pStyle w:val="30"/>
        <w:spacing w:before="0" w:beforeLines="0" w:after="0" w:afterLines="0"/>
      </w:pPr>
      <w:r>
        <w:rPr>
          <w:rFonts w:hint="eastAsia"/>
        </w:rPr>
        <w:tab/>
      </w:r>
      <w:r>
        <w:rPr>
          <w:rFonts w:hint="eastAsia"/>
          <w:position w:val="-10"/>
        </w:rPr>
        <w:object>
          <v:shape id="_x0000_i1038" o:spt="75" type="#_x0000_t75" style="height:18.15pt;width:152.55pt;" o:ole="t" filled="f" o:preferrelative="t" stroked="f" coordsize="21600,21600">
            <v:path/>
            <v:fill on="f" focussize="0,0"/>
            <v:stroke on="f" joinstyle="miter"/>
            <v:imagedata r:id="rId42" o:title=""/>
            <o:lock v:ext="edit" aspectratio="t"/>
            <w10:wrap type="none"/>
            <w10:anchorlock/>
          </v:shape>
          <o:OLEObject Type="Embed" ProgID="Equation.DSMT4" ShapeID="_x0000_i1038" DrawAspect="Content" ObjectID="_1468075738" r:id="rId41">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10</w:instrText>
      </w:r>
      <w:r>
        <w:rPr>
          <w:rFonts w:hint="eastAsia"/>
        </w:rPr>
        <w:fldChar w:fldCharType="end"/>
      </w:r>
      <w:r>
        <w:rPr>
          <w:rFonts w:hint="eastAsia"/>
        </w:rPr>
        <w:instrText xml:space="preserve">)</w:instrText>
      </w:r>
      <w:r>
        <w:rPr>
          <w:rFonts w:hint="eastAsia"/>
        </w:rPr>
        <w:fldChar w:fldCharType="end"/>
      </w:r>
    </w:p>
    <w:p w14:paraId="33A7A826">
      <w:pPr>
        <w:ind w:firstLine="480"/>
      </w:pPr>
      <w:r>
        <w:t>电堆辅助加热总能耗</w:t>
      </w:r>
      <w:r>
        <w:rPr>
          <w:rFonts w:hint="eastAsia"/>
          <w:position w:val="-8"/>
        </w:rPr>
        <w:object>
          <v:shape id="_x0000_i1039" o:spt="75" type="#_x0000_t75" style="height:15.6pt;width:20.15pt;" o:ole="t" filled="f" o:preferrelative="t" stroked="f" coordsize="21600,21600">
            <v:path/>
            <v:fill on="f" focussize="0,0"/>
            <v:stroke on="f" joinstyle="miter"/>
            <v:imagedata r:id="rId44" o:title=""/>
            <o:lock v:ext="edit" aspectratio="t"/>
            <w10:wrap type="none"/>
            <w10:anchorlock/>
          </v:shape>
          <o:OLEObject Type="Embed" ProgID="Equation.DSMT4" ShapeID="_x0000_i1039" DrawAspect="Content" ObjectID="_1468075739" r:id="rId43">
            <o:LockedField>false</o:LockedField>
          </o:OLEObject>
        </w:object>
      </w:r>
      <w:r>
        <w:t>为</w:t>
      </w:r>
      <w:r>
        <w:rPr>
          <w:rFonts w:hint="eastAsia"/>
        </w:rPr>
        <w:t>：</w:t>
      </w:r>
    </w:p>
    <w:p w14:paraId="41EA8B40">
      <w:pPr>
        <w:pStyle w:val="30"/>
        <w:spacing w:before="0" w:beforeLines="0" w:after="0" w:afterLines="0"/>
      </w:pPr>
      <w:r>
        <w:rPr>
          <w:rFonts w:hint="eastAsia"/>
        </w:rPr>
        <w:tab/>
      </w:r>
      <w:r>
        <w:rPr>
          <w:rFonts w:hint="eastAsia"/>
          <w:position w:val="-28"/>
        </w:rPr>
        <w:object>
          <v:shape id="_x0000_i1040" o:spt="75" type="#_x0000_t75" style="height:33.25pt;width:111.8pt;" o:ole="t" filled="f" o:preferrelative="t" stroked="f" coordsize="21600,21600">
            <v:path/>
            <v:fill on="f" focussize="0,0"/>
            <v:stroke on="f" joinstyle="miter"/>
            <v:imagedata r:id="rId46" o:title=""/>
            <o:lock v:ext="edit" aspectratio="t"/>
            <w10:wrap type="none"/>
            <w10:anchorlock/>
          </v:shape>
          <o:OLEObject Type="Embed" ProgID="Equation.DSMT4" ShapeID="_x0000_i1040" DrawAspect="Content" ObjectID="_1468075740" r:id="rId45">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11</w:instrText>
      </w:r>
      <w:r>
        <w:rPr>
          <w:rFonts w:hint="eastAsia"/>
        </w:rPr>
        <w:fldChar w:fldCharType="end"/>
      </w:r>
      <w:r>
        <w:rPr>
          <w:rFonts w:hint="eastAsia"/>
        </w:rPr>
        <w:instrText xml:space="preserve">)</w:instrText>
      </w:r>
      <w:r>
        <w:rPr>
          <w:rFonts w:hint="eastAsia"/>
        </w:rPr>
        <w:fldChar w:fldCharType="end"/>
      </w:r>
    </w:p>
    <w:p w14:paraId="5C859D8D">
      <w:pPr>
        <w:ind w:firstLine="0" w:firstLineChars="0"/>
      </w:pPr>
      <w:r>
        <w:rPr>
          <w:rFonts w:hint="eastAsia"/>
        </w:rPr>
        <w:t>式中</w:t>
      </w:r>
      <w:r>
        <w:t>，</w:t>
      </w:r>
      <w:r>
        <w:rPr>
          <w:i/>
          <w:iCs/>
        </w:rPr>
        <w:t>A</w:t>
      </w:r>
      <w:r>
        <w:rPr>
          <w:i/>
          <w:iCs/>
          <w:vertAlign w:val="subscript"/>
        </w:rPr>
        <w:t>k</w:t>
      </w:r>
      <w:r>
        <w:t>为第</w:t>
      </w:r>
      <w:r>
        <w:rPr>
          <w:i/>
          <w:iCs/>
        </w:rPr>
        <w:t>k</w:t>
      </w:r>
      <w:r>
        <w:t>片电热丝的加热面积</w:t>
      </w:r>
      <w:r>
        <w:rPr>
          <w:rFonts w:hint="eastAsia"/>
        </w:rPr>
        <w:t>，即电池截面积</w:t>
      </w:r>
      <w:r>
        <w:t>，</w:t>
      </w:r>
      <w:r>
        <w:rPr>
          <w:i/>
          <w:iCs/>
        </w:rPr>
        <w:t>t</w:t>
      </w:r>
      <w:r>
        <w:rPr>
          <w:rFonts w:hint="eastAsia"/>
          <w:i/>
          <w:iCs/>
          <w:vertAlign w:val="subscript"/>
        </w:rPr>
        <w:t>h</w:t>
      </w:r>
      <w:r>
        <w:t>为</w:t>
      </w:r>
      <w:r>
        <w:rPr>
          <w:rFonts w:hint="eastAsia"/>
        </w:rPr>
        <w:t>辅助加热的总时间</w:t>
      </w:r>
      <w:r>
        <w:t>。</w:t>
      </w:r>
      <w:r>
        <w:rPr>
          <w:rFonts w:hint="eastAsia"/>
        </w:rPr>
        <w:t>假设</w:t>
      </w:r>
      <w:r>
        <w:t>电堆各部件初始温度及环境温度均为-</w:t>
      </w:r>
      <w:r>
        <w:rPr>
          <w:rFonts w:hint="eastAsia"/>
        </w:rPr>
        <w:t>3</w:t>
      </w:r>
      <w:r>
        <w:t>0</w:t>
      </w:r>
      <w:r>
        <w:rPr>
          <w:rFonts w:cs="Times New Roman"/>
        </w:rPr>
        <w:t xml:space="preserve"> ℃</w:t>
      </w:r>
      <w:r>
        <w:rPr>
          <w:rFonts w:hint="eastAsia" w:cs="Times New Roman"/>
        </w:rPr>
        <w:t>，</w:t>
      </w:r>
      <w:r>
        <w:rPr>
          <w:rFonts w:hint="eastAsia"/>
        </w:rPr>
        <w:t>请解决以下问题</w:t>
      </w:r>
      <w:r>
        <w:t>：</w:t>
      </w:r>
    </w:p>
    <w:p w14:paraId="3EB56EFC">
      <w:pPr>
        <w:snapToGrid w:val="0"/>
        <w:ind w:firstLine="480"/>
        <w:rPr>
          <w:rFonts w:cs="Times New Roman"/>
          <w:szCs w:val="24"/>
        </w:rPr>
      </w:pPr>
      <w:r>
        <w:rPr>
          <w:rFonts w:hint="eastAsia" w:cs="Times New Roman"/>
          <w:szCs w:val="24"/>
        </w:rPr>
        <w:t>（1）</w:t>
      </w:r>
      <w:r>
        <w:rPr>
          <w:rFonts w:cs="Times New Roman"/>
          <w:szCs w:val="24"/>
        </w:rPr>
        <w:t>在电堆</w:t>
      </w:r>
      <w:r>
        <w:rPr>
          <w:rFonts w:hint="eastAsia" w:cs="Times New Roman"/>
          <w:szCs w:val="24"/>
        </w:rPr>
        <w:t>瞬态自冷启动</w:t>
      </w:r>
      <w:r>
        <w:rPr>
          <w:rFonts w:cs="Times New Roman"/>
          <w:szCs w:val="24"/>
        </w:rPr>
        <w:t>模型基础上，</w:t>
      </w:r>
      <w:r>
        <w:rPr>
          <w:rFonts w:hint="eastAsia" w:cs="Times New Roman"/>
          <w:szCs w:val="24"/>
        </w:rPr>
        <w:t>引入辅助加热项，建立</w:t>
      </w:r>
      <w:r>
        <w:rPr>
          <w:rFonts w:hint="eastAsia" w:cs="Times New Roman"/>
        </w:rPr>
        <w:t>电堆</w:t>
      </w:r>
      <w:r>
        <w:rPr>
          <w:rFonts w:cs="Times New Roman"/>
          <w:szCs w:val="24"/>
        </w:rPr>
        <w:t>辅助</w:t>
      </w:r>
      <w:r>
        <w:rPr>
          <w:rFonts w:hint="eastAsia" w:cs="Times New Roman"/>
          <w:szCs w:val="24"/>
        </w:rPr>
        <w:t>冷启动</w:t>
      </w:r>
      <w:r>
        <w:rPr>
          <w:rFonts w:cs="Times New Roman"/>
          <w:szCs w:val="24"/>
        </w:rPr>
        <w:t>模型。</w:t>
      </w:r>
    </w:p>
    <w:p w14:paraId="55FC3B17">
      <w:pPr>
        <w:snapToGrid w:val="0"/>
        <w:ind w:firstLine="480"/>
        <w:rPr>
          <w:rFonts w:cs="Times New Roman"/>
          <w:szCs w:val="24"/>
        </w:rPr>
      </w:pPr>
      <w:r>
        <w:rPr>
          <w:rFonts w:hint="eastAsia" w:cs="Times New Roman"/>
          <w:szCs w:val="24"/>
        </w:rPr>
        <w:t>（2）</w:t>
      </w:r>
      <w:r>
        <w:rPr>
          <w:rFonts w:cs="Times New Roman"/>
          <w:szCs w:val="24"/>
        </w:rPr>
        <w:t>分别针对</w:t>
      </w:r>
      <w:r>
        <w:rPr>
          <w:rFonts w:hint="eastAsia" w:cs="Times New Roman"/>
          <w:szCs w:val="24"/>
        </w:rPr>
        <w:t>纯预加热启动和恒定功率协同启动</w:t>
      </w:r>
      <w:r>
        <w:rPr>
          <w:rFonts w:cs="Times New Roman"/>
          <w:szCs w:val="24"/>
        </w:rPr>
        <w:t>两种</w:t>
      </w:r>
      <w:r>
        <w:rPr>
          <w:rFonts w:hint="eastAsia" w:cs="Times New Roman"/>
          <w:szCs w:val="24"/>
        </w:rPr>
        <w:t>方式</w:t>
      </w:r>
      <w:r>
        <w:rPr>
          <w:rFonts w:cs="Times New Roman"/>
          <w:szCs w:val="24"/>
        </w:rPr>
        <w:t>，以各片加热功率密度</w:t>
      </w:r>
      <w:r>
        <w:rPr>
          <w:i/>
          <w:iCs/>
        </w:rPr>
        <w:t>q</w:t>
      </w:r>
      <w:r>
        <w:rPr>
          <w:i/>
          <w:iCs/>
          <w:vertAlign w:val="subscript"/>
        </w:rPr>
        <w:t>k</w:t>
      </w:r>
      <w:r>
        <w:rPr>
          <w:rFonts w:cs="Times New Roman"/>
          <w:szCs w:val="24"/>
        </w:rPr>
        <w:t>和加热持续时间为决策变量，在满足问题2规定的电堆冷启动成功条件</w:t>
      </w:r>
      <w:r>
        <w:rPr>
          <w:rFonts w:hint="eastAsia" w:cs="Times New Roman"/>
          <w:szCs w:val="24"/>
        </w:rPr>
        <w:t>的</w:t>
      </w:r>
      <w:r>
        <w:rPr>
          <w:rFonts w:cs="Times New Roman"/>
          <w:szCs w:val="24"/>
        </w:rPr>
        <w:t>约束</w:t>
      </w:r>
      <w:r>
        <w:rPr>
          <w:rFonts w:hint="eastAsia" w:cs="Times New Roman"/>
          <w:szCs w:val="24"/>
        </w:rPr>
        <w:t>下</w:t>
      </w:r>
      <w:r>
        <w:rPr>
          <w:rFonts w:cs="Times New Roman"/>
          <w:szCs w:val="24"/>
        </w:rPr>
        <w:t>，确定两种策略的最小辅助加热总能耗、总启动时间及各片能耗分配，并比较其能耗、启动速度和端部单电池冰堵抑制效果。</w:t>
      </w:r>
      <w:r>
        <w:rPr>
          <w:rFonts w:hint="eastAsia" w:cs="Times New Roman"/>
          <w:szCs w:val="24"/>
        </w:rPr>
        <w:t>并填写下表：</w:t>
      </w:r>
    </w:p>
    <w:p w14:paraId="27A78175">
      <w:pPr>
        <w:ind w:firstLine="0" w:firstLineChars="0"/>
        <w:jc w:val="center"/>
        <w:rPr>
          <w:rFonts w:cs="Times New Roman"/>
          <w:szCs w:val="24"/>
        </w:rPr>
      </w:pPr>
      <w:r>
        <w:rPr>
          <w:rFonts w:cs="Times New Roman"/>
          <w:szCs w:val="24"/>
        </w:rPr>
        <w:t>表</w:t>
      </w:r>
      <w:r>
        <w:rPr>
          <w:rFonts w:hint="eastAsia" w:cs="Times New Roman"/>
          <w:szCs w:val="24"/>
        </w:rPr>
        <w:t>4</w:t>
      </w:r>
      <w:r>
        <w:rPr>
          <w:rFonts w:cs="Times New Roman"/>
          <w:szCs w:val="24"/>
        </w:rPr>
        <w:t xml:space="preserve"> </w:t>
      </w:r>
      <w:r>
        <w:rPr>
          <w:rFonts w:hint="eastAsia" w:cs="Times New Roman"/>
          <w:szCs w:val="24"/>
        </w:rPr>
        <w:t>不同辅助冷启动策略的优化结果及启动性能对比</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
        <w:gridCol w:w="1433"/>
        <w:gridCol w:w="924"/>
        <w:gridCol w:w="1416"/>
        <w:gridCol w:w="1042"/>
        <w:gridCol w:w="818"/>
        <w:gridCol w:w="959"/>
        <w:gridCol w:w="642"/>
      </w:tblGrid>
      <w:tr w14:paraId="147F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663" w:type="pct"/>
            <w:noWrap/>
            <w:vAlign w:val="center"/>
          </w:tcPr>
          <w:p w14:paraId="601E39DF">
            <w:pPr>
              <w:widowControl/>
              <w:spacing w:line="240" w:lineRule="auto"/>
              <w:ind w:firstLine="0" w:firstLineChars="0"/>
              <w:jc w:val="center"/>
              <w:rPr>
                <w:rFonts w:cs="Times New Roman"/>
                <w:b/>
                <w:bCs/>
                <w:color w:val="000000"/>
                <w:kern w:val="0"/>
                <w:sz w:val="21"/>
                <w:szCs w:val="21"/>
              </w:rPr>
            </w:pPr>
            <w:r>
              <w:rPr>
                <w:rFonts w:hint="eastAsia" w:cs="Times New Roman"/>
                <w:b/>
                <w:bCs/>
                <w:color w:val="000000"/>
                <w:kern w:val="0"/>
                <w:sz w:val="21"/>
                <w:szCs w:val="21"/>
              </w:rPr>
              <w:t>辅助冷启动</w:t>
            </w:r>
            <w:r>
              <w:rPr>
                <w:rFonts w:cs="Times New Roman"/>
                <w:b/>
                <w:bCs/>
                <w:color w:val="000000"/>
                <w:kern w:val="0"/>
                <w:sz w:val="21"/>
                <w:szCs w:val="21"/>
              </w:rPr>
              <w:t>策略</w:t>
            </w:r>
          </w:p>
        </w:tc>
        <w:tc>
          <w:tcPr>
            <w:tcW w:w="889" w:type="pct"/>
            <w:noWrap/>
            <w:vAlign w:val="center"/>
          </w:tcPr>
          <w:p w14:paraId="029F0E16">
            <w:pPr>
              <w:widowControl/>
              <w:spacing w:line="240" w:lineRule="auto"/>
              <w:ind w:firstLine="0" w:firstLineChars="0"/>
              <w:jc w:val="center"/>
              <w:rPr>
                <w:rFonts w:cs="Times New Roman"/>
                <w:b/>
                <w:bCs/>
                <w:color w:val="000000"/>
                <w:kern w:val="0"/>
                <w:sz w:val="21"/>
                <w:szCs w:val="21"/>
              </w:rPr>
            </w:pPr>
            <w:r>
              <w:rPr>
                <w:rFonts w:cs="Times New Roman"/>
                <w:b/>
                <w:bCs/>
                <w:color w:val="000000"/>
                <w:kern w:val="0"/>
                <w:sz w:val="21"/>
                <w:szCs w:val="21"/>
              </w:rPr>
              <w:t>加热功率密度分配/W</w:t>
            </w:r>
            <w:r>
              <w:rPr>
                <w:rFonts w:cs="Times New Roman"/>
              </w:rPr>
              <w:t>·</w:t>
            </w:r>
            <w:r>
              <w:rPr>
                <w:rFonts w:cs="Times New Roman"/>
                <w:b/>
                <w:bCs/>
                <w:color w:val="000000"/>
                <w:kern w:val="0"/>
                <w:sz w:val="21"/>
                <w:szCs w:val="21"/>
              </w:rPr>
              <w:t>cm</w:t>
            </w:r>
            <w:r>
              <w:rPr>
                <w:rFonts w:cs="Times New Roman"/>
                <w:b/>
                <w:bCs/>
                <w:color w:val="000000"/>
                <w:kern w:val="0"/>
                <w:sz w:val="21"/>
                <w:szCs w:val="21"/>
                <w:vertAlign w:val="superscript"/>
              </w:rPr>
              <w:t>-2</w:t>
            </w:r>
          </w:p>
        </w:tc>
        <w:tc>
          <w:tcPr>
            <w:tcW w:w="576" w:type="pct"/>
            <w:noWrap/>
            <w:vAlign w:val="center"/>
          </w:tcPr>
          <w:p w14:paraId="2AEC0EF3">
            <w:pPr>
              <w:widowControl/>
              <w:spacing w:line="240" w:lineRule="auto"/>
              <w:ind w:firstLine="0" w:firstLineChars="0"/>
              <w:jc w:val="center"/>
              <w:rPr>
                <w:rFonts w:cs="Times New Roman"/>
                <w:b/>
                <w:bCs/>
                <w:color w:val="000000"/>
                <w:kern w:val="0"/>
                <w:sz w:val="21"/>
                <w:szCs w:val="21"/>
              </w:rPr>
            </w:pPr>
            <w:r>
              <w:rPr>
                <w:rFonts w:cs="Times New Roman"/>
                <w:b/>
                <w:bCs/>
                <w:color w:val="000000"/>
                <w:kern w:val="0"/>
                <w:sz w:val="21"/>
                <w:szCs w:val="21"/>
              </w:rPr>
              <w:t>加热持续时间/s</w:t>
            </w:r>
          </w:p>
        </w:tc>
        <w:tc>
          <w:tcPr>
            <w:tcW w:w="717" w:type="pct"/>
            <w:noWrap/>
            <w:vAlign w:val="center"/>
          </w:tcPr>
          <w:p w14:paraId="3D065985">
            <w:pPr>
              <w:widowControl/>
              <w:spacing w:line="240" w:lineRule="auto"/>
              <w:ind w:firstLine="0" w:firstLineChars="0"/>
              <w:jc w:val="center"/>
              <w:rPr>
                <w:rFonts w:cs="Times New Roman"/>
                <w:b/>
                <w:bCs/>
                <w:color w:val="000000"/>
                <w:kern w:val="0"/>
                <w:sz w:val="21"/>
                <w:szCs w:val="21"/>
              </w:rPr>
            </w:pPr>
            <w:r>
              <w:rPr>
                <w:rFonts w:cs="Times New Roman"/>
                <w:b/>
                <w:bCs/>
                <w:color w:val="000000"/>
                <w:kern w:val="0"/>
                <w:sz w:val="21"/>
                <w:szCs w:val="21"/>
              </w:rPr>
              <w:t>各片辅助加热能耗/J</w:t>
            </w:r>
          </w:p>
        </w:tc>
        <w:tc>
          <w:tcPr>
            <w:tcW w:w="650" w:type="pct"/>
            <w:noWrap/>
            <w:vAlign w:val="center"/>
          </w:tcPr>
          <w:p w14:paraId="37A51A9C">
            <w:pPr>
              <w:widowControl/>
              <w:spacing w:line="240" w:lineRule="auto"/>
              <w:ind w:firstLine="0" w:firstLineChars="0"/>
              <w:jc w:val="center"/>
              <w:rPr>
                <w:rFonts w:cs="Times New Roman"/>
                <w:b/>
                <w:bCs/>
                <w:color w:val="000000"/>
                <w:kern w:val="0"/>
                <w:sz w:val="21"/>
                <w:szCs w:val="21"/>
              </w:rPr>
            </w:pPr>
            <w:r>
              <w:rPr>
                <w:rFonts w:cs="Times New Roman"/>
                <w:b/>
                <w:bCs/>
                <w:color w:val="000000"/>
                <w:kern w:val="0"/>
                <w:sz w:val="21"/>
                <w:szCs w:val="21"/>
              </w:rPr>
              <w:t>总辅助加热能耗/J</w:t>
            </w:r>
          </w:p>
        </w:tc>
        <w:tc>
          <w:tcPr>
            <w:tcW w:w="509" w:type="pct"/>
            <w:noWrap/>
            <w:vAlign w:val="center"/>
          </w:tcPr>
          <w:p w14:paraId="53FA9D99">
            <w:pPr>
              <w:widowControl/>
              <w:spacing w:line="240" w:lineRule="auto"/>
              <w:ind w:firstLine="0" w:firstLineChars="0"/>
              <w:jc w:val="center"/>
              <w:rPr>
                <w:rFonts w:cs="Times New Roman"/>
                <w:b/>
                <w:bCs/>
                <w:color w:val="000000"/>
                <w:kern w:val="0"/>
                <w:sz w:val="21"/>
                <w:szCs w:val="21"/>
              </w:rPr>
            </w:pPr>
            <w:r>
              <w:rPr>
                <w:rFonts w:cs="Times New Roman"/>
                <w:b/>
                <w:bCs/>
                <w:color w:val="000000"/>
                <w:kern w:val="0"/>
                <w:sz w:val="21"/>
                <w:szCs w:val="21"/>
              </w:rPr>
              <w:t>总启动时间/s</w:t>
            </w:r>
          </w:p>
        </w:tc>
        <w:tc>
          <w:tcPr>
            <w:tcW w:w="598" w:type="pct"/>
            <w:noWrap/>
            <w:vAlign w:val="center"/>
          </w:tcPr>
          <w:p w14:paraId="507CE8FF">
            <w:pPr>
              <w:widowControl/>
              <w:spacing w:line="240" w:lineRule="auto"/>
              <w:ind w:firstLine="0" w:firstLineChars="0"/>
              <w:jc w:val="center"/>
              <w:rPr>
                <w:rFonts w:cs="Times New Roman"/>
                <w:b/>
                <w:bCs/>
                <w:color w:val="000000"/>
                <w:kern w:val="0"/>
                <w:sz w:val="21"/>
                <w:szCs w:val="21"/>
              </w:rPr>
            </w:pPr>
            <w:r>
              <w:rPr>
                <w:rFonts w:cs="Times New Roman"/>
                <w:b/>
                <w:bCs/>
                <w:color w:val="000000"/>
                <w:kern w:val="0"/>
                <w:sz w:val="21"/>
                <w:szCs w:val="21"/>
              </w:rPr>
              <w:t>最大冰体积分数</w:t>
            </w:r>
          </w:p>
        </w:tc>
        <w:tc>
          <w:tcPr>
            <w:tcW w:w="398" w:type="pct"/>
            <w:noWrap/>
            <w:vAlign w:val="center"/>
          </w:tcPr>
          <w:p w14:paraId="6303667C">
            <w:pPr>
              <w:widowControl/>
              <w:spacing w:line="240" w:lineRule="auto"/>
              <w:ind w:firstLine="0" w:firstLineChars="0"/>
              <w:jc w:val="center"/>
              <w:rPr>
                <w:rFonts w:cs="Times New Roman"/>
                <w:b/>
                <w:bCs/>
                <w:color w:val="000000"/>
                <w:kern w:val="0"/>
                <w:sz w:val="21"/>
                <w:szCs w:val="21"/>
              </w:rPr>
            </w:pPr>
            <w:r>
              <w:rPr>
                <w:rFonts w:cs="Times New Roman"/>
                <w:b/>
                <w:bCs/>
                <w:color w:val="000000"/>
                <w:kern w:val="0"/>
                <w:sz w:val="21"/>
                <w:szCs w:val="21"/>
              </w:rPr>
              <w:t>启动结果</w:t>
            </w:r>
          </w:p>
        </w:tc>
      </w:tr>
      <w:tr w14:paraId="51040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63" w:type="pct"/>
            <w:noWrap/>
            <w:vAlign w:val="center"/>
          </w:tcPr>
          <w:p w14:paraId="7E3C7037">
            <w:pPr>
              <w:widowControl/>
              <w:spacing w:line="240" w:lineRule="auto"/>
              <w:ind w:firstLine="0" w:firstLineChars="0"/>
              <w:jc w:val="center"/>
              <w:rPr>
                <w:rFonts w:cs="Times New Roman"/>
                <w:color w:val="000000"/>
                <w:kern w:val="0"/>
                <w:sz w:val="21"/>
                <w:szCs w:val="21"/>
              </w:rPr>
            </w:pPr>
            <w:r>
              <w:rPr>
                <w:rFonts w:cs="Times New Roman"/>
                <w:color w:val="000000"/>
                <w:kern w:val="0"/>
                <w:sz w:val="21"/>
                <w:szCs w:val="21"/>
              </w:rPr>
              <w:t>纯预加热启动</w:t>
            </w:r>
          </w:p>
        </w:tc>
        <w:tc>
          <w:tcPr>
            <w:tcW w:w="889" w:type="pct"/>
            <w:noWrap/>
            <w:vAlign w:val="center"/>
          </w:tcPr>
          <w:p w14:paraId="6FA9DBE6">
            <w:pPr>
              <w:widowControl/>
              <w:spacing w:line="240" w:lineRule="auto"/>
              <w:ind w:firstLine="0" w:firstLineChars="0"/>
              <w:jc w:val="center"/>
              <w:rPr>
                <w:rFonts w:cs="Times New Roman"/>
                <w:color w:val="000000"/>
                <w:kern w:val="0"/>
                <w:sz w:val="21"/>
                <w:szCs w:val="21"/>
              </w:rPr>
            </w:pPr>
            <w:r>
              <w:rPr>
                <w:rFonts w:cs="Times New Roman"/>
                <w:color w:val="000000"/>
                <w:kern w:val="0"/>
                <w:sz w:val="21"/>
                <w:szCs w:val="21"/>
              </w:rPr>
              <w:t>(</w:t>
            </w:r>
            <w:r>
              <w:rPr>
                <w:rFonts w:cs="Times New Roman"/>
                <w:i/>
                <w:iCs/>
                <w:color w:val="000000"/>
                <w:kern w:val="0"/>
                <w:sz w:val="21"/>
                <w:szCs w:val="21"/>
              </w:rPr>
              <w:t>q</w:t>
            </w:r>
            <w:r>
              <w:rPr>
                <w:rFonts w:cs="Times New Roman"/>
                <w:color w:val="000000"/>
                <w:kern w:val="0"/>
                <w:sz w:val="21"/>
                <w:szCs w:val="21"/>
                <w:vertAlign w:val="subscript"/>
              </w:rPr>
              <w:t>1</w:t>
            </w:r>
            <w:r>
              <w:rPr>
                <w:rFonts w:eastAsia="MS Gothic" w:cs="Times New Roman"/>
                <w:color w:val="000000"/>
                <w:kern w:val="0"/>
                <w:sz w:val="21"/>
                <w:szCs w:val="21"/>
              </w:rPr>
              <w:t>​</w:t>
            </w:r>
            <w:r>
              <w:rPr>
                <w:rFonts w:cs="Times New Roman"/>
                <w:color w:val="000000"/>
                <w:kern w:val="0"/>
                <w:sz w:val="21"/>
                <w:szCs w:val="21"/>
              </w:rPr>
              <w:t>,</w:t>
            </w:r>
            <w:r>
              <w:rPr>
                <w:rFonts w:cs="Times New Roman"/>
                <w:i/>
                <w:iCs/>
                <w:color w:val="000000"/>
                <w:kern w:val="0"/>
                <w:sz w:val="21"/>
                <w:szCs w:val="21"/>
              </w:rPr>
              <w:t xml:space="preserve"> q</w:t>
            </w:r>
            <w:r>
              <w:rPr>
                <w:rFonts w:cs="Times New Roman"/>
                <w:color w:val="000000"/>
                <w:kern w:val="0"/>
                <w:sz w:val="21"/>
                <w:szCs w:val="21"/>
                <w:vertAlign w:val="subscript"/>
              </w:rPr>
              <w:t>2</w:t>
            </w:r>
            <w:r>
              <w:rPr>
                <w:rFonts w:cs="Times New Roman"/>
                <w:color w:val="000000"/>
                <w:kern w:val="0"/>
                <w:sz w:val="21"/>
                <w:szCs w:val="21"/>
              </w:rPr>
              <w:t>,</w:t>
            </w:r>
            <w:r>
              <w:rPr>
                <w:rFonts w:cs="Times New Roman"/>
                <w:i/>
                <w:iCs/>
                <w:color w:val="000000"/>
                <w:kern w:val="0"/>
                <w:sz w:val="21"/>
                <w:szCs w:val="21"/>
              </w:rPr>
              <w:t xml:space="preserve"> q</w:t>
            </w:r>
            <w:r>
              <w:rPr>
                <w:rFonts w:cs="Times New Roman"/>
                <w:color w:val="000000"/>
                <w:kern w:val="0"/>
                <w:sz w:val="21"/>
                <w:szCs w:val="21"/>
                <w:vertAlign w:val="subscript"/>
              </w:rPr>
              <w:t>3</w:t>
            </w:r>
            <w:r>
              <w:rPr>
                <w:rFonts w:eastAsia="MS Gothic" w:cs="Times New Roman"/>
                <w:color w:val="000000"/>
                <w:kern w:val="0"/>
                <w:sz w:val="21"/>
                <w:szCs w:val="21"/>
              </w:rPr>
              <w:t>​</w:t>
            </w:r>
            <w:r>
              <w:rPr>
                <w:rFonts w:cs="Times New Roman"/>
                <w:color w:val="000000"/>
                <w:kern w:val="0"/>
                <w:sz w:val="21"/>
                <w:szCs w:val="21"/>
              </w:rPr>
              <w:t>,</w:t>
            </w:r>
            <w:r>
              <w:rPr>
                <w:rFonts w:cs="Times New Roman"/>
                <w:i/>
                <w:iCs/>
                <w:color w:val="000000"/>
                <w:kern w:val="0"/>
                <w:sz w:val="21"/>
                <w:szCs w:val="21"/>
              </w:rPr>
              <w:t xml:space="preserve"> q</w:t>
            </w:r>
            <w:r>
              <w:rPr>
                <w:rFonts w:cs="Times New Roman"/>
                <w:color w:val="000000"/>
                <w:kern w:val="0"/>
                <w:sz w:val="21"/>
                <w:szCs w:val="21"/>
                <w:vertAlign w:val="subscript"/>
              </w:rPr>
              <w:t>4</w:t>
            </w:r>
            <w:r>
              <w:rPr>
                <w:rFonts w:eastAsia="MS Gothic" w:cs="Times New Roman"/>
                <w:color w:val="000000"/>
                <w:kern w:val="0"/>
                <w:sz w:val="21"/>
                <w:szCs w:val="21"/>
              </w:rPr>
              <w:t>​</w:t>
            </w:r>
            <w:r>
              <w:rPr>
                <w:rFonts w:cs="Times New Roman"/>
                <w:color w:val="000000"/>
                <w:kern w:val="0"/>
                <w:sz w:val="21"/>
                <w:szCs w:val="21"/>
              </w:rPr>
              <w:t>,</w:t>
            </w:r>
            <w:r>
              <w:rPr>
                <w:rFonts w:cs="Times New Roman"/>
                <w:i/>
                <w:iCs/>
                <w:color w:val="000000"/>
                <w:kern w:val="0"/>
                <w:sz w:val="21"/>
                <w:szCs w:val="21"/>
              </w:rPr>
              <w:t xml:space="preserve"> q</w:t>
            </w:r>
            <w:r>
              <w:rPr>
                <w:rFonts w:cs="Times New Roman"/>
                <w:color w:val="000000"/>
                <w:kern w:val="0"/>
                <w:sz w:val="21"/>
                <w:szCs w:val="21"/>
                <w:vertAlign w:val="subscript"/>
              </w:rPr>
              <w:t>5</w:t>
            </w:r>
            <w:r>
              <w:rPr>
                <w:rFonts w:eastAsia="MS Gothic" w:cs="Times New Roman"/>
                <w:color w:val="000000"/>
                <w:kern w:val="0"/>
                <w:sz w:val="21"/>
                <w:szCs w:val="21"/>
              </w:rPr>
              <w:t>​</w:t>
            </w:r>
            <w:r>
              <w:rPr>
                <w:rFonts w:cs="Times New Roman"/>
                <w:color w:val="000000"/>
                <w:kern w:val="0"/>
                <w:sz w:val="21"/>
                <w:szCs w:val="21"/>
              </w:rPr>
              <w:t>)</w:t>
            </w:r>
          </w:p>
        </w:tc>
        <w:tc>
          <w:tcPr>
            <w:tcW w:w="576" w:type="pct"/>
            <w:noWrap/>
            <w:vAlign w:val="center"/>
          </w:tcPr>
          <w:p w14:paraId="6265F260">
            <w:pPr>
              <w:widowControl/>
              <w:spacing w:line="240" w:lineRule="auto"/>
              <w:ind w:firstLine="0" w:firstLineChars="0"/>
              <w:jc w:val="center"/>
              <w:rPr>
                <w:rFonts w:cs="Times New Roman"/>
                <w:color w:val="000000"/>
                <w:kern w:val="0"/>
                <w:sz w:val="21"/>
                <w:szCs w:val="21"/>
              </w:rPr>
            </w:pPr>
          </w:p>
        </w:tc>
        <w:tc>
          <w:tcPr>
            <w:tcW w:w="717" w:type="pct"/>
            <w:noWrap/>
            <w:vAlign w:val="center"/>
          </w:tcPr>
          <w:p w14:paraId="7C103566">
            <w:pPr>
              <w:widowControl/>
              <w:spacing w:line="240" w:lineRule="auto"/>
              <w:ind w:firstLine="0" w:firstLineChars="0"/>
              <w:jc w:val="center"/>
              <w:rPr>
                <w:rFonts w:cs="Times New Roman"/>
                <w:color w:val="000000"/>
                <w:kern w:val="0"/>
                <w:sz w:val="21"/>
                <w:szCs w:val="21"/>
              </w:rPr>
            </w:pPr>
            <w:r>
              <w:rPr>
                <w:rFonts w:cs="Times New Roman"/>
                <w:color w:val="000000"/>
                <w:kern w:val="0"/>
                <w:sz w:val="21"/>
                <w:szCs w:val="21"/>
              </w:rPr>
              <w:t>(</w:t>
            </w:r>
            <w:r>
              <w:rPr>
                <w:rFonts w:hint="eastAsia" w:cs="Times New Roman"/>
                <w:i/>
                <w:iCs/>
                <w:color w:val="000000"/>
                <w:kern w:val="0"/>
                <w:sz w:val="21"/>
                <w:szCs w:val="21"/>
              </w:rPr>
              <w:t>E</w:t>
            </w:r>
            <w:r>
              <w:rPr>
                <w:rFonts w:cs="Times New Roman"/>
                <w:color w:val="000000"/>
                <w:kern w:val="0"/>
                <w:sz w:val="21"/>
                <w:szCs w:val="21"/>
                <w:vertAlign w:val="subscript"/>
              </w:rPr>
              <w:t>1</w:t>
            </w:r>
            <w:r>
              <w:rPr>
                <w:rFonts w:eastAsia="MS Gothic" w:cs="Times New Roman"/>
                <w:color w:val="000000"/>
                <w:kern w:val="0"/>
                <w:sz w:val="21"/>
                <w:szCs w:val="21"/>
              </w:rPr>
              <w:t>​</w:t>
            </w:r>
            <w:r>
              <w:rPr>
                <w:rFonts w:cs="Times New Roman"/>
                <w:color w:val="000000"/>
                <w:kern w:val="0"/>
                <w:sz w:val="21"/>
                <w:szCs w:val="21"/>
              </w:rPr>
              <w:t>,</w:t>
            </w:r>
            <w:r>
              <w:rPr>
                <w:rFonts w:cs="Times New Roman"/>
                <w:i/>
                <w:iCs/>
                <w:color w:val="000000"/>
                <w:kern w:val="0"/>
                <w:sz w:val="21"/>
                <w:szCs w:val="21"/>
              </w:rPr>
              <w:t xml:space="preserve"> </w:t>
            </w:r>
            <w:r>
              <w:rPr>
                <w:rFonts w:hint="eastAsia" w:cs="Times New Roman"/>
                <w:i/>
                <w:iCs/>
                <w:color w:val="000000"/>
                <w:kern w:val="0"/>
                <w:sz w:val="21"/>
                <w:szCs w:val="21"/>
              </w:rPr>
              <w:t>E</w:t>
            </w:r>
            <w:r>
              <w:rPr>
                <w:rFonts w:cs="Times New Roman"/>
                <w:color w:val="000000"/>
                <w:kern w:val="0"/>
                <w:sz w:val="21"/>
                <w:szCs w:val="21"/>
                <w:vertAlign w:val="subscript"/>
              </w:rPr>
              <w:t>2</w:t>
            </w:r>
            <w:r>
              <w:rPr>
                <w:rFonts w:cs="Times New Roman"/>
                <w:color w:val="000000"/>
                <w:kern w:val="0"/>
                <w:sz w:val="21"/>
                <w:szCs w:val="21"/>
              </w:rPr>
              <w:t>,</w:t>
            </w:r>
            <w:r>
              <w:rPr>
                <w:rFonts w:cs="Times New Roman"/>
                <w:i/>
                <w:iCs/>
                <w:color w:val="000000"/>
                <w:kern w:val="0"/>
                <w:sz w:val="21"/>
                <w:szCs w:val="21"/>
              </w:rPr>
              <w:t xml:space="preserve"> </w:t>
            </w:r>
            <w:r>
              <w:rPr>
                <w:rFonts w:hint="eastAsia" w:cs="Times New Roman"/>
                <w:i/>
                <w:iCs/>
                <w:color w:val="000000"/>
                <w:kern w:val="0"/>
                <w:sz w:val="21"/>
                <w:szCs w:val="21"/>
              </w:rPr>
              <w:t>E</w:t>
            </w:r>
            <w:r>
              <w:rPr>
                <w:rFonts w:cs="Times New Roman"/>
                <w:color w:val="000000"/>
                <w:kern w:val="0"/>
                <w:sz w:val="21"/>
                <w:szCs w:val="21"/>
                <w:vertAlign w:val="subscript"/>
              </w:rPr>
              <w:t>3</w:t>
            </w:r>
            <w:r>
              <w:rPr>
                <w:rFonts w:eastAsia="MS Gothic" w:cs="Times New Roman"/>
                <w:color w:val="000000"/>
                <w:kern w:val="0"/>
                <w:sz w:val="21"/>
                <w:szCs w:val="21"/>
              </w:rPr>
              <w:t>​</w:t>
            </w:r>
            <w:r>
              <w:rPr>
                <w:rFonts w:cs="Times New Roman"/>
                <w:color w:val="000000"/>
                <w:kern w:val="0"/>
                <w:sz w:val="21"/>
                <w:szCs w:val="21"/>
              </w:rPr>
              <w:t>,</w:t>
            </w:r>
            <w:r>
              <w:rPr>
                <w:rFonts w:cs="Times New Roman"/>
                <w:i/>
                <w:iCs/>
                <w:color w:val="000000"/>
                <w:kern w:val="0"/>
                <w:sz w:val="21"/>
                <w:szCs w:val="21"/>
              </w:rPr>
              <w:t xml:space="preserve"> </w:t>
            </w:r>
            <w:r>
              <w:rPr>
                <w:rFonts w:hint="eastAsia" w:cs="Times New Roman"/>
                <w:i/>
                <w:iCs/>
                <w:color w:val="000000"/>
                <w:kern w:val="0"/>
                <w:sz w:val="21"/>
                <w:szCs w:val="21"/>
              </w:rPr>
              <w:t>E</w:t>
            </w:r>
            <w:r>
              <w:rPr>
                <w:rFonts w:cs="Times New Roman"/>
                <w:color w:val="000000"/>
                <w:kern w:val="0"/>
                <w:sz w:val="21"/>
                <w:szCs w:val="21"/>
                <w:vertAlign w:val="subscript"/>
              </w:rPr>
              <w:t>4</w:t>
            </w:r>
            <w:r>
              <w:rPr>
                <w:rFonts w:eastAsia="MS Gothic" w:cs="Times New Roman"/>
                <w:color w:val="000000"/>
                <w:kern w:val="0"/>
                <w:sz w:val="21"/>
                <w:szCs w:val="21"/>
              </w:rPr>
              <w:t>​</w:t>
            </w:r>
            <w:r>
              <w:rPr>
                <w:rFonts w:cs="Times New Roman"/>
                <w:color w:val="000000"/>
                <w:kern w:val="0"/>
                <w:sz w:val="21"/>
                <w:szCs w:val="21"/>
              </w:rPr>
              <w:t>,</w:t>
            </w:r>
            <w:r>
              <w:rPr>
                <w:rFonts w:cs="Times New Roman"/>
                <w:i/>
                <w:iCs/>
                <w:color w:val="000000"/>
                <w:kern w:val="0"/>
                <w:sz w:val="21"/>
                <w:szCs w:val="21"/>
              </w:rPr>
              <w:t xml:space="preserve"> </w:t>
            </w:r>
            <w:r>
              <w:rPr>
                <w:rFonts w:hint="eastAsia" w:cs="Times New Roman"/>
                <w:i/>
                <w:iCs/>
                <w:color w:val="000000"/>
                <w:kern w:val="0"/>
                <w:sz w:val="21"/>
                <w:szCs w:val="21"/>
              </w:rPr>
              <w:t>E</w:t>
            </w:r>
            <w:r>
              <w:rPr>
                <w:rFonts w:cs="Times New Roman"/>
                <w:color w:val="000000"/>
                <w:kern w:val="0"/>
                <w:sz w:val="21"/>
                <w:szCs w:val="21"/>
                <w:vertAlign w:val="subscript"/>
              </w:rPr>
              <w:t>5</w:t>
            </w:r>
            <w:r>
              <w:rPr>
                <w:rFonts w:eastAsia="MS Gothic" w:cs="Times New Roman"/>
                <w:color w:val="000000"/>
                <w:kern w:val="0"/>
                <w:sz w:val="21"/>
                <w:szCs w:val="21"/>
              </w:rPr>
              <w:t>​</w:t>
            </w:r>
            <w:r>
              <w:rPr>
                <w:rFonts w:cs="Times New Roman"/>
                <w:color w:val="000000"/>
                <w:kern w:val="0"/>
                <w:sz w:val="21"/>
                <w:szCs w:val="21"/>
              </w:rPr>
              <w:t>)</w:t>
            </w:r>
          </w:p>
        </w:tc>
        <w:tc>
          <w:tcPr>
            <w:tcW w:w="650" w:type="pct"/>
            <w:noWrap/>
            <w:vAlign w:val="center"/>
          </w:tcPr>
          <w:p w14:paraId="14DD72CF">
            <w:pPr>
              <w:widowControl/>
              <w:spacing w:line="240" w:lineRule="auto"/>
              <w:ind w:firstLine="0" w:firstLineChars="0"/>
              <w:jc w:val="center"/>
              <w:rPr>
                <w:rFonts w:cs="Times New Roman"/>
                <w:color w:val="000000"/>
                <w:kern w:val="0"/>
                <w:sz w:val="21"/>
                <w:szCs w:val="21"/>
              </w:rPr>
            </w:pPr>
          </w:p>
        </w:tc>
        <w:tc>
          <w:tcPr>
            <w:tcW w:w="509" w:type="pct"/>
            <w:noWrap/>
            <w:vAlign w:val="center"/>
          </w:tcPr>
          <w:p w14:paraId="0E8A2048">
            <w:pPr>
              <w:widowControl/>
              <w:spacing w:line="240" w:lineRule="auto"/>
              <w:ind w:firstLine="0" w:firstLineChars="0"/>
              <w:jc w:val="center"/>
              <w:rPr>
                <w:rFonts w:cs="Times New Roman"/>
                <w:color w:val="000000"/>
                <w:kern w:val="0"/>
                <w:sz w:val="21"/>
                <w:szCs w:val="21"/>
              </w:rPr>
            </w:pPr>
          </w:p>
        </w:tc>
        <w:tc>
          <w:tcPr>
            <w:tcW w:w="598" w:type="pct"/>
            <w:noWrap/>
            <w:vAlign w:val="center"/>
          </w:tcPr>
          <w:p w14:paraId="64051CA8">
            <w:pPr>
              <w:widowControl/>
              <w:spacing w:line="240" w:lineRule="auto"/>
              <w:ind w:firstLine="0" w:firstLineChars="0"/>
              <w:jc w:val="center"/>
              <w:rPr>
                <w:rFonts w:cs="Times New Roman"/>
                <w:color w:val="000000"/>
                <w:kern w:val="0"/>
                <w:sz w:val="21"/>
                <w:szCs w:val="21"/>
              </w:rPr>
            </w:pPr>
          </w:p>
        </w:tc>
        <w:tc>
          <w:tcPr>
            <w:tcW w:w="398" w:type="pct"/>
            <w:noWrap/>
            <w:vAlign w:val="center"/>
          </w:tcPr>
          <w:p w14:paraId="33294335">
            <w:pPr>
              <w:widowControl/>
              <w:spacing w:line="240" w:lineRule="auto"/>
              <w:ind w:firstLine="0" w:firstLineChars="0"/>
              <w:jc w:val="center"/>
              <w:rPr>
                <w:rFonts w:cs="Times New Roman"/>
                <w:color w:val="000000"/>
                <w:kern w:val="0"/>
                <w:sz w:val="21"/>
                <w:szCs w:val="21"/>
              </w:rPr>
            </w:pPr>
          </w:p>
        </w:tc>
      </w:tr>
      <w:tr w14:paraId="72F4A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63" w:type="pct"/>
            <w:noWrap/>
            <w:vAlign w:val="center"/>
          </w:tcPr>
          <w:p w14:paraId="23134D21">
            <w:pPr>
              <w:widowControl/>
              <w:spacing w:line="240" w:lineRule="auto"/>
              <w:ind w:firstLine="0" w:firstLineChars="0"/>
              <w:jc w:val="center"/>
              <w:rPr>
                <w:rFonts w:cs="Times New Roman"/>
                <w:color w:val="000000"/>
                <w:kern w:val="0"/>
                <w:sz w:val="21"/>
                <w:szCs w:val="21"/>
              </w:rPr>
            </w:pPr>
            <w:r>
              <w:rPr>
                <w:rFonts w:cs="Times New Roman"/>
                <w:color w:val="000000"/>
                <w:kern w:val="0"/>
                <w:sz w:val="21"/>
                <w:szCs w:val="21"/>
              </w:rPr>
              <w:t>恒定功率协同启动</w:t>
            </w:r>
          </w:p>
        </w:tc>
        <w:tc>
          <w:tcPr>
            <w:tcW w:w="889" w:type="pct"/>
            <w:noWrap/>
            <w:vAlign w:val="center"/>
          </w:tcPr>
          <w:p w14:paraId="3682BE29">
            <w:pPr>
              <w:widowControl/>
              <w:spacing w:line="240" w:lineRule="auto"/>
              <w:ind w:firstLine="0" w:firstLineChars="0"/>
              <w:jc w:val="center"/>
              <w:rPr>
                <w:rFonts w:cs="Times New Roman"/>
                <w:color w:val="000000"/>
                <w:kern w:val="0"/>
                <w:sz w:val="21"/>
                <w:szCs w:val="21"/>
              </w:rPr>
            </w:pPr>
            <w:r>
              <w:rPr>
                <w:rFonts w:cs="Times New Roman"/>
                <w:color w:val="000000"/>
                <w:kern w:val="0"/>
                <w:sz w:val="21"/>
                <w:szCs w:val="21"/>
              </w:rPr>
              <w:t>(</w:t>
            </w:r>
            <w:r>
              <w:rPr>
                <w:rFonts w:cs="Times New Roman"/>
                <w:i/>
                <w:iCs/>
                <w:color w:val="000000"/>
                <w:kern w:val="0"/>
                <w:sz w:val="21"/>
                <w:szCs w:val="21"/>
              </w:rPr>
              <w:t>q</w:t>
            </w:r>
            <w:r>
              <w:rPr>
                <w:rFonts w:cs="Times New Roman"/>
                <w:color w:val="000000"/>
                <w:kern w:val="0"/>
                <w:sz w:val="21"/>
                <w:szCs w:val="21"/>
                <w:vertAlign w:val="subscript"/>
              </w:rPr>
              <w:t>1</w:t>
            </w:r>
            <w:r>
              <w:rPr>
                <w:rFonts w:eastAsia="MS Gothic" w:cs="Times New Roman"/>
                <w:color w:val="000000"/>
                <w:kern w:val="0"/>
                <w:sz w:val="21"/>
                <w:szCs w:val="21"/>
              </w:rPr>
              <w:t>​</w:t>
            </w:r>
            <w:r>
              <w:rPr>
                <w:rFonts w:cs="Times New Roman"/>
                <w:color w:val="000000"/>
                <w:kern w:val="0"/>
                <w:sz w:val="21"/>
                <w:szCs w:val="21"/>
              </w:rPr>
              <w:t>,</w:t>
            </w:r>
            <w:r>
              <w:rPr>
                <w:rFonts w:cs="Times New Roman"/>
                <w:i/>
                <w:iCs/>
                <w:color w:val="000000"/>
                <w:kern w:val="0"/>
                <w:sz w:val="21"/>
                <w:szCs w:val="21"/>
              </w:rPr>
              <w:t xml:space="preserve"> q</w:t>
            </w:r>
            <w:r>
              <w:rPr>
                <w:rFonts w:cs="Times New Roman"/>
                <w:color w:val="000000"/>
                <w:kern w:val="0"/>
                <w:sz w:val="21"/>
                <w:szCs w:val="21"/>
                <w:vertAlign w:val="subscript"/>
              </w:rPr>
              <w:t>2</w:t>
            </w:r>
            <w:r>
              <w:rPr>
                <w:rFonts w:cs="Times New Roman"/>
                <w:color w:val="000000"/>
                <w:kern w:val="0"/>
                <w:sz w:val="21"/>
                <w:szCs w:val="21"/>
              </w:rPr>
              <w:t>,</w:t>
            </w:r>
            <w:r>
              <w:rPr>
                <w:rFonts w:cs="Times New Roman"/>
                <w:i/>
                <w:iCs/>
                <w:color w:val="000000"/>
                <w:kern w:val="0"/>
                <w:sz w:val="21"/>
                <w:szCs w:val="21"/>
              </w:rPr>
              <w:t xml:space="preserve"> q</w:t>
            </w:r>
            <w:r>
              <w:rPr>
                <w:rFonts w:cs="Times New Roman"/>
                <w:color w:val="000000"/>
                <w:kern w:val="0"/>
                <w:sz w:val="21"/>
                <w:szCs w:val="21"/>
                <w:vertAlign w:val="subscript"/>
              </w:rPr>
              <w:t>3</w:t>
            </w:r>
            <w:r>
              <w:rPr>
                <w:rFonts w:eastAsia="MS Gothic" w:cs="Times New Roman"/>
                <w:color w:val="000000"/>
                <w:kern w:val="0"/>
                <w:sz w:val="21"/>
                <w:szCs w:val="21"/>
              </w:rPr>
              <w:t>​</w:t>
            </w:r>
            <w:r>
              <w:rPr>
                <w:rFonts w:cs="Times New Roman"/>
                <w:color w:val="000000"/>
                <w:kern w:val="0"/>
                <w:sz w:val="21"/>
                <w:szCs w:val="21"/>
              </w:rPr>
              <w:t>,</w:t>
            </w:r>
            <w:r>
              <w:rPr>
                <w:rFonts w:cs="Times New Roman"/>
                <w:i/>
                <w:iCs/>
                <w:color w:val="000000"/>
                <w:kern w:val="0"/>
                <w:sz w:val="21"/>
                <w:szCs w:val="21"/>
              </w:rPr>
              <w:t xml:space="preserve"> q</w:t>
            </w:r>
            <w:r>
              <w:rPr>
                <w:rFonts w:cs="Times New Roman"/>
                <w:color w:val="000000"/>
                <w:kern w:val="0"/>
                <w:sz w:val="21"/>
                <w:szCs w:val="21"/>
                <w:vertAlign w:val="subscript"/>
              </w:rPr>
              <w:t>4</w:t>
            </w:r>
            <w:r>
              <w:rPr>
                <w:rFonts w:eastAsia="MS Gothic" w:cs="Times New Roman"/>
                <w:color w:val="000000"/>
                <w:kern w:val="0"/>
                <w:sz w:val="21"/>
                <w:szCs w:val="21"/>
              </w:rPr>
              <w:t>​</w:t>
            </w:r>
            <w:r>
              <w:rPr>
                <w:rFonts w:cs="Times New Roman"/>
                <w:color w:val="000000"/>
                <w:kern w:val="0"/>
                <w:sz w:val="21"/>
                <w:szCs w:val="21"/>
              </w:rPr>
              <w:t>,</w:t>
            </w:r>
            <w:r>
              <w:rPr>
                <w:rFonts w:cs="Times New Roman"/>
                <w:i/>
                <w:iCs/>
                <w:color w:val="000000"/>
                <w:kern w:val="0"/>
                <w:sz w:val="21"/>
                <w:szCs w:val="21"/>
              </w:rPr>
              <w:t xml:space="preserve"> q</w:t>
            </w:r>
            <w:r>
              <w:rPr>
                <w:rFonts w:cs="Times New Roman"/>
                <w:color w:val="000000"/>
                <w:kern w:val="0"/>
                <w:sz w:val="21"/>
                <w:szCs w:val="21"/>
                <w:vertAlign w:val="subscript"/>
              </w:rPr>
              <w:t>5</w:t>
            </w:r>
            <w:r>
              <w:rPr>
                <w:rFonts w:eastAsia="MS Gothic" w:cs="Times New Roman"/>
                <w:color w:val="000000"/>
                <w:kern w:val="0"/>
                <w:sz w:val="21"/>
                <w:szCs w:val="21"/>
              </w:rPr>
              <w:t>​</w:t>
            </w:r>
            <w:r>
              <w:rPr>
                <w:rFonts w:cs="Times New Roman"/>
                <w:color w:val="000000"/>
                <w:kern w:val="0"/>
                <w:sz w:val="21"/>
                <w:szCs w:val="21"/>
              </w:rPr>
              <w:t>)</w:t>
            </w:r>
          </w:p>
        </w:tc>
        <w:tc>
          <w:tcPr>
            <w:tcW w:w="576" w:type="pct"/>
            <w:noWrap/>
            <w:vAlign w:val="center"/>
          </w:tcPr>
          <w:p w14:paraId="50C5F632">
            <w:pPr>
              <w:widowControl/>
              <w:spacing w:line="240" w:lineRule="auto"/>
              <w:ind w:firstLine="0" w:firstLineChars="0"/>
              <w:jc w:val="center"/>
              <w:rPr>
                <w:rFonts w:cs="Times New Roman"/>
                <w:color w:val="000000"/>
                <w:kern w:val="0"/>
                <w:sz w:val="21"/>
                <w:szCs w:val="21"/>
              </w:rPr>
            </w:pPr>
          </w:p>
        </w:tc>
        <w:tc>
          <w:tcPr>
            <w:tcW w:w="717" w:type="pct"/>
            <w:noWrap/>
            <w:vAlign w:val="center"/>
          </w:tcPr>
          <w:p w14:paraId="5582CB0F">
            <w:pPr>
              <w:widowControl/>
              <w:spacing w:line="240" w:lineRule="auto"/>
              <w:ind w:firstLine="0" w:firstLineChars="0"/>
              <w:jc w:val="center"/>
              <w:rPr>
                <w:rFonts w:cs="Times New Roman"/>
                <w:color w:val="000000"/>
                <w:kern w:val="0"/>
                <w:sz w:val="21"/>
                <w:szCs w:val="21"/>
              </w:rPr>
            </w:pPr>
            <w:r>
              <w:rPr>
                <w:rFonts w:cs="Times New Roman"/>
                <w:color w:val="000000"/>
                <w:kern w:val="0"/>
                <w:sz w:val="21"/>
                <w:szCs w:val="21"/>
              </w:rPr>
              <w:t>(</w:t>
            </w:r>
            <w:r>
              <w:rPr>
                <w:rFonts w:hint="eastAsia" w:cs="Times New Roman"/>
                <w:i/>
                <w:iCs/>
                <w:color w:val="000000"/>
                <w:kern w:val="0"/>
                <w:sz w:val="21"/>
                <w:szCs w:val="21"/>
              </w:rPr>
              <w:t>E</w:t>
            </w:r>
            <w:r>
              <w:rPr>
                <w:rFonts w:cs="Times New Roman"/>
                <w:color w:val="000000"/>
                <w:kern w:val="0"/>
                <w:sz w:val="21"/>
                <w:szCs w:val="21"/>
                <w:vertAlign w:val="subscript"/>
              </w:rPr>
              <w:t>1</w:t>
            </w:r>
            <w:r>
              <w:rPr>
                <w:rFonts w:eastAsia="MS Gothic" w:cs="Times New Roman"/>
                <w:color w:val="000000"/>
                <w:kern w:val="0"/>
                <w:sz w:val="21"/>
                <w:szCs w:val="21"/>
              </w:rPr>
              <w:t>​</w:t>
            </w:r>
            <w:r>
              <w:rPr>
                <w:rFonts w:cs="Times New Roman"/>
                <w:color w:val="000000"/>
                <w:kern w:val="0"/>
                <w:sz w:val="21"/>
                <w:szCs w:val="21"/>
              </w:rPr>
              <w:t>,</w:t>
            </w:r>
            <w:r>
              <w:rPr>
                <w:rFonts w:cs="Times New Roman"/>
                <w:i/>
                <w:iCs/>
                <w:color w:val="000000"/>
                <w:kern w:val="0"/>
                <w:sz w:val="21"/>
                <w:szCs w:val="21"/>
              </w:rPr>
              <w:t xml:space="preserve"> </w:t>
            </w:r>
            <w:r>
              <w:rPr>
                <w:rFonts w:hint="eastAsia" w:cs="Times New Roman"/>
                <w:i/>
                <w:iCs/>
                <w:color w:val="000000"/>
                <w:kern w:val="0"/>
                <w:sz w:val="21"/>
                <w:szCs w:val="21"/>
              </w:rPr>
              <w:t>E</w:t>
            </w:r>
            <w:r>
              <w:rPr>
                <w:rFonts w:cs="Times New Roman"/>
                <w:color w:val="000000"/>
                <w:kern w:val="0"/>
                <w:sz w:val="21"/>
                <w:szCs w:val="21"/>
                <w:vertAlign w:val="subscript"/>
              </w:rPr>
              <w:t>2</w:t>
            </w:r>
            <w:r>
              <w:rPr>
                <w:rFonts w:cs="Times New Roman"/>
                <w:color w:val="000000"/>
                <w:kern w:val="0"/>
                <w:sz w:val="21"/>
                <w:szCs w:val="21"/>
              </w:rPr>
              <w:t>,</w:t>
            </w:r>
            <w:r>
              <w:rPr>
                <w:rFonts w:cs="Times New Roman"/>
                <w:i/>
                <w:iCs/>
                <w:color w:val="000000"/>
                <w:kern w:val="0"/>
                <w:sz w:val="21"/>
                <w:szCs w:val="21"/>
              </w:rPr>
              <w:t xml:space="preserve"> </w:t>
            </w:r>
            <w:r>
              <w:rPr>
                <w:rFonts w:hint="eastAsia" w:cs="Times New Roman"/>
                <w:i/>
                <w:iCs/>
                <w:color w:val="000000"/>
                <w:kern w:val="0"/>
                <w:sz w:val="21"/>
                <w:szCs w:val="21"/>
              </w:rPr>
              <w:t>E</w:t>
            </w:r>
            <w:r>
              <w:rPr>
                <w:rFonts w:cs="Times New Roman"/>
                <w:color w:val="000000"/>
                <w:kern w:val="0"/>
                <w:sz w:val="21"/>
                <w:szCs w:val="21"/>
                <w:vertAlign w:val="subscript"/>
              </w:rPr>
              <w:t>3</w:t>
            </w:r>
            <w:r>
              <w:rPr>
                <w:rFonts w:eastAsia="MS Gothic" w:cs="Times New Roman"/>
                <w:color w:val="000000"/>
                <w:kern w:val="0"/>
                <w:sz w:val="21"/>
                <w:szCs w:val="21"/>
              </w:rPr>
              <w:t>​</w:t>
            </w:r>
            <w:r>
              <w:rPr>
                <w:rFonts w:cs="Times New Roman"/>
                <w:color w:val="000000"/>
                <w:kern w:val="0"/>
                <w:sz w:val="21"/>
                <w:szCs w:val="21"/>
              </w:rPr>
              <w:t>,</w:t>
            </w:r>
            <w:r>
              <w:rPr>
                <w:rFonts w:cs="Times New Roman"/>
                <w:i/>
                <w:iCs/>
                <w:color w:val="000000"/>
                <w:kern w:val="0"/>
                <w:sz w:val="21"/>
                <w:szCs w:val="21"/>
              </w:rPr>
              <w:t xml:space="preserve"> </w:t>
            </w:r>
            <w:r>
              <w:rPr>
                <w:rFonts w:hint="eastAsia" w:cs="Times New Roman"/>
                <w:i/>
                <w:iCs/>
                <w:color w:val="000000"/>
                <w:kern w:val="0"/>
                <w:sz w:val="21"/>
                <w:szCs w:val="21"/>
              </w:rPr>
              <w:t>E</w:t>
            </w:r>
            <w:r>
              <w:rPr>
                <w:rFonts w:cs="Times New Roman"/>
                <w:color w:val="000000"/>
                <w:kern w:val="0"/>
                <w:sz w:val="21"/>
                <w:szCs w:val="21"/>
                <w:vertAlign w:val="subscript"/>
              </w:rPr>
              <w:t>4</w:t>
            </w:r>
            <w:r>
              <w:rPr>
                <w:rFonts w:eastAsia="MS Gothic" w:cs="Times New Roman"/>
                <w:color w:val="000000"/>
                <w:kern w:val="0"/>
                <w:sz w:val="21"/>
                <w:szCs w:val="21"/>
              </w:rPr>
              <w:t>​</w:t>
            </w:r>
            <w:r>
              <w:rPr>
                <w:rFonts w:cs="Times New Roman"/>
                <w:color w:val="000000"/>
                <w:kern w:val="0"/>
                <w:sz w:val="21"/>
                <w:szCs w:val="21"/>
              </w:rPr>
              <w:t>,</w:t>
            </w:r>
            <w:r>
              <w:rPr>
                <w:rFonts w:cs="Times New Roman"/>
                <w:i/>
                <w:iCs/>
                <w:color w:val="000000"/>
                <w:kern w:val="0"/>
                <w:sz w:val="21"/>
                <w:szCs w:val="21"/>
              </w:rPr>
              <w:t xml:space="preserve"> </w:t>
            </w:r>
            <w:r>
              <w:rPr>
                <w:rFonts w:hint="eastAsia" w:cs="Times New Roman"/>
                <w:i/>
                <w:iCs/>
                <w:color w:val="000000"/>
                <w:kern w:val="0"/>
                <w:sz w:val="21"/>
                <w:szCs w:val="21"/>
              </w:rPr>
              <w:t>E</w:t>
            </w:r>
            <w:r>
              <w:rPr>
                <w:rFonts w:cs="Times New Roman"/>
                <w:color w:val="000000"/>
                <w:kern w:val="0"/>
                <w:sz w:val="21"/>
                <w:szCs w:val="21"/>
                <w:vertAlign w:val="subscript"/>
              </w:rPr>
              <w:t>5</w:t>
            </w:r>
            <w:r>
              <w:rPr>
                <w:rFonts w:eastAsia="MS Gothic" w:cs="Times New Roman"/>
                <w:color w:val="000000"/>
                <w:kern w:val="0"/>
                <w:sz w:val="21"/>
                <w:szCs w:val="21"/>
              </w:rPr>
              <w:t>​</w:t>
            </w:r>
            <w:r>
              <w:rPr>
                <w:rFonts w:cs="Times New Roman"/>
                <w:color w:val="000000"/>
                <w:kern w:val="0"/>
                <w:sz w:val="21"/>
                <w:szCs w:val="21"/>
              </w:rPr>
              <w:t>)</w:t>
            </w:r>
          </w:p>
        </w:tc>
        <w:tc>
          <w:tcPr>
            <w:tcW w:w="650" w:type="pct"/>
            <w:noWrap/>
            <w:vAlign w:val="center"/>
          </w:tcPr>
          <w:p w14:paraId="15B4D1B3">
            <w:pPr>
              <w:widowControl/>
              <w:spacing w:line="240" w:lineRule="auto"/>
              <w:ind w:firstLine="0" w:firstLineChars="0"/>
              <w:jc w:val="center"/>
              <w:rPr>
                <w:rFonts w:cs="Times New Roman"/>
                <w:color w:val="000000"/>
                <w:kern w:val="0"/>
                <w:sz w:val="21"/>
                <w:szCs w:val="21"/>
              </w:rPr>
            </w:pPr>
          </w:p>
        </w:tc>
        <w:tc>
          <w:tcPr>
            <w:tcW w:w="509" w:type="pct"/>
            <w:noWrap/>
            <w:vAlign w:val="center"/>
          </w:tcPr>
          <w:p w14:paraId="54DD6BEF">
            <w:pPr>
              <w:widowControl/>
              <w:spacing w:line="240" w:lineRule="auto"/>
              <w:ind w:firstLine="0" w:firstLineChars="0"/>
              <w:jc w:val="center"/>
              <w:rPr>
                <w:rFonts w:cs="Times New Roman"/>
                <w:color w:val="000000"/>
                <w:kern w:val="0"/>
                <w:sz w:val="21"/>
                <w:szCs w:val="21"/>
              </w:rPr>
            </w:pPr>
          </w:p>
        </w:tc>
        <w:tc>
          <w:tcPr>
            <w:tcW w:w="598" w:type="pct"/>
            <w:noWrap/>
            <w:vAlign w:val="center"/>
          </w:tcPr>
          <w:p w14:paraId="4D829A99">
            <w:pPr>
              <w:widowControl/>
              <w:spacing w:line="240" w:lineRule="auto"/>
              <w:ind w:firstLine="0" w:firstLineChars="0"/>
              <w:jc w:val="center"/>
              <w:rPr>
                <w:rFonts w:cs="Times New Roman"/>
                <w:color w:val="000000"/>
                <w:kern w:val="0"/>
                <w:sz w:val="21"/>
                <w:szCs w:val="21"/>
              </w:rPr>
            </w:pPr>
          </w:p>
        </w:tc>
        <w:tc>
          <w:tcPr>
            <w:tcW w:w="398" w:type="pct"/>
            <w:noWrap/>
            <w:vAlign w:val="center"/>
          </w:tcPr>
          <w:p w14:paraId="2671B334">
            <w:pPr>
              <w:widowControl/>
              <w:spacing w:line="240" w:lineRule="auto"/>
              <w:ind w:firstLine="0" w:firstLineChars="0"/>
              <w:jc w:val="center"/>
              <w:rPr>
                <w:rFonts w:cs="Times New Roman"/>
                <w:color w:val="000000"/>
                <w:kern w:val="0"/>
                <w:sz w:val="21"/>
                <w:szCs w:val="21"/>
              </w:rPr>
            </w:pPr>
          </w:p>
        </w:tc>
      </w:tr>
    </w:tbl>
    <w:p w14:paraId="1B31BB38">
      <w:pPr>
        <w:spacing w:after="156" w:afterLines="50"/>
        <w:ind w:firstLine="0" w:firstLineChars="0"/>
        <w:rPr>
          <w:rFonts w:ascii="宋体" w:hAnsi="宋体" w:cs="Times New Roman"/>
          <w:b/>
          <w:bCs/>
          <w:szCs w:val="24"/>
        </w:rPr>
      </w:pPr>
      <w:r>
        <w:rPr>
          <w:rFonts w:cs="Times New Roman"/>
          <w:b/>
          <w:bCs/>
          <w:szCs w:val="24"/>
        </w:rPr>
        <w:t>问题</w:t>
      </w:r>
      <w:r>
        <w:rPr>
          <w:rFonts w:hint="eastAsia" w:cs="Times New Roman"/>
          <w:b/>
          <w:bCs/>
          <w:szCs w:val="24"/>
        </w:rPr>
        <w:t>4</w:t>
      </w:r>
      <w:r>
        <w:rPr>
          <w:rFonts w:cs="Times New Roman"/>
          <w:b/>
          <w:bCs/>
          <w:szCs w:val="24"/>
        </w:rPr>
        <w:t>：</w:t>
      </w:r>
      <w:r>
        <w:rPr>
          <w:rFonts w:ascii="宋体" w:hAnsi="宋体" w:cs="Times New Roman"/>
          <w:b/>
          <w:bCs/>
          <w:szCs w:val="24"/>
        </w:rPr>
        <w:t>电堆动态辅助加热控制策略优化</w:t>
      </w:r>
    </w:p>
    <w:p w14:paraId="4E30F4A4">
      <w:pPr>
        <w:ind w:firstLine="480"/>
      </w:pPr>
      <w:r>
        <w:rPr>
          <w:rFonts w:hint="eastAsia"/>
        </w:rPr>
        <w:t>在问题3</w:t>
      </w:r>
      <w:r>
        <w:t>恒定功率策略的基础上，进一步允许各片电热丝功率随时间独立调节。以实时测得的单片温度</w:t>
      </w:r>
      <w:r>
        <w:rPr>
          <w:i/>
          <w:iCs/>
        </w:rPr>
        <w:t>T</w:t>
      </w:r>
      <w:r>
        <w:rPr>
          <w:i/>
          <w:iCs/>
          <w:vertAlign w:val="subscript"/>
        </w:rPr>
        <w:t>k</w:t>
      </w:r>
      <w:r>
        <w:t>(</w:t>
      </w:r>
      <w:r>
        <w:rPr>
          <w:i/>
          <w:iCs/>
        </w:rPr>
        <w:t>t</w:t>
      </w:r>
      <w:r>
        <w:t>)和电压</w:t>
      </w:r>
      <w:r>
        <w:rPr>
          <w:i/>
          <w:iCs/>
        </w:rPr>
        <w:t>V</w:t>
      </w:r>
      <w:r>
        <w:rPr>
          <w:i/>
          <w:iCs/>
          <w:vertAlign w:val="subscript"/>
        </w:rPr>
        <w:t>k</w:t>
      </w:r>
      <w:r>
        <w:t>(</w:t>
      </w:r>
      <w:r>
        <w:rPr>
          <w:i/>
          <w:iCs/>
        </w:rPr>
        <w:t>t</w:t>
      </w:r>
      <w:r>
        <w:t>)为反馈信号，结合温升速率和电压下降速率，设计动态功率控制</w:t>
      </w:r>
      <w:r>
        <w:rPr>
          <w:rFonts w:hint="eastAsia"/>
        </w:rPr>
        <w:t>策略</w:t>
      </w:r>
      <w:r>
        <w:rPr>
          <w:i/>
          <w:iCs/>
        </w:rPr>
        <w:t>q</w:t>
      </w:r>
      <w:r>
        <w:rPr>
          <w:i/>
          <w:iCs/>
          <w:vertAlign w:val="subscript"/>
        </w:rPr>
        <w:t>k</w:t>
      </w:r>
      <w:r>
        <w:rPr>
          <w:rFonts w:hint="eastAsia"/>
        </w:rPr>
        <w:t>(</w:t>
      </w:r>
      <w:r>
        <w:rPr>
          <w:rFonts w:hint="eastAsia"/>
          <w:i/>
          <w:iCs/>
        </w:rPr>
        <w:t>t</w:t>
      </w:r>
      <w:r>
        <w:rPr>
          <w:rFonts w:hint="eastAsia"/>
        </w:rPr>
        <w:t>)</w:t>
      </w:r>
      <w:r>
        <w:t>。控制策略能够识别温度偏低、温升不足、存在冰堵风险以及接近启动成功的单电池，并分别采取增强加热、维持功率、降低功率或停止加热等措施。动态控制应满足</w:t>
      </w:r>
      <w:r>
        <w:rPr>
          <w:rFonts w:hint="eastAsia"/>
        </w:rPr>
        <w:t>以下约束</w:t>
      </w:r>
      <w:r>
        <w:t>：</w:t>
      </w:r>
    </w:p>
    <w:p w14:paraId="69DD7B57">
      <w:pPr>
        <w:pStyle w:val="45"/>
        <w:numPr>
          <w:ilvl w:val="0"/>
          <w:numId w:val="1"/>
        </w:numPr>
        <w:snapToGrid w:val="0"/>
        <w:ind w:left="922" w:leftChars="200" w:hanging="442" w:firstLineChars="0"/>
        <w:rPr>
          <w:rFonts w:cs="Times New Roman"/>
          <w:szCs w:val="24"/>
        </w:rPr>
      </w:pPr>
      <w:r>
        <w:rPr>
          <w:rFonts w:cs="Times New Roman"/>
          <w:szCs w:val="24"/>
        </w:rPr>
        <w:t>各片电热丝功率密度处于</w:t>
      </w:r>
      <w:r>
        <w:rPr>
          <w:rFonts w:hint="eastAsia" w:cs="Times New Roman"/>
          <w:szCs w:val="24"/>
        </w:rPr>
        <w:t>0~</w:t>
      </w:r>
      <w:r>
        <w:rPr>
          <w:rFonts w:cs="Times New Roman"/>
          <w:color w:val="000000"/>
        </w:rPr>
        <w:t>1 W·cm</w:t>
      </w:r>
      <w:r>
        <w:rPr>
          <w:rFonts w:cs="Times New Roman"/>
          <w:color w:val="000000"/>
          <w:vertAlign w:val="superscript"/>
        </w:rPr>
        <w:t>-2</w:t>
      </w:r>
      <w:r>
        <w:rPr>
          <w:rFonts w:cs="Times New Roman"/>
          <w:szCs w:val="24"/>
        </w:rPr>
        <w:t>；</w:t>
      </w:r>
    </w:p>
    <w:p w14:paraId="15B7E6E4">
      <w:pPr>
        <w:pStyle w:val="45"/>
        <w:numPr>
          <w:ilvl w:val="0"/>
          <w:numId w:val="1"/>
        </w:numPr>
        <w:snapToGrid w:val="0"/>
        <w:ind w:left="922" w:leftChars="200" w:hanging="442" w:firstLineChars="0"/>
        <w:rPr>
          <w:rFonts w:cs="Times New Roman"/>
          <w:szCs w:val="24"/>
        </w:rPr>
      </w:pPr>
      <w:r>
        <w:rPr>
          <w:rFonts w:cs="Times New Roman"/>
          <w:szCs w:val="24"/>
        </w:rPr>
        <w:t>冰体积分数不超过严重冰堵阈值</w:t>
      </w:r>
      <w:r>
        <w:rPr>
          <w:rFonts w:hint="eastAsia" w:cs="Times New Roman"/>
          <w:szCs w:val="24"/>
        </w:rPr>
        <w:t>（见公式（7））</w:t>
      </w:r>
      <w:r>
        <w:rPr>
          <w:rFonts w:cs="Times New Roman"/>
          <w:szCs w:val="24"/>
        </w:rPr>
        <w:t>；</w:t>
      </w:r>
    </w:p>
    <w:p w14:paraId="70D1ADF1">
      <w:pPr>
        <w:pStyle w:val="45"/>
        <w:numPr>
          <w:ilvl w:val="0"/>
          <w:numId w:val="1"/>
        </w:numPr>
        <w:snapToGrid w:val="0"/>
        <w:ind w:left="922" w:leftChars="200" w:hanging="442" w:firstLineChars="0"/>
        <w:rPr>
          <w:rFonts w:cs="Times New Roman"/>
          <w:szCs w:val="24"/>
        </w:rPr>
      </w:pPr>
      <w:r>
        <w:rPr>
          <w:rFonts w:cs="Times New Roman"/>
          <w:szCs w:val="24"/>
        </w:rPr>
        <w:t>各单电池电压不低于规定的安全下限</w:t>
      </w:r>
      <w:r>
        <w:rPr>
          <w:rFonts w:hint="eastAsia" w:cs="Times New Roman"/>
          <w:szCs w:val="24"/>
        </w:rPr>
        <w:t>（</w:t>
      </w:r>
      <w:bookmarkStart w:id="2" w:name="OLE_LINK4"/>
      <w:r>
        <w:rPr>
          <w:rFonts w:hint="eastAsia" w:cs="Times New Roman"/>
          <w:szCs w:val="24"/>
        </w:rPr>
        <w:t>见公式（8）</w:t>
      </w:r>
      <w:bookmarkEnd w:id="2"/>
      <w:r>
        <w:rPr>
          <w:rFonts w:hint="eastAsia" w:cs="Times New Roman"/>
          <w:szCs w:val="24"/>
        </w:rPr>
        <w:t>）</w:t>
      </w:r>
      <w:r>
        <w:rPr>
          <w:rFonts w:cs="Times New Roman"/>
          <w:szCs w:val="24"/>
        </w:rPr>
        <w:t>；</w:t>
      </w:r>
    </w:p>
    <w:p w14:paraId="5C920BD9">
      <w:pPr>
        <w:pStyle w:val="45"/>
        <w:numPr>
          <w:ilvl w:val="0"/>
          <w:numId w:val="1"/>
        </w:numPr>
        <w:snapToGrid w:val="0"/>
        <w:ind w:left="922" w:leftChars="200" w:hanging="442" w:firstLineChars="0"/>
        <w:rPr>
          <w:rFonts w:cs="Times New Roman"/>
          <w:szCs w:val="24"/>
        </w:rPr>
      </w:pPr>
      <w:r>
        <w:rPr>
          <w:rFonts w:cs="Times New Roman"/>
          <w:szCs w:val="24"/>
        </w:rPr>
        <w:t>所有单电池达到启动目标后及时降低或关闭辅助加热。</w:t>
      </w:r>
    </w:p>
    <w:p w14:paraId="4EC62981">
      <w:pPr>
        <w:ind w:firstLine="480"/>
      </w:pPr>
      <w:r>
        <w:t>此外，为考察不同预冷程度对电堆冷启动性能及单片一致性的影响，设置以下三种初始状态。预冷开始时，电堆各部件温度均为25 ℃</w:t>
      </w:r>
      <w:r>
        <w:rPr>
          <w:rFonts w:hint="eastAsia"/>
        </w:rPr>
        <w:t>，</w:t>
      </w:r>
      <w:r>
        <w:t>采用预冷结束时计算得到的温度场作为冷启动初始温度场</w:t>
      </w:r>
      <w:r>
        <w:rPr>
          <w:rFonts w:hint="eastAsia"/>
        </w:rPr>
        <w:t>，所需参数见附件1：</w:t>
      </w:r>
    </w:p>
    <w:p w14:paraId="0CBA3D26">
      <w:pPr>
        <w:pStyle w:val="45"/>
        <w:numPr>
          <w:ilvl w:val="0"/>
          <w:numId w:val="2"/>
        </w:numPr>
        <w:ind w:firstLineChars="0"/>
        <w:rPr>
          <w:rFonts w:cs="Times New Roman"/>
          <w:szCs w:val="24"/>
        </w:rPr>
      </w:pPr>
      <w:r>
        <w:rPr>
          <w:rFonts w:hint="eastAsia" w:cs="Times New Roman"/>
          <w:szCs w:val="24"/>
        </w:rPr>
        <w:t>工况1—</w:t>
      </w:r>
      <w:r>
        <w:rPr>
          <w:rFonts w:cs="Times New Roman"/>
          <w:szCs w:val="24"/>
        </w:rPr>
        <w:t>完全冷却：电堆内部初始温度均匀，且等于</w:t>
      </w:r>
      <w:r>
        <w:rPr>
          <w:rFonts w:cs="Times New Roman"/>
        </w:rPr>
        <w:t>-30 ℃</w:t>
      </w:r>
      <w:r>
        <w:rPr>
          <w:rFonts w:cs="Times New Roman"/>
          <w:szCs w:val="24"/>
        </w:rPr>
        <w:t>；</w:t>
      </w:r>
    </w:p>
    <w:p w14:paraId="5FC8A3EF">
      <w:pPr>
        <w:pStyle w:val="45"/>
        <w:numPr>
          <w:ilvl w:val="0"/>
          <w:numId w:val="3"/>
        </w:numPr>
        <w:snapToGrid w:val="0"/>
        <w:ind w:left="922" w:leftChars="200" w:hanging="442" w:firstLineChars="0"/>
        <w:rPr>
          <w:rFonts w:cs="Times New Roman"/>
          <w:szCs w:val="24"/>
        </w:rPr>
      </w:pPr>
      <w:r>
        <w:rPr>
          <w:rFonts w:hint="eastAsia" w:cs="Times New Roman"/>
          <w:szCs w:val="24"/>
        </w:rPr>
        <w:t>工况2—</w:t>
      </w:r>
      <w:r>
        <w:rPr>
          <w:rFonts w:cs="Times New Roman"/>
          <w:szCs w:val="24"/>
        </w:rPr>
        <w:t>未完全冷却：电堆在</w:t>
      </w:r>
      <w:r>
        <w:rPr>
          <w:rFonts w:cs="Times New Roman"/>
        </w:rPr>
        <w:t>-30 ℃</w:t>
      </w:r>
      <w:r>
        <w:rPr>
          <w:rFonts w:cs="Times New Roman"/>
          <w:szCs w:val="24"/>
        </w:rPr>
        <w:t>环境中冷却</w:t>
      </w:r>
      <w:r>
        <w:rPr>
          <w:rFonts w:hint="eastAsia" w:cs="Times New Roman"/>
          <w:szCs w:val="24"/>
        </w:rPr>
        <w:t>20 min</w:t>
      </w:r>
      <w:r>
        <w:rPr>
          <w:rFonts w:cs="Times New Roman"/>
          <w:szCs w:val="24"/>
        </w:rPr>
        <w:t>，形成中间高、两端低的非均匀初始温度场；</w:t>
      </w:r>
    </w:p>
    <w:p w14:paraId="07BB45AF">
      <w:pPr>
        <w:pStyle w:val="45"/>
        <w:numPr>
          <w:ilvl w:val="0"/>
          <w:numId w:val="3"/>
        </w:numPr>
        <w:snapToGrid w:val="0"/>
        <w:ind w:left="922" w:leftChars="200" w:hanging="442" w:firstLineChars="0"/>
        <w:rPr>
          <w:rFonts w:cs="Times New Roman"/>
          <w:szCs w:val="24"/>
        </w:rPr>
      </w:pPr>
      <w:r>
        <w:rPr>
          <w:rFonts w:hint="eastAsia" w:cs="Times New Roman"/>
          <w:szCs w:val="24"/>
        </w:rPr>
        <w:t>工况3—</w:t>
      </w:r>
      <w:r>
        <w:rPr>
          <w:rFonts w:cs="Times New Roman"/>
          <w:szCs w:val="24"/>
        </w:rPr>
        <w:t>未完全冷却：电堆在</w:t>
      </w:r>
      <w:r>
        <w:rPr>
          <w:rFonts w:cs="Times New Roman"/>
        </w:rPr>
        <w:t>-30 ℃</w:t>
      </w:r>
      <w:r>
        <w:rPr>
          <w:rFonts w:cs="Times New Roman"/>
          <w:szCs w:val="24"/>
        </w:rPr>
        <w:t>环境中冷却</w:t>
      </w:r>
      <w:r>
        <w:rPr>
          <w:rFonts w:hint="eastAsia" w:cs="Times New Roman"/>
          <w:szCs w:val="24"/>
        </w:rPr>
        <w:t>40 min</w:t>
      </w:r>
      <w:r>
        <w:rPr>
          <w:rFonts w:cs="Times New Roman"/>
          <w:szCs w:val="24"/>
        </w:rPr>
        <w:t>，形成更明显的非均匀初始温度场。</w:t>
      </w:r>
    </w:p>
    <w:p w14:paraId="4C9973AF">
      <w:pPr>
        <w:snapToGrid w:val="0"/>
        <w:ind w:firstLine="480"/>
        <w:rPr>
          <w:rFonts w:cs="Times New Roman"/>
          <w:szCs w:val="24"/>
        </w:rPr>
      </w:pPr>
      <w:r>
        <w:rPr>
          <w:rFonts w:hint="eastAsia" w:cs="Times New Roman"/>
          <w:szCs w:val="24"/>
        </w:rPr>
        <w:t>请解决以下问题：</w:t>
      </w:r>
    </w:p>
    <w:p w14:paraId="4456B395">
      <w:pPr>
        <w:ind w:firstLine="480" w:firstLineChars="0"/>
        <w:rPr>
          <w:rFonts w:cs="Times New Roman"/>
          <w:szCs w:val="24"/>
        </w:rPr>
      </w:pPr>
      <w:r>
        <w:rPr>
          <w:rFonts w:hint="eastAsia"/>
        </w:rPr>
        <w:t>（1）针对</w:t>
      </w:r>
      <w:r>
        <w:t>上述三种工况，以辅助加热总能耗最小为主要目标，综合考虑</w:t>
      </w:r>
      <w:bookmarkStart w:id="3" w:name="OLE_LINK5"/>
      <w:r>
        <w:t>启动时间、电堆最大温差、最低单片电压和最大冰体积分数</w:t>
      </w:r>
      <w:bookmarkEnd w:id="3"/>
      <w:r>
        <w:t>，确定动态功率控制</w:t>
      </w:r>
      <w:r>
        <w:rPr>
          <w:rFonts w:hint="eastAsia"/>
        </w:rPr>
        <w:t>策略</w:t>
      </w:r>
      <w:r>
        <w:rPr>
          <w:i/>
          <w:iCs/>
        </w:rPr>
        <w:t>q</w:t>
      </w:r>
      <w:r>
        <w:rPr>
          <w:i/>
          <w:iCs/>
          <w:vertAlign w:val="subscript"/>
        </w:rPr>
        <w:t>k</w:t>
      </w:r>
      <w:r>
        <w:rPr>
          <w:rFonts w:hint="eastAsia"/>
        </w:rPr>
        <w:t>(</w:t>
      </w:r>
      <w:r>
        <w:rPr>
          <w:rFonts w:hint="eastAsia"/>
          <w:i/>
          <w:iCs/>
        </w:rPr>
        <w:t>t</w:t>
      </w:r>
      <w:r>
        <w:rPr>
          <w:rFonts w:hint="eastAsia"/>
        </w:rPr>
        <w:t>)</w:t>
      </w:r>
      <w:r>
        <w:t>，并与问题3的恒功率协同启动策略进行比较</w:t>
      </w:r>
      <w:r>
        <w:rPr>
          <w:rFonts w:hint="eastAsia"/>
        </w:rPr>
        <w:t>，</w:t>
      </w:r>
      <w:r>
        <w:rPr>
          <w:rFonts w:hint="eastAsia" w:cs="Times New Roman"/>
          <w:szCs w:val="24"/>
        </w:rPr>
        <w:t>并填写下表。</w:t>
      </w:r>
    </w:p>
    <w:p w14:paraId="06F1F91A">
      <w:pPr>
        <w:spacing w:before="156" w:beforeLines="50"/>
        <w:ind w:firstLine="0" w:firstLineChars="0"/>
        <w:jc w:val="center"/>
        <w:rPr>
          <w:rFonts w:cs="Times New Roman"/>
          <w:szCs w:val="24"/>
        </w:rPr>
      </w:pPr>
      <w:r>
        <w:rPr>
          <w:rFonts w:hint="eastAsia"/>
        </w:rPr>
        <w:t xml:space="preserve">表4 </w:t>
      </w:r>
      <w:r>
        <w:t>不同预冷工况下辅助加热控制策略优化结果对比</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04"/>
        <w:gridCol w:w="1419"/>
        <w:gridCol w:w="1133"/>
        <w:gridCol w:w="708"/>
        <w:gridCol w:w="936"/>
        <w:gridCol w:w="762"/>
        <w:gridCol w:w="1005"/>
        <w:gridCol w:w="1005"/>
        <w:gridCol w:w="624"/>
      </w:tblGrid>
      <w:tr w14:paraId="2928B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24" w:type="pct"/>
            <w:vAlign w:val="center"/>
          </w:tcPr>
          <w:p w14:paraId="2603B034">
            <w:pPr>
              <w:spacing w:line="240" w:lineRule="auto"/>
              <w:ind w:firstLine="0" w:firstLineChars="0"/>
              <w:jc w:val="center"/>
              <w:rPr>
                <w:rFonts w:cs="Times New Roman"/>
                <w:b/>
                <w:bCs/>
                <w:sz w:val="21"/>
                <w:szCs w:val="21"/>
              </w:rPr>
            </w:pPr>
            <w:r>
              <w:rPr>
                <w:rFonts w:hint="eastAsia" w:cs="Times New Roman"/>
                <w:b/>
                <w:bCs/>
                <w:sz w:val="21"/>
                <w:szCs w:val="21"/>
              </w:rPr>
              <w:t>工况</w:t>
            </w:r>
          </w:p>
        </w:tc>
        <w:tc>
          <w:tcPr>
            <w:tcW w:w="855" w:type="pct"/>
            <w:vAlign w:val="center"/>
          </w:tcPr>
          <w:p w14:paraId="405486C0">
            <w:pPr>
              <w:spacing w:line="240" w:lineRule="auto"/>
              <w:ind w:firstLine="0" w:firstLineChars="0"/>
              <w:jc w:val="center"/>
              <w:rPr>
                <w:rFonts w:cs="Times New Roman"/>
                <w:b/>
                <w:bCs/>
                <w:sz w:val="21"/>
                <w:szCs w:val="21"/>
              </w:rPr>
            </w:pPr>
            <w:r>
              <w:rPr>
                <w:rFonts w:cs="Times New Roman"/>
                <w:b/>
                <w:bCs/>
                <w:sz w:val="21"/>
                <w:szCs w:val="21"/>
              </w:rPr>
              <w:t>控制策略</w:t>
            </w:r>
          </w:p>
        </w:tc>
        <w:tc>
          <w:tcPr>
            <w:tcW w:w="683" w:type="pct"/>
            <w:vAlign w:val="center"/>
          </w:tcPr>
          <w:p w14:paraId="05C25ADB">
            <w:pPr>
              <w:spacing w:line="240" w:lineRule="auto"/>
              <w:ind w:firstLine="0" w:firstLineChars="0"/>
              <w:jc w:val="center"/>
              <w:rPr>
                <w:rFonts w:cs="Times New Roman"/>
                <w:b/>
                <w:bCs/>
                <w:sz w:val="21"/>
                <w:szCs w:val="21"/>
              </w:rPr>
            </w:pPr>
            <w:r>
              <w:rPr>
                <w:rFonts w:cs="Times New Roman"/>
                <w:b/>
                <w:bCs/>
                <w:sz w:val="21"/>
                <w:szCs w:val="21"/>
              </w:rPr>
              <w:t>功率控制</w:t>
            </w:r>
            <w:r>
              <w:rPr>
                <w:rFonts w:hint="eastAsia" w:cs="Times New Roman"/>
                <w:b/>
                <w:bCs/>
                <w:sz w:val="21"/>
                <w:szCs w:val="21"/>
              </w:rPr>
              <w:t>策略</w:t>
            </w:r>
            <w:r>
              <w:rPr>
                <w:rFonts w:cs="Times New Roman"/>
                <w:b/>
                <w:bCs/>
                <w:sz w:val="21"/>
                <w:szCs w:val="21"/>
              </w:rPr>
              <w:t>/W·cm</w:t>
            </w:r>
            <w:r>
              <w:rPr>
                <w:rFonts w:hint="eastAsia" w:cs="Times New Roman"/>
                <w:b/>
                <w:bCs/>
                <w:sz w:val="21"/>
                <w:szCs w:val="21"/>
                <w:vertAlign w:val="superscript"/>
              </w:rPr>
              <w:t>-2</w:t>
            </w:r>
          </w:p>
        </w:tc>
        <w:tc>
          <w:tcPr>
            <w:tcW w:w="427" w:type="pct"/>
            <w:vAlign w:val="center"/>
          </w:tcPr>
          <w:p w14:paraId="0C2434A4">
            <w:pPr>
              <w:spacing w:line="240" w:lineRule="auto"/>
              <w:ind w:firstLine="0" w:firstLineChars="0"/>
              <w:jc w:val="center"/>
              <w:rPr>
                <w:rFonts w:cs="Times New Roman"/>
                <w:b/>
                <w:bCs/>
                <w:sz w:val="21"/>
                <w:szCs w:val="21"/>
              </w:rPr>
            </w:pPr>
            <w:r>
              <w:rPr>
                <w:rFonts w:cs="Times New Roman"/>
                <w:b/>
                <w:bCs/>
                <w:sz w:val="21"/>
                <w:szCs w:val="21"/>
              </w:rPr>
              <w:t>启动时间</w:t>
            </w:r>
            <w:r>
              <w:rPr>
                <w:rFonts w:hint="eastAsia" w:cs="Times New Roman"/>
                <w:b/>
                <w:bCs/>
                <w:sz w:val="21"/>
                <w:szCs w:val="21"/>
              </w:rPr>
              <w:t>/</w:t>
            </w:r>
            <w:r>
              <w:rPr>
                <w:rFonts w:cs="Times New Roman"/>
                <w:b/>
                <w:bCs/>
                <w:sz w:val="21"/>
                <w:szCs w:val="21"/>
              </w:rPr>
              <w:t>s</w:t>
            </w:r>
          </w:p>
        </w:tc>
        <w:tc>
          <w:tcPr>
            <w:tcW w:w="564" w:type="pct"/>
            <w:vAlign w:val="center"/>
          </w:tcPr>
          <w:p w14:paraId="64042A14">
            <w:pPr>
              <w:spacing w:line="240" w:lineRule="auto"/>
              <w:ind w:firstLine="0" w:firstLineChars="0"/>
              <w:jc w:val="center"/>
              <w:rPr>
                <w:rFonts w:cs="Times New Roman"/>
                <w:b/>
                <w:bCs/>
                <w:sz w:val="21"/>
                <w:szCs w:val="21"/>
              </w:rPr>
            </w:pPr>
            <w:r>
              <w:rPr>
                <w:rFonts w:cs="Times New Roman"/>
                <w:b/>
                <w:bCs/>
                <w:sz w:val="21"/>
                <w:szCs w:val="21"/>
              </w:rPr>
              <w:t>辅助加热总能耗</w:t>
            </w:r>
            <w:r>
              <w:rPr>
                <w:rFonts w:hint="eastAsia" w:cs="Times New Roman"/>
                <w:b/>
                <w:bCs/>
                <w:sz w:val="21"/>
                <w:szCs w:val="21"/>
              </w:rPr>
              <w:t>/</w:t>
            </w:r>
            <w:r>
              <w:rPr>
                <w:rFonts w:cs="Times New Roman"/>
                <w:b/>
                <w:bCs/>
                <w:sz w:val="21"/>
                <w:szCs w:val="21"/>
              </w:rPr>
              <w:t>J</w:t>
            </w:r>
          </w:p>
        </w:tc>
        <w:tc>
          <w:tcPr>
            <w:tcW w:w="459" w:type="pct"/>
            <w:vAlign w:val="center"/>
          </w:tcPr>
          <w:p w14:paraId="7C02C289">
            <w:pPr>
              <w:spacing w:line="240" w:lineRule="auto"/>
              <w:ind w:firstLine="0" w:firstLineChars="0"/>
              <w:jc w:val="center"/>
              <w:rPr>
                <w:rFonts w:cs="Times New Roman"/>
                <w:b/>
                <w:bCs/>
                <w:sz w:val="21"/>
                <w:szCs w:val="21"/>
              </w:rPr>
            </w:pPr>
            <w:r>
              <w:rPr>
                <w:rFonts w:hint="eastAsia" w:cs="Times New Roman"/>
                <w:b/>
                <w:bCs/>
                <w:sz w:val="21"/>
                <w:szCs w:val="21"/>
              </w:rPr>
              <w:t>最大温差/</w:t>
            </w:r>
            <w:r>
              <w:rPr>
                <w:rFonts w:cs="Times New Roman"/>
                <w:b/>
                <w:bCs/>
                <w:sz w:val="21"/>
                <w:szCs w:val="21"/>
              </w:rPr>
              <w:t>℃</w:t>
            </w:r>
          </w:p>
        </w:tc>
        <w:tc>
          <w:tcPr>
            <w:tcW w:w="606" w:type="pct"/>
            <w:vAlign w:val="center"/>
          </w:tcPr>
          <w:p w14:paraId="3CC2504A">
            <w:pPr>
              <w:spacing w:line="240" w:lineRule="auto"/>
              <w:ind w:firstLine="0" w:firstLineChars="0"/>
              <w:jc w:val="center"/>
              <w:rPr>
                <w:rFonts w:cs="Times New Roman"/>
                <w:b/>
                <w:bCs/>
                <w:sz w:val="21"/>
                <w:szCs w:val="21"/>
              </w:rPr>
            </w:pPr>
            <w:r>
              <w:rPr>
                <w:rFonts w:cs="Times New Roman"/>
                <w:b/>
                <w:bCs/>
                <w:sz w:val="21"/>
                <w:szCs w:val="21"/>
              </w:rPr>
              <w:t>最低单片电压/V</w:t>
            </w:r>
          </w:p>
        </w:tc>
        <w:tc>
          <w:tcPr>
            <w:tcW w:w="606" w:type="pct"/>
            <w:vAlign w:val="center"/>
          </w:tcPr>
          <w:p w14:paraId="058EF03E">
            <w:pPr>
              <w:spacing w:line="240" w:lineRule="auto"/>
              <w:ind w:firstLine="0" w:firstLineChars="0"/>
              <w:jc w:val="center"/>
              <w:rPr>
                <w:rFonts w:cs="Times New Roman"/>
                <w:b/>
                <w:bCs/>
                <w:sz w:val="21"/>
                <w:szCs w:val="21"/>
              </w:rPr>
            </w:pPr>
            <w:r>
              <w:rPr>
                <w:rFonts w:cs="Times New Roman"/>
                <w:b/>
                <w:bCs/>
                <w:sz w:val="21"/>
                <w:szCs w:val="21"/>
              </w:rPr>
              <w:t>最大冰体积分数</w:t>
            </w:r>
          </w:p>
        </w:tc>
        <w:tc>
          <w:tcPr>
            <w:tcW w:w="376" w:type="pct"/>
            <w:vAlign w:val="center"/>
          </w:tcPr>
          <w:p w14:paraId="57A32754">
            <w:pPr>
              <w:spacing w:line="240" w:lineRule="auto"/>
              <w:ind w:firstLine="0" w:firstLineChars="0"/>
              <w:jc w:val="center"/>
              <w:rPr>
                <w:rFonts w:cs="Times New Roman"/>
                <w:b/>
                <w:bCs/>
                <w:sz w:val="21"/>
                <w:szCs w:val="21"/>
              </w:rPr>
            </w:pPr>
            <w:r>
              <w:rPr>
                <w:rFonts w:cs="Times New Roman"/>
                <w:b/>
                <w:bCs/>
                <w:sz w:val="21"/>
                <w:szCs w:val="21"/>
              </w:rPr>
              <w:t>启动结果</w:t>
            </w:r>
          </w:p>
        </w:tc>
      </w:tr>
      <w:tr w14:paraId="49DF4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24" w:type="pct"/>
            <w:vAlign w:val="center"/>
          </w:tcPr>
          <w:p w14:paraId="5E29FCEA">
            <w:pPr>
              <w:spacing w:line="240" w:lineRule="auto"/>
              <w:ind w:firstLine="0" w:firstLineChars="0"/>
              <w:jc w:val="center"/>
              <w:rPr>
                <w:rFonts w:cs="Times New Roman"/>
                <w:sz w:val="21"/>
                <w:szCs w:val="21"/>
              </w:rPr>
            </w:pPr>
            <w:r>
              <w:rPr>
                <w:rFonts w:hint="eastAsia" w:cs="Times New Roman"/>
                <w:sz w:val="21"/>
                <w:szCs w:val="21"/>
              </w:rPr>
              <w:t>工况1</w:t>
            </w:r>
          </w:p>
        </w:tc>
        <w:tc>
          <w:tcPr>
            <w:tcW w:w="855" w:type="pct"/>
            <w:vAlign w:val="center"/>
          </w:tcPr>
          <w:p w14:paraId="4CC53F8E">
            <w:pPr>
              <w:spacing w:line="240" w:lineRule="auto"/>
              <w:ind w:firstLine="0" w:firstLineChars="0"/>
              <w:jc w:val="center"/>
              <w:rPr>
                <w:rFonts w:cs="Times New Roman"/>
                <w:sz w:val="21"/>
                <w:szCs w:val="21"/>
              </w:rPr>
            </w:pPr>
            <w:bookmarkStart w:id="4" w:name="OLE_LINK7"/>
            <w:r>
              <w:rPr>
                <w:rFonts w:cs="Times New Roman"/>
                <w:sz w:val="21"/>
                <w:szCs w:val="21"/>
              </w:rPr>
              <w:t>恒功率策略</w:t>
            </w:r>
            <w:bookmarkEnd w:id="4"/>
          </w:p>
        </w:tc>
        <w:tc>
          <w:tcPr>
            <w:tcW w:w="683" w:type="pct"/>
            <w:vAlign w:val="center"/>
          </w:tcPr>
          <w:p w14:paraId="4623FCDB">
            <w:pPr>
              <w:spacing w:line="240" w:lineRule="auto"/>
              <w:ind w:firstLine="0" w:firstLineChars="0"/>
              <w:jc w:val="center"/>
              <w:rPr>
                <w:rFonts w:cs="Times New Roman"/>
                <w:sz w:val="21"/>
                <w:szCs w:val="21"/>
              </w:rPr>
            </w:pPr>
          </w:p>
        </w:tc>
        <w:tc>
          <w:tcPr>
            <w:tcW w:w="427" w:type="pct"/>
            <w:vAlign w:val="center"/>
          </w:tcPr>
          <w:p w14:paraId="6DA84854">
            <w:pPr>
              <w:spacing w:line="240" w:lineRule="auto"/>
              <w:ind w:firstLine="0" w:firstLineChars="0"/>
              <w:jc w:val="center"/>
              <w:rPr>
                <w:rFonts w:cs="Times New Roman"/>
                <w:sz w:val="21"/>
                <w:szCs w:val="21"/>
              </w:rPr>
            </w:pPr>
          </w:p>
        </w:tc>
        <w:tc>
          <w:tcPr>
            <w:tcW w:w="564" w:type="pct"/>
            <w:vAlign w:val="center"/>
          </w:tcPr>
          <w:p w14:paraId="6BEBB87F">
            <w:pPr>
              <w:spacing w:line="240" w:lineRule="auto"/>
              <w:ind w:firstLine="0" w:firstLineChars="0"/>
              <w:jc w:val="center"/>
              <w:rPr>
                <w:rFonts w:cs="Times New Roman"/>
                <w:sz w:val="21"/>
                <w:szCs w:val="21"/>
              </w:rPr>
            </w:pPr>
          </w:p>
        </w:tc>
        <w:tc>
          <w:tcPr>
            <w:tcW w:w="459" w:type="pct"/>
            <w:vAlign w:val="center"/>
          </w:tcPr>
          <w:p w14:paraId="173E6EA7">
            <w:pPr>
              <w:spacing w:line="240" w:lineRule="auto"/>
              <w:ind w:firstLine="0" w:firstLineChars="0"/>
              <w:jc w:val="center"/>
              <w:rPr>
                <w:rFonts w:cs="Times New Roman"/>
                <w:sz w:val="21"/>
                <w:szCs w:val="21"/>
              </w:rPr>
            </w:pPr>
          </w:p>
        </w:tc>
        <w:tc>
          <w:tcPr>
            <w:tcW w:w="606" w:type="pct"/>
            <w:vAlign w:val="center"/>
          </w:tcPr>
          <w:p w14:paraId="402ECE7E">
            <w:pPr>
              <w:spacing w:line="240" w:lineRule="auto"/>
              <w:ind w:firstLine="0" w:firstLineChars="0"/>
              <w:jc w:val="center"/>
              <w:rPr>
                <w:rFonts w:cs="Times New Roman"/>
                <w:sz w:val="21"/>
                <w:szCs w:val="21"/>
              </w:rPr>
            </w:pPr>
          </w:p>
        </w:tc>
        <w:tc>
          <w:tcPr>
            <w:tcW w:w="606" w:type="pct"/>
            <w:vAlign w:val="center"/>
          </w:tcPr>
          <w:p w14:paraId="5EB4943C">
            <w:pPr>
              <w:spacing w:line="240" w:lineRule="auto"/>
              <w:ind w:firstLine="0" w:firstLineChars="0"/>
              <w:jc w:val="center"/>
              <w:rPr>
                <w:rFonts w:cs="Times New Roman"/>
                <w:sz w:val="21"/>
                <w:szCs w:val="21"/>
              </w:rPr>
            </w:pPr>
          </w:p>
        </w:tc>
        <w:tc>
          <w:tcPr>
            <w:tcW w:w="376" w:type="pct"/>
            <w:vAlign w:val="center"/>
          </w:tcPr>
          <w:p w14:paraId="50A7A12E">
            <w:pPr>
              <w:spacing w:line="240" w:lineRule="auto"/>
              <w:ind w:firstLine="0" w:firstLineChars="0"/>
              <w:jc w:val="center"/>
              <w:rPr>
                <w:rFonts w:cs="Times New Roman"/>
                <w:sz w:val="21"/>
                <w:szCs w:val="21"/>
              </w:rPr>
            </w:pPr>
          </w:p>
        </w:tc>
      </w:tr>
      <w:tr w14:paraId="1FE93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24" w:type="pct"/>
            <w:vAlign w:val="center"/>
          </w:tcPr>
          <w:p w14:paraId="0BB2E4BB">
            <w:pPr>
              <w:spacing w:line="240" w:lineRule="auto"/>
              <w:ind w:firstLine="0" w:firstLineChars="0"/>
              <w:jc w:val="center"/>
              <w:rPr>
                <w:rFonts w:cs="Times New Roman"/>
                <w:sz w:val="21"/>
                <w:szCs w:val="21"/>
              </w:rPr>
            </w:pPr>
            <w:r>
              <w:rPr>
                <w:rFonts w:hint="eastAsia" w:cs="Times New Roman"/>
                <w:sz w:val="21"/>
                <w:szCs w:val="21"/>
              </w:rPr>
              <w:t>工况1</w:t>
            </w:r>
          </w:p>
        </w:tc>
        <w:tc>
          <w:tcPr>
            <w:tcW w:w="855" w:type="pct"/>
            <w:vAlign w:val="center"/>
          </w:tcPr>
          <w:p w14:paraId="3A72CCCA">
            <w:pPr>
              <w:spacing w:line="240" w:lineRule="auto"/>
              <w:ind w:firstLine="0" w:firstLineChars="0"/>
              <w:jc w:val="center"/>
              <w:rPr>
                <w:rFonts w:cs="Times New Roman"/>
                <w:sz w:val="21"/>
                <w:szCs w:val="21"/>
              </w:rPr>
            </w:pPr>
            <w:r>
              <w:rPr>
                <w:rFonts w:cs="Times New Roman"/>
                <w:sz w:val="21"/>
                <w:szCs w:val="21"/>
              </w:rPr>
              <w:t>动态功率策略</w:t>
            </w:r>
          </w:p>
        </w:tc>
        <w:tc>
          <w:tcPr>
            <w:tcW w:w="683" w:type="pct"/>
            <w:vAlign w:val="center"/>
          </w:tcPr>
          <w:p w14:paraId="61273513">
            <w:pPr>
              <w:spacing w:line="240" w:lineRule="auto"/>
              <w:ind w:firstLine="0" w:firstLineChars="0"/>
              <w:jc w:val="center"/>
              <w:rPr>
                <w:rFonts w:cs="Times New Roman"/>
                <w:sz w:val="21"/>
                <w:szCs w:val="21"/>
              </w:rPr>
            </w:pPr>
          </w:p>
        </w:tc>
        <w:tc>
          <w:tcPr>
            <w:tcW w:w="427" w:type="pct"/>
            <w:vAlign w:val="center"/>
          </w:tcPr>
          <w:p w14:paraId="382C15FC">
            <w:pPr>
              <w:spacing w:line="240" w:lineRule="auto"/>
              <w:ind w:firstLine="0" w:firstLineChars="0"/>
              <w:jc w:val="center"/>
              <w:rPr>
                <w:rFonts w:cs="Times New Roman"/>
                <w:sz w:val="21"/>
                <w:szCs w:val="21"/>
              </w:rPr>
            </w:pPr>
          </w:p>
        </w:tc>
        <w:tc>
          <w:tcPr>
            <w:tcW w:w="564" w:type="pct"/>
            <w:vAlign w:val="center"/>
          </w:tcPr>
          <w:p w14:paraId="0E543699">
            <w:pPr>
              <w:spacing w:line="240" w:lineRule="auto"/>
              <w:ind w:firstLine="0" w:firstLineChars="0"/>
              <w:jc w:val="center"/>
              <w:rPr>
                <w:rFonts w:cs="Times New Roman"/>
                <w:sz w:val="21"/>
                <w:szCs w:val="21"/>
              </w:rPr>
            </w:pPr>
          </w:p>
        </w:tc>
        <w:tc>
          <w:tcPr>
            <w:tcW w:w="459" w:type="pct"/>
            <w:vAlign w:val="center"/>
          </w:tcPr>
          <w:p w14:paraId="7D07514E">
            <w:pPr>
              <w:spacing w:line="240" w:lineRule="auto"/>
              <w:ind w:firstLine="0" w:firstLineChars="0"/>
              <w:jc w:val="center"/>
              <w:rPr>
                <w:rFonts w:cs="Times New Roman"/>
                <w:sz w:val="21"/>
                <w:szCs w:val="21"/>
              </w:rPr>
            </w:pPr>
          </w:p>
        </w:tc>
        <w:tc>
          <w:tcPr>
            <w:tcW w:w="606" w:type="pct"/>
            <w:vAlign w:val="center"/>
          </w:tcPr>
          <w:p w14:paraId="764A9AF9">
            <w:pPr>
              <w:spacing w:line="240" w:lineRule="auto"/>
              <w:ind w:firstLine="0" w:firstLineChars="0"/>
              <w:jc w:val="center"/>
              <w:rPr>
                <w:rFonts w:cs="Times New Roman"/>
                <w:sz w:val="21"/>
                <w:szCs w:val="21"/>
              </w:rPr>
            </w:pPr>
          </w:p>
        </w:tc>
        <w:tc>
          <w:tcPr>
            <w:tcW w:w="606" w:type="pct"/>
            <w:vAlign w:val="center"/>
          </w:tcPr>
          <w:p w14:paraId="27283673">
            <w:pPr>
              <w:spacing w:line="240" w:lineRule="auto"/>
              <w:ind w:firstLine="0" w:firstLineChars="0"/>
              <w:jc w:val="center"/>
              <w:rPr>
                <w:rFonts w:cs="Times New Roman"/>
                <w:sz w:val="21"/>
                <w:szCs w:val="21"/>
              </w:rPr>
            </w:pPr>
          </w:p>
        </w:tc>
        <w:tc>
          <w:tcPr>
            <w:tcW w:w="376" w:type="pct"/>
            <w:vAlign w:val="center"/>
          </w:tcPr>
          <w:p w14:paraId="4CBD9425">
            <w:pPr>
              <w:spacing w:line="240" w:lineRule="auto"/>
              <w:ind w:firstLine="0" w:firstLineChars="0"/>
              <w:jc w:val="center"/>
              <w:rPr>
                <w:rFonts w:cs="Times New Roman"/>
                <w:sz w:val="21"/>
                <w:szCs w:val="21"/>
              </w:rPr>
            </w:pPr>
          </w:p>
        </w:tc>
      </w:tr>
      <w:tr w14:paraId="4C5A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24" w:type="pct"/>
            <w:vAlign w:val="center"/>
          </w:tcPr>
          <w:p w14:paraId="617A4E93">
            <w:pPr>
              <w:spacing w:line="240" w:lineRule="auto"/>
              <w:ind w:firstLine="0" w:firstLineChars="0"/>
              <w:jc w:val="center"/>
              <w:rPr>
                <w:rFonts w:cs="Times New Roman"/>
                <w:sz w:val="21"/>
                <w:szCs w:val="21"/>
              </w:rPr>
            </w:pPr>
            <w:r>
              <w:rPr>
                <w:rFonts w:hint="eastAsia" w:cs="Times New Roman"/>
                <w:sz w:val="21"/>
                <w:szCs w:val="21"/>
              </w:rPr>
              <w:t>工况2</w:t>
            </w:r>
          </w:p>
        </w:tc>
        <w:tc>
          <w:tcPr>
            <w:tcW w:w="855" w:type="pct"/>
            <w:vAlign w:val="center"/>
          </w:tcPr>
          <w:p w14:paraId="143B9887">
            <w:pPr>
              <w:spacing w:line="240" w:lineRule="auto"/>
              <w:ind w:firstLine="0" w:firstLineChars="0"/>
              <w:jc w:val="center"/>
              <w:rPr>
                <w:rFonts w:cs="Times New Roman"/>
                <w:sz w:val="21"/>
                <w:szCs w:val="21"/>
              </w:rPr>
            </w:pPr>
            <w:r>
              <w:rPr>
                <w:rFonts w:cs="Times New Roman"/>
                <w:sz w:val="21"/>
                <w:szCs w:val="21"/>
              </w:rPr>
              <w:t>恒功率策略</w:t>
            </w:r>
          </w:p>
        </w:tc>
        <w:tc>
          <w:tcPr>
            <w:tcW w:w="683" w:type="pct"/>
            <w:vAlign w:val="center"/>
          </w:tcPr>
          <w:p w14:paraId="4D572DB6">
            <w:pPr>
              <w:spacing w:line="240" w:lineRule="auto"/>
              <w:ind w:firstLine="0" w:firstLineChars="0"/>
              <w:jc w:val="center"/>
              <w:rPr>
                <w:rFonts w:cs="Times New Roman"/>
                <w:sz w:val="21"/>
                <w:szCs w:val="21"/>
              </w:rPr>
            </w:pPr>
          </w:p>
        </w:tc>
        <w:tc>
          <w:tcPr>
            <w:tcW w:w="427" w:type="pct"/>
            <w:vAlign w:val="center"/>
          </w:tcPr>
          <w:p w14:paraId="24818193">
            <w:pPr>
              <w:spacing w:line="240" w:lineRule="auto"/>
              <w:ind w:firstLine="0" w:firstLineChars="0"/>
              <w:jc w:val="center"/>
              <w:rPr>
                <w:rFonts w:cs="Times New Roman"/>
                <w:sz w:val="21"/>
                <w:szCs w:val="21"/>
              </w:rPr>
            </w:pPr>
          </w:p>
        </w:tc>
        <w:tc>
          <w:tcPr>
            <w:tcW w:w="564" w:type="pct"/>
            <w:vAlign w:val="center"/>
          </w:tcPr>
          <w:p w14:paraId="1754B1CE">
            <w:pPr>
              <w:spacing w:line="240" w:lineRule="auto"/>
              <w:ind w:firstLine="0" w:firstLineChars="0"/>
              <w:jc w:val="center"/>
              <w:rPr>
                <w:rFonts w:cs="Times New Roman"/>
                <w:sz w:val="21"/>
                <w:szCs w:val="21"/>
              </w:rPr>
            </w:pPr>
          </w:p>
        </w:tc>
        <w:tc>
          <w:tcPr>
            <w:tcW w:w="459" w:type="pct"/>
            <w:vAlign w:val="center"/>
          </w:tcPr>
          <w:p w14:paraId="1D26EFEC">
            <w:pPr>
              <w:spacing w:line="240" w:lineRule="auto"/>
              <w:ind w:firstLine="0" w:firstLineChars="0"/>
              <w:jc w:val="center"/>
              <w:rPr>
                <w:rFonts w:cs="Times New Roman"/>
                <w:sz w:val="21"/>
                <w:szCs w:val="21"/>
              </w:rPr>
            </w:pPr>
          </w:p>
        </w:tc>
        <w:tc>
          <w:tcPr>
            <w:tcW w:w="606" w:type="pct"/>
            <w:vAlign w:val="center"/>
          </w:tcPr>
          <w:p w14:paraId="5C6B07B4">
            <w:pPr>
              <w:spacing w:line="240" w:lineRule="auto"/>
              <w:ind w:firstLine="0" w:firstLineChars="0"/>
              <w:jc w:val="center"/>
              <w:rPr>
                <w:rFonts w:cs="Times New Roman"/>
                <w:sz w:val="21"/>
                <w:szCs w:val="21"/>
              </w:rPr>
            </w:pPr>
          </w:p>
        </w:tc>
        <w:tc>
          <w:tcPr>
            <w:tcW w:w="606" w:type="pct"/>
            <w:vAlign w:val="center"/>
          </w:tcPr>
          <w:p w14:paraId="11136128">
            <w:pPr>
              <w:spacing w:line="240" w:lineRule="auto"/>
              <w:ind w:firstLine="0" w:firstLineChars="0"/>
              <w:jc w:val="center"/>
              <w:rPr>
                <w:rFonts w:cs="Times New Roman"/>
                <w:sz w:val="21"/>
                <w:szCs w:val="21"/>
              </w:rPr>
            </w:pPr>
          </w:p>
        </w:tc>
        <w:tc>
          <w:tcPr>
            <w:tcW w:w="376" w:type="pct"/>
            <w:vAlign w:val="center"/>
          </w:tcPr>
          <w:p w14:paraId="2F82EA10">
            <w:pPr>
              <w:spacing w:line="240" w:lineRule="auto"/>
              <w:ind w:firstLine="0" w:firstLineChars="0"/>
              <w:jc w:val="center"/>
              <w:rPr>
                <w:rFonts w:cs="Times New Roman"/>
                <w:sz w:val="21"/>
                <w:szCs w:val="21"/>
              </w:rPr>
            </w:pPr>
          </w:p>
        </w:tc>
      </w:tr>
      <w:tr w14:paraId="7078E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24" w:type="pct"/>
            <w:vAlign w:val="center"/>
          </w:tcPr>
          <w:p w14:paraId="2D433A7D">
            <w:pPr>
              <w:spacing w:line="240" w:lineRule="auto"/>
              <w:ind w:firstLine="0" w:firstLineChars="0"/>
              <w:jc w:val="center"/>
              <w:rPr>
                <w:rFonts w:cs="Times New Roman"/>
                <w:sz w:val="21"/>
                <w:szCs w:val="21"/>
              </w:rPr>
            </w:pPr>
            <w:r>
              <w:rPr>
                <w:rFonts w:hint="eastAsia" w:cs="Times New Roman"/>
                <w:sz w:val="21"/>
                <w:szCs w:val="21"/>
              </w:rPr>
              <w:t>工况2</w:t>
            </w:r>
          </w:p>
        </w:tc>
        <w:tc>
          <w:tcPr>
            <w:tcW w:w="855" w:type="pct"/>
            <w:vAlign w:val="center"/>
          </w:tcPr>
          <w:p w14:paraId="4B6EC942">
            <w:pPr>
              <w:spacing w:line="240" w:lineRule="auto"/>
              <w:ind w:firstLine="0" w:firstLineChars="0"/>
              <w:jc w:val="center"/>
              <w:rPr>
                <w:rFonts w:cs="Times New Roman"/>
                <w:sz w:val="21"/>
                <w:szCs w:val="21"/>
              </w:rPr>
            </w:pPr>
            <w:r>
              <w:rPr>
                <w:rFonts w:cs="Times New Roman"/>
                <w:sz w:val="21"/>
                <w:szCs w:val="21"/>
              </w:rPr>
              <w:t>动态功率策略</w:t>
            </w:r>
          </w:p>
        </w:tc>
        <w:tc>
          <w:tcPr>
            <w:tcW w:w="683" w:type="pct"/>
            <w:vAlign w:val="center"/>
          </w:tcPr>
          <w:p w14:paraId="742BB6F9">
            <w:pPr>
              <w:spacing w:line="240" w:lineRule="auto"/>
              <w:ind w:firstLine="0" w:firstLineChars="0"/>
              <w:jc w:val="center"/>
              <w:rPr>
                <w:rFonts w:cs="Times New Roman"/>
                <w:sz w:val="21"/>
                <w:szCs w:val="21"/>
              </w:rPr>
            </w:pPr>
          </w:p>
        </w:tc>
        <w:tc>
          <w:tcPr>
            <w:tcW w:w="427" w:type="pct"/>
            <w:vAlign w:val="center"/>
          </w:tcPr>
          <w:p w14:paraId="4C177208">
            <w:pPr>
              <w:spacing w:line="240" w:lineRule="auto"/>
              <w:ind w:firstLine="0" w:firstLineChars="0"/>
              <w:jc w:val="center"/>
              <w:rPr>
                <w:rFonts w:cs="Times New Roman"/>
                <w:sz w:val="21"/>
                <w:szCs w:val="21"/>
              </w:rPr>
            </w:pPr>
          </w:p>
        </w:tc>
        <w:tc>
          <w:tcPr>
            <w:tcW w:w="564" w:type="pct"/>
            <w:vAlign w:val="center"/>
          </w:tcPr>
          <w:p w14:paraId="3A7E753F">
            <w:pPr>
              <w:spacing w:line="240" w:lineRule="auto"/>
              <w:ind w:firstLine="0" w:firstLineChars="0"/>
              <w:jc w:val="center"/>
              <w:rPr>
                <w:rFonts w:cs="Times New Roman"/>
                <w:sz w:val="21"/>
                <w:szCs w:val="21"/>
              </w:rPr>
            </w:pPr>
          </w:p>
        </w:tc>
        <w:tc>
          <w:tcPr>
            <w:tcW w:w="459" w:type="pct"/>
            <w:vAlign w:val="center"/>
          </w:tcPr>
          <w:p w14:paraId="107D6426">
            <w:pPr>
              <w:spacing w:line="240" w:lineRule="auto"/>
              <w:ind w:firstLine="0" w:firstLineChars="0"/>
              <w:jc w:val="center"/>
              <w:rPr>
                <w:rFonts w:cs="Times New Roman"/>
                <w:sz w:val="21"/>
                <w:szCs w:val="21"/>
              </w:rPr>
            </w:pPr>
          </w:p>
        </w:tc>
        <w:tc>
          <w:tcPr>
            <w:tcW w:w="606" w:type="pct"/>
            <w:vAlign w:val="center"/>
          </w:tcPr>
          <w:p w14:paraId="56CB8606">
            <w:pPr>
              <w:spacing w:line="240" w:lineRule="auto"/>
              <w:ind w:firstLine="0" w:firstLineChars="0"/>
              <w:jc w:val="center"/>
              <w:rPr>
                <w:rFonts w:cs="Times New Roman"/>
                <w:sz w:val="21"/>
                <w:szCs w:val="21"/>
              </w:rPr>
            </w:pPr>
          </w:p>
        </w:tc>
        <w:tc>
          <w:tcPr>
            <w:tcW w:w="606" w:type="pct"/>
            <w:vAlign w:val="center"/>
          </w:tcPr>
          <w:p w14:paraId="58E18146">
            <w:pPr>
              <w:spacing w:line="240" w:lineRule="auto"/>
              <w:ind w:firstLine="0" w:firstLineChars="0"/>
              <w:jc w:val="center"/>
              <w:rPr>
                <w:rFonts w:cs="Times New Roman"/>
                <w:sz w:val="21"/>
                <w:szCs w:val="21"/>
              </w:rPr>
            </w:pPr>
          </w:p>
        </w:tc>
        <w:tc>
          <w:tcPr>
            <w:tcW w:w="376" w:type="pct"/>
            <w:vAlign w:val="center"/>
          </w:tcPr>
          <w:p w14:paraId="5E294640">
            <w:pPr>
              <w:spacing w:line="240" w:lineRule="auto"/>
              <w:ind w:firstLine="0" w:firstLineChars="0"/>
              <w:jc w:val="center"/>
              <w:rPr>
                <w:rFonts w:cs="Times New Roman"/>
                <w:sz w:val="21"/>
                <w:szCs w:val="21"/>
              </w:rPr>
            </w:pPr>
          </w:p>
        </w:tc>
      </w:tr>
      <w:tr w14:paraId="5D819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24" w:type="pct"/>
            <w:vAlign w:val="center"/>
          </w:tcPr>
          <w:p w14:paraId="12574CD4">
            <w:pPr>
              <w:spacing w:line="240" w:lineRule="auto"/>
              <w:ind w:firstLine="0" w:firstLineChars="0"/>
              <w:jc w:val="center"/>
              <w:rPr>
                <w:rFonts w:cs="Times New Roman"/>
                <w:sz w:val="21"/>
                <w:szCs w:val="21"/>
              </w:rPr>
            </w:pPr>
            <w:r>
              <w:rPr>
                <w:rFonts w:hint="eastAsia" w:cs="Times New Roman"/>
                <w:sz w:val="21"/>
                <w:szCs w:val="21"/>
              </w:rPr>
              <w:t>工况3</w:t>
            </w:r>
          </w:p>
        </w:tc>
        <w:tc>
          <w:tcPr>
            <w:tcW w:w="855" w:type="pct"/>
            <w:vAlign w:val="center"/>
          </w:tcPr>
          <w:p w14:paraId="463B59B0">
            <w:pPr>
              <w:spacing w:line="240" w:lineRule="auto"/>
              <w:ind w:firstLine="0" w:firstLineChars="0"/>
              <w:jc w:val="center"/>
              <w:rPr>
                <w:rFonts w:cs="Times New Roman"/>
                <w:sz w:val="21"/>
                <w:szCs w:val="21"/>
              </w:rPr>
            </w:pPr>
            <w:r>
              <w:rPr>
                <w:rFonts w:cs="Times New Roman"/>
                <w:sz w:val="21"/>
                <w:szCs w:val="21"/>
              </w:rPr>
              <w:t>恒功率策略</w:t>
            </w:r>
          </w:p>
        </w:tc>
        <w:tc>
          <w:tcPr>
            <w:tcW w:w="683" w:type="pct"/>
            <w:vAlign w:val="center"/>
          </w:tcPr>
          <w:p w14:paraId="6DEC8675">
            <w:pPr>
              <w:spacing w:line="240" w:lineRule="auto"/>
              <w:ind w:firstLine="0" w:firstLineChars="0"/>
              <w:jc w:val="center"/>
              <w:rPr>
                <w:rFonts w:cs="Times New Roman"/>
                <w:sz w:val="21"/>
                <w:szCs w:val="21"/>
              </w:rPr>
            </w:pPr>
          </w:p>
        </w:tc>
        <w:tc>
          <w:tcPr>
            <w:tcW w:w="427" w:type="pct"/>
            <w:vAlign w:val="center"/>
          </w:tcPr>
          <w:p w14:paraId="25EF2852">
            <w:pPr>
              <w:spacing w:line="240" w:lineRule="auto"/>
              <w:ind w:firstLine="0" w:firstLineChars="0"/>
              <w:jc w:val="center"/>
              <w:rPr>
                <w:rFonts w:cs="Times New Roman"/>
                <w:sz w:val="21"/>
                <w:szCs w:val="21"/>
              </w:rPr>
            </w:pPr>
          </w:p>
        </w:tc>
        <w:tc>
          <w:tcPr>
            <w:tcW w:w="564" w:type="pct"/>
            <w:vAlign w:val="center"/>
          </w:tcPr>
          <w:p w14:paraId="62EAA854">
            <w:pPr>
              <w:spacing w:line="240" w:lineRule="auto"/>
              <w:ind w:firstLine="0" w:firstLineChars="0"/>
              <w:jc w:val="center"/>
              <w:rPr>
                <w:rFonts w:cs="Times New Roman"/>
                <w:sz w:val="21"/>
                <w:szCs w:val="21"/>
              </w:rPr>
            </w:pPr>
          </w:p>
        </w:tc>
        <w:tc>
          <w:tcPr>
            <w:tcW w:w="459" w:type="pct"/>
            <w:vAlign w:val="center"/>
          </w:tcPr>
          <w:p w14:paraId="4B3A25C7">
            <w:pPr>
              <w:spacing w:line="240" w:lineRule="auto"/>
              <w:ind w:firstLine="0" w:firstLineChars="0"/>
              <w:jc w:val="center"/>
              <w:rPr>
                <w:rFonts w:cs="Times New Roman"/>
                <w:sz w:val="21"/>
                <w:szCs w:val="21"/>
              </w:rPr>
            </w:pPr>
          </w:p>
        </w:tc>
        <w:tc>
          <w:tcPr>
            <w:tcW w:w="606" w:type="pct"/>
            <w:vAlign w:val="center"/>
          </w:tcPr>
          <w:p w14:paraId="7ECFF817">
            <w:pPr>
              <w:spacing w:line="240" w:lineRule="auto"/>
              <w:ind w:firstLine="0" w:firstLineChars="0"/>
              <w:jc w:val="center"/>
              <w:rPr>
                <w:rFonts w:cs="Times New Roman"/>
                <w:sz w:val="21"/>
                <w:szCs w:val="21"/>
              </w:rPr>
            </w:pPr>
          </w:p>
        </w:tc>
        <w:tc>
          <w:tcPr>
            <w:tcW w:w="606" w:type="pct"/>
            <w:vAlign w:val="center"/>
          </w:tcPr>
          <w:p w14:paraId="0B6D94D4">
            <w:pPr>
              <w:spacing w:line="240" w:lineRule="auto"/>
              <w:ind w:firstLine="0" w:firstLineChars="0"/>
              <w:jc w:val="center"/>
              <w:rPr>
                <w:rFonts w:cs="Times New Roman"/>
                <w:sz w:val="21"/>
                <w:szCs w:val="21"/>
              </w:rPr>
            </w:pPr>
          </w:p>
        </w:tc>
        <w:tc>
          <w:tcPr>
            <w:tcW w:w="376" w:type="pct"/>
            <w:vAlign w:val="center"/>
          </w:tcPr>
          <w:p w14:paraId="05F32FE8">
            <w:pPr>
              <w:spacing w:line="240" w:lineRule="auto"/>
              <w:ind w:firstLine="0" w:firstLineChars="0"/>
              <w:jc w:val="center"/>
              <w:rPr>
                <w:rFonts w:cs="Times New Roman"/>
                <w:sz w:val="21"/>
                <w:szCs w:val="21"/>
              </w:rPr>
            </w:pPr>
          </w:p>
        </w:tc>
      </w:tr>
      <w:tr w14:paraId="078CA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424" w:type="pct"/>
            <w:vAlign w:val="center"/>
          </w:tcPr>
          <w:p w14:paraId="2333A6A3">
            <w:pPr>
              <w:spacing w:line="240" w:lineRule="auto"/>
              <w:ind w:firstLine="0" w:firstLineChars="0"/>
              <w:jc w:val="center"/>
              <w:rPr>
                <w:rFonts w:cs="Times New Roman"/>
                <w:sz w:val="21"/>
                <w:szCs w:val="21"/>
              </w:rPr>
            </w:pPr>
            <w:r>
              <w:rPr>
                <w:rFonts w:hint="eastAsia" w:cs="Times New Roman"/>
                <w:sz w:val="21"/>
                <w:szCs w:val="21"/>
              </w:rPr>
              <w:t>工况3</w:t>
            </w:r>
          </w:p>
        </w:tc>
        <w:tc>
          <w:tcPr>
            <w:tcW w:w="855" w:type="pct"/>
            <w:vAlign w:val="center"/>
          </w:tcPr>
          <w:p w14:paraId="14F53800">
            <w:pPr>
              <w:spacing w:line="240" w:lineRule="auto"/>
              <w:ind w:firstLine="0" w:firstLineChars="0"/>
              <w:jc w:val="center"/>
              <w:rPr>
                <w:rFonts w:cs="Times New Roman"/>
                <w:sz w:val="21"/>
                <w:szCs w:val="21"/>
              </w:rPr>
            </w:pPr>
            <w:r>
              <w:rPr>
                <w:rFonts w:cs="Times New Roman"/>
                <w:sz w:val="21"/>
                <w:szCs w:val="21"/>
              </w:rPr>
              <w:t>动态功率策略</w:t>
            </w:r>
          </w:p>
        </w:tc>
        <w:tc>
          <w:tcPr>
            <w:tcW w:w="683" w:type="pct"/>
            <w:vAlign w:val="center"/>
          </w:tcPr>
          <w:p w14:paraId="1E720D93">
            <w:pPr>
              <w:spacing w:line="240" w:lineRule="auto"/>
              <w:ind w:firstLine="0" w:firstLineChars="0"/>
              <w:jc w:val="center"/>
              <w:rPr>
                <w:rFonts w:cs="Times New Roman"/>
                <w:sz w:val="21"/>
                <w:szCs w:val="21"/>
              </w:rPr>
            </w:pPr>
          </w:p>
        </w:tc>
        <w:tc>
          <w:tcPr>
            <w:tcW w:w="427" w:type="pct"/>
            <w:vAlign w:val="center"/>
          </w:tcPr>
          <w:p w14:paraId="187F9560">
            <w:pPr>
              <w:spacing w:line="240" w:lineRule="auto"/>
              <w:ind w:firstLine="0" w:firstLineChars="0"/>
              <w:jc w:val="center"/>
              <w:rPr>
                <w:rFonts w:cs="Times New Roman"/>
                <w:sz w:val="21"/>
                <w:szCs w:val="21"/>
              </w:rPr>
            </w:pPr>
          </w:p>
        </w:tc>
        <w:tc>
          <w:tcPr>
            <w:tcW w:w="564" w:type="pct"/>
            <w:vAlign w:val="center"/>
          </w:tcPr>
          <w:p w14:paraId="71923699">
            <w:pPr>
              <w:spacing w:line="240" w:lineRule="auto"/>
              <w:ind w:firstLine="0" w:firstLineChars="0"/>
              <w:jc w:val="center"/>
              <w:rPr>
                <w:rFonts w:cs="Times New Roman"/>
                <w:sz w:val="21"/>
                <w:szCs w:val="21"/>
              </w:rPr>
            </w:pPr>
          </w:p>
        </w:tc>
        <w:tc>
          <w:tcPr>
            <w:tcW w:w="459" w:type="pct"/>
            <w:vAlign w:val="center"/>
          </w:tcPr>
          <w:p w14:paraId="6A515928">
            <w:pPr>
              <w:spacing w:line="240" w:lineRule="auto"/>
              <w:ind w:firstLine="0" w:firstLineChars="0"/>
              <w:jc w:val="center"/>
              <w:rPr>
                <w:rFonts w:cs="Times New Roman"/>
                <w:sz w:val="21"/>
                <w:szCs w:val="21"/>
              </w:rPr>
            </w:pPr>
          </w:p>
        </w:tc>
        <w:tc>
          <w:tcPr>
            <w:tcW w:w="606" w:type="pct"/>
            <w:vAlign w:val="center"/>
          </w:tcPr>
          <w:p w14:paraId="33E551A2">
            <w:pPr>
              <w:spacing w:line="240" w:lineRule="auto"/>
              <w:ind w:firstLine="0" w:firstLineChars="0"/>
              <w:jc w:val="center"/>
              <w:rPr>
                <w:rFonts w:cs="Times New Roman"/>
                <w:sz w:val="21"/>
                <w:szCs w:val="21"/>
              </w:rPr>
            </w:pPr>
          </w:p>
        </w:tc>
        <w:tc>
          <w:tcPr>
            <w:tcW w:w="606" w:type="pct"/>
            <w:vAlign w:val="center"/>
          </w:tcPr>
          <w:p w14:paraId="7F797E54">
            <w:pPr>
              <w:spacing w:line="240" w:lineRule="auto"/>
              <w:ind w:firstLine="0" w:firstLineChars="0"/>
              <w:jc w:val="center"/>
              <w:rPr>
                <w:rFonts w:cs="Times New Roman"/>
                <w:sz w:val="21"/>
                <w:szCs w:val="21"/>
              </w:rPr>
            </w:pPr>
          </w:p>
        </w:tc>
        <w:tc>
          <w:tcPr>
            <w:tcW w:w="376" w:type="pct"/>
            <w:vAlign w:val="center"/>
          </w:tcPr>
          <w:p w14:paraId="72F04B7B">
            <w:pPr>
              <w:spacing w:line="240" w:lineRule="auto"/>
              <w:ind w:firstLine="0" w:firstLineChars="0"/>
              <w:jc w:val="center"/>
              <w:rPr>
                <w:rFonts w:cs="Times New Roman"/>
                <w:sz w:val="21"/>
                <w:szCs w:val="21"/>
              </w:rPr>
            </w:pPr>
          </w:p>
        </w:tc>
      </w:tr>
    </w:tbl>
    <w:p w14:paraId="41114EEB">
      <w:pPr>
        <w:ind w:firstLine="480"/>
      </w:pPr>
      <w:r>
        <w:rPr>
          <w:rFonts w:hint="eastAsia"/>
        </w:rPr>
        <w:t>（2）</w:t>
      </w:r>
      <w:r>
        <w:t>设置</w:t>
      </w:r>
      <w:r>
        <w:rPr>
          <w:rFonts w:hint="eastAsia"/>
        </w:rPr>
        <w:t>冷却时间可在10-100 min间变化，请</w:t>
      </w:r>
      <w:r>
        <w:t>获得不同预冷程度下</w:t>
      </w:r>
      <w:r>
        <w:rPr>
          <w:rFonts w:hint="eastAsia"/>
        </w:rPr>
        <w:t>的</w:t>
      </w:r>
      <w:r>
        <w:t>温度场</w:t>
      </w:r>
      <w:r>
        <w:rPr>
          <w:rFonts w:hint="eastAsia"/>
          <w:i/>
          <w:iCs/>
        </w:rPr>
        <w:t>T</w:t>
      </w:r>
      <w:r>
        <w:rPr>
          <w:rFonts w:hint="eastAsia"/>
        </w:rPr>
        <w:t>(</w:t>
      </w:r>
      <w:r>
        <w:rPr>
          <w:rFonts w:hint="eastAsia"/>
          <w:i/>
          <w:iCs/>
        </w:rPr>
        <w:t>x</w:t>
      </w:r>
      <w:r>
        <w:rPr>
          <w:rFonts w:hint="eastAsia"/>
        </w:rPr>
        <w:t xml:space="preserve">, </w:t>
      </w:r>
      <w:r>
        <w:rPr>
          <w:rFonts w:hint="eastAsia"/>
          <w:i/>
          <w:iCs/>
        </w:rPr>
        <w:t>t</w:t>
      </w:r>
      <w:r>
        <w:rPr>
          <w:rFonts w:hint="eastAsia"/>
        </w:rPr>
        <w:t>)</w:t>
      </w:r>
      <w:r>
        <w:t>，</w:t>
      </w:r>
      <w:r>
        <w:rPr>
          <w:rFonts w:hint="eastAsia"/>
        </w:rPr>
        <w:t>并进一步研究</w:t>
      </w:r>
      <w:r>
        <w:rPr>
          <w:rFonts w:cs="Times New Roman"/>
          <w:szCs w:val="24"/>
        </w:rPr>
        <w:t>恒功率策略</w:t>
      </w:r>
      <w:r>
        <w:rPr>
          <w:rFonts w:hint="eastAsia" w:cs="Times New Roman"/>
          <w:szCs w:val="24"/>
        </w:rPr>
        <w:t>下</w:t>
      </w:r>
      <w:r>
        <w:t>的冷启动</w:t>
      </w:r>
      <w:r>
        <w:rPr>
          <w:rFonts w:hint="eastAsia"/>
        </w:rPr>
        <w:t>结果</w:t>
      </w:r>
      <w:r>
        <w:t>。</w:t>
      </w:r>
    </w:p>
    <w:p w14:paraId="22BD6A3D">
      <w:pPr>
        <w:ind w:firstLine="480"/>
        <w:rPr>
          <w:rFonts w:cs="Times New Roman"/>
          <w:szCs w:val="24"/>
        </w:rPr>
      </w:pPr>
      <w:r>
        <w:rPr>
          <w:rFonts w:cs="Times New Roman"/>
          <w:szCs w:val="24"/>
        </w:rPr>
        <w:br w:type="page"/>
      </w:r>
    </w:p>
    <w:p w14:paraId="41DD7994">
      <w:pPr>
        <w:pStyle w:val="11"/>
        <w:spacing w:before="156" w:beforeLines="50" w:after="156" w:afterLines="50"/>
        <w:rPr>
          <w:b/>
          <w:bCs/>
          <w:sz w:val="24"/>
          <w:szCs w:val="32"/>
          <w:lang w:eastAsia="zh-CN"/>
        </w:rPr>
      </w:pPr>
      <w:r>
        <w:rPr>
          <w:rFonts w:hint="eastAsia"/>
          <w:b/>
          <w:bCs/>
          <w:sz w:val="24"/>
          <w:szCs w:val="32"/>
          <w:lang w:eastAsia="zh-CN"/>
        </w:rPr>
        <w:t>参考文献</w:t>
      </w:r>
    </w:p>
    <w:p w14:paraId="688DF050">
      <w:pPr>
        <w:pStyle w:val="11"/>
        <w:spacing w:before="0" w:after="0"/>
        <w:jc w:val="both"/>
        <w:rPr>
          <w:sz w:val="24"/>
          <w:szCs w:val="32"/>
          <w:lang w:eastAsia="zh-CN"/>
        </w:rPr>
      </w:pPr>
      <w:r>
        <w:rPr>
          <w:sz w:val="24"/>
          <w:szCs w:val="32"/>
          <w:lang w:eastAsia="zh-CN"/>
        </w:rPr>
        <w:t xml:space="preserve">[1] 黄天川, 刘志祥. 氢燃料电池系统低温启动技术研究进展[J]. 化工进展, 2021, 40(S1): 117-125. </w:t>
      </w:r>
    </w:p>
    <w:p w14:paraId="28492D31">
      <w:pPr>
        <w:pStyle w:val="11"/>
        <w:spacing w:before="0" w:after="0"/>
        <w:jc w:val="both"/>
        <w:rPr>
          <w:sz w:val="24"/>
          <w:szCs w:val="32"/>
          <w:lang w:eastAsia="zh-CN"/>
        </w:rPr>
      </w:pPr>
      <w:r>
        <w:rPr>
          <w:sz w:val="24"/>
          <w:szCs w:val="32"/>
          <w:lang w:eastAsia="zh-CN"/>
        </w:rPr>
        <w:t xml:space="preserve">[2] Luo Y, Jiao K. Cold start of proton exchange membrane fuel cell[J]. Progress in Energy and Combustion Science, 2018, 64: 29–61. </w:t>
      </w:r>
    </w:p>
    <w:p w14:paraId="1807EF64">
      <w:pPr>
        <w:pStyle w:val="11"/>
        <w:spacing w:before="0" w:after="0"/>
        <w:jc w:val="both"/>
        <w:rPr>
          <w:sz w:val="24"/>
          <w:szCs w:val="32"/>
          <w:lang w:eastAsia="zh-CN"/>
        </w:rPr>
      </w:pPr>
      <w:r>
        <w:rPr>
          <w:sz w:val="24"/>
          <w:szCs w:val="32"/>
          <w:lang w:eastAsia="zh-CN"/>
        </w:rPr>
        <w:t>[</w:t>
      </w:r>
      <w:r>
        <w:rPr>
          <w:rFonts w:hint="eastAsia"/>
          <w:sz w:val="24"/>
          <w:szCs w:val="32"/>
          <w:lang w:eastAsia="zh-CN"/>
        </w:rPr>
        <w:t>3</w:t>
      </w:r>
      <w:r>
        <w:rPr>
          <w:sz w:val="24"/>
          <w:szCs w:val="32"/>
          <w:lang w:eastAsia="zh-CN"/>
        </w:rPr>
        <w:t xml:space="preserve">] Jiao K, Li X. Three-dimensional multiphase modeling of cold start processes in polymer electrolyte membrane fuel cells[J]. Electrochimica Acta, 2009, 54(27): 6876–6891. </w:t>
      </w:r>
    </w:p>
    <w:p w14:paraId="1A577B82">
      <w:pPr>
        <w:pStyle w:val="11"/>
        <w:spacing w:before="0" w:after="0"/>
        <w:jc w:val="both"/>
        <w:rPr>
          <w:sz w:val="24"/>
          <w:szCs w:val="32"/>
          <w:lang w:eastAsia="zh-CN"/>
        </w:rPr>
      </w:pPr>
      <w:r>
        <w:rPr>
          <w:sz w:val="24"/>
          <w:szCs w:val="32"/>
          <w:lang w:eastAsia="zh-CN"/>
        </w:rPr>
        <w:t>[</w:t>
      </w:r>
      <w:r>
        <w:rPr>
          <w:rFonts w:hint="eastAsia"/>
          <w:sz w:val="24"/>
          <w:szCs w:val="32"/>
          <w:lang w:eastAsia="zh-CN"/>
        </w:rPr>
        <w:t>4</w:t>
      </w:r>
      <w:r>
        <w:rPr>
          <w:sz w:val="24"/>
          <w:szCs w:val="32"/>
          <w:lang w:eastAsia="zh-CN"/>
        </w:rPr>
        <w:t xml:space="preserve">] Yao L, Ma F, Peng J, Zhang J, Zhang Y, Shi J. Analysis of the Failure Modes in the Polymer Electrolyte Fuel Cell Cold-Start Process—Anode Dehydration or Cathode Pore Blockage[J]. Energies, 2020, 13(1): 256. </w:t>
      </w:r>
    </w:p>
    <w:p w14:paraId="262A8A0E">
      <w:pPr>
        <w:pStyle w:val="11"/>
        <w:spacing w:before="0" w:after="0"/>
        <w:jc w:val="both"/>
        <w:rPr>
          <w:sz w:val="24"/>
          <w:szCs w:val="32"/>
          <w:lang w:eastAsia="zh-CN"/>
        </w:rPr>
      </w:pPr>
      <w:r>
        <w:rPr>
          <w:sz w:val="24"/>
          <w:szCs w:val="32"/>
          <w:lang w:eastAsia="zh-CN"/>
        </w:rPr>
        <w:t>[</w:t>
      </w:r>
      <w:r>
        <w:rPr>
          <w:rFonts w:hint="eastAsia"/>
          <w:sz w:val="24"/>
          <w:szCs w:val="32"/>
          <w:lang w:eastAsia="zh-CN"/>
        </w:rPr>
        <w:t>5</w:t>
      </w:r>
      <w:r>
        <w:rPr>
          <w:sz w:val="24"/>
          <w:szCs w:val="32"/>
          <w:lang w:eastAsia="zh-CN"/>
        </w:rPr>
        <w:t xml:space="preserve">] Jiang F M, Wang C Y, Chen K S. Current Ramping: A Strategy for Rapid Start-up of PEMFCs from Subfreezing Environment[J]. Journal of The Electrochemical Society, 2010, 157(3): B342–B347. </w:t>
      </w:r>
    </w:p>
    <w:p w14:paraId="31CA028E">
      <w:pPr>
        <w:pStyle w:val="11"/>
        <w:spacing w:before="0" w:after="0"/>
        <w:jc w:val="both"/>
        <w:rPr>
          <w:sz w:val="24"/>
          <w:szCs w:val="32"/>
          <w:lang w:eastAsia="zh-CN"/>
        </w:rPr>
      </w:pPr>
      <w:r>
        <w:rPr>
          <w:sz w:val="24"/>
          <w:szCs w:val="32"/>
          <w:lang w:eastAsia="zh-CN"/>
        </w:rPr>
        <w:t>[</w:t>
      </w:r>
      <w:r>
        <w:rPr>
          <w:rFonts w:hint="eastAsia"/>
          <w:sz w:val="24"/>
          <w:szCs w:val="32"/>
          <w:lang w:eastAsia="zh-CN"/>
        </w:rPr>
        <w:t>6</w:t>
      </w:r>
      <w:r>
        <w:rPr>
          <w:sz w:val="24"/>
          <w:szCs w:val="32"/>
          <w:lang w:eastAsia="zh-CN"/>
        </w:rPr>
        <w:t>] Ma T, Du C, Gu Z, et al. Diagnosing the cold start failure of fuel cell system: End-plate cell's thermo-hydraulic imbalance and its mitigation through loading control[J]. Chemical Engineering Journal, 2026, 538: 176737.</w:t>
      </w:r>
    </w:p>
    <w:p w14:paraId="15562819">
      <w:pPr>
        <w:pStyle w:val="11"/>
        <w:spacing w:before="156" w:beforeLines="50" w:after="156" w:afterLines="50"/>
        <w:rPr>
          <w:rFonts w:cs="Times New Roman"/>
          <w:b/>
          <w:bCs/>
          <w:color w:val="auto"/>
          <w:kern w:val="2"/>
          <w:sz w:val="24"/>
          <w:szCs w:val="22"/>
          <w:lang w:eastAsia="zh-CN"/>
        </w:rPr>
      </w:pPr>
      <w:r>
        <w:rPr>
          <w:rFonts w:hint="eastAsia" w:cs="Times New Roman"/>
          <w:b/>
          <w:bCs/>
          <w:color w:val="auto"/>
          <w:kern w:val="2"/>
          <w:sz w:val="24"/>
          <w:szCs w:val="22"/>
          <w:lang w:eastAsia="zh-CN"/>
        </w:rPr>
        <w:t>备注1：</w:t>
      </w:r>
      <w:r>
        <w:rPr>
          <w:rFonts w:cs="Times New Roman"/>
          <w:b/>
          <w:bCs/>
          <w:sz w:val="24"/>
          <w:szCs w:val="32"/>
          <w:lang w:eastAsia="zh-CN"/>
        </w:rPr>
        <w:t>常温下一维</w:t>
      </w:r>
      <w:r>
        <w:rPr>
          <w:rFonts w:hint="eastAsia" w:cs="Times New Roman"/>
          <w:b/>
          <w:bCs/>
          <w:sz w:val="24"/>
          <w:szCs w:val="32"/>
          <w:lang w:eastAsia="zh-CN"/>
        </w:rPr>
        <w:t>氢燃料电池参考</w:t>
      </w:r>
      <w:r>
        <w:rPr>
          <w:rFonts w:cs="Times New Roman"/>
          <w:b/>
          <w:bCs/>
          <w:sz w:val="24"/>
          <w:szCs w:val="32"/>
          <w:lang w:eastAsia="zh-CN"/>
        </w:rPr>
        <w:t>模型</w:t>
      </w:r>
    </w:p>
    <w:p w14:paraId="254D122A">
      <w:pPr>
        <w:ind w:firstLine="480"/>
        <w:rPr>
          <w:rFonts w:cs="Times New Roman"/>
        </w:rPr>
      </w:pPr>
      <w:r>
        <w:rPr>
          <w:rFonts w:cs="Times New Roman"/>
        </w:rPr>
        <w:t>为统一建模基础，本题给出</w:t>
      </w:r>
      <w:r>
        <w:rPr>
          <w:rFonts w:cs="Times New Roman"/>
          <w:highlight w:val="yellow"/>
        </w:rPr>
        <w:t>常温、非冻结条件</w:t>
      </w:r>
      <w:r>
        <w:rPr>
          <w:rFonts w:cs="Times New Roman"/>
        </w:rPr>
        <w:t>下</w:t>
      </w:r>
      <w:r>
        <w:rPr>
          <w:rFonts w:hint="eastAsia" w:cs="Times New Roman"/>
        </w:rPr>
        <w:t>氢燃料电池</w:t>
      </w:r>
      <w:r>
        <w:rPr>
          <w:rFonts w:cs="Times New Roman"/>
        </w:rPr>
        <w:t>沿膜电极厚度方向的一维</w:t>
      </w:r>
      <w:r>
        <w:rPr>
          <w:rFonts w:hint="eastAsia" w:cs="Times New Roman"/>
        </w:rPr>
        <w:t>参考</w:t>
      </w:r>
      <w:r>
        <w:rPr>
          <w:rFonts w:cs="Times New Roman"/>
        </w:rPr>
        <w:t>模型。参赛队</w:t>
      </w:r>
      <w:r>
        <w:rPr>
          <w:rFonts w:hint="eastAsia" w:cs="Times New Roman"/>
        </w:rPr>
        <w:t>可参考</w:t>
      </w:r>
      <w:r>
        <w:rPr>
          <w:rFonts w:cs="Times New Roman"/>
        </w:rPr>
        <w:t>该模型</w:t>
      </w:r>
      <w:r>
        <w:rPr>
          <w:rFonts w:hint="eastAsia" w:cs="Times New Roman"/>
        </w:rPr>
        <w:t>，</w:t>
      </w:r>
      <w:r>
        <w:rPr>
          <w:rFonts w:cs="Times New Roman"/>
          <w:highlight w:val="yellow"/>
        </w:rPr>
        <w:t>增加低温水–冰相变及冰堵效应</w:t>
      </w:r>
      <w:r>
        <w:rPr>
          <w:rFonts w:cs="Times New Roman"/>
        </w:rPr>
        <w:t>，</w:t>
      </w:r>
      <w:r>
        <w:rPr>
          <w:rFonts w:hint="eastAsia" w:cs="Times New Roman"/>
        </w:rPr>
        <w:t>自行</w:t>
      </w:r>
      <w:r>
        <w:rPr>
          <w:rFonts w:cs="Times New Roman"/>
        </w:rPr>
        <w:t>建立冷启动模型。模型中使用的几何尺寸和材料参数</w:t>
      </w:r>
      <w:r>
        <w:rPr>
          <w:rFonts w:hint="eastAsia" w:cs="Times New Roman"/>
        </w:rPr>
        <w:t>等</w:t>
      </w:r>
      <w:r>
        <w:rPr>
          <w:rFonts w:cs="Times New Roman"/>
        </w:rPr>
        <w:t>见附件1。</w:t>
      </w:r>
    </w:p>
    <w:p w14:paraId="18BE88E3">
      <w:pPr>
        <w:ind w:firstLine="489"/>
        <w:rPr>
          <w:rFonts w:cs="Times New Roman"/>
          <w:b/>
          <w:bCs/>
        </w:rPr>
      </w:pPr>
      <w:r>
        <w:rPr>
          <w:rFonts w:hint="eastAsia" w:cs="Times New Roman"/>
          <w:b/>
          <w:bCs/>
        </w:rPr>
        <w:t>1</w:t>
      </w:r>
      <w:r>
        <w:rPr>
          <w:rFonts w:cs="Times New Roman"/>
          <w:b/>
          <w:bCs/>
        </w:rPr>
        <w:t>.1 求解区域与基本假设</w:t>
      </w:r>
    </w:p>
    <w:p w14:paraId="609625B5">
      <w:pPr>
        <w:ind w:firstLine="480"/>
        <w:rPr>
          <w:rFonts w:cs="Times New Roman"/>
        </w:rPr>
      </w:pPr>
      <w:r>
        <w:rPr>
          <w:rFonts w:cs="Times New Roman"/>
        </w:rPr>
        <w:t>以膜电极厚度方向为</w:t>
      </w:r>
      <w:r>
        <w:rPr>
          <w:rFonts w:cs="Times New Roman"/>
          <w:i/>
          <w:iCs/>
        </w:rPr>
        <w:t>x</w:t>
      </w:r>
      <w:r>
        <w:rPr>
          <w:rFonts w:cs="Times New Roman"/>
        </w:rPr>
        <w:t>轴，求解区域依次包括阳极气体扩散层</w:t>
      </w:r>
      <w:r>
        <w:rPr>
          <w:rFonts w:hint="eastAsia" w:cs="Times New Roman"/>
        </w:rPr>
        <w:t>（aGDL）（不考虑微孔层）</w:t>
      </w:r>
      <w:r>
        <w:rPr>
          <w:rFonts w:cs="Times New Roman"/>
        </w:rPr>
        <w:t>、阳极催化层</w:t>
      </w:r>
      <w:r>
        <w:rPr>
          <w:rFonts w:hint="eastAsia" w:cs="Times New Roman"/>
        </w:rPr>
        <w:t>（aCL）</w:t>
      </w:r>
      <w:r>
        <w:rPr>
          <w:rFonts w:cs="Times New Roman"/>
        </w:rPr>
        <w:t>、质子交换膜</w:t>
      </w:r>
      <w:r>
        <w:rPr>
          <w:rFonts w:hint="eastAsia" w:cs="Times New Roman"/>
        </w:rPr>
        <w:t>（PEM）</w:t>
      </w:r>
      <w:r>
        <w:rPr>
          <w:rFonts w:cs="Times New Roman"/>
        </w:rPr>
        <w:t>、阴极催化层</w:t>
      </w:r>
      <w:r>
        <w:rPr>
          <w:rFonts w:hint="eastAsia" w:cs="Times New Roman"/>
        </w:rPr>
        <w:t>（cCL）</w:t>
      </w:r>
      <w:r>
        <w:rPr>
          <w:rFonts w:cs="Times New Roman"/>
        </w:rPr>
        <w:t>和阴极气体扩散层</w:t>
      </w:r>
      <w:r>
        <w:rPr>
          <w:rFonts w:hint="eastAsia" w:cs="Times New Roman"/>
        </w:rPr>
        <w:t>（cGDL），</w:t>
      </w:r>
      <w:r>
        <w:rPr>
          <w:rFonts w:cs="Times New Roman"/>
        </w:rPr>
        <w:t>各功能层厚度分别为：</w:t>
      </w:r>
      <w:r>
        <w:rPr>
          <w:rFonts w:cs="Times New Roman"/>
          <w:i/>
          <w:iCs/>
        </w:rPr>
        <w:t>L</w:t>
      </w:r>
      <w:r>
        <w:rPr>
          <w:rFonts w:cs="Times New Roman"/>
          <w:vertAlign w:val="subscript"/>
        </w:rPr>
        <w:t>aGDL​</w:t>
      </w:r>
      <w:r>
        <w:rPr>
          <w:rFonts w:cs="Times New Roman"/>
        </w:rPr>
        <w:t>=150μm，</w:t>
      </w:r>
      <w:r>
        <w:rPr>
          <w:rFonts w:cs="Times New Roman"/>
          <w:i/>
          <w:iCs/>
        </w:rPr>
        <w:t>L</w:t>
      </w:r>
      <w:r>
        <w:rPr>
          <w:rFonts w:cs="Times New Roman"/>
          <w:vertAlign w:val="subscript"/>
        </w:rPr>
        <w:t>aCL</w:t>
      </w:r>
      <w:r>
        <w:rPr>
          <w:rFonts w:cs="Times New Roman"/>
        </w:rPr>
        <w:t>​=3.4μm，</w:t>
      </w:r>
      <w:r>
        <w:rPr>
          <w:rFonts w:cs="Times New Roman"/>
          <w:i/>
          <w:iCs/>
        </w:rPr>
        <w:t xml:space="preserve"> L</w:t>
      </w:r>
      <w:r>
        <w:rPr>
          <w:rFonts w:hint="eastAsia" w:cs="Times New Roman"/>
          <w:vertAlign w:val="subscript"/>
        </w:rPr>
        <w:t>p</w:t>
      </w:r>
      <w:r>
        <w:rPr>
          <w:rFonts w:cs="Times New Roman"/>
          <w:vertAlign w:val="subscript"/>
        </w:rPr>
        <w:t>em​</w:t>
      </w:r>
      <w:r>
        <w:rPr>
          <w:rFonts w:cs="Times New Roman"/>
        </w:rPr>
        <w:t>=12μm，</w:t>
      </w:r>
      <w:r>
        <w:rPr>
          <w:rFonts w:cs="Times New Roman"/>
          <w:i/>
          <w:iCs/>
        </w:rPr>
        <w:t>L</w:t>
      </w:r>
      <w:r>
        <w:rPr>
          <w:rFonts w:cs="Times New Roman"/>
          <w:vertAlign w:val="subscript"/>
        </w:rPr>
        <w:t>cCL​</w:t>
      </w:r>
      <w:r>
        <w:rPr>
          <w:rFonts w:cs="Times New Roman"/>
        </w:rPr>
        <w:t>=11.3μm，</w:t>
      </w:r>
      <w:r>
        <w:rPr>
          <w:rFonts w:cs="Times New Roman"/>
          <w:i/>
          <w:iCs/>
        </w:rPr>
        <w:t>L</w:t>
      </w:r>
      <w:r>
        <w:rPr>
          <w:rFonts w:cs="Times New Roman"/>
          <w:vertAlign w:val="subscript"/>
        </w:rPr>
        <w:t>cGDL​</w:t>
      </w:r>
      <w:r>
        <w:rPr>
          <w:rFonts w:cs="Times New Roman"/>
        </w:rPr>
        <w:t>=150μm：</w:t>
      </w:r>
    </w:p>
    <w:p w14:paraId="7B318843">
      <w:pPr>
        <w:pStyle w:val="30"/>
        <w:spacing w:before="0" w:beforeLines="0" w:after="0" w:afterLines="0"/>
        <w:ind w:firstLine="360"/>
      </w:pPr>
      <w:r>
        <w:rPr>
          <w:rFonts w:hint="eastAsia"/>
        </w:rPr>
        <w:tab/>
      </w:r>
      <w:bookmarkStart w:id="5" w:name="OLE_LINK6"/>
      <w:r>
        <w:rPr>
          <w:rFonts w:hint="eastAsia"/>
          <w:position w:val="-8"/>
        </w:rPr>
        <w:object>
          <v:shape id="_x0000_i1041" o:spt="75" type="#_x0000_t75" style="height:15.6pt;width:203.4pt;" o:ole="t" filled="f" o:preferrelative="t" stroked="f" coordsize="21600,21600">
            <v:path/>
            <v:fill on="f" focussize="0,0"/>
            <v:stroke on="f" joinstyle="miter"/>
            <v:imagedata r:id="rId48" o:title=""/>
            <o:lock v:ext="edit" aspectratio="t"/>
            <w10:wrap type="none"/>
            <w10:anchorlock/>
          </v:shape>
          <o:OLEObject Type="Embed" ProgID="Equation.DSMT4" ShapeID="_x0000_i1041" DrawAspect="Content" ObjectID="_1468075741" r:id="rId47">
            <o:LockedField>false</o:LockedField>
          </o:OLEObject>
        </w:object>
      </w:r>
      <w:bookmarkEnd w:id="5"/>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12</w:instrText>
      </w:r>
      <w:r>
        <w:rPr>
          <w:rFonts w:hint="eastAsia"/>
        </w:rPr>
        <w:fldChar w:fldCharType="end"/>
      </w:r>
      <w:r>
        <w:rPr>
          <w:rFonts w:hint="eastAsia"/>
        </w:rPr>
        <w:instrText xml:space="preserve">)</w:instrText>
      </w:r>
      <w:r>
        <w:rPr>
          <w:rFonts w:hint="eastAsia"/>
        </w:rPr>
        <w:fldChar w:fldCharType="end"/>
      </w:r>
    </w:p>
    <w:p w14:paraId="69B2FCB0">
      <w:pPr>
        <w:ind w:firstLine="480"/>
      </w:pPr>
      <w:r>
        <w:t>沿膜电极厚度方向对各功能层进行一维离散。考虑到催化层和质子交换膜厚度较小，且其中电化学反应、质子传导及水传递等过程具有较强的空间梯度，可在上述区域采用相对较细的网格；气体扩散层内则采用相对较疏的网格。各层之间的网格节点在界面处连续衔接，一维计算域及网格划分示意如图</w:t>
      </w:r>
      <w:r>
        <w:rPr>
          <w:rFonts w:hint="eastAsia"/>
        </w:rPr>
        <w:t>4</w:t>
      </w:r>
      <w:r>
        <w:t>所示。</w:t>
      </w:r>
    </w:p>
    <w:p w14:paraId="5AF3818D">
      <w:pPr>
        <w:ind w:firstLine="0" w:firstLineChars="0"/>
        <w:jc w:val="center"/>
      </w:pPr>
      <w:r>
        <w:rPr>
          <w:rFonts w:hint="eastAsia"/>
        </w:rPr>
        <w:drawing>
          <wp:inline distT="0" distB="0" distL="0" distR="0">
            <wp:extent cx="4577080" cy="30289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9"/>
                    <a:srcRect t="9299"/>
                    <a:stretch>
                      <a:fillRect/>
                    </a:stretch>
                  </pic:blipFill>
                  <pic:spPr>
                    <a:xfrm>
                      <a:off x="0" y="0"/>
                      <a:ext cx="4584762" cy="3034242"/>
                    </a:xfrm>
                    <a:prstGeom prst="rect">
                      <a:avLst/>
                    </a:prstGeom>
                    <a:ln>
                      <a:noFill/>
                    </a:ln>
                  </pic:spPr>
                </pic:pic>
              </a:graphicData>
            </a:graphic>
          </wp:inline>
        </w:drawing>
      </w:r>
    </w:p>
    <w:p w14:paraId="72F0CEA2">
      <w:pPr>
        <w:ind w:firstLine="0" w:firstLineChars="0"/>
        <w:jc w:val="center"/>
        <w:rPr>
          <w:sz w:val="21"/>
          <w:szCs w:val="20"/>
        </w:rPr>
      </w:pPr>
      <w:r>
        <w:rPr>
          <w:sz w:val="21"/>
          <w:szCs w:val="20"/>
        </w:rPr>
        <w:t>图</w:t>
      </w:r>
      <w:r>
        <w:rPr>
          <w:rFonts w:hint="eastAsia"/>
          <w:sz w:val="21"/>
          <w:szCs w:val="20"/>
        </w:rPr>
        <w:t>4</w:t>
      </w:r>
      <w:r>
        <w:rPr>
          <w:sz w:val="21"/>
          <w:szCs w:val="20"/>
        </w:rPr>
        <w:t xml:space="preserve"> 常温下一维氢燃料电池参考模型求解区域及网格划分示意图</w:t>
      </w:r>
    </w:p>
    <w:p w14:paraId="364567AE">
      <w:pPr>
        <w:ind w:firstLine="480"/>
      </w:pPr>
      <w:r>
        <w:t>模型作如下基本假设：</w:t>
      </w:r>
    </w:p>
    <w:p w14:paraId="1FA74313">
      <w:pPr>
        <w:numPr>
          <w:ilvl w:val="0"/>
          <w:numId w:val="4"/>
        </w:numPr>
        <w:ind w:firstLine="271" w:firstLineChars="113"/>
      </w:pPr>
      <w:r>
        <w:t xml:space="preserve">各功能层均为连续、均匀介质； </w:t>
      </w:r>
    </w:p>
    <w:p w14:paraId="6EC4E09A">
      <w:pPr>
        <w:numPr>
          <w:ilvl w:val="0"/>
          <w:numId w:val="4"/>
        </w:numPr>
        <w:ind w:firstLine="271" w:firstLineChars="113"/>
      </w:pPr>
      <w:r>
        <w:t xml:space="preserve">仅考虑沿膜电极厚度方向的传质和传热； </w:t>
      </w:r>
    </w:p>
    <w:p w14:paraId="11E976B3">
      <w:pPr>
        <w:numPr>
          <w:ilvl w:val="0"/>
          <w:numId w:val="4"/>
        </w:numPr>
        <w:ind w:firstLine="271" w:firstLineChars="113"/>
      </w:pPr>
      <w:r>
        <w:t xml:space="preserve">气体满足理想气体状态方程； </w:t>
      </w:r>
    </w:p>
    <w:p w14:paraId="447B6328">
      <w:pPr>
        <w:numPr>
          <w:ilvl w:val="0"/>
          <w:numId w:val="4"/>
        </w:numPr>
        <w:ind w:firstLine="271" w:firstLineChars="113"/>
      </w:pPr>
      <w:r>
        <w:t xml:space="preserve">催化层内的电化学反应采用平均反应速率描述； </w:t>
      </w:r>
    </w:p>
    <w:p w14:paraId="4C97BCDD">
      <w:pPr>
        <w:numPr>
          <w:ilvl w:val="0"/>
          <w:numId w:val="4"/>
        </w:numPr>
        <w:ind w:firstLine="271" w:firstLineChars="113"/>
      </w:pPr>
      <w:r>
        <w:t xml:space="preserve">常温基准模型中不考虑冰的生成和融化； </w:t>
      </w:r>
    </w:p>
    <w:p w14:paraId="74354120">
      <w:pPr>
        <w:numPr>
          <w:ilvl w:val="0"/>
          <w:numId w:val="4"/>
        </w:numPr>
        <w:ind w:firstLine="271" w:firstLineChars="113"/>
      </w:pPr>
      <w:r>
        <w:t>外部加载电流密度为已知输入。</w:t>
      </w:r>
    </w:p>
    <w:p w14:paraId="3A105678">
      <w:pPr>
        <w:ind w:firstLine="489"/>
        <w:rPr>
          <w:b/>
          <w:bCs/>
        </w:rPr>
      </w:pPr>
      <w:r>
        <w:rPr>
          <w:rFonts w:hint="eastAsia"/>
          <w:b/>
          <w:bCs/>
        </w:rPr>
        <w:t>1</w:t>
      </w:r>
      <w:r>
        <w:rPr>
          <w:b/>
          <w:bCs/>
        </w:rPr>
        <w:t>.2 氢气和氧气守恒</w:t>
      </w:r>
    </w:p>
    <w:p w14:paraId="1FD21E86">
      <w:pPr>
        <w:ind w:firstLine="480"/>
        <w:rPr>
          <w:rFonts w:cs="Times New Roman"/>
        </w:rPr>
      </w:pPr>
      <w:r>
        <w:rPr>
          <w:rFonts w:cs="Times New Roman"/>
        </w:rPr>
        <w:t>氢气和氧气在气体扩散层及催化层中的传输满足：</w:t>
      </w:r>
    </w:p>
    <w:p w14:paraId="5AE9C7DB">
      <w:pPr>
        <w:pStyle w:val="30"/>
        <w:spacing w:before="0" w:beforeLines="0" w:after="0" w:afterLines="0"/>
        <w:ind w:firstLine="360"/>
      </w:pPr>
      <w:r>
        <w:rPr>
          <w:rFonts w:hint="eastAsia"/>
        </w:rPr>
        <w:tab/>
      </w:r>
      <w:r>
        <w:rPr>
          <w:rFonts w:hint="eastAsia"/>
          <w:position w:val="-46"/>
        </w:rPr>
        <w:object>
          <v:shape id="_x0000_i1042" o:spt="75" type="#_x0000_t75" style="height:51.85pt;width:213pt;" o:ole="t" filled="f" o:preferrelative="t" stroked="f" coordsize="21600,21600">
            <v:path/>
            <v:fill on="f" focussize="0,0"/>
            <v:stroke on="f" joinstyle="miter"/>
            <v:imagedata r:id="rId51" o:title=""/>
            <o:lock v:ext="edit" aspectratio="t"/>
            <w10:wrap type="none"/>
            <w10:anchorlock/>
          </v:shape>
          <o:OLEObject Type="Embed" ProgID="Equation.DSMT4" ShapeID="_x0000_i1042" DrawAspect="Content" ObjectID="_1468075742" r:id="rId50">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13</w:instrText>
      </w:r>
      <w:r>
        <w:rPr>
          <w:rFonts w:hint="eastAsia"/>
        </w:rPr>
        <w:fldChar w:fldCharType="end"/>
      </w:r>
      <w:r>
        <w:rPr>
          <w:rFonts w:hint="eastAsia"/>
        </w:rPr>
        <w:instrText xml:space="preserve">)</w:instrText>
      </w:r>
      <w:r>
        <w:rPr>
          <w:rFonts w:hint="eastAsia"/>
        </w:rPr>
        <w:fldChar w:fldCharType="end"/>
      </w:r>
    </w:p>
    <w:p w14:paraId="55A4F9D8">
      <w:pPr>
        <w:ind w:firstLine="0" w:firstLineChars="0"/>
        <w:rPr>
          <w:rFonts w:cs="Times New Roman"/>
        </w:rPr>
      </w:pPr>
      <w:r>
        <w:rPr>
          <w:rFonts w:hint="eastAsia"/>
        </w:rPr>
        <w:t>式中</w:t>
      </w:r>
      <w:r>
        <w:rPr>
          <w:rFonts w:cs="Times New Roman"/>
        </w:rPr>
        <w:t>，</w:t>
      </w:r>
      <w:r>
        <w:rPr>
          <w:rFonts w:cs="Times New Roman"/>
          <w:i/>
          <w:iCs/>
        </w:rPr>
        <w:t>c</w:t>
      </w:r>
      <w:r>
        <w:rPr>
          <w:rFonts w:cs="Times New Roman"/>
          <w:i/>
          <w:iCs/>
          <w:vertAlign w:val="subscript"/>
        </w:rPr>
        <w:t>k</w:t>
      </w:r>
      <w:r>
        <w:rPr>
          <w:rFonts w:cs="Times New Roman"/>
        </w:rPr>
        <w:t>为</w:t>
      </w:r>
      <w:r>
        <w:rPr>
          <w:rFonts w:hint="eastAsia" w:cs="Times New Roman"/>
        </w:rPr>
        <w:t>气体</w:t>
      </w:r>
      <w:r>
        <w:rPr>
          <w:rFonts w:cs="Times New Roman"/>
        </w:rPr>
        <w:t>浓度，</w:t>
      </w:r>
      <w:r>
        <w:rPr>
          <w:rFonts w:cs="Times New Roman"/>
          <w:i/>
          <w:iCs/>
        </w:rPr>
        <w:t>ε</w:t>
      </w:r>
      <w:r>
        <w:rPr>
          <w:rFonts w:cs="Times New Roman"/>
          <w:vertAlign w:val="subscript"/>
        </w:rPr>
        <w:t>0</w:t>
      </w:r>
      <w:r>
        <w:rPr>
          <w:rFonts w:hint="eastAsia" w:cs="Times New Roman"/>
        </w:rPr>
        <w:t>为</w:t>
      </w:r>
      <w:r>
        <w:rPr>
          <w:rFonts w:cs="Times New Roman"/>
        </w:rPr>
        <w:t>干燥状态下的初始孔隙率</w:t>
      </w:r>
      <w:r>
        <w:rPr>
          <w:rFonts w:hint="eastAsia" w:cs="Times New Roman"/>
        </w:rPr>
        <w:t>，</w:t>
      </w:r>
      <w:r>
        <w:rPr>
          <w:rFonts w:cs="Times New Roman"/>
          <w:i/>
          <w:iCs/>
        </w:rPr>
        <w:t>ε</w:t>
      </w:r>
      <w:r>
        <w:rPr>
          <w:rFonts w:cs="Times New Roman"/>
          <w:i/>
          <w:iCs/>
          <w:vertAlign w:val="subscript"/>
        </w:rPr>
        <w:t>l</w:t>
      </w:r>
      <w:r>
        <w:rPr>
          <w:rFonts w:hint="eastAsia" w:cs="Times New Roman"/>
        </w:rPr>
        <w:t>为</w:t>
      </w:r>
      <w:r>
        <w:rPr>
          <w:rFonts w:cs="Times New Roman"/>
        </w:rPr>
        <w:t>液态水占据的</w:t>
      </w:r>
      <w:r>
        <w:rPr>
          <w:rFonts w:hint="eastAsia" w:cs="Times New Roman"/>
        </w:rPr>
        <w:t>孔隙，</w:t>
      </w:r>
      <w:r>
        <w:rPr>
          <w:rFonts w:cs="Times New Roman"/>
          <w:i/>
          <w:iCs/>
        </w:rPr>
        <w:t>ε</w:t>
      </w:r>
      <w:r>
        <w:rPr>
          <w:rFonts w:cs="Times New Roman"/>
          <w:i/>
          <w:iCs/>
          <w:vertAlign w:val="subscript"/>
        </w:rPr>
        <w:t>g</w:t>
      </w:r>
      <w:r>
        <w:rPr>
          <w:rFonts w:cs="Times New Roman"/>
        </w:rPr>
        <w:t>为剩余可供气体传输的孔隙率，</w:t>
      </w:r>
      <w:r>
        <w:rPr>
          <w:rFonts w:cs="Times New Roman"/>
          <w:i/>
          <w:iCs/>
        </w:rPr>
        <w:t>D</w:t>
      </w:r>
      <w:r>
        <w:rPr>
          <w:rFonts w:cs="Times New Roman"/>
          <w:i/>
          <w:iCs/>
          <w:vertAlign w:val="subscript"/>
        </w:rPr>
        <w:t>k,eff</w:t>
      </w:r>
      <w:r>
        <w:rPr>
          <w:rFonts w:cs="Times New Roman"/>
        </w:rPr>
        <w:t xml:space="preserve"> 为有效扩散系数，</w:t>
      </w:r>
      <w:r>
        <w:rPr>
          <w:rFonts w:cs="Times New Roman"/>
          <w:i/>
          <w:iCs/>
        </w:rPr>
        <w:t>S</w:t>
      </w:r>
      <w:r>
        <w:rPr>
          <w:rFonts w:cs="Times New Roman"/>
          <w:i/>
          <w:iCs/>
          <w:vertAlign w:val="subscript"/>
        </w:rPr>
        <w:t>k</w:t>
      </w:r>
      <w:r>
        <w:rPr>
          <w:rFonts w:cs="Times New Roman"/>
        </w:rPr>
        <w:t>为电化学反应引起的源项。在阳极催化层中，氢气消耗速率</w:t>
      </w:r>
      <w:r>
        <w:rPr>
          <w:rFonts w:hint="eastAsia"/>
          <w:position w:val="-10"/>
        </w:rPr>
        <w:object>
          <v:shape id="_x0000_i1043" o:spt="75" type="#_x0000_t75" style="height:18.15pt;width:20.15pt;" o:ole="t" filled="f" o:preferrelative="t" stroked="f" coordsize="21600,21600">
            <v:path/>
            <v:fill on="f" focussize="0,0"/>
            <v:stroke on="f" joinstyle="miter"/>
            <v:imagedata r:id="rId53" o:title=""/>
            <o:lock v:ext="edit" aspectratio="t"/>
            <w10:wrap type="none"/>
            <w10:anchorlock/>
          </v:shape>
          <o:OLEObject Type="Embed" ProgID="Equation.DSMT4" ShapeID="_x0000_i1043" DrawAspect="Content" ObjectID="_1468075743" r:id="rId52">
            <o:LockedField>false</o:LockedField>
          </o:OLEObject>
        </w:object>
      </w:r>
      <w:r>
        <w:rPr>
          <w:rFonts w:cs="Times New Roman"/>
        </w:rPr>
        <w:t>为</w:t>
      </w:r>
    </w:p>
    <w:p w14:paraId="3511B2C7">
      <w:pPr>
        <w:pStyle w:val="30"/>
        <w:spacing w:before="0" w:beforeLines="0" w:after="0" w:afterLines="0"/>
        <w:ind w:firstLine="360"/>
      </w:pPr>
      <w:r>
        <w:rPr>
          <w:rFonts w:hint="eastAsia"/>
        </w:rPr>
        <w:tab/>
      </w:r>
      <w:r>
        <w:rPr>
          <w:rFonts w:hint="eastAsia"/>
          <w:position w:val="-26"/>
        </w:rPr>
        <w:object>
          <v:shape id="_x0000_i1044" o:spt="75" type="#_x0000_t75" style="height:32.2pt;width:133.45pt;" o:ole="t" filled="f" o:preferrelative="t" stroked="f" coordsize="21600,21600">
            <v:path/>
            <v:fill on="f" focussize="0,0"/>
            <v:stroke on="f" joinstyle="miter"/>
            <v:imagedata r:id="rId55" o:title=""/>
            <o:lock v:ext="edit" aspectratio="t"/>
            <w10:wrap type="none"/>
            <w10:anchorlock/>
          </v:shape>
          <o:OLEObject Type="Embed" ProgID="Equation.DSMT4" ShapeID="_x0000_i1044" DrawAspect="Content" ObjectID="_1468075744" r:id="rId54">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14</w:instrText>
      </w:r>
      <w:r>
        <w:rPr>
          <w:rFonts w:hint="eastAsia"/>
        </w:rPr>
        <w:fldChar w:fldCharType="end"/>
      </w:r>
      <w:r>
        <w:rPr>
          <w:rFonts w:hint="eastAsia"/>
        </w:rPr>
        <w:instrText xml:space="preserve">)</w:instrText>
      </w:r>
      <w:r>
        <w:rPr>
          <w:rFonts w:hint="eastAsia"/>
        </w:rPr>
        <w:fldChar w:fldCharType="end"/>
      </w:r>
    </w:p>
    <w:p w14:paraId="030457EF">
      <w:pPr>
        <w:ind w:firstLine="0" w:firstLineChars="0"/>
        <w:rPr>
          <w:rFonts w:cs="Times New Roman"/>
        </w:rPr>
      </w:pPr>
      <w:r>
        <w:rPr>
          <w:rFonts w:hint="eastAsia" w:cs="Times New Roman"/>
        </w:rPr>
        <w:t>氧气</w:t>
      </w:r>
      <w:r>
        <w:rPr>
          <w:rFonts w:cs="Times New Roman"/>
        </w:rPr>
        <w:t>消耗速率为</w:t>
      </w:r>
    </w:p>
    <w:p w14:paraId="58AE24EB">
      <w:pPr>
        <w:pStyle w:val="30"/>
        <w:spacing w:before="0" w:beforeLines="0" w:after="0" w:afterLines="0"/>
        <w:ind w:firstLine="360"/>
      </w:pPr>
      <w:r>
        <w:rPr>
          <w:rFonts w:hint="eastAsia"/>
        </w:rPr>
        <w:tab/>
      </w:r>
      <w:r>
        <w:rPr>
          <w:rFonts w:hint="eastAsia"/>
          <w:position w:val="-26"/>
        </w:rPr>
        <w:object>
          <v:shape id="_x0000_i1045" o:spt="75" type="#_x0000_t75" style="height:32.2pt;width:132.4pt;" o:ole="t" filled="f" o:preferrelative="t" stroked="f" coordsize="21600,21600">
            <v:path/>
            <v:fill on="f" focussize="0,0"/>
            <v:stroke on="f" joinstyle="miter"/>
            <v:imagedata r:id="rId57" o:title=""/>
            <o:lock v:ext="edit" aspectratio="t"/>
            <w10:wrap type="none"/>
            <w10:anchorlock/>
          </v:shape>
          <o:OLEObject Type="Embed" ProgID="Equation.DSMT4" ShapeID="_x0000_i1045" DrawAspect="Content" ObjectID="_1468075745" r:id="rId56">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15</w:instrText>
      </w:r>
      <w:r>
        <w:rPr>
          <w:rFonts w:hint="eastAsia"/>
        </w:rPr>
        <w:fldChar w:fldCharType="end"/>
      </w:r>
      <w:r>
        <w:rPr>
          <w:rFonts w:hint="eastAsia"/>
        </w:rPr>
        <w:instrText xml:space="preserve">)</w:instrText>
      </w:r>
      <w:r>
        <w:rPr>
          <w:rFonts w:hint="eastAsia"/>
        </w:rPr>
        <w:fldChar w:fldCharType="end"/>
      </w:r>
    </w:p>
    <w:p w14:paraId="2BCB34F3">
      <w:pPr>
        <w:ind w:firstLine="0" w:firstLineChars="0"/>
      </w:pPr>
      <w:r>
        <w:rPr>
          <w:rFonts w:hint="eastAsia"/>
        </w:rPr>
        <w:t>式中</w:t>
      </w:r>
      <w:r>
        <w:rPr>
          <w:rFonts w:hint="eastAsia" w:cs="Times New Roman"/>
        </w:rPr>
        <w:t>，</w:t>
      </w:r>
      <w:r>
        <w:rPr>
          <w:rFonts w:cs="Times New Roman"/>
          <w:i/>
          <w:iCs/>
        </w:rPr>
        <w:t>j</w:t>
      </w:r>
      <w:r>
        <w:rPr>
          <w:rFonts w:cs="Times New Roman"/>
        </w:rPr>
        <w:t>为局部电流密度</w:t>
      </w:r>
      <w:r>
        <w:rPr>
          <w:rFonts w:hint="eastAsia" w:cs="Times New Roman"/>
        </w:rPr>
        <w:t>（A</w:t>
      </w:r>
      <w:r>
        <w:rPr>
          <w:rFonts w:cs="Times New Roman"/>
        </w:rPr>
        <w:t>·</w:t>
      </w:r>
      <w:r>
        <w:rPr>
          <w:rFonts w:hint="eastAsia" w:cs="Times New Roman"/>
        </w:rPr>
        <w:t>m</w:t>
      </w:r>
      <w:r>
        <w:rPr>
          <w:rFonts w:hint="eastAsia" w:cs="Times New Roman"/>
          <w:vertAlign w:val="superscript"/>
        </w:rPr>
        <w:t>-2</w:t>
      </w:r>
      <w:r>
        <w:rPr>
          <w:rFonts w:hint="eastAsia" w:cs="Times New Roman"/>
        </w:rPr>
        <w:t>），</w:t>
      </w:r>
      <w:r>
        <w:rPr>
          <w:rFonts w:cs="Times New Roman"/>
          <w:i/>
          <w:iCs/>
        </w:rPr>
        <w:t>F</w:t>
      </w:r>
      <w:r>
        <w:rPr>
          <w:rFonts w:cs="Times New Roman"/>
        </w:rPr>
        <w:t>为法拉第常数</w:t>
      </w:r>
      <w:r>
        <w:rPr>
          <w:rFonts w:hint="eastAsia"/>
        </w:rPr>
        <w:t>（</w:t>
      </w:r>
      <w:r>
        <w:t>96485</w:t>
      </w:r>
      <w:r>
        <w:rPr>
          <w:rFonts w:hint="eastAsia"/>
        </w:rPr>
        <w:t xml:space="preserve"> C</w:t>
      </w:r>
      <w:r>
        <w:rPr>
          <w:rFonts w:cs="Times New Roman"/>
        </w:rPr>
        <w:t>·</w:t>
      </w:r>
      <w:r>
        <w:rPr>
          <w:rFonts w:hint="eastAsia"/>
        </w:rPr>
        <w:t>mol</w:t>
      </w:r>
      <w:r>
        <w:rPr>
          <w:rFonts w:hint="eastAsia"/>
          <w:vertAlign w:val="superscript"/>
        </w:rPr>
        <w:t>-1</w:t>
      </w:r>
      <w:r>
        <w:rPr>
          <w:rFonts w:hint="eastAsia"/>
        </w:rPr>
        <w:t>）</w:t>
      </w:r>
      <w:r>
        <w:rPr>
          <w:rFonts w:hint="eastAsia" w:cs="Times New Roman"/>
        </w:rPr>
        <w:t>，</w:t>
      </w:r>
      <w:r>
        <w:rPr>
          <w:rFonts w:cs="Times New Roman"/>
          <w:i/>
          <w:iCs/>
        </w:rPr>
        <w:t>L</w:t>
      </w:r>
      <w:r>
        <w:rPr>
          <w:rFonts w:cs="Times New Roman"/>
          <w:vertAlign w:val="subscript"/>
        </w:rPr>
        <w:t>aCL</w:t>
      </w:r>
      <w:r>
        <w:rPr>
          <w:rFonts w:cs="Times New Roman"/>
        </w:rPr>
        <w:t>和</w:t>
      </w:r>
      <w:r>
        <w:rPr>
          <w:rFonts w:cs="Times New Roman"/>
          <w:i/>
          <w:iCs/>
        </w:rPr>
        <w:t>L</w:t>
      </w:r>
      <w:r>
        <w:rPr>
          <w:rFonts w:cs="Times New Roman"/>
          <w:vertAlign w:val="subscript"/>
        </w:rPr>
        <w:t>cCL</w:t>
      </w:r>
      <w:r>
        <w:rPr>
          <w:rFonts w:cs="Times New Roman"/>
        </w:rPr>
        <w:t>分别为阳极催化层和阴极催化层厚度</w:t>
      </w:r>
      <w:r>
        <w:rPr>
          <w:rFonts w:hint="eastAsia" w:cs="Times New Roman"/>
        </w:rPr>
        <w:t>。</w:t>
      </w:r>
      <w:r>
        <w:rPr>
          <w:rFonts w:cs="Times New Roman"/>
        </w:rPr>
        <w:t>氢气消耗源项仅存在于阳极催化层，氧气消耗源项仅存在于阴极催化层，其他区域中相应的源项取零</w:t>
      </w:r>
      <w:r>
        <w:t>。</w:t>
      </w:r>
      <w:r>
        <w:rPr>
          <w:rFonts w:hint="eastAsia"/>
        </w:rPr>
        <w:t>有效扩散系数</w:t>
      </w:r>
      <w:r>
        <w:rPr>
          <w:rFonts w:hint="eastAsia"/>
          <w:position w:val="-10"/>
        </w:rPr>
        <w:object>
          <v:shape id="_x0000_i1046" o:spt="75" type="#_x0000_t75" style="height:18.15pt;width:27.2pt;" o:ole="t" filled="f" o:preferrelative="t" stroked="f" coordsize="21600,21600">
            <v:path/>
            <v:fill on="f" focussize="0,0"/>
            <v:stroke on="f" joinstyle="miter"/>
            <v:imagedata r:id="rId59" o:title=""/>
            <o:lock v:ext="edit" aspectratio="t"/>
            <w10:wrap type="none"/>
            <w10:anchorlock/>
          </v:shape>
          <o:OLEObject Type="Embed" ProgID="Equation.DSMT4" ShapeID="_x0000_i1046" DrawAspect="Content" ObjectID="_1468075746" r:id="rId58">
            <o:LockedField>false</o:LockedField>
          </o:OLEObject>
        </w:object>
      </w:r>
      <w:r>
        <w:rPr>
          <w:rFonts w:hint="eastAsia"/>
        </w:rPr>
        <w:t>采用统一关系：</w:t>
      </w:r>
    </w:p>
    <w:p w14:paraId="2DBB1623">
      <w:pPr>
        <w:pStyle w:val="30"/>
        <w:spacing w:before="0" w:beforeLines="0" w:after="0" w:afterLines="0"/>
        <w:ind w:firstLine="360"/>
      </w:pPr>
      <w:r>
        <w:rPr>
          <w:rFonts w:hint="eastAsia"/>
        </w:rPr>
        <w:tab/>
      </w:r>
      <w:bookmarkStart w:id="6" w:name="OLE_LINK1"/>
      <w:r>
        <w:rPr>
          <w:rFonts w:hint="eastAsia"/>
          <w:position w:val="-28"/>
        </w:rPr>
        <w:object>
          <v:shape id="_x0000_i1047" o:spt="75" type="#_x0000_t75" style="height:36.25pt;width:186.8pt;" o:ole="t" filled="f" o:preferrelative="t" stroked="f" coordsize="21600,21600">
            <v:path/>
            <v:fill on="f" focussize="0,0"/>
            <v:stroke on="f" joinstyle="miter"/>
            <v:imagedata r:id="rId61" o:title=""/>
            <o:lock v:ext="edit" aspectratio="t"/>
            <w10:wrap type="none"/>
            <w10:anchorlock/>
          </v:shape>
          <o:OLEObject Type="Embed" ProgID="Equation.DSMT4" ShapeID="_x0000_i1047" DrawAspect="Content" ObjectID="_1468075747" r:id="rId60">
            <o:LockedField>false</o:LockedField>
          </o:OLEObject>
        </w:object>
      </w:r>
      <w:bookmarkEnd w:id="6"/>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16</w:instrText>
      </w:r>
      <w:r>
        <w:rPr>
          <w:rFonts w:hint="eastAsia"/>
        </w:rPr>
        <w:fldChar w:fldCharType="end"/>
      </w:r>
      <w:r>
        <w:rPr>
          <w:rFonts w:hint="eastAsia"/>
        </w:rPr>
        <w:instrText xml:space="preserve">)</w:instrText>
      </w:r>
      <w:r>
        <w:rPr>
          <w:rFonts w:hint="eastAsia"/>
        </w:rPr>
        <w:fldChar w:fldCharType="end"/>
      </w:r>
    </w:p>
    <w:p w14:paraId="7D4CF79B">
      <w:pPr>
        <w:ind w:firstLine="0" w:firstLineChars="0"/>
      </w:pPr>
      <w:r>
        <w:rPr>
          <w:rFonts w:hint="eastAsia"/>
        </w:rPr>
        <w:t>式中</w:t>
      </w:r>
      <w:r>
        <w:t>，</w:t>
      </w:r>
      <w:r>
        <w:rPr>
          <w:rFonts w:hint="eastAsia"/>
          <w:i/>
          <w:iCs/>
        </w:rPr>
        <w:t>T</w:t>
      </w:r>
      <w:r>
        <w:rPr>
          <w:i/>
          <w:iCs/>
        </w:rPr>
        <w:t>=</w:t>
      </w:r>
      <w:r>
        <w:rPr>
          <w:rFonts w:hint="eastAsia"/>
          <w:i/>
          <w:iCs/>
        </w:rPr>
        <w:t>T</w:t>
      </w:r>
      <w:r>
        <w:rPr>
          <w:i/>
          <w:iCs/>
        </w:rPr>
        <w:t>(</w:t>
      </w:r>
      <w:r>
        <w:rPr>
          <w:rFonts w:hint="eastAsia"/>
          <w:i/>
          <w:iCs/>
        </w:rPr>
        <w:t>x</w:t>
      </w:r>
      <w:r>
        <w:rPr>
          <w:i/>
          <w:iCs/>
        </w:rPr>
        <w:t>,t</w:t>
      </w:r>
      <w:r>
        <w:rPr>
          <w:rFonts w:hint="eastAsia"/>
          <w:i/>
          <w:iCs/>
        </w:rPr>
        <w:t>)</w:t>
      </w:r>
      <w:r>
        <w:rPr>
          <w:rFonts w:hint="eastAsia"/>
        </w:rPr>
        <w:t>为</w:t>
      </w:r>
      <w:r>
        <w:t>位置</w:t>
      </w:r>
      <w:r>
        <w:rPr>
          <w:i/>
          <w:iCs/>
        </w:rPr>
        <w:t>x</w:t>
      </w:r>
      <w:r>
        <w:t>、时刻</w:t>
      </w:r>
      <w:r>
        <w:rPr>
          <w:i/>
          <w:iCs/>
        </w:rPr>
        <w:t>t</w:t>
      </w:r>
      <w:r>
        <w:t>处的局部温度，由瞬态能量守恒方程</w:t>
      </w:r>
      <w:r>
        <w:rPr>
          <w:rFonts w:hint="eastAsia"/>
        </w:rPr>
        <w:t>（式（32））</w:t>
      </w:r>
      <w:r>
        <w:t>求解获得</w:t>
      </w:r>
      <w:r>
        <w:rPr>
          <w:rFonts w:hint="eastAsia"/>
        </w:rPr>
        <w:t>，</w:t>
      </w:r>
      <w:r>
        <w:rPr>
          <w:i/>
          <w:iCs/>
        </w:rPr>
        <w:t>p</w:t>
      </w:r>
      <w:r>
        <w:t>为局部气体绝对压力</w:t>
      </w:r>
      <w:r>
        <w:rPr>
          <w:rFonts w:hint="eastAsia"/>
        </w:rPr>
        <w:t>，</w:t>
      </w:r>
      <w:r>
        <w:t>参考扩散系数</w:t>
      </w:r>
      <w:r>
        <w:rPr>
          <w:rFonts w:hint="eastAsia"/>
          <w:position w:val="-8"/>
        </w:rPr>
        <w:object>
          <v:shape id="_x0000_i1048" o:spt="75" type="#_x0000_t75" style="height:15.6pt;width:20.15pt;" o:ole="t" filled="f" o:preferrelative="t" stroked="f" coordsize="21600,21600">
            <v:path/>
            <v:fill on="f" focussize="0,0"/>
            <v:stroke on="f" joinstyle="miter"/>
            <v:imagedata r:id="rId63" o:title=""/>
            <o:lock v:ext="edit" aspectratio="t"/>
            <w10:wrap type="none"/>
            <w10:anchorlock/>
          </v:shape>
          <o:OLEObject Type="Embed" ProgID="Equation.DSMT4" ShapeID="_x0000_i1048" DrawAspect="Content" ObjectID="_1468075748" r:id="rId62">
            <o:LockedField>false</o:LockedField>
          </o:OLEObject>
        </w:object>
      </w:r>
      <w:r>
        <w:t>取</w:t>
      </w:r>
    </w:p>
    <w:p w14:paraId="0CC3ECAC">
      <w:pPr>
        <w:pStyle w:val="30"/>
        <w:spacing w:before="0" w:beforeLines="0" w:after="0" w:afterLines="0"/>
        <w:ind w:firstLine="360"/>
      </w:pPr>
      <w:r>
        <w:rPr>
          <w:rFonts w:hint="eastAsia"/>
        </w:rPr>
        <w:tab/>
      </w:r>
      <w:r>
        <w:rPr>
          <w:rFonts w:hint="eastAsia"/>
          <w:position w:val="-30"/>
        </w:rPr>
        <w:object>
          <v:shape id="_x0000_i1049" o:spt="75" type="#_x0000_t75" style="height:36.25pt;width:132.9pt;" o:ole="t" filled="f" o:preferrelative="t" stroked="f" coordsize="21600,21600">
            <v:path/>
            <v:fill on="f" focussize="0,0"/>
            <v:stroke on="f" joinstyle="miter"/>
            <v:imagedata r:id="rId65" o:title=""/>
            <o:lock v:ext="edit" aspectratio="t"/>
            <w10:wrap type="none"/>
            <w10:anchorlock/>
          </v:shape>
          <o:OLEObject Type="Embed" ProgID="Equation.DSMT4" ShapeID="_x0000_i1049" DrawAspect="Content" ObjectID="_1468075749" r:id="rId64">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17</w:instrText>
      </w:r>
      <w:r>
        <w:rPr>
          <w:rFonts w:hint="eastAsia"/>
        </w:rPr>
        <w:fldChar w:fldCharType="end"/>
      </w:r>
      <w:r>
        <w:rPr>
          <w:rFonts w:hint="eastAsia"/>
        </w:rPr>
        <w:instrText xml:space="preserve">)</w:instrText>
      </w:r>
      <w:r>
        <w:rPr>
          <w:rFonts w:hint="eastAsia"/>
        </w:rPr>
        <w:fldChar w:fldCharType="end"/>
      </w:r>
    </w:p>
    <w:p w14:paraId="535B4399">
      <w:pPr>
        <w:ind w:firstLine="0" w:firstLineChars="0"/>
      </w:pPr>
      <w:r>
        <w:t>式（</w:t>
      </w:r>
      <w:r>
        <w:rPr>
          <w:rFonts w:hint="eastAsia"/>
        </w:rPr>
        <w:t>16</w:t>
      </w:r>
      <w:r>
        <w:t>）中的孔隙率指数固定为1.5，不再设置额外的传质影响系数。</w:t>
      </w:r>
    </w:p>
    <w:p w14:paraId="6F3D1880">
      <w:pPr>
        <w:ind w:firstLine="489"/>
        <w:rPr>
          <w:b/>
          <w:bCs/>
        </w:rPr>
      </w:pPr>
      <w:r>
        <w:rPr>
          <w:rFonts w:hint="eastAsia"/>
          <w:b/>
          <w:bCs/>
        </w:rPr>
        <w:t>1</w:t>
      </w:r>
      <w:r>
        <w:rPr>
          <w:b/>
          <w:bCs/>
        </w:rPr>
        <w:t>.3 水守恒</w:t>
      </w:r>
    </w:p>
    <w:p w14:paraId="15E1D120">
      <w:pPr>
        <w:ind w:firstLine="480"/>
      </w:pPr>
      <w:r>
        <w:t>为减少模型中的未知参数，采用</w:t>
      </w:r>
      <w:r>
        <w:rPr>
          <w:rFonts w:hint="eastAsia"/>
        </w:rPr>
        <w:t>局部</w:t>
      </w:r>
      <w:r>
        <w:t>总水含量</w:t>
      </w:r>
      <w:r>
        <w:rPr>
          <w:i/>
          <w:iCs/>
        </w:rPr>
        <w:t>m</w:t>
      </w:r>
      <w:r>
        <w:rPr>
          <w:i/>
          <w:iCs/>
          <w:vertAlign w:val="subscript"/>
        </w:rPr>
        <w:t>w</w:t>
      </w:r>
      <w:r>
        <w:t>(</w:t>
      </w:r>
      <w:r>
        <w:rPr>
          <w:i/>
          <w:iCs/>
        </w:rPr>
        <w:t>x,t</w:t>
      </w:r>
      <w:r>
        <w:t>)统一描述膜电极中的水，不分别建立水蒸气、液态水和膜内水的多套控制方程。</w:t>
      </w:r>
      <w:r>
        <w:rPr>
          <w:i/>
          <w:iCs/>
        </w:rPr>
        <w:t>m</w:t>
      </w:r>
      <w:r>
        <w:rPr>
          <w:i/>
          <w:iCs/>
          <w:vertAlign w:val="subscript"/>
        </w:rPr>
        <w:t>w</w:t>
      </w:r>
      <w:r>
        <w:t>(</w:t>
      </w:r>
      <w:r>
        <w:rPr>
          <w:i/>
          <w:iCs/>
        </w:rPr>
        <w:t>x,t</w:t>
      </w:r>
      <w:r>
        <w:t>)表示位置</w:t>
      </w:r>
      <w:r>
        <w:rPr>
          <w:i/>
          <w:iCs/>
        </w:rPr>
        <w:t>x</w:t>
      </w:r>
      <w:r>
        <w:t>处单位体积内各形态水含量之和</w:t>
      </w:r>
      <w:r>
        <w:rPr>
          <w:rFonts w:hint="eastAsia"/>
        </w:rPr>
        <w:t>，单位为</w:t>
      </w:r>
      <w:r>
        <w:t>kg</w:t>
      </w:r>
      <w:r>
        <w:rPr>
          <w:rFonts w:hint="eastAsia"/>
        </w:rPr>
        <w:t xml:space="preserve"> </w:t>
      </w:r>
      <w:r>
        <w:t>m</w:t>
      </w:r>
      <w:r>
        <w:rPr>
          <w:vertAlign w:val="superscript"/>
        </w:rPr>
        <w:t>−3</w:t>
      </w:r>
      <w:r>
        <w:rPr>
          <w:rFonts w:hint="eastAsia"/>
        </w:rPr>
        <w:t>，</w:t>
      </w:r>
      <w:r>
        <w:t>满足：</w:t>
      </w:r>
    </w:p>
    <w:p w14:paraId="13207E63">
      <w:pPr>
        <w:pStyle w:val="30"/>
        <w:spacing w:before="0" w:beforeLines="0" w:after="0" w:afterLines="0"/>
        <w:ind w:firstLine="360"/>
      </w:pPr>
      <w:r>
        <w:rPr>
          <w:rFonts w:hint="eastAsia"/>
        </w:rPr>
        <w:tab/>
      </w:r>
      <w:r>
        <w:rPr>
          <w:rFonts w:hint="eastAsia"/>
          <w:position w:val="-24"/>
        </w:rPr>
        <w:object>
          <v:shape id="_x0000_i1050" o:spt="75" type="#_x0000_t75" style="height:31.7pt;width:92.15pt;" o:ole="t" filled="f" o:preferrelative="t" stroked="f" coordsize="21600,21600">
            <v:path/>
            <v:fill on="f" focussize="0,0"/>
            <v:stroke on="f" joinstyle="miter"/>
            <v:imagedata r:id="rId67" o:title=""/>
            <o:lock v:ext="edit" aspectratio="t"/>
            <w10:wrap type="none"/>
            <w10:anchorlock/>
          </v:shape>
          <o:OLEObject Type="Embed" ProgID="Equation.DSMT4" ShapeID="_x0000_i1050" DrawAspect="Content" ObjectID="_1468075750" r:id="rId66">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18</w:instrText>
      </w:r>
      <w:r>
        <w:rPr>
          <w:rFonts w:hint="eastAsia"/>
        </w:rPr>
        <w:fldChar w:fldCharType="end"/>
      </w:r>
      <w:r>
        <w:rPr>
          <w:rFonts w:hint="eastAsia"/>
        </w:rPr>
        <w:instrText xml:space="preserve">)</w:instrText>
      </w:r>
      <w:r>
        <w:rPr>
          <w:rFonts w:hint="eastAsia"/>
        </w:rPr>
        <w:fldChar w:fldCharType="end"/>
      </w:r>
    </w:p>
    <w:p w14:paraId="7C7FA387">
      <w:pPr>
        <w:ind w:firstLine="0" w:firstLineChars="0"/>
      </w:pPr>
      <w:r>
        <w:rPr>
          <w:rFonts w:hint="eastAsia"/>
        </w:rPr>
        <w:t>式中</w:t>
      </w:r>
      <w:r>
        <w:t>，</w:t>
      </w:r>
      <w:r>
        <w:rPr>
          <w:i/>
          <w:iCs/>
        </w:rPr>
        <w:t>S</w:t>
      </w:r>
      <w:r>
        <w:rPr>
          <w:i/>
          <w:iCs/>
          <w:vertAlign w:val="subscript"/>
        </w:rPr>
        <w:t>w</w:t>
      </w:r>
      <w:r>
        <w:t>为水的体积源项</w:t>
      </w:r>
      <w:r>
        <w:rPr>
          <w:rFonts w:hint="eastAsia"/>
        </w:rPr>
        <w:t>，</w:t>
      </w:r>
      <w:r>
        <w:t>水通量</w:t>
      </w:r>
      <w:r>
        <w:rPr>
          <w:rFonts w:hint="eastAsia"/>
          <w:position w:val="-8"/>
        </w:rPr>
        <w:object>
          <v:shape id="_x0000_i1051" o:spt="75" type="#_x0000_t75" style="height:15.6pt;width:18.15pt;" o:ole="t" filled="f" o:preferrelative="t" stroked="f" coordsize="21600,21600">
            <v:path/>
            <v:fill on="f" focussize="0,0"/>
            <v:stroke on="f" joinstyle="miter"/>
            <v:imagedata r:id="rId69" o:title=""/>
            <o:lock v:ext="edit" aspectratio="t"/>
            <w10:wrap type="none"/>
            <w10:anchorlock/>
          </v:shape>
          <o:OLEObject Type="Embed" ProgID="Equation.DSMT4" ShapeID="_x0000_i1051" DrawAspect="Content" ObjectID="_1468075751" r:id="rId68">
            <o:LockedField>false</o:LockedField>
          </o:OLEObject>
        </w:object>
      </w:r>
      <w:r>
        <w:t xml:space="preserve">表示单位时间内沿厚度方向通过单位截面积的水量，单位为 </w:t>
      </w:r>
      <w:r>
        <w:rPr>
          <w:rFonts w:hint="eastAsia"/>
        </w:rPr>
        <w:t>kg</w:t>
      </w:r>
      <w:r>
        <w:rPr>
          <w:rFonts w:cs="Times New Roman"/>
        </w:rPr>
        <w:t>·</w:t>
      </w:r>
      <w:r>
        <w:t>m</w:t>
      </w:r>
      <w:r>
        <w:rPr>
          <w:vertAlign w:val="superscript"/>
        </w:rPr>
        <w:t>−2</w:t>
      </w:r>
      <w:r>
        <w:rPr>
          <w:rFonts w:cs="Times New Roman"/>
        </w:rPr>
        <w:t>·</w:t>
      </w:r>
      <w:r>
        <w:t>s</w:t>
      </w:r>
      <w:r>
        <w:rPr>
          <w:vertAlign w:val="superscript"/>
        </w:rPr>
        <w:t>−1</w:t>
      </w:r>
      <w:r>
        <w:rPr>
          <w:rFonts w:hint="eastAsia"/>
        </w:rPr>
        <w:t>，</w:t>
      </w:r>
      <w:r>
        <w:t>由浓度扩散和电渗拖曳共同组成：</w:t>
      </w:r>
    </w:p>
    <w:p w14:paraId="47B168E1">
      <w:pPr>
        <w:pStyle w:val="30"/>
        <w:spacing w:before="0" w:beforeLines="0" w:after="0" w:afterLines="0"/>
        <w:ind w:firstLine="360"/>
      </w:pPr>
      <w:r>
        <w:rPr>
          <w:rFonts w:hint="eastAsia"/>
        </w:rPr>
        <w:tab/>
      </w:r>
      <w:r>
        <w:rPr>
          <w:rFonts w:hint="eastAsia"/>
          <w:position w:val="-24"/>
        </w:rPr>
        <w:object>
          <v:shape id="_x0000_i1052" o:spt="75" type="#_x0000_t75" style="height:31.7pt;width:141pt;" o:ole="t" filled="f" o:preferrelative="t" stroked="f" coordsize="21600,21600">
            <v:path/>
            <v:fill on="f" focussize="0,0"/>
            <v:stroke on="f" joinstyle="miter"/>
            <v:imagedata r:id="rId71" o:title=""/>
            <o:lock v:ext="edit" aspectratio="t"/>
            <w10:wrap type="none"/>
            <w10:anchorlock/>
          </v:shape>
          <o:OLEObject Type="Embed" ProgID="Equation.DSMT4" ShapeID="_x0000_i1052" DrawAspect="Content" ObjectID="_1468075752" r:id="rId70">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19</w:instrText>
      </w:r>
      <w:r>
        <w:rPr>
          <w:rFonts w:hint="eastAsia"/>
        </w:rPr>
        <w:fldChar w:fldCharType="end"/>
      </w:r>
      <w:r>
        <w:rPr>
          <w:rFonts w:hint="eastAsia"/>
        </w:rPr>
        <w:instrText xml:space="preserve">)</w:instrText>
      </w:r>
      <w:r>
        <w:rPr>
          <w:rFonts w:hint="eastAsia"/>
        </w:rPr>
        <w:fldChar w:fldCharType="end"/>
      </w:r>
    </w:p>
    <w:p w14:paraId="7C115CDF">
      <w:pPr>
        <w:ind w:firstLine="0" w:firstLineChars="0"/>
      </w:pPr>
      <w:r>
        <w:t>式中，</w:t>
      </w:r>
      <w:r>
        <w:rPr>
          <w:i/>
          <w:iCs/>
        </w:rPr>
        <w:t>D</w:t>
      </w:r>
      <w:r>
        <w:rPr>
          <w:i/>
          <w:iCs/>
          <w:vertAlign w:val="subscript"/>
        </w:rPr>
        <w:t>w,eff</w:t>
      </w:r>
      <w:r>
        <w:t>为水的有效扩散系数，</w:t>
      </w:r>
      <w:r>
        <w:rPr>
          <w:i/>
          <w:iCs/>
        </w:rPr>
        <w:t>i</w:t>
      </w:r>
      <w:r>
        <w:rPr>
          <w:vertAlign w:val="subscript"/>
        </w:rPr>
        <w:t>m</w:t>
      </w:r>
      <w:r>
        <w:t>为质子电流密度，</w:t>
      </w:r>
      <w:r>
        <w:rPr>
          <w:i/>
          <w:iCs/>
        </w:rPr>
        <w:t>M</w:t>
      </w:r>
      <w:r>
        <w:rPr>
          <w:i/>
          <w:iCs/>
          <w:vertAlign w:val="subscript"/>
        </w:rPr>
        <w:t>w</w:t>
      </w:r>
      <w:r>
        <w:t>=0.018</w:t>
      </w:r>
      <w:r>
        <w:rPr>
          <w:rFonts w:hint="eastAsia"/>
        </w:rPr>
        <w:t xml:space="preserve"> </w:t>
      </w:r>
      <w:r>
        <w:t>kg</w:t>
      </w:r>
      <w:r>
        <w:rPr>
          <w:rFonts w:cs="Times New Roman"/>
        </w:rPr>
        <w:t>·</w:t>
      </w:r>
      <w:r>
        <w:t>mol</w:t>
      </w:r>
      <w:r>
        <w:rPr>
          <w:vertAlign w:val="superscript"/>
        </w:rPr>
        <w:t>−1</w:t>
      </w:r>
      <w:r>
        <w:t>。</w:t>
      </w:r>
      <w:r>
        <w:rPr>
          <w:rFonts w:hint="eastAsia"/>
        </w:rPr>
        <w:t>电渗拖曳系数</w:t>
      </w:r>
      <w:r>
        <w:rPr>
          <w:rFonts w:hint="eastAsia"/>
          <w:position w:val="-8"/>
        </w:rPr>
        <w:object>
          <v:shape id="_x0000_i1053" o:spt="75" type="#_x0000_t75" style="height:15.6pt;width:14.1pt;" o:ole="t" filled="f" o:preferrelative="t" stroked="f" coordsize="21600,21600">
            <v:path/>
            <v:fill on="f" focussize="0,0"/>
            <v:stroke on="f" joinstyle="miter"/>
            <v:imagedata r:id="rId73" o:title=""/>
            <o:lock v:ext="edit" aspectratio="t"/>
            <w10:wrap type="none"/>
            <w10:anchorlock/>
          </v:shape>
          <o:OLEObject Type="Embed" ProgID="Equation.DSMT4" ShapeID="_x0000_i1053" DrawAspect="Content" ObjectID="_1468075753" r:id="rId72">
            <o:LockedField>false</o:LockedField>
          </o:OLEObject>
        </w:object>
      </w:r>
      <w:r>
        <w:rPr>
          <w:rFonts w:hint="eastAsia"/>
        </w:rPr>
        <w:t>取</w:t>
      </w:r>
    </w:p>
    <w:p w14:paraId="4124CEBF">
      <w:pPr>
        <w:pStyle w:val="30"/>
        <w:spacing w:before="0" w:beforeLines="0" w:after="0" w:afterLines="0"/>
        <w:ind w:firstLine="360"/>
      </w:pPr>
      <w:r>
        <w:rPr>
          <w:rFonts w:hint="eastAsia"/>
        </w:rPr>
        <w:tab/>
      </w:r>
      <w:r>
        <w:rPr>
          <w:rFonts w:hint="eastAsia"/>
          <w:position w:val="-24"/>
        </w:rPr>
        <w:object>
          <v:shape id="_x0000_i1054" o:spt="75" type="#_x0000_t75" style="height:31.7pt;width:61.45pt;" o:ole="t" filled="f" o:preferrelative="t" stroked="f" coordsize="21600,21600">
            <v:path/>
            <v:fill on="f" focussize="0,0"/>
            <v:stroke on="f" joinstyle="miter"/>
            <v:imagedata r:id="rId75" o:title=""/>
            <o:lock v:ext="edit" aspectratio="t"/>
            <w10:wrap type="none"/>
            <w10:anchorlock/>
          </v:shape>
          <o:OLEObject Type="Embed" ProgID="Equation.DSMT4" ShapeID="_x0000_i1054" DrawAspect="Content" ObjectID="_1468075754" r:id="rId74">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20</w:instrText>
      </w:r>
      <w:r>
        <w:rPr>
          <w:rFonts w:hint="eastAsia"/>
        </w:rPr>
        <w:fldChar w:fldCharType="end"/>
      </w:r>
      <w:r>
        <w:rPr>
          <w:rFonts w:hint="eastAsia"/>
        </w:rPr>
        <w:instrText xml:space="preserve">)</w:instrText>
      </w:r>
      <w:r>
        <w:rPr>
          <w:rFonts w:hint="eastAsia"/>
        </w:rPr>
        <w:fldChar w:fldCharType="end"/>
      </w:r>
    </w:p>
    <w:p w14:paraId="3C1C596B">
      <w:pPr>
        <w:ind w:firstLine="0" w:firstLineChars="0"/>
      </w:pPr>
      <w:r>
        <w:rPr>
          <w:rFonts w:hint="eastAsia"/>
        </w:rPr>
        <w:t>式中</w:t>
      </w:r>
      <w:r>
        <w:t>，膜含水量</w:t>
      </w:r>
      <w:r>
        <w:rPr>
          <w:i/>
          <w:iCs/>
        </w:rPr>
        <w:t>λ</w:t>
      </w:r>
      <w:r>
        <w:t>可由膜中的水含量计算：</w:t>
      </w:r>
    </w:p>
    <w:p w14:paraId="269F2428">
      <w:pPr>
        <w:pStyle w:val="30"/>
        <w:spacing w:before="0" w:beforeLines="0" w:after="0" w:afterLines="0"/>
        <w:ind w:firstLine="360"/>
      </w:pPr>
      <w:r>
        <w:rPr>
          <w:rFonts w:hint="eastAsia"/>
        </w:rPr>
        <w:tab/>
      </w:r>
      <w:r>
        <w:rPr>
          <w:rFonts w:hint="eastAsia"/>
          <w:position w:val="-30"/>
        </w:rPr>
        <w:object>
          <v:shape id="_x0000_i1055" o:spt="75" type="#_x0000_t75" style="height:33.25pt;width:66.95pt;" o:ole="t" filled="f" o:preferrelative="t" stroked="f" coordsize="21600,21600">
            <v:path/>
            <v:fill on="f" focussize="0,0"/>
            <v:stroke on="f" joinstyle="miter"/>
            <v:imagedata r:id="rId77" o:title=""/>
            <o:lock v:ext="edit" aspectratio="t"/>
            <w10:wrap type="none"/>
            <w10:anchorlock/>
          </v:shape>
          <o:OLEObject Type="Embed" ProgID="Equation.DSMT4" ShapeID="_x0000_i1055" DrawAspect="Content" ObjectID="_1468075755" r:id="rId76">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21</w:instrText>
      </w:r>
      <w:r>
        <w:rPr>
          <w:rFonts w:hint="eastAsia"/>
        </w:rPr>
        <w:fldChar w:fldCharType="end"/>
      </w:r>
      <w:r>
        <w:rPr>
          <w:rFonts w:hint="eastAsia"/>
        </w:rPr>
        <w:instrText xml:space="preserve">)</w:instrText>
      </w:r>
      <w:r>
        <w:rPr>
          <w:rFonts w:hint="eastAsia"/>
        </w:rPr>
        <w:fldChar w:fldCharType="end"/>
      </w:r>
    </w:p>
    <w:p w14:paraId="423AD48B">
      <w:pPr>
        <w:ind w:firstLine="0" w:firstLineChars="0"/>
      </w:pPr>
      <w:r>
        <w:rPr>
          <w:rFonts w:hint="eastAsia"/>
        </w:rPr>
        <w:t>式中，</w:t>
      </w:r>
      <w:r>
        <w:rPr>
          <w:i/>
          <w:iCs/>
        </w:rPr>
        <w:t>EW</w:t>
      </w:r>
      <w:r>
        <w:t>为质子交换膜的</w:t>
      </w:r>
      <w:r>
        <w:rPr>
          <w:rFonts w:hint="eastAsia"/>
        </w:rPr>
        <w:t>当量</w:t>
      </w:r>
      <w:r>
        <w:t>质量</w:t>
      </w:r>
      <w:r>
        <w:rPr>
          <w:rFonts w:hint="eastAsia"/>
        </w:rPr>
        <w:t>，</w:t>
      </w:r>
      <w:r>
        <w:rPr>
          <w:i/>
          <w:iCs/>
        </w:rPr>
        <w:t>ρ</w:t>
      </w:r>
      <w:r>
        <w:rPr>
          <w:rFonts w:hint="eastAsia"/>
          <w:vertAlign w:val="subscript"/>
        </w:rPr>
        <w:t>p</w:t>
      </w:r>
      <w:r>
        <w:rPr>
          <w:vertAlign w:val="subscript"/>
        </w:rPr>
        <w:t>em</w:t>
      </w:r>
      <w:r>
        <w:t>为质子交换膜密度</w:t>
      </w:r>
      <w:r>
        <w:rPr>
          <w:rFonts w:hint="eastAsia"/>
        </w:rPr>
        <w:t>，</w:t>
      </w:r>
      <w:r>
        <w:t>反应生成水仅出现在阴极催化层，其源项为</w:t>
      </w:r>
    </w:p>
    <w:p w14:paraId="65F8B34F">
      <w:pPr>
        <w:pStyle w:val="30"/>
        <w:spacing w:before="0" w:beforeLines="0" w:after="0" w:afterLines="0"/>
        <w:ind w:firstLine="360"/>
      </w:pPr>
      <w:r>
        <w:rPr>
          <w:rFonts w:hint="eastAsia"/>
        </w:rPr>
        <w:tab/>
      </w:r>
      <w:r>
        <w:rPr>
          <w:rFonts w:hint="eastAsia"/>
          <w:position w:val="-26"/>
        </w:rPr>
        <w:object>
          <v:shape id="_x0000_i1056" o:spt="75" type="#_x0000_t75" style="height:32.2pt;width:67.45pt;" o:ole="t" filled="f" o:preferrelative="t" stroked="f" coordsize="21600,21600">
            <v:path/>
            <v:fill on="f" focussize="0,0"/>
            <v:stroke on="f" joinstyle="miter"/>
            <v:imagedata r:id="rId79" o:title=""/>
            <o:lock v:ext="edit" aspectratio="t"/>
            <w10:wrap type="none"/>
            <w10:anchorlock/>
          </v:shape>
          <o:OLEObject Type="Embed" ProgID="Equation.DSMT4" ShapeID="_x0000_i1056" DrawAspect="Content" ObjectID="_1468075756" r:id="rId78">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22</w:instrText>
      </w:r>
      <w:r>
        <w:rPr>
          <w:rFonts w:hint="eastAsia"/>
        </w:rPr>
        <w:fldChar w:fldCharType="end"/>
      </w:r>
      <w:r>
        <w:rPr>
          <w:rFonts w:hint="eastAsia"/>
        </w:rPr>
        <w:instrText xml:space="preserve">)</w:instrText>
      </w:r>
      <w:r>
        <w:rPr>
          <w:rFonts w:hint="eastAsia"/>
        </w:rPr>
        <w:fldChar w:fldCharType="end"/>
      </w:r>
    </w:p>
    <w:p w14:paraId="1103BD3C">
      <w:pPr>
        <w:ind w:firstLine="0" w:firstLineChars="0"/>
      </w:pPr>
      <w:r>
        <w:t>其他区域中</w:t>
      </w:r>
      <w:r>
        <w:rPr>
          <w:i/>
          <w:iCs/>
        </w:rPr>
        <w:t>S</w:t>
      </w:r>
      <w:r>
        <w:rPr>
          <w:i/>
          <w:iCs/>
          <w:vertAlign w:val="subscript"/>
        </w:rPr>
        <w:t>w</w:t>
      </w:r>
      <w:r>
        <w:t>=0。</w:t>
      </w:r>
    </w:p>
    <w:p w14:paraId="0685CD40">
      <w:pPr>
        <w:ind w:firstLine="480"/>
      </w:pPr>
      <w:r>
        <w:t>在阳极和阴极多孔介质中，水主要以水蒸气形式扩散，其有效扩散系数分别根据式（1</w:t>
      </w:r>
      <w:r>
        <w:rPr>
          <w:rFonts w:hint="eastAsia"/>
        </w:rPr>
        <w:t>6</w:t>
      </w:r>
      <w:r>
        <w:t>）和式（</w:t>
      </w:r>
      <w:r>
        <w:rPr>
          <w:rFonts w:hint="eastAsia"/>
        </w:rPr>
        <w:t>23</w:t>
      </w:r>
      <w:r>
        <w:t>）计算；在质子交换膜中，水以吸附态水形式迁移，膜内水扩散系数根据式（</w:t>
      </w:r>
      <w:r>
        <w:rPr>
          <w:rFonts w:hint="eastAsia"/>
        </w:rPr>
        <w:t>24</w:t>
      </w:r>
      <w:r>
        <w:t>）计算</w:t>
      </w:r>
      <w:r>
        <w:rPr>
          <w:rFonts w:hint="eastAsia"/>
        </w:rPr>
        <w:t>：</w:t>
      </w:r>
    </w:p>
    <w:p w14:paraId="1BC706B1">
      <w:pPr>
        <w:pStyle w:val="30"/>
      </w:pPr>
      <w:r>
        <w:rPr>
          <w:rFonts w:hint="eastAsia"/>
        </w:rPr>
        <w:tab/>
      </w:r>
      <w:r>
        <w:rPr>
          <w:rFonts w:hint="eastAsia"/>
          <w:position w:val="-32"/>
        </w:rPr>
        <w:object>
          <v:shape id="_x0000_i1057" o:spt="75" type="#_x0000_t75" style="height:38.25pt;width:200.9pt;" o:ole="t" filled="f" o:preferrelative="t" stroked="f" coordsize="21600,21600">
            <v:path/>
            <v:fill on="f" focussize="0,0"/>
            <v:stroke on="f" joinstyle="miter"/>
            <v:imagedata r:id="rId81" o:title=""/>
            <o:lock v:ext="edit" aspectratio="t"/>
            <w10:wrap type="none"/>
            <w10:anchorlock/>
          </v:shape>
          <o:OLEObject Type="Embed" ProgID="Equation.DSMT4" ShapeID="_x0000_i1057" DrawAspect="Content" ObjectID="_1468075757" r:id="rId80">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23</w:instrText>
      </w:r>
      <w:r>
        <w:rPr>
          <w:rFonts w:hint="eastAsia"/>
        </w:rPr>
        <w:fldChar w:fldCharType="end"/>
      </w:r>
      <w:r>
        <w:rPr>
          <w:rFonts w:hint="eastAsia"/>
        </w:rPr>
        <w:instrText xml:space="preserve">)</w:instrText>
      </w:r>
      <w:r>
        <w:rPr>
          <w:rFonts w:hint="eastAsia"/>
        </w:rPr>
        <w:fldChar w:fldCharType="end"/>
      </w:r>
    </w:p>
    <w:p w14:paraId="13B7E315">
      <w:pPr>
        <w:pStyle w:val="30"/>
        <w:jc w:val="right"/>
      </w:pPr>
      <w:r>
        <w:rPr>
          <w:rFonts w:hint="eastAsia"/>
          <w:position w:val="-30"/>
        </w:rPr>
        <w:object>
          <v:shape id="_x0000_i1058" o:spt="75" type="#_x0000_t75" style="height:33.25pt;width:359.5pt;" o:ole="t" filled="f" o:preferrelative="t" stroked="f" coordsize="21600,21600">
            <v:path/>
            <v:fill on="f" focussize="0,0"/>
            <v:stroke on="f" joinstyle="miter"/>
            <v:imagedata r:id="rId83" o:title=""/>
            <o:lock v:ext="edit" aspectratio="t"/>
            <w10:wrap type="none"/>
            <w10:anchorlock/>
          </v:shape>
          <o:OLEObject Type="Embed" ProgID="Equation.DSMT4" ShapeID="_x0000_i1058" DrawAspect="Content" ObjectID="_1468075758" r:id="rId82">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24</w:instrText>
      </w:r>
      <w:r>
        <w:rPr>
          <w:rFonts w:hint="eastAsia"/>
        </w:rPr>
        <w:fldChar w:fldCharType="end"/>
      </w:r>
      <w:r>
        <w:rPr>
          <w:rFonts w:hint="eastAsia"/>
        </w:rPr>
        <w:instrText xml:space="preserve">)</w:instrText>
      </w:r>
      <w:r>
        <w:rPr>
          <w:rFonts w:hint="eastAsia"/>
        </w:rPr>
        <w:fldChar w:fldCharType="end"/>
      </w:r>
    </w:p>
    <w:p w14:paraId="5C50C071">
      <w:pPr>
        <w:ind w:firstLine="480"/>
      </w:pPr>
      <w:r>
        <w:rPr>
          <w:rFonts w:hint="eastAsia"/>
        </w:rPr>
        <w:t>常温下可认为水蒸气和液态水快速达到平衡。当总水量超过当前温度下的饱和水蒸气含量时，超过部分视为液态水：</w:t>
      </w:r>
    </w:p>
    <w:p w14:paraId="20F3A3B7">
      <w:pPr>
        <w:pStyle w:val="30"/>
        <w:spacing w:before="0" w:beforeLines="0" w:after="0" w:afterLines="0"/>
        <w:ind w:firstLine="360"/>
      </w:pPr>
      <w:r>
        <w:rPr>
          <w:rFonts w:hint="eastAsia"/>
        </w:rPr>
        <w:tab/>
      </w:r>
      <w:r>
        <w:rPr>
          <w:rFonts w:hint="eastAsia"/>
          <w:position w:val="-10"/>
        </w:rPr>
        <w:object>
          <v:shape id="_x0000_i1059" o:spt="75" type="#_x0000_t75" style="height:18.15pt;width:111.8pt;" o:ole="t" filled="f" o:preferrelative="t" stroked="f" coordsize="21600,21600">
            <v:path/>
            <v:fill on="f" focussize="0,0"/>
            <v:stroke on="f" joinstyle="miter"/>
            <v:imagedata r:id="rId85" o:title=""/>
            <o:lock v:ext="edit" aspectratio="t"/>
            <w10:wrap type="none"/>
            <w10:anchorlock/>
          </v:shape>
          <o:OLEObject Type="Embed" ProgID="Equation.DSMT4" ShapeID="_x0000_i1059" DrawAspect="Content" ObjectID="_1468075759" r:id="rId84">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25</w:instrText>
      </w:r>
      <w:r>
        <w:rPr>
          <w:rFonts w:hint="eastAsia"/>
        </w:rPr>
        <w:fldChar w:fldCharType="end"/>
      </w:r>
      <w:r>
        <w:rPr>
          <w:rFonts w:hint="eastAsia"/>
        </w:rPr>
        <w:instrText xml:space="preserve">)</w:instrText>
      </w:r>
      <w:r>
        <w:rPr>
          <w:rFonts w:hint="eastAsia"/>
        </w:rPr>
        <w:fldChar w:fldCharType="end"/>
      </w:r>
    </w:p>
    <w:p w14:paraId="3DDC7634">
      <w:pPr>
        <w:pStyle w:val="30"/>
        <w:spacing w:before="0" w:beforeLines="0" w:after="0" w:afterLines="0"/>
        <w:ind w:firstLine="360"/>
      </w:pPr>
      <w:r>
        <w:rPr>
          <w:rFonts w:hint="eastAsia"/>
        </w:rPr>
        <w:tab/>
      </w:r>
      <w:r>
        <w:rPr>
          <w:rFonts w:hint="eastAsia"/>
          <w:position w:val="-14"/>
        </w:rPr>
        <w:object>
          <v:shape id="_x0000_i1060" o:spt="75" type="#_x0000_t75" style="height:20.15pt;width:128.9pt;" o:ole="t" filled="f" o:preferrelative="t" stroked="f" coordsize="21600,21600">
            <v:path/>
            <v:fill on="f" focussize="0,0"/>
            <v:stroke on="f" joinstyle="miter"/>
            <v:imagedata r:id="rId87" o:title=""/>
            <o:lock v:ext="edit" aspectratio="t"/>
            <w10:wrap type="none"/>
            <w10:anchorlock/>
          </v:shape>
          <o:OLEObject Type="Embed" ProgID="Equation.DSMT4" ShapeID="_x0000_i1060" DrawAspect="Content" ObjectID="_1468075760" r:id="rId86">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26</w:instrText>
      </w:r>
      <w:r>
        <w:rPr>
          <w:rFonts w:hint="eastAsia"/>
        </w:rPr>
        <w:fldChar w:fldCharType="end"/>
      </w:r>
      <w:r>
        <w:rPr>
          <w:rFonts w:hint="eastAsia"/>
        </w:rPr>
        <w:instrText xml:space="preserve">)</w:instrText>
      </w:r>
      <w:r>
        <w:rPr>
          <w:rFonts w:hint="eastAsia"/>
        </w:rPr>
        <w:fldChar w:fldCharType="end"/>
      </w:r>
    </w:p>
    <w:p w14:paraId="30AF3ADA">
      <w:pPr>
        <w:ind w:firstLine="0" w:firstLineChars="0"/>
      </w:pPr>
      <w:r>
        <w:t>饱和水蒸气含量可由饱和蒸气压和理想气体状态方程计算：</w:t>
      </w:r>
    </w:p>
    <w:p w14:paraId="6DA76386">
      <w:pPr>
        <w:pStyle w:val="30"/>
      </w:pPr>
      <w:r>
        <w:rPr>
          <w:rFonts w:hint="eastAsia"/>
        </w:rPr>
        <w:tab/>
      </w:r>
      <w:r>
        <w:rPr>
          <w:rFonts w:hint="eastAsia"/>
          <w:position w:val="-24"/>
        </w:rPr>
        <w:object>
          <v:shape id="_x0000_i1061" o:spt="75" type="#_x0000_t75" style="height:31.7pt;width:111.8pt;" o:ole="t" filled="f" o:preferrelative="t" stroked="f" coordsize="21600,21600">
            <v:path/>
            <v:fill on="f" focussize="0,0"/>
            <v:stroke on="f" joinstyle="miter"/>
            <v:imagedata r:id="rId89" o:title=""/>
            <o:lock v:ext="edit" aspectratio="t"/>
            <w10:wrap type="none"/>
            <w10:anchorlock/>
          </v:shape>
          <o:OLEObject Type="Embed" ProgID="Equation.DSMT4" ShapeID="_x0000_i1061" DrawAspect="Content" ObjectID="_1468075761" r:id="rId88">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27</w:instrText>
      </w:r>
      <w:r>
        <w:rPr>
          <w:rFonts w:hint="eastAsia"/>
        </w:rPr>
        <w:fldChar w:fldCharType="end"/>
      </w:r>
      <w:r>
        <w:rPr>
          <w:rFonts w:hint="eastAsia"/>
        </w:rPr>
        <w:instrText xml:space="preserve">)</w:instrText>
      </w:r>
      <w:r>
        <w:rPr>
          <w:rFonts w:hint="eastAsia"/>
        </w:rPr>
        <w:fldChar w:fldCharType="end"/>
      </w:r>
    </w:p>
    <w:p w14:paraId="200C7A7A">
      <w:pPr>
        <w:ind w:firstLine="0" w:firstLineChars="0"/>
      </w:pPr>
      <w:r>
        <w:t>饱和蒸气压可采用Buck关系式。令</w:t>
      </w:r>
      <w:r>
        <w:rPr>
          <w:i/>
          <w:iCs/>
        </w:rPr>
        <w:t>T</w:t>
      </w:r>
      <w:r>
        <w:rPr>
          <w:vertAlign w:val="subscript"/>
        </w:rPr>
        <w:t>c</w:t>
      </w:r>
      <w:r>
        <w:t>=</w:t>
      </w:r>
      <w:r>
        <w:rPr>
          <w:i/>
          <w:iCs/>
        </w:rPr>
        <w:t>T</w:t>
      </w:r>
      <w:r>
        <w:t>−273.15，单位为℃：</w:t>
      </w:r>
    </w:p>
    <w:p w14:paraId="26D46D88">
      <w:pPr>
        <w:pStyle w:val="30"/>
      </w:pPr>
      <w:r>
        <w:rPr>
          <w:rFonts w:hint="eastAsia"/>
        </w:rPr>
        <w:tab/>
      </w:r>
      <w:r>
        <w:rPr>
          <w:rFonts w:hint="eastAsia"/>
          <w:position w:val="-70"/>
        </w:rPr>
        <w:object>
          <v:shape id="_x0000_i1062" o:spt="75" type="#_x0000_t75" style="height:76.55pt;width:305.6pt;" o:ole="t" filled="f" o:preferrelative="t" stroked="f" coordsize="21600,21600">
            <v:path/>
            <v:fill on="f" focussize="0,0"/>
            <v:stroke on="f" joinstyle="miter"/>
            <v:imagedata r:id="rId91" o:title=""/>
            <o:lock v:ext="edit" aspectratio="t"/>
            <w10:wrap type="none"/>
            <w10:anchorlock/>
          </v:shape>
          <o:OLEObject Type="Embed" ProgID="Equation.DSMT4" ShapeID="_x0000_i1062" DrawAspect="Content" ObjectID="_1468075762" r:id="rId90">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28</w:instrText>
      </w:r>
      <w:r>
        <w:rPr>
          <w:rFonts w:hint="eastAsia"/>
        </w:rPr>
        <w:fldChar w:fldCharType="end"/>
      </w:r>
      <w:r>
        <w:rPr>
          <w:rFonts w:hint="eastAsia"/>
        </w:rPr>
        <w:instrText xml:space="preserve">)</w:instrText>
      </w:r>
      <w:r>
        <w:rPr>
          <w:rFonts w:hint="eastAsia"/>
        </w:rPr>
        <w:fldChar w:fldCharType="end"/>
      </w:r>
    </w:p>
    <w:p w14:paraId="4DAF70BF">
      <w:pPr>
        <w:ind w:firstLine="0" w:firstLineChars="0"/>
      </w:pPr>
      <w:r>
        <w:rPr>
          <w:rFonts w:hint="eastAsia"/>
        </w:rPr>
        <w:t>式中，</w:t>
      </w:r>
      <w:r>
        <w:rPr>
          <w:rFonts w:hint="eastAsia"/>
          <w:i/>
          <w:iCs/>
        </w:rPr>
        <w:t>R</w:t>
      </w:r>
      <w:r>
        <w:rPr>
          <w:rFonts w:hint="eastAsia"/>
        </w:rPr>
        <w:t>为</w:t>
      </w:r>
      <w:r>
        <w:t>通用气体常数</w:t>
      </w:r>
      <w:r>
        <w:rPr>
          <w:rFonts w:hint="eastAsia"/>
        </w:rPr>
        <w:t>（8.314 J</w:t>
      </w:r>
      <w:r>
        <w:rPr>
          <w:rFonts w:cs="Times New Roman"/>
        </w:rPr>
        <w:t>·</w:t>
      </w:r>
      <w:r>
        <w:rPr>
          <w:rFonts w:hint="eastAsia"/>
        </w:rPr>
        <w:t>mol</w:t>
      </w:r>
      <w:r>
        <w:rPr>
          <w:rFonts w:hint="eastAsia"/>
          <w:vertAlign w:val="superscript"/>
        </w:rPr>
        <w:t>-1</w:t>
      </w:r>
      <w:r>
        <w:rPr>
          <w:rFonts w:cs="Times New Roman"/>
        </w:rPr>
        <w:t>·</w:t>
      </w:r>
      <w:r>
        <w:rPr>
          <w:rFonts w:hint="eastAsia"/>
        </w:rPr>
        <w:t>k</w:t>
      </w:r>
      <w:r>
        <w:rPr>
          <w:rFonts w:hint="eastAsia"/>
          <w:vertAlign w:val="superscript"/>
        </w:rPr>
        <w:t>-1</w:t>
      </w:r>
      <w:r>
        <w:rPr>
          <w:rFonts w:hint="eastAsia"/>
        </w:rPr>
        <w:t>），</w:t>
      </w:r>
      <w:r>
        <w:rPr>
          <w:rFonts w:hint="eastAsia"/>
          <w:i/>
          <w:iCs/>
        </w:rPr>
        <w:t>m</w:t>
      </w:r>
      <w:r>
        <w:rPr>
          <w:rFonts w:hint="eastAsia"/>
          <w:i/>
          <w:iCs/>
          <w:vertAlign w:val="subscript"/>
        </w:rPr>
        <w:t>v</w:t>
      </w:r>
      <w:r>
        <w:rPr>
          <w:rFonts w:hint="eastAsia"/>
          <w:i/>
          <w:iCs/>
        </w:rPr>
        <w:t>和m</w:t>
      </w:r>
      <w:r>
        <w:rPr>
          <w:rFonts w:hint="eastAsia"/>
          <w:i/>
          <w:iCs/>
          <w:vertAlign w:val="subscript"/>
        </w:rPr>
        <w:t>l</w:t>
      </w:r>
      <w:r>
        <w:rPr>
          <w:rFonts w:hint="eastAsia"/>
        </w:rPr>
        <w:t>分别为</w:t>
      </w:r>
      <w:r>
        <w:t>局部水蒸气和液态水的质量浓度</w:t>
      </w:r>
      <w:r>
        <w:rPr>
          <w:rFonts w:hint="eastAsia"/>
        </w:rPr>
        <w:t>，</w:t>
      </w:r>
      <w:r>
        <w:rPr>
          <w:i/>
          <w:iCs/>
        </w:rPr>
        <w:t>m</w:t>
      </w:r>
      <w:r>
        <w:rPr>
          <w:vertAlign w:val="subscript"/>
        </w:rPr>
        <w:t>sat</w:t>
      </w:r>
      <w:r>
        <w:t>(</w:t>
      </w:r>
      <w:r>
        <w:rPr>
          <w:i/>
          <w:iCs/>
        </w:rPr>
        <w:t>T</w:t>
      </w:r>
      <w:r>
        <w:t>)为温度</w:t>
      </w:r>
      <w:r>
        <w:rPr>
          <w:i/>
          <w:iCs/>
        </w:rPr>
        <w:t>T</w:t>
      </w:r>
      <w:r>
        <w:t>下的饱和水蒸气质量浓度</w:t>
      </w:r>
      <w:r>
        <w:rPr>
          <w:rFonts w:hint="eastAsia"/>
        </w:rPr>
        <w:t>。</w:t>
      </w:r>
      <w:r>
        <w:t>因此，不需要额外引入蒸发速率系数和冷凝速率系数。</w:t>
      </w:r>
      <w:r>
        <w:rPr>
          <w:rFonts w:hint="eastAsia"/>
        </w:rPr>
        <w:t>参赛队伍在</w:t>
      </w:r>
      <w:r>
        <w:t>问题1</w:t>
      </w:r>
      <w:r>
        <w:rPr>
          <w:rFonts w:hint="eastAsia"/>
        </w:rPr>
        <w:t>中</w:t>
      </w:r>
      <w:bookmarkStart w:id="7" w:name="OLE_LINK3"/>
      <w:r>
        <w:t>建立冷启动模型时，</w:t>
      </w:r>
      <w:r>
        <w:rPr>
          <w:rFonts w:hint="eastAsia"/>
        </w:rPr>
        <w:t>需自行考虑冰的影响，</w:t>
      </w:r>
      <w:r>
        <w:t>进一步将总水量分为水蒸气</w:t>
      </w:r>
      <w:r>
        <w:rPr>
          <w:rFonts w:hint="eastAsia"/>
          <w:i/>
          <w:iCs/>
        </w:rPr>
        <w:t>m</w:t>
      </w:r>
      <w:r>
        <w:rPr>
          <w:rFonts w:hint="eastAsia"/>
          <w:i/>
          <w:iCs/>
          <w:vertAlign w:val="subscript"/>
        </w:rPr>
        <w:t>v</w:t>
      </w:r>
      <w:r>
        <w:t>、液态水</w:t>
      </w:r>
      <w:r>
        <w:rPr>
          <w:rFonts w:hint="eastAsia"/>
          <w:i/>
          <w:iCs/>
        </w:rPr>
        <w:t>m</w:t>
      </w:r>
      <w:r>
        <w:rPr>
          <w:rFonts w:hint="eastAsia"/>
          <w:i/>
          <w:iCs/>
          <w:vertAlign w:val="subscript"/>
        </w:rPr>
        <w:t>l</w:t>
      </w:r>
      <w:r>
        <w:t>和固态冰</w:t>
      </w:r>
      <w:r>
        <w:rPr>
          <w:rFonts w:hint="eastAsia"/>
          <w:i/>
          <w:iCs/>
        </w:rPr>
        <w:t>m</w:t>
      </w:r>
      <w:r>
        <w:rPr>
          <w:rFonts w:hint="eastAsia"/>
          <w:i/>
          <w:iCs/>
          <w:vertAlign w:val="subscript"/>
        </w:rPr>
        <w:t>i</w:t>
      </w:r>
      <w:bookmarkEnd w:id="7"/>
      <w:r>
        <w:t>：</w:t>
      </w:r>
    </w:p>
    <w:p w14:paraId="5E8530A4">
      <w:pPr>
        <w:pStyle w:val="30"/>
        <w:spacing w:before="0" w:beforeLines="0" w:after="0" w:afterLines="0"/>
        <w:ind w:firstLine="360"/>
      </w:pPr>
      <w:r>
        <w:rPr>
          <w:rFonts w:hint="eastAsia"/>
        </w:rPr>
        <w:tab/>
      </w:r>
      <w:r>
        <w:rPr>
          <w:rFonts w:hint="eastAsia"/>
          <w:position w:val="-8"/>
        </w:rPr>
        <w:object>
          <v:shape id="_x0000_i1063" o:spt="75" type="#_x0000_t75" style="height:15.6pt;width:90.15pt;" o:ole="t" filled="f" o:preferrelative="t" stroked="f" coordsize="21600,21600">
            <v:path/>
            <v:fill on="f" focussize="0,0"/>
            <v:stroke on="f" joinstyle="miter"/>
            <v:imagedata r:id="rId93" o:title=""/>
            <o:lock v:ext="edit" aspectratio="t"/>
            <w10:wrap type="none"/>
            <w10:anchorlock/>
          </v:shape>
          <o:OLEObject Type="Embed" ProgID="Equation.DSMT4" ShapeID="_x0000_i1063" DrawAspect="Content" ObjectID="_1468075763" r:id="rId92">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29</w:instrText>
      </w:r>
      <w:r>
        <w:rPr>
          <w:rFonts w:hint="eastAsia"/>
        </w:rPr>
        <w:fldChar w:fldCharType="end"/>
      </w:r>
      <w:r>
        <w:rPr>
          <w:rFonts w:hint="eastAsia"/>
        </w:rPr>
        <w:instrText xml:space="preserve">)</w:instrText>
      </w:r>
      <w:r>
        <w:rPr>
          <w:rFonts w:hint="eastAsia"/>
        </w:rPr>
        <w:fldChar w:fldCharType="end"/>
      </w:r>
    </w:p>
    <w:p w14:paraId="36A7FAF1">
      <w:pPr>
        <w:ind w:firstLine="489"/>
        <w:rPr>
          <w:b/>
          <w:bCs/>
        </w:rPr>
      </w:pPr>
      <w:r>
        <w:rPr>
          <w:rFonts w:hint="eastAsia"/>
          <w:b/>
          <w:bCs/>
        </w:rPr>
        <w:t>1</w:t>
      </w:r>
      <w:r>
        <w:rPr>
          <w:b/>
          <w:bCs/>
        </w:rPr>
        <w:t>.4 电流守恒</w:t>
      </w:r>
    </w:p>
    <w:p w14:paraId="6552B096">
      <w:pPr>
        <w:ind w:firstLine="480"/>
      </w:pPr>
      <w:r>
        <w:t>电子电流和质子电流满足：</w:t>
      </w:r>
    </w:p>
    <w:p w14:paraId="304D5DCF">
      <w:pPr>
        <w:pStyle w:val="30"/>
        <w:spacing w:before="0" w:beforeLines="0" w:after="0" w:afterLines="0"/>
        <w:ind w:firstLine="360"/>
      </w:pPr>
      <w:r>
        <w:rPr>
          <w:rFonts w:hint="eastAsia"/>
        </w:rPr>
        <w:tab/>
      </w:r>
      <w:r>
        <w:rPr>
          <w:rFonts w:hint="eastAsia"/>
          <w:position w:val="-10"/>
        </w:rPr>
        <w:object>
          <v:shape id="_x0000_i1064" o:spt="75" type="#_x0000_t75" style="height:18.15pt;width:63.45pt;" o:ole="t" filled="f" o:preferrelative="t" stroked="f" coordsize="21600,21600">
            <v:path/>
            <v:fill on="f" focussize="0,0"/>
            <v:stroke on="f" joinstyle="miter"/>
            <v:imagedata r:id="rId95" o:title=""/>
            <o:lock v:ext="edit" aspectratio="t"/>
            <w10:wrap type="none"/>
            <w10:anchorlock/>
          </v:shape>
          <o:OLEObject Type="Embed" ProgID="Equation.DSMT4" ShapeID="_x0000_i1064" DrawAspect="Content" ObjectID="_1468075764" r:id="rId94">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30</w:instrText>
      </w:r>
      <w:r>
        <w:rPr>
          <w:rFonts w:hint="eastAsia"/>
        </w:rPr>
        <w:fldChar w:fldCharType="end"/>
      </w:r>
      <w:r>
        <w:rPr>
          <w:rFonts w:hint="eastAsia"/>
        </w:rPr>
        <w:instrText xml:space="preserve">)</w:instrText>
      </w:r>
      <w:r>
        <w:rPr>
          <w:rFonts w:hint="eastAsia"/>
        </w:rPr>
        <w:fldChar w:fldCharType="end"/>
      </w:r>
    </w:p>
    <w:p w14:paraId="23149695">
      <w:pPr>
        <w:ind w:firstLine="0" w:firstLineChars="0"/>
      </w:pPr>
      <w:r>
        <w:rPr>
          <w:rFonts w:hint="eastAsia"/>
        </w:rPr>
        <w:t>式中</w:t>
      </w:r>
      <w:r>
        <w:t>，</w:t>
      </w:r>
      <w:r>
        <w:rPr>
          <w:i/>
          <w:iCs/>
        </w:rPr>
        <w:t>i</w:t>
      </w:r>
      <w:r>
        <w:rPr>
          <w:i/>
          <w:iCs/>
          <w:vertAlign w:val="subscript"/>
        </w:rPr>
        <w:t>s</w:t>
      </w:r>
      <w:r>
        <w:t>为电子电流密度，</w:t>
      </w:r>
      <w:r>
        <w:rPr>
          <w:i/>
          <w:iCs/>
        </w:rPr>
        <w:t>i</w:t>
      </w:r>
      <w:r>
        <w:rPr>
          <w:i/>
          <w:iCs/>
          <w:vertAlign w:val="subscript"/>
        </w:rPr>
        <w:t>m</w:t>
      </w:r>
      <w:r>
        <w:t>为质子电流密度。气体扩散层中仅传导电子，质子交换膜中仅传导质子；在催化层中，电化学反应实现电子电流与质子电流之间的转换</w:t>
      </w:r>
      <w:r>
        <w:rPr>
          <w:rFonts w:hint="eastAsia"/>
        </w:rPr>
        <w:t>，</w:t>
      </w:r>
      <w:r>
        <w:t>但其总和始终满足式（</w:t>
      </w:r>
      <w:r>
        <w:rPr>
          <w:rFonts w:hint="eastAsia"/>
        </w:rPr>
        <w:t>30</w:t>
      </w:r>
      <w:r>
        <w:t>）所示的电流连续性。为降低求解难度，可认为反应电流在催化层中均匀分布：</w:t>
      </w:r>
    </w:p>
    <w:p w14:paraId="67E1976F">
      <w:pPr>
        <w:pStyle w:val="30"/>
        <w:spacing w:before="0" w:beforeLines="0" w:after="0" w:afterLines="0"/>
        <w:ind w:firstLine="360"/>
      </w:pPr>
      <w:r>
        <w:rPr>
          <w:rFonts w:hint="eastAsia"/>
        </w:rPr>
        <w:tab/>
      </w:r>
      <w:r>
        <w:rPr>
          <w:rFonts w:hint="eastAsia"/>
          <w:position w:val="-26"/>
        </w:rPr>
        <w:object>
          <v:shape id="_x0000_i1065" o:spt="75" type="#_x0000_t75" style="height:32.2pt;width:116.8pt;" o:ole="t" filled="f" o:preferrelative="t" stroked="f" coordsize="21600,21600">
            <v:path/>
            <v:fill on="f" focussize="0,0"/>
            <v:stroke on="f" joinstyle="miter"/>
            <v:imagedata r:id="rId97" o:title=""/>
            <o:lock v:ext="edit" aspectratio="t"/>
            <w10:wrap type="none"/>
            <w10:anchorlock/>
          </v:shape>
          <o:OLEObject Type="Embed" ProgID="Equation.DSMT4" ShapeID="_x0000_i1065" DrawAspect="Content" ObjectID="_1468075765" r:id="rId96">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31</w:instrText>
      </w:r>
      <w:r>
        <w:rPr>
          <w:rFonts w:hint="eastAsia"/>
        </w:rPr>
        <w:fldChar w:fldCharType="end"/>
      </w:r>
      <w:r>
        <w:rPr>
          <w:rFonts w:hint="eastAsia"/>
        </w:rPr>
        <w:instrText xml:space="preserve">)</w:instrText>
      </w:r>
      <w:r>
        <w:rPr>
          <w:rFonts w:hint="eastAsia"/>
        </w:rPr>
        <w:fldChar w:fldCharType="end"/>
      </w:r>
    </w:p>
    <w:p w14:paraId="547B7E33">
      <w:pPr>
        <w:ind w:firstLine="0" w:firstLineChars="0"/>
      </w:pPr>
      <w:r>
        <w:rPr>
          <w:rFonts w:hint="eastAsia"/>
        </w:rPr>
        <w:t>式中，</w:t>
      </w:r>
      <w:r>
        <w:rPr>
          <w:i/>
          <w:iCs/>
        </w:rPr>
        <w:t>i</w:t>
      </w:r>
      <w:r>
        <w:rPr>
          <w:i/>
          <w:iCs/>
          <w:vertAlign w:val="subscript"/>
        </w:rPr>
        <w:t>v,a</w:t>
      </w:r>
      <w:r>
        <w:t>和</w:t>
      </w:r>
      <w:r>
        <w:rPr>
          <w:i/>
          <w:iCs/>
        </w:rPr>
        <w:t>i</w:t>
      </w:r>
      <w:r>
        <w:rPr>
          <w:i/>
          <w:iCs/>
          <w:vertAlign w:val="subscript"/>
        </w:rPr>
        <w:t>v,c</w:t>
      </w:r>
      <w:r>
        <w:t>分别为阳极催化层和阴极催化层内的体积反应电流密度</w:t>
      </w:r>
      <w:r>
        <w:rPr>
          <w:rFonts w:hint="eastAsia"/>
        </w:rPr>
        <w:t>。</w:t>
      </w:r>
      <w:r>
        <w:t>式（</w:t>
      </w:r>
      <w:r>
        <w:rPr>
          <w:rFonts w:hint="eastAsia"/>
        </w:rPr>
        <w:t>31</w:t>
      </w:r>
      <w:r>
        <w:t>）同时用于计算式（</w:t>
      </w:r>
      <w:r>
        <w:rPr>
          <w:rFonts w:hint="eastAsia"/>
        </w:rPr>
        <w:t>14</w:t>
      </w:r>
      <w:r>
        <w:t>）、式（</w:t>
      </w:r>
      <w:r>
        <w:rPr>
          <w:rFonts w:hint="eastAsia"/>
        </w:rPr>
        <w:t>15</w:t>
      </w:r>
      <w:r>
        <w:t>）和式（</w:t>
      </w:r>
      <w:r>
        <w:rPr>
          <w:rFonts w:hint="eastAsia"/>
        </w:rPr>
        <w:t>22</w:t>
      </w:r>
      <w:r>
        <w:t>）中的反应物消耗及产水速率。</w:t>
      </w:r>
    </w:p>
    <w:p w14:paraId="20A5548E">
      <w:pPr>
        <w:ind w:firstLine="489"/>
        <w:rPr>
          <w:b/>
          <w:bCs/>
        </w:rPr>
      </w:pPr>
      <w:r>
        <w:rPr>
          <w:rFonts w:hint="eastAsia"/>
          <w:b/>
          <w:bCs/>
        </w:rPr>
        <w:t>1.5 能量守恒</w:t>
      </w:r>
    </w:p>
    <w:p w14:paraId="01A97FE4">
      <w:pPr>
        <w:ind w:firstLine="480"/>
      </w:pPr>
      <w:r>
        <w:t>电池内</w:t>
      </w:r>
      <w:r>
        <w:rPr>
          <w:rFonts w:hint="eastAsia"/>
        </w:rPr>
        <w:t>局部</w:t>
      </w:r>
      <w:r>
        <w:t>温度</w:t>
      </w:r>
      <w:r>
        <w:rPr>
          <w:rFonts w:hint="eastAsia"/>
          <w:i/>
          <w:iCs/>
        </w:rPr>
        <w:t>T</w:t>
      </w:r>
      <w:r>
        <w:t>满足一维能量守恒方程：</w:t>
      </w:r>
    </w:p>
    <w:p w14:paraId="5E9BF90F">
      <w:pPr>
        <w:pStyle w:val="30"/>
        <w:spacing w:before="0" w:beforeLines="0" w:after="0" w:afterLines="0"/>
        <w:ind w:firstLine="360"/>
      </w:pPr>
      <w:r>
        <w:rPr>
          <w:rFonts w:hint="eastAsia"/>
        </w:rPr>
        <w:tab/>
      </w:r>
      <w:r>
        <w:rPr>
          <w:rFonts w:hint="eastAsia"/>
          <w:position w:val="-28"/>
        </w:rPr>
        <w:object>
          <v:shape id="_x0000_i1066" o:spt="75" type="#_x0000_t75" style="height:33.25pt;width:188.8pt;" o:ole="t" filled="f" o:preferrelative="t" stroked="f" coordsize="21600,21600">
            <v:path/>
            <v:fill on="f" focussize="0,0"/>
            <v:stroke on="f" joinstyle="miter"/>
            <v:imagedata r:id="rId99" o:title=""/>
            <o:lock v:ext="edit" aspectratio="t"/>
            <w10:wrap type="none"/>
            <w10:anchorlock/>
          </v:shape>
          <o:OLEObject Type="Embed" ProgID="Equation.DSMT4" ShapeID="_x0000_i1066" DrawAspect="Content" ObjectID="_1468075766" r:id="rId98">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32</w:instrText>
      </w:r>
      <w:r>
        <w:rPr>
          <w:rFonts w:hint="eastAsia"/>
        </w:rPr>
        <w:fldChar w:fldCharType="end"/>
      </w:r>
      <w:r>
        <w:rPr>
          <w:rFonts w:hint="eastAsia"/>
        </w:rPr>
        <w:instrText xml:space="preserve">)</w:instrText>
      </w:r>
      <w:r>
        <w:rPr>
          <w:rFonts w:hint="eastAsia"/>
        </w:rPr>
        <w:fldChar w:fldCharType="end"/>
      </w:r>
    </w:p>
    <w:p w14:paraId="45206F6D">
      <w:pPr>
        <w:ind w:firstLine="0" w:firstLineChars="0"/>
      </w:pPr>
      <w:r>
        <w:rPr>
          <w:rFonts w:hint="eastAsia"/>
        </w:rPr>
        <w:t>式中</w:t>
      </w:r>
      <w:r>
        <w:t>，</w:t>
      </w:r>
      <w:r>
        <w:rPr>
          <w:rFonts w:hint="eastAsia"/>
          <w:position w:val="-10"/>
        </w:rPr>
        <w:object>
          <v:shape id="_x0000_i1067" o:spt="75" type="#_x0000_t75" style="height:18.15pt;width:20.15pt;" o:ole="t" filled="f" o:preferrelative="t" stroked="f" coordsize="21600,21600">
            <v:path/>
            <v:fill on="f" focussize="0,0"/>
            <v:stroke on="f" joinstyle="miter"/>
            <v:imagedata r:id="rId101" o:title=""/>
            <o:lock v:ext="edit" aspectratio="t"/>
            <w10:wrap type="none"/>
            <w10:anchorlock/>
          </v:shape>
          <o:OLEObject Type="Embed" ProgID="Equation.DSMT4" ShapeID="_x0000_i1067" DrawAspect="Content" ObjectID="_1468075767" r:id="rId100">
            <o:LockedField>false</o:LockedField>
          </o:OLEObject>
        </w:object>
      </w:r>
      <w:r>
        <w:t>为辅助加热源项</w:t>
      </w:r>
      <w:r>
        <w:rPr>
          <w:rFonts w:hint="eastAsia"/>
        </w:rPr>
        <w:t>，</w:t>
      </w:r>
      <w:r>
        <w:rPr>
          <w:rFonts w:hint="eastAsia"/>
          <w:position w:val="-10"/>
        </w:rPr>
        <w:object>
          <v:shape id="_x0000_i1068" o:spt="75" type="#_x0000_t75" style="height:18.15pt;width:20.15pt;" o:ole="t" filled="f" o:preferrelative="t" stroked="f" coordsize="21600,21600">
            <v:path/>
            <v:fill on="f" focussize="0,0"/>
            <v:stroke on="f" joinstyle="miter"/>
            <v:imagedata r:id="rId103" o:title=""/>
            <o:lock v:ext="edit" aspectratio="t"/>
            <w10:wrap type="none"/>
            <w10:anchorlock/>
          </v:shape>
          <o:OLEObject Type="Embed" ProgID="Equation.DSMT4" ShapeID="_x0000_i1068" DrawAspect="Content" ObjectID="_1468075768" r:id="rId102">
            <o:LockedField>false</o:LockedField>
          </o:OLEObject>
        </w:object>
      </w:r>
      <w:r>
        <w:rPr>
          <w:rFonts w:hint="eastAsia"/>
        </w:rPr>
        <w:t>为</w:t>
      </w:r>
      <w:r>
        <w:t>电化学反应产生的体积热源</w:t>
      </w:r>
      <w:r>
        <w:rPr>
          <w:rFonts w:hint="eastAsia" w:cs="Times New Roman"/>
        </w:rPr>
        <w:t>（W</w:t>
      </w:r>
      <w:r>
        <w:rPr>
          <w:rFonts w:cs="Times New Roman"/>
        </w:rPr>
        <w:t>·</w:t>
      </w:r>
      <w:r>
        <w:rPr>
          <w:rFonts w:hint="eastAsia" w:cs="Times New Roman"/>
        </w:rPr>
        <w:t>m</w:t>
      </w:r>
      <w:r>
        <w:rPr>
          <w:rFonts w:hint="eastAsia" w:cs="Times New Roman"/>
          <w:vertAlign w:val="superscript"/>
        </w:rPr>
        <w:t>-3</w:t>
      </w:r>
      <w:r>
        <w:rPr>
          <w:rFonts w:hint="eastAsia" w:cs="Times New Roman"/>
        </w:rPr>
        <w:t>）</w:t>
      </w:r>
      <w:r>
        <w:rPr>
          <w:rFonts w:hint="eastAsia"/>
        </w:rPr>
        <w:t>，</w:t>
      </w:r>
      <w:r>
        <w:t>等效体积热容(</w:t>
      </w:r>
      <w:r>
        <w:rPr>
          <w:i/>
          <w:iCs/>
        </w:rPr>
        <w:t>ρc</w:t>
      </w:r>
      <w:r>
        <w:rPr>
          <w:i/>
          <w:iCs/>
          <w:vertAlign w:val="subscript"/>
        </w:rPr>
        <w:t>p</w:t>
      </w:r>
      <w:r>
        <w:t>)</w:t>
      </w:r>
      <w:r>
        <w:rPr>
          <w:vertAlign w:val="subscript"/>
        </w:rPr>
        <w:t>eff</w:t>
      </w:r>
      <w:r>
        <w:t>根据各组成层的密度、比热容和厚度按体积分数加权计算：</w:t>
      </w:r>
    </w:p>
    <w:p w14:paraId="5249FDCD">
      <w:pPr>
        <w:pStyle w:val="30"/>
      </w:pPr>
      <w:r>
        <w:rPr>
          <w:rFonts w:hint="eastAsia"/>
        </w:rPr>
        <w:tab/>
      </w:r>
      <w:r>
        <w:rPr>
          <w:rFonts w:hint="eastAsia"/>
          <w:position w:val="-46"/>
        </w:rPr>
        <w:object>
          <v:shape id="_x0000_i1069" o:spt="75" type="#_x0000_t75" style="height:51.85pt;width:105.25pt;" o:ole="t" filled="f" o:preferrelative="t" stroked="f" coordsize="21600,21600">
            <v:path/>
            <v:fill on="f" focussize="0,0"/>
            <v:stroke on="f" joinstyle="miter"/>
            <v:imagedata r:id="rId105" o:title=""/>
            <o:lock v:ext="edit" aspectratio="t"/>
            <w10:wrap type="none"/>
            <w10:anchorlock/>
          </v:shape>
          <o:OLEObject Type="Embed" ProgID="Equation.DSMT4" ShapeID="_x0000_i1069" DrawAspect="Content" ObjectID="_1468075769" r:id="rId104">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33</w:instrText>
      </w:r>
      <w:r>
        <w:rPr>
          <w:rFonts w:hint="eastAsia"/>
        </w:rPr>
        <w:fldChar w:fldCharType="end"/>
      </w:r>
      <w:r>
        <w:rPr>
          <w:rFonts w:hint="eastAsia"/>
        </w:rPr>
        <w:instrText xml:space="preserve">)</w:instrText>
      </w:r>
      <w:r>
        <w:rPr>
          <w:rFonts w:hint="eastAsia"/>
        </w:rPr>
        <w:fldChar w:fldCharType="end"/>
      </w:r>
    </w:p>
    <w:p w14:paraId="305ED649">
      <w:pPr>
        <w:ind w:firstLine="0" w:firstLineChars="0"/>
      </w:pPr>
      <w:r>
        <w:t>等效导热系数</w:t>
      </w:r>
      <w:r>
        <w:rPr>
          <w:i/>
          <w:iCs/>
        </w:rPr>
        <w:t>k</w:t>
      </w:r>
      <w:r>
        <w:rPr>
          <w:vertAlign w:val="subscript"/>
        </w:rPr>
        <w:t>eff</w:t>
      </w:r>
      <w:r>
        <w:t>根据各组成层沿层叠方向的串联热阻计算：</w:t>
      </w:r>
    </w:p>
    <w:p w14:paraId="20AEAD3D">
      <w:pPr>
        <w:pStyle w:val="30"/>
      </w:pPr>
      <w:r>
        <w:rPr>
          <w:rFonts w:hint="eastAsia"/>
        </w:rPr>
        <w:tab/>
      </w:r>
      <w:r>
        <w:rPr>
          <w:rFonts w:hint="eastAsia"/>
          <w:position w:val="-46"/>
        </w:rPr>
        <w:object>
          <v:shape id="_x0000_i1070" o:spt="75" type="#_x0000_t75" style="height:51.85pt;width:84.1pt;" o:ole="t" filled="f" o:preferrelative="t" stroked="f" coordsize="21600,21600">
            <v:path/>
            <v:fill on="f" focussize="0,0"/>
            <v:stroke on="f" joinstyle="miter"/>
            <v:imagedata r:id="rId107" o:title=""/>
            <o:lock v:ext="edit" aspectratio="t"/>
            <w10:wrap type="none"/>
            <w10:anchorlock/>
          </v:shape>
          <o:OLEObject Type="Embed" ProgID="Equation.DSMT4" ShapeID="_x0000_i1070" DrawAspect="Content" ObjectID="_1468075770" r:id="rId106">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34</w:instrText>
      </w:r>
      <w:r>
        <w:rPr>
          <w:rFonts w:hint="eastAsia"/>
        </w:rPr>
        <w:fldChar w:fldCharType="end"/>
      </w:r>
      <w:r>
        <w:rPr>
          <w:rFonts w:hint="eastAsia"/>
        </w:rPr>
        <w:instrText xml:space="preserve">)</w:instrText>
      </w:r>
      <w:r>
        <w:rPr>
          <w:rFonts w:hint="eastAsia"/>
        </w:rPr>
        <w:fldChar w:fldCharType="end"/>
      </w:r>
    </w:p>
    <w:p w14:paraId="081E5055">
      <w:pPr>
        <w:ind w:firstLine="0" w:firstLineChars="0"/>
      </w:pPr>
      <w:r>
        <w:t>式中，</w:t>
      </w:r>
      <w:r>
        <w:rPr>
          <w:i/>
          <w:iCs/>
        </w:rPr>
        <w:t>ρ</w:t>
      </w:r>
      <w:r>
        <w:rPr>
          <w:i/>
          <w:iCs/>
          <w:vertAlign w:val="subscript"/>
        </w:rPr>
        <w:t>i</w:t>
      </w:r>
      <w:r>
        <w:t>、</w:t>
      </w:r>
      <w:r>
        <w:rPr>
          <w:i/>
          <w:iCs/>
        </w:rPr>
        <w:t>c</w:t>
      </w:r>
      <w:r>
        <w:rPr>
          <w:i/>
          <w:iCs/>
          <w:vertAlign w:val="subscript"/>
        </w:rPr>
        <w:t>p,i</w:t>
      </w:r>
      <w:r>
        <w:t>、</w:t>
      </w:r>
      <w:r>
        <w:rPr>
          <w:i/>
          <w:iCs/>
        </w:rPr>
        <w:t>k</w:t>
      </w:r>
      <w:r>
        <w:rPr>
          <w:vertAlign w:val="subscript"/>
        </w:rPr>
        <w:t>i</w:t>
      </w:r>
      <w:r>
        <w:t>和</w:t>
      </w:r>
      <w:r>
        <w:rPr>
          <w:i/>
          <w:iCs/>
        </w:rPr>
        <w:t>δ</w:t>
      </w:r>
      <w:r>
        <w:rPr>
          <w:vertAlign w:val="subscript"/>
        </w:rPr>
        <w:t>i</w:t>
      </w:r>
      <w:r>
        <w:t>分别表示第</w:t>
      </w:r>
      <w:r>
        <w:rPr>
          <w:i/>
          <w:iCs/>
        </w:rPr>
        <w:t>i</w:t>
      </w:r>
      <w:r>
        <w:t>个组成层的密度、比热容、导热系数和厚度</w:t>
      </w:r>
      <w:r>
        <w:rPr>
          <w:rFonts w:hint="eastAsia"/>
        </w:rPr>
        <w:t>，</w:t>
      </w:r>
      <w:r>
        <w:t>忽略界面接触热阻</w:t>
      </w:r>
      <w:r>
        <w:rPr>
          <w:rFonts w:hint="eastAsia"/>
        </w:rPr>
        <w:t>。</w:t>
      </w:r>
    </w:p>
    <w:p w14:paraId="6838B49B">
      <w:pPr>
        <w:ind w:firstLine="480"/>
      </w:pPr>
      <w:r>
        <w:t>为避免分别计算反应热、活化热和欧姆热，电化学产热统一表示为</w:t>
      </w:r>
    </w:p>
    <w:p w14:paraId="62758808">
      <w:pPr>
        <w:pStyle w:val="30"/>
        <w:spacing w:before="0" w:beforeLines="0" w:after="0" w:afterLines="0"/>
        <w:ind w:firstLine="360"/>
      </w:pPr>
      <w:r>
        <w:rPr>
          <w:rFonts w:hint="eastAsia"/>
        </w:rPr>
        <w:tab/>
      </w:r>
      <w:r>
        <w:rPr>
          <w:rFonts w:hint="eastAsia"/>
          <w:position w:val="-24"/>
        </w:rPr>
        <w:object>
          <v:shape id="_x0000_i1071" o:spt="75" type="#_x0000_t75" style="height:32.2pt;width:96.65pt;" o:ole="t" filled="f" o:preferrelative="t" stroked="f" coordsize="21600,21600">
            <v:path/>
            <v:fill on="f" focussize="0,0"/>
            <v:stroke on="f" joinstyle="miter"/>
            <v:imagedata r:id="rId109" o:title=""/>
            <o:lock v:ext="edit" aspectratio="t"/>
            <w10:wrap type="none"/>
            <w10:anchorlock/>
          </v:shape>
          <o:OLEObject Type="Embed" ProgID="Equation.DSMT4" ShapeID="_x0000_i1071" DrawAspect="Content" ObjectID="_1468075771" r:id="rId108">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35</w:instrText>
      </w:r>
      <w:r>
        <w:rPr>
          <w:rFonts w:hint="eastAsia"/>
        </w:rPr>
        <w:fldChar w:fldCharType="end"/>
      </w:r>
      <w:r>
        <w:rPr>
          <w:rFonts w:hint="eastAsia"/>
        </w:rPr>
        <w:instrText xml:space="preserve">)</w:instrText>
      </w:r>
      <w:r>
        <w:rPr>
          <w:rFonts w:hint="eastAsia"/>
        </w:rPr>
        <w:fldChar w:fldCharType="end"/>
      </w:r>
    </w:p>
    <w:p w14:paraId="51F0800F">
      <w:pPr>
        <w:ind w:firstLine="0" w:firstLineChars="0"/>
      </w:pPr>
      <w:r>
        <w:rPr>
          <w:rFonts w:hint="eastAsia"/>
        </w:rPr>
        <w:t>式中</w:t>
      </w:r>
      <w:r>
        <w:t>，</w:t>
      </w:r>
      <w:r>
        <w:rPr>
          <w:i/>
          <w:iCs/>
        </w:rPr>
        <w:t>L</w:t>
      </w:r>
      <w:r>
        <w:t>为单电池厚度</w:t>
      </w:r>
      <w:r>
        <w:rPr>
          <w:rFonts w:hint="eastAsia" w:cs="Times New Roman"/>
        </w:rPr>
        <w:t>（m）</w:t>
      </w:r>
      <w:r>
        <w:rPr>
          <w:rFonts w:hint="eastAsia"/>
        </w:rPr>
        <w:t>，</w:t>
      </w:r>
      <w:r>
        <w:t>热中性电压取</w:t>
      </w:r>
      <w:r>
        <w:rPr>
          <w:rFonts w:hint="eastAsia"/>
          <w:i/>
          <w:iCs/>
        </w:rPr>
        <w:t>E</w:t>
      </w:r>
      <w:r>
        <w:rPr>
          <w:rFonts w:hint="eastAsia"/>
          <w:vertAlign w:val="subscript"/>
        </w:rPr>
        <w:t>th</w:t>
      </w:r>
      <w:r>
        <w:rPr>
          <w:rFonts w:hint="eastAsia"/>
        </w:rPr>
        <w:t>=1.48 V。</w:t>
      </w:r>
      <w:r>
        <w:t>电池两侧采用对流换热边界：</w:t>
      </w:r>
    </w:p>
    <w:p w14:paraId="126DA189">
      <w:pPr>
        <w:pStyle w:val="30"/>
        <w:spacing w:before="0" w:beforeLines="0" w:after="0" w:afterLines="0"/>
        <w:ind w:firstLine="360"/>
      </w:pPr>
      <w:r>
        <w:rPr>
          <w:rFonts w:hint="eastAsia"/>
        </w:rPr>
        <w:tab/>
      </w:r>
      <w:r>
        <w:rPr>
          <w:rFonts w:hint="eastAsia"/>
          <w:position w:val="-24"/>
        </w:rPr>
        <w:object>
          <v:shape id="_x0000_i1072" o:spt="75" type="#_x0000_t75" style="height:31.7pt;width:108.25pt;" o:ole="t" filled="f" o:preferrelative="t" stroked="f" coordsize="21600,21600">
            <v:path/>
            <v:fill on="f" focussize="0,0"/>
            <v:stroke on="f" joinstyle="miter"/>
            <v:imagedata r:id="rId111" o:title=""/>
            <o:lock v:ext="edit" aspectratio="t"/>
            <w10:wrap type="none"/>
            <w10:anchorlock/>
          </v:shape>
          <o:OLEObject Type="Embed" ProgID="Equation.DSMT4" ShapeID="_x0000_i1072" DrawAspect="Content" ObjectID="_1468075772" r:id="rId110">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36</w:instrText>
      </w:r>
      <w:r>
        <w:rPr>
          <w:rFonts w:hint="eastAsia"/>
        </w:rPr>
        <w:fldChar w:fldCharType="end"/>
      </w:r>
      <w:r>
        <w:rPr>
          <w:rFonts w:hint="eastAsia"/>
        </w:rPr>
        <w:instrText xml:space="preserve">)</w:instrText>
      </w:r>
      <w:r>
        <w:rPr>
          <w:rFonts w:hint="eastAsia"/>
        </w:rPr>
        <w:fldChar w:fldCharType="end"/>
      </w:r>
    </w:p>
    <w:p w14:paraId="12DAAF55">
      <w:pPr>
        <w:ind w:firstLine="0" w:firstLineChars="0"/>
      </w:pPr>
      <w:r>
        <w:rPr>
          <w:rFonts w:hint="eastAsia"/>
        </w:rPr>
        <w:t>式中</w:t>
      </w:r>
      <w:r>
        <w:t>，换热系数</w:t>
      </w:r>
      <w:r>
        <w:rPr>
          <w:rFonts w:hint="eastAsia"/>
          <w:i/>
          <w:iCs/>
        </w:rPr>
        <w:t>h</w:t>
      </w:r>
      <w:r>
        <w:rPr>
          <w:b/>
          <w:bCs/>
          <w:i/>
          <w:iCs/>
        </w:rPr>
        <w:t>=</w:t>
      </w:r>
      <w:r>
        <w:t>40</w:t>
      </w:r>
      <w:r>
        <w:rPr>
          <w:rFonts w:hint="eastAsia"/>
        </w:rPr>
        <w:t xml:space="preserve"> </w:t>
      </w:r>
      <w:r>
        <w:t>W</w:t>
      </w:r>
      <w:r>
        <w:rPr>
          <w:rFonts w:cs="Times New Roman"/>
        </w:rPr>
        <w:t>·</w:t>
      </w:r>
      <w:r>
        <w:t>m</w:t>
      </w:r>
      <w:r>
        <w:rPr>
          <w:vertAlign w:val="superscript"/>
        </w:rPr>
        <w:t>−2</w:t>
      </w:r>
      <w:r>
        <w:rPr>
          <w:rFonts w:cs="Times New Roman"/>
        </w:rPr>
        <w:t>·</w:t>
      </w:r>
      <w:r>
        <w:t>K</w:t>
      </w:r>
      <w:r>
        <w:rPr>
          <w:vertAlign w:val="superscript"/>
        </w:rPr>
        <w:t>−1</w:t>
      </w:r>
      <w:r>
        <w:t>由附件1给出</w:t>
      </w:r>
      <w:r>
        <w:rPr>
          <w:rFonts w:hint="eastAsia"/>
        </w:rPr>
        <w:t>。</w:t>
      </w:r>
    </w:p>
    <w:p w14:paraId="6A8509F2">
      <w:pPr>
        <w:ind w:firstLine="489"/>
        <w:rPr>
          <w:b/>
          <w:bCs/>
        </w:rPr>
      </w:pPr>
      <w:r>
        <w:rPr>
          <w:rFonts w:hint="eastAsia"/>
          <w:b/>
          <w:bCs/>
        </w:rPr>
        <w:t>1</w:t>
      </w:r>
      <w:r>
        <w:rPr>
          <w:b/>
          <w:bCs/>
        </w:rPr>
        <w:t>.6 单电池电压及三类损失</w:t>
      </w:r>
    </w:p>
    <w:p w14:paraId="0CDB805A">
      <w:pPr>
        <w:ind w:firstLine="480"/>
      </w:pPr>
      <w:r>
        <w:t>单电池电压由可逆电压减去活化损失、欧姆损失和浓差损失得到：</w:t>
      </w:r>
    </w:p>
    <w:p w14:paraId="5BD7C4B3">
      <w:pPr>
        <w:pStyle w:val="30"/>
        <w:spacing w:before="0" w:beforeLines="0" w:after="0" w:afterLines="0"/>
        <w:ind w:firstLine="360"/>
      </w:pPr>
      <w:r>
        <w:rPr>
          <w:rFonts w:hint="eastAsia"/>
        </w:rPr>
        <w:tab/>
      </w:r>
      <w:r>
        <w:rPr>
          <w:rFonts w:hint="eastAsia"/>
          <w:position w:val="-10"/>
        </w:rPr>
        <w:object>
          <v:shape id="_x0000_i1073" o:spt="75" type="#_x0000_t75" style="height:18.15pt;width:137.45pt;" o:ole="t" filled="f" o:preferrelative="t" stroked="f" coordsize="21600,21600">
            <v:path/>
            <v:fill on="f" focussize="0,0"/>
            <v:stroke on="f" joinstyle="miter"/>
            <v:imagedata r:id="rId113" o:title=""/>
            <o:lock v:ext="edit" aspectratio="t"/>
            <w10:wrap type="none"/>
            <w10:anchorlock/>
          </v:shape>
          <o:OLEObject Type="Embed" ProgID="Equation.DSMT4" ShapeID="_x0000_i1073" DrawAspect="Content" ObjectID="_1468075773" r:id="rId112">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37</w:instrText>
      </w:r>
      <w:r>
        <w:rPr>
          <w:rFonts w:hint="eastAsia"/>
        </w:rPr>
        <w:fldChar w:fldCharType="end"/>
      </w:r>
      <w:r>
        <w:rPr>
          <w:rFonts w:hint="eastAsia"/>
        </w:rPr>
        <w:instrText xml:space="preserve">)</w:instrText>
      </w:r>
      <w:r>
        <w:rPr>
          <w:rFonts w:hint="eastAsia"/>
        </w:rPr>
        <w:fldChar w:fldCharType="end"/>
      </w:r>
    </w:p>
    <w:p w14:paraId="7FA1F638">
      <w:pPr>
        <w:ind w:firstLine="480"/>
      </w:pPr>
      <w:r>
        <w:rPr>
          <w:rFonts w:hint="eastAsia"/>
        </w:rPr>
        <w:t>（1）可逆电压</w:t>
      </w:r>
      <w:r>
        <w:rPr>
          <w:rFonts w:hint="eastAsia"/>
          <w:position w:val="-8"/>
        </w:rPr>
        <w:object>
          <v:shape id="_x0000_i1074" o:spt="75" type="#_x0000_t75" style="height:15.6pt;width:20.15pt;" o:ole="t" filled="f" o:preferrelative="t" stroked="f" coordsize="21600,21600">
            <v:path/>
            <v:fill on="f" focussize="0,0"/>
            <v:stroke on="f" joinstyle="miter"/>
            <v:imagedata r:id="rId115" o:title=""/>
            <o:lock v:ext="edit" aspectratio="t"/>
            <w10:wrap type="none"/>
            <w10:anchorlock/>
          </v:shape>
          <o:OLEObject Type="Embed" ProgID="Equation.DSMT4" ShapeID="_x0000_i1074" DrawAspect="Content" ObjectID="_1468075774" r:id="rId114">
            <o:LockedField>false</o:LockedField>
          </o:OLEObject>
        </w:object>
      </w:r>
    </w:p>
    <w:p w14:paraId="036FB177">
      <w:pPr>
        <w:ind w:firstLine="480"/>
      </w:pPr>
      <w:r>
        <w:rPr>
          <w:rFonts w:hint="eastAsia"/>
        </w:rPr>
        <w:t>可逆电压采用简化Nernst方程，式中，</w:t>
      </w:r>
      <w:r>
        <w:rPr>
          <w:rFonts w:hint="eastAsia"/>
          <w:i/>
          <w:iCs/>
        </w:rPr>
        <w:t>R</w:t>
      </w:r>
      <w:r>
        <w:rPr>
          <w:rFonts w:hint="eastAsia"/>
        </w:rPr>
        <w:t>为</w:t>
      </w:r>
      <w:r>
        <w:t>通用气体常数</w:t>
      </w:r>
      <w:r>
        <w:rPr>
          <w:rFonts w:hint="eastAsia"/>
        </w:rPr>
        <w:t>（8.314 J</w:t>
      </w:r>
      <w:r>
        <w:rPr>
          <w:rFonts w:cs="Times New Roman"/>
        </w:rPr>
        <w:t>·</w:t>
      </w:r>
      <w:r>
        <w:rPr>
          <w:rFonts w:hint="eastAsia"/>
        </w:rPr>
        <w:t>mol</w:t>
      </w:r>
      <w:r>
        <w:rPr>
          <w:rFonts w:hint="eastAsia"/>
          <w:vertAlign w:val="superscript"/>
        </w:rPr>
        <w:t>-1</w:t>
      </w:r>
      <w:r>
        <w:rPr>
          <w:rFonts w:cs="Times New Roman"/>
        </w:rPr>
        <w:t>·</w:t>
      </w:r>
      <w:r>
        <w:rPr>
          <w:rFonts w:hint="eastAsia"/>
        </w:rPr>
        <w:t>k</w:t>
      </w:r>
      <w:r>
        <w:rPr>
          <w:rFonts w:hint="eastAsia"/>
          <w:vertAlign w:val="superscript"/>
        </w:rPr>
        <w:t>-1</w:t>
      </w:r>
      <w:r>
        <w:rPr>
          <w:rFonts w:hint="eastAsia"/>
        </w:rPr>
        <w:t>），</w:t>
      </w:r>
      <w:r>
        <w:rPr>
          <w:i/>
          <w:iCs/>
        </w:rPr>
        <w:t>F</w:t>
      </w:r>
      <w:r>
        <w:t>为法拉第常数</w:t>
      </w:r>
      <w:r>
        <w:rPr>
          <w:rFonts w:hint="eastAsia"/>
        </w:rPr>
        <w:t>（</w:t>
      </w:r>
      <w:r>
        <w:t>96485</w:t>
      </w:r>
      <w:r>
        <w:rPr>
          <w:rFonts w:hint="eastAsia"/>
        </w:rPr>
        <w:t xml:space="preserve"> C</w:t>
      </w:r>
      <w:r>
        <w:rPr>
          <w:rFonts w:cs="Times New Roman"/>
        </w:rPr>
        <w:t>·</w:t>
      </w:r>
      <w:r>
        <w:rPr>
          <w:rFonts w:hint="eastAsia"/>
        </w:rPr>
        <w:t>mol</w:t>
      </w:r>
      <w:r>
        <w:rPr>
          <w:rFonts w:hint="eastAsia"/>
          <w:vertAlign w:val="superscript"/>
        </w:rPr>
        <w:t>-1</w:t>
      </w:r>
      <w:r>
        <w:rPr>
          <w:rFonts w:hint="eastAsia"/>
        </w:rPr>
        <w:t>），</w:t>
      </w:r>
      <w:r>
        <w:rPr>
          <w:i/>
          <w:iCs/>
        </w:rPr>
        <w:t>p</w:t>
      </w:r>
      <w:r>
        <w:rPr>
          <w:vertAlign w:val="subscript"/>
        </w:rPr>
        <w:t>H</w:t>
      </w:r>
      <w:r>
        <w:rPr>
          <w:sz w:val="20"/>
          <w:szCs w:val="18"/>
          <w:vertAlign w:val="subscript"/>
        </w:rPr>
        <w:t>2</w:t>
      </w:r>
      <w:r>
        <w:t>和</w:t>
      </w:r>
      <w:r>
        <w:rPr>
          <w:i/>
          <w:iCs/>
        </w:rPr>
        <w:t>p</w:t>
      </w:r>
      <w:r>
        <w:rPr>
          <w:vertAlign w:val="subscript"/>
        </w:rPr>
        <w:t>O</w:t>
      </w:r>
      <w:r>
        <w:rPr>
          <w:sz w:val="20"/>
          <w:szCs w:val="18"/>
          <w:vertAlign w:val="subscript"/>
        </w:rPr>
        <w:t>2</w:t>
      </w:r>
      <w:r>
        <w:t>分别为阳极催化层氢气和阴极催化层氧气的局部分压</w:t>
      </w:r>
      <w:r>
        <w:rPr>
          <w:rFonts w:hint="eastAsia"/>
        </w:rPr>
        <w:t>，</w:t>
      </w:r>
      <w:r>
        <w:rPr>
          <w:rFonts w:hint="eastAsia"/>
          <w:i/>
          <w:iCs/>
        </w:rPr>
        <w:t>p</w:t>
      </w:r>
      <w:r>
        <w:rPr>
          <w:vertAlign w:val="subscript"/>
        </w:rPr>
        <w:t>0</w:t>
      </w:r>
      <w:r>
        <w:rPr>
          <w:rFonts w:hint="eastAsia"/>
        </w:rPr>
        <w:t>=101325 Pa：</w:t>
      </w:r>
    </w:p>
    <w:p w14:paraId="6EF7E417">
      <w:pPr>
        <w:pStyle w:val="30"/>
        <w:spacing w:before="0" w:beforeLines="0" w:after="0" w:afterLines="0"/>
        <w:ind w:firstLine="360"/>
      </w:pPr>
      <w:r>
        <w:rPr>
          <w:rFonts w:hint="eastAsia"/>
        </w:rPr>
        <w:tab/>
      </w:r>
      <w:r>
        <w:rPr>
          <w:rFonts w:hint="eastAsia"/>
          <w:position w:val="-38"/>
        </w:rPr>
        <w:object>
          <v:shape id="_x0000_i1075" o:spt="75" type="#_x0000_t75" style="height:44.3pt;width:302.1pt;" o:ole="t" filled="f" o:preferrelative="t" stroked="f" coordsize="21600,21600">
            <v:path/>
            <v:fill on="f" focussize="0,0"/>
            <v:stroke on="f" joinstyle="miter"/>
            <v:imagedata r:id="rId117" o:title=""/>
            <o:lock v:ext="edit" aspectratio="t"/>
            <w10:wrap type="none"/>
            <w10:anchorlock/>
          </v:shape>
          <o:OLEObject Type="Embed" ProgID="Equation.DSMT4" ShapeID="_x0000_i1075" DrawAspect="Content" ObjectID="_1468075775" r:id="rId116">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38</w:instrText>
      </w:r>
      <w:r>
        <w:rPr>
          <w:rFonts w:hint="eastAsia"/>
        </w:rPr>
        <w:fldChar w:fldCharType="end"/>
      </w:r>
      <w:r>
        <w:rPr>
          <w:rFonts w:hint="eastAsia"/>
        </w:rPr>
        <w:instrText xml:space="preserve">)</w:instrText>
      </w:r>
      <w:r>
        <w:rPr>
          <w:rFonts w:hint="eastAsia"/>
        </w:rPr>
        <w:fldChar w:fldCharType="end"/>
      </w:r>
    </w:p>
    <w:p w14:paraId="36F63999">
      <w:pPr>
        <w:ind w:firstLine="480"/>
      </w:pPr>
      <w:r>
        <w:t>（2）活化损失</w:t>
      </w:r>
      <w:r>
        <w:rPr>
          <w:rFonts w:hint="eastAsia"/>
          <w:position w:val="-10"/>
        </w:rPr>
        <w:object>
          <v:shape id="_x0000_i1076" o:spt="75" type="#_x0000_t75" style="height:18.15pt;width:18.15pt;" o:ole="t" filled="f" o:preferrelative="t" stroked="f" coordsize="21600,21600">
            <v:path/>
            <v:fill on="f" focussize="0,0"/>
            <v:stroke on="f" joinstyle="miter"/>
            <v:imagedata r:id="rId119" o:title=""/>
            <o:lock v:ext="edit" aspectratio="t"/>
            <w10:wrap type="none"/>
            <w10:anchorlock/>
          </v:shape>
          <o:OLEObject Type="Embed" ProgID="Equation.DSMT4" ShapeID="_x0000_i1076" DrawAspect="Content" ObjectID="_1468075776" r:id="rId118">
            <o:LockedField>false</o:LockedField>
          </o:OLEObject>
        </w:object>
      </w:r>
    </w:p>
    <w:p w14:paraId="1F0C6426">
      <w:pPr>
        <w:ind w:firstLine="480"/>
      </w:pPr>
      <w:r>
        <w:t>活化损失采用简化Butler–Volmer关系</w:t>
      </w:r>
      <w:r>
        <w:rPr>
          <w:rFonts w:hint="eastAsia"/>
        </w:rPr>
        <w:t>，式中</w:t>
      </w:r>
      <w:r>
        <w:t>，电荷传递系数统一取</w:t>
      </w:r>
      <w:r>
        <w:rPr>
          <w:rFonts w:cs="Times New Roman"/>
          <w:i/>
          <w:iCs/>
        </w:rPr>
        <w:t>α</w:t>
      </w:r>
      <w:r>
        <w:rPr>
          <w:rFonts w:hint="eastAsia"/>
        </w:rPr>
        <w:t>=0.5</w:t>
      </w:r>
      <w:r>
        <w:t>：</w:t>
      </w:r>
    </w:p>
    <w:p w14:paraId="396AB6CF">
      <w:pPr>
        <w:pStyle w:val="30"/>
        <w:spacing w:before="0" w:beforeLines="0" w:after="0" w:afterLines="0"/>
        <w:ind w:firstLine="360"/>
      </w:pPr>
      <w:r>
        <w:rPr>
          <w:rFonts w:hint="eastAsia"/>
        </w:rPr>
        <w:tab/>
      </w:r>
      <w:r>
        <w:rPr>
          <w:rFonts w:hint="eastAsia"/>
          <w:position w:val="-30"/>
        </w:rPr>
        <w:object>
          <v:shape id="_x0000_i1077" o:spt="75" type="#_x0000_t75" style="height:36.25pt;width:137.45pt;" o:ole="t" filled="f" o:preferrelative="t" stroked="f" coordsize="21600,21600">
            <v:path/>
            <v:fill on="f" focussize="0,0"/>
            <v:stroke on="f" joinstyle="miter"/>
            <v:imagedata r:id="rId121" o:title=""/>
            <o:lock v:ext="edit" aspectratio="t"/>
            <w10:wrap type="none"/>
            <w10:anchorlock/>
          </v:shape>
          <o:OLEObject Type="Embed" ProgID="Equation.DSMT4" ShapeID="_x0000_i1077" DrawAspect="Content" ObjectID="_1468075777" r:id="rId120">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39</w:instrText>
      </w:r>
      <w:r>
        <w:rPr>
          <w:rFonts w:hint="eastAsia"/>
        </w:rPr>
        <w:fldChar w:fldCharType="end"/>
      </w:r>
      <w:r>
        <w:rPr>
          <w:rFonts w:hint="eastAsia"/>
        </w:rPr>
        <w:instrText xml:space="preserve">)</w:instrText>
      </w:r>
      <w:r>
        <w:rPr>
          <w:rFonts w:hint="eastAsia"/>
        </w:rPr>
        <w:fldChar w:fldCharType="end"/>
      </w:r>
    </w:p>
    <w:p w14:paraId="4DF3F518">
      <w:pPr>
        <w:ind w:firstLine="480"/>
      </w:pPr>
      <w:r>
        <w:t>交换电流密度随温度变化</w:t>
      </w:r>
      <w:r>
        <w:rPr>
          <w:rFonts w:hint="eastAsia"/>
        </w:rPr>
        <w:t>，式中</w:t>
      </w:r>
      <w:r>
        <w:rPr>
          <w:rFonts w:hint="eastAsia"/>
          <w:i/>
          <w:iCs/>
        </w:rPr>
        <w:t>j</w:t>
      </w:r>
      <w:r>
        <w:rPr>
          <w:vertAlign w:val="subscript"/>
        </w:rPr>
        <w:t>0,ref</w:t>
      </w:r>
      <w:r>
        <w:t>为参考温度</w:t>
      </w:r>
      <w:r>
        <w:rPr>
          <w:i/>
          <w:iCs/>
        </w:rPr>
        <w:t>T</w:t>
      </w:r>
      <w:r>
        <w:rPr>
          <w:vertAlign w:val="subscript"/>
        </w:rPr>
        <w:t>ref</w:t>
      </w:r>
      <w:r>
        <w:t>=298.15</w:t>
      </w:r>
      <w:r>
        <w:rPr>
          <w:rFonts w:hint="eastAsia"/>
        </w:rPr>
        <w:t xml:space="preserve"> </w:t>
      </w:r>
      <w:r>
        <w:t>K下的交换电流密度</w:t>
      </w:r>
      <w:r>
        <w:rPr>
          <w:rFonts w:hint="eastAsia"/>
        </w:rPr>
        <w:t>（取0.01 A</w:t>
      </w:r>
      <w:r>
        <w:rPr>
          <w:rFonts w:cs="Times New Roman"/>
        </w:rPr>
        <w:t>·</w:t>
      </w:r>
      <w:r>
        <w:rPr>
          <w:rFonts w:hint="eastAsia"/>
        </w:rPr>
        <w:t>m</w:t>
      </w:r>
      <w:r>
        <w:rPr>
          <w:rFonts w:hint="eastAsia"/>
          <w:vertAlign w:val="superscript"/>
        </w:rPr>
        <w:t>-2</w:t>
      </w:r>
      <w:r>
        <w:rPr>
          <w:rFonts w:hint="eastAsia"/>
        </w:rPr>
        <w:t>作为初始校准值），</w:t>
      </w:r>
      <w:r>
        <w:rPr>
          <w:i/>
          <w:iCs/>
        </w:rPr>
        <w:t>E</w:t>
      </w:r>
      <w:r>
        <w:rPr>
          <w:i/>
          <w:iCs/>
          <w:vertAlign w:val="subscript"/>
        </w:rPr>
        <w:t>a</w:t>
      </w:r>
      <w:r>
        <w:t>为电极反应的活化能</w:t>
      </w:r>
      <w:r>
        <w:rPr>
          <w:rFonts w:hint="eastAsia"/>
        </w:rPr>
        <w:t>（</w:t>
      </w:r>
      <w:r>
        <w:t>67000</w:t>
      </w:r>
      <w:r>
        <w:rPr>
          <w:rFonts w:hint="eastAsia"/>
        </w:rPr>
        <w:t xml:space="preserve"> J</w:t>
      </w:r>
      <w:r>
        <w:rPr>
          <w:rFonts w:cs="Times New Roman"/>
        </w:rPr>
        <w:t>·</w:t>
      </w:r>
      <w:r>
        <w:rPr>
          <w:rFonts w:hint="eastAsia"/>
        </w:rPr>
        <w:t>mol</w:t>
      </w:r>
      <w:r>
        <w:rPr>
          <w:rFonts w:hint="eastAsia"/>
          <w:vertAlign w:val="superscript"/>
        </w:rPr>
        <w:t>-1</w:t>
      </w:r>
      <w:r>
        <w:rPr>
          <w:rFonts w:hint="eastAsia"/>
        </w:rPr>
        <w:t>）</w:t>
      </w:r>
      <w:r>
        <w:t>：</w:t>
      </w:r>
    </w:p>
    <w:p w14:paraId="230E8804">
      <w:pPr>
        <w:pStyle w:val="30"/>
        <w:spacing w:before="0" w:beforeLines="0" w:after="0" w:afterLines="0"/>
        <w:ind w:firstLine="360"/>
      </w:pPr>
      <w:r>
        <w:rPr>
          <w:rFonts w:hint="eastAsia"/>
        </w:rPr>
        <w:tab/>
      </w:r>
      <w:r>
        <w:rPr>
          <w:rFonts w:hint="eastAsia"/>
          <w:position w:val="-30"/>
        </w:rPr>
        <w:object>
          <v:shape id="_x0000_i1078" o:spt="75" type="#_x0000_t75" style="height:36.25pt;width:186.8pt;" o:ole="t" filled="f" o:preferrelative="t" stroked="f" coordsize="21600,21600">
            <v:path/>
            <v:fill on="f" focussize="0,0"/>
            <v:stroke on="f" joinstyle="miter"/>
            <v:imagedata r:id="rId123" o:title=""/>
            <o:lock v:ext="edit" aspectratio="t"/>
            <w10:wrap type="none"/>
            <w10:anchorlock/>
          </v:shape>
          <o:OLEObject Type="Embed" ProgID="Equation.DSMT4" ShapeID="_x0000_i1078" DrawAspect="Content" ObjectID="_1468075778" r:id="rId122">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40</w:instrText>
      </w:r>
      <w:r>
        <w:rPr>
          <w:rFonts w:hint="eastAsia"/>
        </w:rPr>
        <w:fldChar w:fldCharType="end"/>
      </w:r>
      <w:r>
        <w:rPr>
          <w:rFonts w:hint="eastAsia"/>
        </w:rPr>
        <w:instrText xml:space="preserve">)</w:instrText>
      </w:r>
      <w:r>
        <w:rPr>
          <w:rFonts w:hint="eastAsia"/>
        </w:rPr>
        <w:fldChar w:fldCharType="end"/>
      </w:r>
    </w:p>
    <w:p w14:paraId="7F84C350">
      <w:pPr>
        <w:ind w:firstLine="480"/>
      </w:pPr>
      <w:r>
        <w:t>（3）欧姆损失</w:t>
      </w:r>
      <w:r>
        <w:rPr>
          <w:rFonts w:hint="eastAsia"/>
          <w:position w:val="-10"/>
        </w:rPr>
        <w:object>
          <v:shape id="_x0000_i1079" o:spt="75" type="#_x0000_t75" style="height:18.15pt;width:20.15pt;" o:ole="t" filled="f" o:preferrelative="t" stroked="f" coordsize="21600,21600">
            <v:path/>
            <v:fill on="f" focussize="0,0"/>
            <v:stroke on="f" joinstyle="miter"/>
            <v:imagedata r:id="rId125" o:title=""/>
            <o:lock v:ext="edit" aspectratio="t"/>
            <w10:wrap type="none"/>
            <w10:anchorlock/>
          </v:shape>
          <o:OLEObject Type="Embed" ProgID="Equation.DSMT4" ShapeID="_x0000_i1079" DrawAspect="Content" ObjectID="_1468075779" r:id="rId124">
            <o:LockedField>false</o:LockedField>
          </o:OLEObject>
        </w:object>
      </w:r>
    </w:p>
    <w:p w14:paraId="2345C74E">
      <w:pPr>
        <w:ind w:firstLine="480"/>
      </w:pPr>
      <w:r>
        <w:t>欧姆损失主要由质子交换膜和接触电阻引起</w:t>
      </w:r>
      <w:r>
        <w:rPr>
          <w:rFonts w:hint="eastAsia"/>
        </w:rPr>
        <w:t>，式中</w:t>
      </w:r>
      <w:r>
        <w:rPr>
          <w:i/>
          <w:iCs/>
        </w:rPr>
        <w:t>L</w:t>
      </w:r>
      <w:r>
        <w:rPr>
          <w:rFonts w:hint="eastAsia"/>
          <w:vertAlign w:val="subscript"/>
        </w:rPr>
        <w:t>p</w:t>
      </w:r>
      <w:r>
        <w:rPr>
          <w:vertAlign w:val="subscript"/>
        </w:rPr>
        <w:t>em</w:t>
      </w:r>
      <w:r>
        <w:t>为质子交换膜厚度</w:t>
      </w:r>
      <w:r>
        <w:rPr>
          <w:rFonts w:hint="eastAsia"/>
        </w:rPr>
        <w:t>，</w:t>
      </w:r>
      <w:r>
        <w:rPr>
          <w:i/>
          <w:iCs/>
        </w:rPr>
        <w:t>R</w:t>
      </w:r>
      <w:r>
        <w:rPr>
          <w:i/>
          <w:iCs/>
          <w:vertAlign w:val="subscript"/>
        </w:rPr>
        <w:t>c</w:t>
      </w:r>
      <w:r>
        <w:t>为膜电极与双极板、气体扩散层等部件之间的总面积比接触电阻</w:t>
      </w:r>
      <w:r>
        <w:rPr>
          <w:rFonts w:hint="eastAsia"/>
        </w:rPr>
        <w:t>（</w:t>
      </w:r>
      <w:r>
        <w:t>0.01</w:t>
      </w:r>
      <w:r>
        <w:rPr>
          <w:rFonts w:hint="eastAsia"/>
        </w:rPr>
        <w:t xml:space="preserve"> </w:t>
      </w:r>
      <w:r>
        <w:rPr>
          <w:rFonts w:cs="Times New Roman"/>
        </w:rPr>
        <w:t>Ω</w:t>
      </w:r>
      <w:r>
        <w:rPr>
          <w:rFonts w:hint="eastAsia" w:cs="Times New Roman"/>
        </w:rPr>
        <w:t xml:space="preserve"> cm</w:t>
      </w:r>
      <w:r>
        <w:rPr>
          <w:rFonts w:hint="eastAsia" w:cs="Times New Roman"/>
          <w:vertAlign w:val="superscript"/>
        </w:rPr>
        <w:t>2</w:t>
      </w:r>
      <w:r>
        <w:rPr>
          <w:rFonts w:hint="eastAsia"/>
        </w:rPr>
        <w:t>）</w:t>
      </w:r>
      <w:r>
        <w:t>：</w:t>
      </w:r>
    </w:p>
    <w:p w14:paraId="46FBBCE6">
      <w:pPr>
        <w:pStyle w:val="30"/>
        <w:spacing w:before="0" w:beforeLines="0" w:after="0" w:afterLines="0"/>
        <w:ind w:firstLine="360"/>
      </w:pPr>
      <w:r>
        <w:rPr>
          <w:rFonts w:hint="eastAsia"/>
        </w:rPr>
        <w:tab/>
      </w:r>
      <w:r>
        <w:rPr>
          <w:rFonts w:hint="eastAsia"/>
          <w:position w:val="-32"/>
        </w:rPr>
        <w:object>
          <v:shape id="_x0000_i1080" o:spt="75" type="#_x0000_t75" style="height:36.25pt;width:102.7pt;" o:ole="t" filled="f" o:preferrelative="t" stroked="f" coordsize="21600,21600">
            <v:path/>
            <v:fill on="f" focussize="0,0"/>
            <v:stroke on="f" joinstyle="miter"/>
            <v:imagedata r:id="rId127" o:title=""/>
            <o:lock v:ext="edit" aspectratio="t"/>
            <w10:wrap type="none"/>
            <w10:anchorlock/>
          </v:shape>
          <o:OLEObject Type="Embed" ProgID="Equation.DSMT4" ShapeID="_x0000_i1080" DrawAspect="Content" ObjectID="_1468075780" r:id="rId126">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41</w:instrText>
      </w:r>
      <w:r>
        <w:rPr>
          <w:rFonts w:hint="eastAsia"/>
        </w:rPr>
        <w:fldChar w:fldCharType="end"/>
      </w:r>
      <w:r>
        <w:rPr>
          <w:rFonts w:hint="eastAsia"/>
        </w:rPr>
        <w:instrText xml:space="preserve">)</w:instrText>
      </w:r>
      <w:r>
        <w:rPr>
          <w:rFonts w:hint="eastAsia"/>
        </w:rPr>
        <w:fldChar w:fldCharType="end"/>
      </w:r>
    </w:p>
    <w:p w14:paraId="428A9AEC">
      <w:pPr>
        <w:ind w:firstLine="480"/>
      </w:pPr>
      <w:r>
        <w:t>膜质子电导率</w:t>
      </w:r>
      <w:r>
        <w:rPr>
          <w:i/>
          <w:iCs/>
        </w:rPr>
        <w:t>κ</w:t>
      </w:r>
      <w:r>
        <w:rPr>
          <w:rFonts w:hint="eastAsia"/>
          <w:vertAlign w:val="subscript"/>
        </w:rPr>
        <w:t>p</w:t>
      </w:r>
      <w:r>
        <w:rPr>
          <w:vertAlign w:val="subscript"/>
        </w:rPr>
        <w:t>em</w:t>
      </w:r>
      <w:r>
        <w:t>采用Springer关系</w:t>
      </w:r>
      <w:r>
        <w:rPr>
          <w:rFonts w:hint="eastAsia"/>
        </w:rPr>
        <w:t>，式中</w:t>
      </w:r>
      <w:r>
        <w:rPr>
          <w:i/>
          <w:iCs/>
        </w:rPr>
        <w:t>κ</w:t>
      </w:r>
      <w:r>
        <w:rPr>
          <w:rFonts w:hint="eastAsia"/>
          <w:vertAlign w:val="subscript"/>
        </w:rPr>
        <w:t>p</w:t>
      </w:r>
      <w:r>
        <w:rPr>
          <w:vertAlign w:val="subscript"/>
        </w:rPr>
        <w:t>em</w:t>
      </w:r>
      <w:r>
        <w:t>的单位为S</w:t>
      </w:r>
      <w:r>
        <w:rPr>
          <w:rFonts w:cs="Times New Roman"/>
        </w:rPr>
        <w:t>·</w:t>
      </w:r>
      <w:r>
        <w:t>m</w:t>
      </w:r>
      <w:r>
        <w:rPr>
          <w:vertAlign w:val="superscript"/>
        </w:rPr>
        <w:t>−1</w:t>
      </w:r>
      <w:r>
        <w:t>：</w:t>
      </w:r>
    </w:p>
    <w:p w14:paraId="5A6621A1">
      <w:pPr>
        <w:pStyle w:val="30"/>
        <w:spacing w:before="0" w:beforeLines="0" w:after="0" w:afterLines="0"/>
        <w:ind w:firstLine="360"/>
      </w:pPr>
      <w:r>
        <w:rPr>
          <w:rFonts w:hint="eastAsia"/>
        </w:rPr>
        <w:tab/>
      </w:r>
      <w:r>
        <w:rPr>
          <w:rFonts w:hint="eastAsia"/>
          <w:position w:val="-30"/>
        </w:rPr>
        <w:object>
          <v:shape id="_x0000_i1081" o:spt="75" type="#_x0000_t75" style="height:36.25pt;width:246.7pt;" o:ole="t" filled="f" o:preferrelative="t" stroked="f" coordsize="21600,21600">
            <v:path/>
            <v:fill on="f" focussize="0,0"/>
            <v:stroke on="f" joinstyle="miter"/>
            <v:imagedata r:id="rId129" o:title=""/>
            <o:lock v:ext="edit" aspectratio="t"/>
            <w10:wrap type="none"/>
            <w10:anchorlock/>
          </v:shape>
          <o:OLEObject Type="Embed" ProgID="Equation.DSMT4" ShapeID="_x0000_i1081" DrawAspect="Content" ObjectID="_1468075781" r:id="rId128">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42</w:instrText>
      </w:r>
      <w:r>
        <w:rPr>
          <w:rFonts w:hint="eastAsia"/>
        </w:rPr>
        <w:fldChar w:fldCharType="end"/>
      </w:r>
      <w:r>
        <w:rPr>
          <w:rFonts w:hint="eastAsia"/>
        </w:rPr>
        <w:instrText xml:space="preserve">)</w:instrText>
      </w:r>
      <w:r>
        <w:rPr>
          <w:rFonts w:hint="eastAsia"/>
        </w:rPr>
        <w:fldChar w:fldCharType="end"/>
      </w:r>
    </w:p>
    <w:p w14:paraId="1B250BC9">
      <w:pPr>
        <w:ind w:firstLine="480"/>
      </w:pPr>
      <w:r>
        <w:t>（4）浓差损失</w:t>
      </w:r>
      <w:r>
        <w:rPr>
          <w:rFonts w:hint="eastAsia"/>
          <w:position w:val="-10"/>
        </w:rPr>
        <w:object>
          <v:shape id="_x0000_i1082" o:spt="75" type="#_x0000_t75" style="height:18.15pt;width:20.15pt;" o:ole="t" filled="f" o:preferrelative="t" stroked="f" coordsize="21600,21600">
            <v:path/>
            <v:fill on="f" focussize="0,0"/>
            <v:stroke on="f" joinstyle="miter"/>
            <v:imagedata r:id="rId131" o:title=""/>
            <o:lock v:ext="edit" aspectratio="t"/>
            <w10:wrap type="none"/>
            <w10:anchorlock/>
          </v:shape>
          <o:OLEObject Type="Embed" ProgID="Equation.DSMT4" ShapeID="_x0000_i1082" DrawAspect="Content" ObjectID="_1468075782" r:id="rId130">
            <o:LockedField>false</o:LockedField>
          </o:OLEObject>
        </w:object>
      </w:r>
    </w:p>
    <w:p w14:paraId="7741DFE1">
      <w:pPr>
        <w:ind w:firstLine="480"/>
      </w:pPr>
      <w:r>
        <w:t>浓差损失表示氧气传输受限造成的电压下降：</w:t>
      </w:r>
    </w:p>
    <w:p w14:paraId="3536ADFB">
      <w:pPr>
        <w:pStyle w:val="30"/>
        <w:spacing w:before="0" w:beforeLines="0" w:after="0" w:afterLines="0"/>
        <w:ind w:firstLine="360"/>
      </w:pPr>
      <w:r>
        <w:rPr>
          <w:rFonts w:hint="eastAsia"/>
        </w:rPr>
        <w:tab/>
      </w:r>
      <w:r>
        <w:rPr>
          <w:rFonts w:hint="eastAsia"/>
          <w:position w:val="-30"/>
        </w:rPr>
        <w:object>
          <v:shape id="_x0000_i1083" o:spt="75" type="#_x0000_t75" style="height:36.25pt;width:119.85pt;" o:ole="t" filled="f" o:preferrelative="t" stroked="f" coordsize="21600,21600">
            <v:path/>
            <v:fill on="f" focussize="0,0"/>
            <v:stroke on="f" joinstyle="miter"/>
            <v:imagedata r:id="rId133" o:title=""/>
            <o:lock v:ext="edit" aspectratio="t"/>
            <w10:wrap type="none"/>
            <w10:anchorlock/>
          </v:shape>
          <o:OLEObject Type="Embed" ProgID="Equation.DSMT4" ShapeID="_x0000_i1083" DrawAspect="Content" ObjectID="_1468075783" r:id="rId132">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43</w:instrText>
      </w:r>
      <w:r>
        <w:rPr>
          <w:rFonts w:hint="eastAsia"/>
        </w:rPr>
        <w:fldChar w:fldCharType="end"/>
      </w:r>
      <w:r>
        <w:rPr>
          <w:rFonts w:hint="eastAsia"/>
        </w:rPr>
        <w:instrText xml:space="preserve">)</w:instrText>
      </w:r>
      <w:r>
        <w:rPr>
          <w:rFonts w:hint="eastAsia"/>
        </w:rPr>
        <w:fldChar w:fldCharType="end"/>
      </w:r>
    </w:p>
    <w:p w14:paraId="0DBD37C0">
      <w:pPr>
        <w:ind w:firstLine="480"/>
      </w:pPr>
      <w:r>
        <w:t>极限电流密度</w:t>
      </w:r>
      <w:r>
        <w:rPr>
          <w:rFonts w:hint="eastAsia"/>
          <w:position w:val="-10"/>
        </w:rPr>
        <w:object>
          <v:shape id="_x0000_i1084" o:spt="75" type="#_x0000_t75" style="height:18.15pt;width:18.15pt;" o:ole="t" filled="f" o:preferrelative="t" stroked="f" coordsize="21600,21600">
            <v:path/>
            <v:fill on="f" focussize="0,0"/>
            <v:stroke on="f" joinstyle="miter"/>
            <v:imagedata r:id="rId135" o:title=""/>
            <o:lock v:ext="edit" aspectratio="t"/>
            <w10:wrap type="none"/>
            <w10:anchorlock/>
          </v:shape>
          <o:OLEObject Type="Embed" ProgID="Equation.DSMT4" ShapeID="_x0000_i1084" DrawAspect="Content" ObjectID="_1468075784" r:id="rId134">
            <o:LockedField>false</o:LockedField>
          </o:OLEObject>
        </w:object>
      </w:r>
      <w:r>
        <w:t>为</w:t>
      </w:r>
    </w:p>
    <w:p w14:paraId="2F1071C1">
      <w:pPr>
        <w:pStyle w:val="30"/>
        <w:spacing w:before="0" w:beforeLines="0" w:after="0" w:afterLines="0"/>
        <w:ind w:firstLine="360"/>
      </w:pPr>
      <w:r>
        <w:rPr>
          <w:rFonts w:hint="eastAsia"/>
        </w:rPr>
        <w:tab/>
      </w:r>
      <w:r>
        <w:rPr>
          <w:rFonts w:hint="eastAsia"/>
          <w:position w:val="-26"/>
        </w:rPr>
        <w:object>
          <v:shape id="_x0000_i1085" o:spt="75" type="#_x0000_t75" style="height:32.2pt;width:111.8pt;" o:ole="t" filled="f" o:preferrelative="t" stroked="f" coordsize="21600,21600">
            <v:path/>
            <v:fill on="f" focussize="0,0"/>
            <v:stroke on="f" joinstyle="miter"/>
            <v:imagedata r:id="rId137" o:title=""/>
            <o:lock v:ext="edit" aspectratio="t"/>
            <w10:wrap type="none"/>
            <w10:anchorlock/>
          </v:shape>
          <o:OLEObject Type="Embed" ProgID="Equation.DSMT4" ShapeID="_x0000_i1085" DrawAspect="Content" ObjectID="_1468075785" r:id="rId136">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44</w:instrText>
      </w:r>
      <w:r>
        <w:rPr>
          <w:rFonts w:hint="eastAsia"/>
        </w:rPr>
        <w:fldChar w:fldCharType="end"/>
      </w:r>
      <w:r>
        <w:rPr>
          <w:rFonts w:hint="eastAsia"/>
        </w:rPr>
        <w:instrText xml:space="preserve">)</w:instrText>
      </w:r>
      <w:r>
        <w:rPr>
          <w:rFonts w:hint="eastAsia"/>
        </w:rPr>
        <w:fldChar w:fldCharType="end"/>
      </w:r>
    </w:p>
    <w:p w14:paraId="24E8CB03">
      <w:pPr>
        <w:ind w:firstLine="0" w:firstLineChars="0"/>
      </w:pPr>
      <w:r>
        <w:rPr>
          <w:rFonts w:hint="eastAsia"/>
        </w:rPr>
        <w:t>式中</w:t>
      </w:r>
      <w:r>
        <w:t>，</w:t>
      </w:r>
      <w:r>
        <w:rPr>
          <w:i/>
          <w:iCs/>
        </w:rPr>
        <w:t>c</w:t>
      </w:r>
      <w:r>
        <w:rPr>
          <w:vertAlign w:val="subscript"/>
        </w:rPr>
        <w:t>O</w:t>
      </w:r>
      <w:r>
        <w:rPr>
          <w:sz w:val="20"/>
          <w:szCs w:val="18"/>
          <w:vertAlign w:val="subscript"/>
        </w:rPr>
        <w:t>2,</w:t>
      </w:r>
      <w:r>
        <w:rPr>
          <w:vertAlign w:val="subscript"/>
        </w:rPr>
        <w:t>cCL</w:t>
      </w:r>
      <w:r>
        <w:t>由式（</w:t>
      </w:r>
      <w:r>
        <w:rPr>
          <w:rFonts w:hint="eastAsia"/>
        </w:rPr>
        <w:t>13</w:t>
      </w:r>
      <w:r>
        <w:t>）求得，</w:t>
      </w:r>
      <w:r>
        <w:rPr>
          <w:i/>
          <w:iCs/>
        </w:rPr>
        <w:t>L</w:t>
      </w:r>
      <w:r>
        <w:rPr>
          <w:vertAlign w:val="subscript"/>
        </w:rPr>
        <w:t>diff</w:t>
      </w:r>
      <w:r>
        <w:t>为阴极侧等效扩散距离，由附件1中的层厚度确定。</w:t>
      </w:r>
    </w:p>
    <w:p w14:paraId="11C0FA06">
      <w:pPr>
        <w:ind w:firstLine="489"/>
        <w:rPr>
          <w:b/>
          <w:bCs/>
        </w:rPr>
      </w:pPr>
      <w:r>
        <w:rPr>
          <w:rFonts w:hint="eastAsia"/>
          <w:b/>
          <w:bCs/>
        </w:rPr>
        <w:t>1</w:t>
      </w:r>
      <w:r>
        <w:rPr>
          <w:b/>
          <w:bCs/>
        </w:rPr>
        <w:t>.7 初始条件和边界条件</w:t>
      </w:r>
    </w:p>
    <w:p w14:paraId="33447A0B">
      <w:pPr>
        <w:ind w:firstLine="480"/>
      </w:pPr>
      <w:r>
        <w:t>初始条件为</w:t>
      </w:r>
    </w:p>
    <w:p w14:paraId="650AC4DF">
      <w:pPr>
        <w:pStyle w:val="30"/>
        <w:spacing w:before="0" w:beforeLines="0" w:after="0" w:afterLines="0"/>
        <w:ind w:firstLine="360"/>
      </w:pPr>
      <w:r>
        <w:rPr>
          <w:rFonts w:hint="eastAsia"/>
        </w:rPr>
        <w:tab/>
      </w:r>
      <w:r>
        <w:rPr>
          <w:rFonts w:hint="eastAsia"/>
          <w:position w:val="-10"/>
        </w:rPr>
        <w:object>
          <v:shape id="_x0000_i1086" o:spt="75" type="#_x0000_t75" style="height:18.15pt;width:175.7pt;" o:ole="t" filled="f" o:preferrelative="t" stroked="f" coordsize="21600,21600">
            <v:path/>
            <v:fill on="f" focussize="0,0"/>
            <v:stroke on="f" joinstyle="miter"/>
            <v:imagedata r:id="rId139" o:title=""/>
            <o:lock v:ext="edit" aspectratio="t"/>
            <w10:wrap type="none"/>
            <w10:anchorlock/>
          </v:shape>
          <o:OLEObject Type="Embed" ProgID="Equation.DSMT4" ShapeID="_x0000_i1086" DrawAspect="Content" ObjectID="_1468075786" r:id="rId138">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45</w:instrText>
      </w:r>
      <w:r>
        <w:rPr>
          <w:rFonts w:hint="eastAsia"/>
        </w:rPr>
        <w:fldChar w:fldCharType="end"/>
      </w:r>
      <w:r>
        <w:rPr>
          <w:rFonts w:hint="eastAsia"/>
        </w:rPr>
        <w:instrText xml:space="preserve">)</w:instrText>
      </w:r>
      <w:r>
        <w:rPr>
          <w:rFonts w:hint="eastAsia"/>
        </w:rPr>
        <w:fldChar w:fldCharType="end"/>
      </w:r>
    </w:p>
    <w:p w14:paraId="692F86C9">
      <w:pPr>
        <w:pStyle w:val="30"/>
        <w:spacing w:before="0" w:beforeLines="0" w:after="0" w:afterLines="0"/>
        <w:ind w:firstLine="360"/>
      </w:pPr>
      <w:r>
        <w:rPr>
          <w:rFonts w:hint="eastAsia"/>
        </w:rPr>
        <w:tab/>
      </w:r>
      <w:r>
        <w:rPr>
          <w:rFonts w:hint="eastAsia"/>
          <w:position w:val="-10"/>
        </w:rPr>
        <w:object>
          <v:shape id="_x0000_i1087" o:spt="75" type="#_x0000_t75" style="height:18.15pt;width:195.85pt;" o:ole="t" filled="f" o:preferrelative="t" stroked="f" coordsize="21600,21600">
            <v:path/>
            <v:fill on="f" focussize="0,0"/>
            <v:stroke on="f" joinstyle="miter"/>
            <v:imagedata r:id="rId141" o:title=""/>
            <o:lock v:ext="edit" aspectratio="t"/>
            <w10:wrap type="none"/>
            <w10:anchorlock/>
          </v:shape>
          <o:OLEObject Type="Embed" ProgID="Equation.DSMT4" ShapeID="_x0000_i1087" DrawAspect="Content" ObjectID="_1468075787" r:id="rId140">
            <o:LockedField>false</o:LockedField>
          </o:OLEObject>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rPr>
          <w:rFonts w:hint="eastAsia"/>
        </w:rPr>
        <w:instrText xml:space="preserve">46</w:instrText>
      </w:r>
      <w:r>
        <w:rPr>
          <w:rFonts w:hint="eastAsia"/>
        </w:rPr>
        <w:fldChar w:fldCharType="end"/>
      </w:r>
      <w:r>
        <w:rPr>
          <w:rFonts w:hint="eastAsia"/>
        </w:rPr>
        <w:instrText xml:space="preserve">)</w:instrText>
      </w:r>
      <w:r>
        <w:rPr>
          <w:rFonts w:hint="eastAsia"/>
        </w:rPr>
        <w:fldChar w:fldCharType="end"/>
      </w:r>
    </w:p>
    <w:p w14:paraId="5F52BCD0">
      <w:pPr>
        <w:ind w:firstLine="480"/>
      </w:pPr>
      <w:r>
        <w:t>阳极和阴极外边界的气体浓度由入口压力、温度和气体组成确定。各功能层交界面满足气体通量、水通量和热流连续条件。</w:t>
      </w:r>
    </w:p>
    <w:p w14:paraId="3005464D">
      <w:pPr>
        <w:ind w:firstLine="480"/>
      </w:pPr>
      <w:r>
        <w:t>上述方程构成常温、非冻结条件下的一维</w:t>
      </w:r>
      <w:r>
        <w:rPr>
          <w:rFonts w:hint="eastAsia" w:cs="Times New Roman"/>
        </w:rPr>
        <w:t>氢燃料电池</w:t>
      </w:r>
      <w:r>
        <w:t>基准模型</w:t>
      </w:r>
      <w:r>
        <w:rPr>
          <w:rFonts w:hint="eastAsia"/>
        </w:rPr>
        <w:t>，</w:t>
      </w:r>
      <w:r>
        <w:t>附件1中未给出的参数，可参考文献自行选取</w:t>
      </w:r>
      <w:r>
        <w:rPr>
          <w:rFonts w:hint="eastAsia"/>
          <w:vertAlign w:val="superscript"/>
        </w:rPr>
        <w:t>[3]</w:t>
      </w:r>
      <w:r>
        <w:t>，并应注明参数来源及取值依据。</w:t>
      </w:r>
    </w:p>
    <w:p w14:paraId="02374126">
      <w:pPr>
        <w:pStyle w:val="11"/>
        <w:spacing w:before="156" w:beforeLines="50" w:after="156" w:afterLines="50"/>
        <w:rPr>
          <w:rFonts w:cs="Times New Roman"/>
          <w:b/>
          <w:bCs/>
          <w:sz w:val="24"/>
          <w:szCs w:val="32"/>
          <w:lang w:eastAsia="zh-CN"/>
        </w:rPr>
      </w:pPr>
      <w:bookmarkStart w:id="8" w:name="_Hlk236958455"/>
      <w:r>
        <w:rPr>
          <w:rFonts w:hint="eastAsia" w:cs="Times New Roman"/>
          <w:b/>
          <w:bCs/>
          <w:color w:val="auto"/>
          <w:kern w:val="2"/>
          <w:sz w:val="24"/>
          <w:szCs w:val="22"/>
          <w:lang w:eastAsia="zh-CN"/>
        </w:rPr>
        <w:t>备注2：</w:t>
      </w:r>
      <w:r>
        <w:rPr>
          <w:rFonts w:cs="Times New Roman"/>
          <w:b/>
          <w:bCs/>
          <w:sz w:val="24"/>
          <w:szCs w:val="32"/>
          <w:lang w:eastAsia="zh-CN"/>
        </w:rPr>
        <w:t>一维单电池瞬态冷启动模型主要变量及其耦合关系</w:t>
      </w:r>
    </w:p>
    <w:p w14:paraId="245DA6B1">
      <w:pPr>
        <w:pStyle w:val="11"/>
        <w:spacing w:before="0" w:after="0"/>
        <w:ind w:firstLine="480" w:firstLineChars="200"/>
        <w:jc w:val="both"/>
        <w:rPr>
          <w:rFonts w:cs="Times New Roman"/>
          <w:color w:val="auto"/>
          <w:kern w:val="2"/>
          <w:sz w:val="24"/>
          <w:szCs w:val="22"/>
          <w:lang w:eastAsia="zh-CN"/>
        </w:rPr>
      </w:pPr>
      <w:r>
        <w:rPr>
          <w:rFonts w:cs="Times New Roman"/>
          <w:color w:val="auto"/>
          <w:kern w:val="2"/>
          <w:sz w:val="24"/>
          <w:szCs w:val="22"/>
          <w:lang w:eastAsia="zh-CN"/>
        </w:rPr>
        <w:t>本图仅给出一维单电池瞬态冷启动模型的主要变量及基本耦合关系，参赛队可结合备注1中的控制方程、物性参数、源项及边界条件等内容，在此基础上进一步补充和完善模型耦合关系。</w:t>
      </w:r>
    </w:p>
    <w:bookmarkEnd w:id="8"/>
    <w:p w14:paraId="2B980652">
      <w:pPr>
        <w:spacing w:before="156" w:beforeLines="50" w:after="156" w:afterLines="50"/>
        <w:ind w:firstLine="0" w:firstLineChars="0"/>
        <w:jc w:val="center"/>
        <w:rPr>
          <w:b/>
          <w:bCs/>
        </w:rPr>
      </w:pPr>
      <w:r>
        <w:rPr>
          <w:b/>
          <w:bCs/>
        </w:rPr>
        <w:drawing>
          <wp:inline distT="0" distB="0" distL="0" distR="0">
            <wp:extent cx="5274310" cy="3164840"/>
            <wp:effectExtent l="0" t="0" r="2540" b="0"/>
            <wp:docPr id="4"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示&#10;&#10;描述已自动生成"/>
                    <pic:cNvPicPr>
                      <a:picLocks noChangeAspect="1"/>
                    </pic:cNvPicPr>
                  </pic:nvPicPr>
                  <pic:blipFill>
                    <a:blip r:embed="rId142"/>
                    <a:stretch>
                      <a:fillRect/>
                    </a:stretch>
                  </pic:blipFill>
                  <pic:spPr>
                    <a:xfrm>
                      <a:off x="0" y="0"/>
                      <a:ext cx="5274310" cy="3164840"/>
                    </a:xfrm>
                    <a:prstGeom prst="rect">
                      <a:avLst/>
                    </a:prstGeom>
                  </pic:spPr>
                </pic:pic>
              </a:graphicData>
            </a:graphic>
          </wp:inline>
        </w:drawing>
      </w:r>
    </w:p>
    <w:p w14:paraId="554D81FA">
      <w:pPr>
        <w:spacing w:before="156" w:beforeLines="50" w:after="156" w:afterLines="50"/>
        <w:ind w:firstLine="0" w:firstLineChars="0"/>
        <w:rPr>
          <w:b/>
          <w:bCs/>
        </w:rPr>
      </w:pPr>
      <w:r>
        <w:rPr>
          <w:rFonts w:hint="eastAsia"/>
          <w:b/>
          <w:bCs/>
        </w:rPr>
        <w:t>备注3：人工智能软件辅助答题规范</w:t>
      </w:r>
    </w:p>
    <w:p w14:paraId="641FACAE">
      <w:pPr>
        <w:ind w:firstLine="480"/>
      </w:pPr>
      <w:r>
        <w:rPr>
          <w:rFonts w:hint="eastAsia"/>
        </w:rPr>
        <w:t>以大模型为代表的人工智能软件（诸如ChatGPT、Perplexity、文心一言、通义千问等）已经在人们的生产生活不同方面崭露头角。如果你在回答上述问题时采用了人工智能软件，请遵循以下原则：</w:t>
      </w:r>
    </w:p>
    <w:p w14:paraId="2E306DEC">
      <w:pPr>
        <w:ind w:firstLine="480"/>
      </w:pPr>
      <w:r>
        <w:rPr>
          <w:rFonts w:hint="eastAsia"/>
        </w:rPr>
        <w:t>1. 把人工智能软件作为答题的辅助工具，而非主导手段。人工智能软件可以在信息搜集、开拓思路、和工具学习等方面助一臂之力，但是不可以替代你们的独立思考。</w:t>
      </w:r>
    </w:p>
    <w:p w14:paraId="12F5C0FE">
      <w:pPr>
        <w:ind w:firstLine="480"/>
      </w:pPr>
      <w:r>
        <w:rPr>
          <w:rFonts w:hint="eastAsia"/>
        </w:rPr>
        <w:t>2. 对人工智能软件的输出应当先理解，再利用。最终呈现在解答中的内容，应当是你们自己的语言。如果在查重检测中发现你们论文使用人工智能软件与其他参赛队的输出内容雷同，将被判为违规，并按竞赛规定受到处罚。</w:t>
      </w:r>
    </w:p>
    <w:p w14:paraId="78F983F9">
      <w:pPr>
        <w:ind w:firstLine="480"/>
      </w:pPr>
      <w:r>
        <w:rPr>
          <w:rFonts w:hint="eastAsia"/>
        </w:rPr>
        <w:t>3. 在使用人工智能软件辅助论文写作中，正文和数学模型及公式引用出处应是正式发表的文献或输入论文所提供的网址可在网上查询到的内容，而非引用人工智能软件得到的内容或结果。</w:t>
      </w:r>
    </w:p>
    <w:p w14:paraId="27982430">
      <w:pPr>
        <w:ind w:firstLine="480"/>
      </w:pPr>
      <w:r>
        <w:rPr>
          <w:rFonts w:hint="eastAsia"/>
        </w:rPr>
        <w:t>4. 披露对人工智能软件的使用情况。答题过程中，如果使用了人工智能技术，请在正文最后以附录形式披露所采用的人工智能软件、提供的输入及对输出的后续处理策略，内容包括但不限于算法组合采用的开发框架、开源软件、算法逻辑中的技术路线、假设条件、参数与超参数等。</w:t>
      </w:r>
    </w:p>
    <w:p w14:paraId="2B447344">
      <w:pPr>
        <w:pStyle w:val="11"/>
        <w:spacing w:before="156" w:beforeLines="50" w:after="156" w:afterLines="50"/>
        <w:rPr>
          <w:rFonts w:cs="Times New Roman"/>
          <w:b/>
          <w:bCs/>
          <w:color w:val="auto"/>
          <w:kern w:val="2"/>
          <w:sz w:val="24"/>
          <w:szCs w:val="22"/>
          <w:lang w:eastAsia="zh-CN"/>
        </w:rPr>
      </w:pPr>
      <w:r>
        <w:rPr>
          <w:rFonts w:hint="eastAsia" w:cs="Times New Roman"/>
          <w:b/>
          <w:bCs/>
          <w:color w:val="auto"/>
          <w:kern w:val="2"/>
          <w:sz w:val="24"/>
          <w:szCs w:val="22"/>
          <w:lang w:eastAsia="zh-CN"/>
        </w:rPr>
        <w:t>备注4：关于附件的要求</w:t>
      </w:r>
    </w:p>
    <w:p w14:paraId="63912FB8">
      <w:pPr>
        <w:ind w:firstLine="480"/>
      </w:pPr>
      <w:r>
        <w:rPr>
          <w:rFonts w:hint="eastAsia"/>
        </w:rPr>
        <w:t>本题要求参赛队将问题1、问题2、问题3和问题4的程序代码以附件方式提交，将四个问题的程序代码合并成一个压缩包附件提交，压缩包文件以“B+队号”命名（正文中无需提供程序代码）。</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Wingdings">
    <w:panose1 w:val="05000000000000000000"/>
    <w:charset w:val="00"/>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5016233"/>
      <w:docPartObj>
        <w:docPartGallery w:val="AutoText"/>
      </w:docPartObj>
    </w:sdtPr>
    <w:sdtContent>
      <w:sdt>
        <w:sdtPr>
          <w:id w:val="1728636285"/>
          <w:docPartObj>
            <w:docPartGallery w:val="AutoText"/>
          </w:docPartObj>
        </w:sdtPr>
        <w:sdtContent>
          <w:p w14:paraId="07622C25">
            <w:pPr>
              <w:pStyle w:val="12"/>
              <w:ind w:firstLine="360"/>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310C0E9A">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FD78F">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F59C5">
    <w:pPr>
      <w:pStyle w:val="1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DFA4A">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D1559">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105A0">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605CC4"/>
    <w:multiLevelType w:val="multilevel"/>
    <w:tmpl w:val="1F605CC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21671CC1"/>
    <w:multiLevelType w:val="multilevel"/>
    <w:tmpl w:val="21671CC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29D2412"/>
    <w:multiLevelType w:val="multilevel"/>
    <w:tmpl w:val="229D2412"/>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
    <w:nsid w:val="5913655F"/>
    <w:multiLevelType w:val="multilevel"/>
    <w:tmpl w:val="5913655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300"/>
    <w:rsid w:val="0000165B"/>
    <w:rsid w:val="000027E9"/>
    <w:rsid w:val="0000463B"/>
    <w:rsid w:val="00007189"/>
    <w:rsid w:val="00010709"/>
    <w:rsid w:val="000122E0"/>
    <w:rsid w:val="000141C3"/>
    <w:rsid w:val="0001654E"/>
    <w:rsid w:val="00017221"/>
    <w:rsid w:val="00020DE8"/>
    <w:rsid w:val="00021AB8"/>
    <w:rsid w:val="00024FDE"/>
    <w:rsid w:val="00026BB6"/>
    <w:rsid w:val="00033410"/>
    <w:rsid w:val="000343CD"/>
    <w:rsid w:val="00034DA1"/>
    <w:rsid w:val="00035A1F"/>
    <w:rsid w:val="00035CA8"/>
    <w:rsid w:val="00036704"/>
    <w:rsid w:val="00036CA1"/>
    <w:rsid w:val="00044A95"/>
    <w:rsid w:val="000506C7"/>
    <w:rsid w:val="00052AE3"/>
    <w:rsid w:val="000538B4"/>
    <w:rsid w:val="0005504F"/>
    <w:rsid w:val="00055C5F"/>
    <w:rsid w:val="0006091C"/>
    <w:rsid w:val="000617B3"/>
    <w:rsid w:val="00062CEF"/>
    <w:rsid w:val="00063D83"/>
    <w:rsid w:val="000643AB"/>
    <w:rsid w:val="00065E75"/>
    <w:rsid w:val="0007012D"/>
    <w:rsid w:val="000734EC"/>
    <w:rsid w:val="0007443C"/>
    <w:rsid w:val="000779D3"/>
    <w:rsid w:val="000821B3"/>
    <w:rsid w:val="000823A1"/>
    <w:rsid w:val="000854B2"/>
    <w:rsid w:val="000854C9"/>
    <w:rsid w:val="00091246"/>
    <w:rsid w:val="000924AF"/>
    <w:rsid w:val="00092BAA"/>
    <w:rsid w:val="0009505C"/>
    <w:rsid w:val="00095BCA"/>
    <w:rsid w:val="000975DF"/>
    <w:rsid w:val="000979E8"/>
    <w:rsid w:val="000A0F76"/>
    <w:rsid w:val="000A244D"/>
    <w:rsid w:val="000A5F9B"/>
    <w:rsid w:val="000A6E42"/>
    <w:rsid w:val="000A7433"/>
    <w:rsid w:val="000A7DAB"/>
    <w:rsid w:val="000B0630"/>
    <w:rsid w:val="000B0F0A"/>
    <w:rsid w:val="000B0FA3"/>
    <w:rsid w:val="000B130E"/>
    <w:rsid w:val="000B1342"/>
    <w:rsid w:val="000B143C"/>
    <w:rsid w:val="000B1976"/>
    <w:rsid w:val="000B27E5"/>
    <w:rsid w:val="000B396C"/>
    <w:rsid w:val="000B4B4B"/>
    <w:rsid w:val="000C2A7D"/>
    <w:rsid w:val="000C2CD0"/>
    <w:rsid w:val="000C2EBB"/>
    <w:rsid w:val="000C37D7"/>
    <w:rsid w:val="000C5F57"/>
    <w:rsid w:val="000C6345"/>
    <w:rsid w:val="000C7A4A"/>
    <w:rsid w:val="000D11ED"/>
    <w:rsid w:val="000D34D2"/>
    <w:rsid w:val="000D39C7"/>
    <w:rsid w:val="000D68F0"/>
    <w:rsid w:val="000E0384"/>
    <w:rsid w:val="000E120A"/>
    <w:rsid w:val="000E67E0"/>
    <w:rsid w:val="000E725C"/>
    <w:rsid w:val="000F0A93"/>
    <w:rsid w:val="000F2690"/>
    <w:rsid w:val="000F6E66"/>
    <w:rsid w:val="001033FE"/>
    <w:rsid w:val="00104347"/>
    <w:rsid w:val="00107092"/>
    <w:rsid w:val="001072D8"/>
    <w:rsid w:val="00107C12"/>
    <w:rsid w:val="00110070"/>
    <w:rsid w:val="001102E3"/>
    <w:rsid w:val="001102EA"/>
    <w:rsid w:val="00113798"/>
    <w:rsid w:val="00113D26"/>
    <w:rsid w:val="001140DF"/>
    <w:rsid w:val="001172C9"/>
    <w:rsid w:val="001173EC"/>
    <w:rsid w:val="00117F6D"/>
    <w:rsid w:val="00117FCE"/>
    <w:rsid w:val="0012006F"/>
    <w:rsid w:val="00121CBE"/>
    <w:rsid w:val="001227AB"/>
    <w:rsid w:val="00123065"/>
    <w:rsid w:val="00123469"/>
    <w:rsid w:val="001236D6"/>
    <w:rsid w:val="001242E0"/>
    <w:rsid w:val="00124ACD"/>
    <w:rsid w:val="00125391"/>
    <w:rsid w:val="0013022A"/>
    <w:rsid w:val="00132D18"/>
    <w:rsid w:val="0013324C"/>
    <w:rsid w:val="001338DF"/>
    <w:rsid w:val="00135025"/>
    <w:rsid w:val="00135581"/>
    <w:rsid w:val="00135F35"/>
    <w:rsid w:val="001373DD"/>
    <w:rsid w:val="00143AEA"/>
    <w:rsid w:val="00143D34"/>
    <w:rsid w:val="001440E7"/>
    <w:rsid w:val="0014485E"/>
    <w:rsid w:val="00145511"/>
    <w:rsid w:val="00150278"/>
    <w:rsid w:val="001543DB"/>
    <w:rsid w:val="001576EE"/>
    <w:rsid w:val="00164B7B"/>
    <w:rsid w:val="00167551"/>
    <w:rsid w:val="00167C96"/>
    <w:rsid w:val="0017032B"/>
    <w:rsid w:val="001708D8"/>
    <w:rsid w:val="0017157D"/>
    <w:rsid w:val="0017228C"/>
    <w:rsid w:val="00172A25"/>
    <w:rsid w:val="00173D75"/>
    <w:rsid w:val="00174CD6"/>
    <w:rsid w:val="001758EA"/>
    <w:rsid w:val="00175FDF"/>
    <w:rsid w:val="00176861"/>
    <w:rsid w:val="001803C1"/>
    <w:rsid w:val="00181631"/>
    <w:rsid w:val="00182358"/>
    <w:rsid w:val="001827A8"/>
    <w:rsid w:val="00187046"/>
    <w:rsid w:val="00190E22"/>
    <w:rsid w:val="00195447"/>
    <w:rsid w:val="00195BC6"/>
    <w:rsid w:val="001A1ECC"/>
    <w:rsid w:val="001A2DC3"/>
    <w:rsid w:val="001A44C8"/>
    <w:rsid w:val="001A5BC1"/>
    <w:rsid w:val="001A631B"/>
    <w:rsid w:val="001A68D6"/>
    <w:rsid w:val="001A70A9"/>
    <w:rsid w:val="001B2489"/>
    <w:rsid w:val="001B5A44"/>
    <w:rsid w:val="001C1FC7"/>
    <w:rsid w:val="001C2CA7"/>
    <w:rsid w:val="001C4F76"/>
    <w:rsid w:val="001C57D2"/>
    <w:rsid w:val="001C7FF8"/>
    <w:rsid w:val="001D72DE"/>
    <w:rsid w:val="001D7DF1"/>
    <w:rsid w:val="001E1F90"/>
    <w:rsid w:val="001E326C"/>
    <w:rsid w:val="001E43C9"/>
    <w:rsid w:val="001E5A2F"/>
    <w:rsid w:val="001E62FC"/>
    <w:rsid w:val="001E63E8"/>
    <w:rsid w:val="001F223B"/>
    <w:rsid w:val="001F4882"/>
    <w:rsid w:val="001F5A72"/>
    <w:rsid w:val="001F6F6E"/>
    <w:rsid w:val="001F7852"/>
    <w:rsid w:val="0020095A"/>
    <w:rsid w:val="00201FD7"/>
    <w:rsid w:val="00202D85"/>
    <w:rsid w:val="00204586"/>
    <w:rsid w:val="00210084"/>
    <w:rsid w:val="00210932"/>
    <w:rsid w:val="00210A66"/>
    <w:rsid w:val="00211035"/>
    <w:rsid w:val="00213185"/>
    <w:rsid w:val="00214FBA"/>
    <w:rsid w:val="00216AD9"/>
    <w:rsid w:val="0021755E"/>
    <w:rsid w:val="002217BF"/>
    <w:rsid w:val="00221D1B"/>
    <w:rsid w:val="0022238F"/>
    <w:rsid w:val="00222553"/>
    <w:rsid w:val="00224BDF"/>
    <w:rsid w:val="0023257E"/>
    <w:rsid w:val="002326BC"/>
    <w:rsid w:val="00232FB4"/>
    <w:rsid w:val="002337E5"/>
    <w:rsid w:val="002348DD"/>
    <w:rsid w:val="0023652C"/>
    <w:rsid w:val="00236F1A"/>
    <w:rsid w:val="00236FA9"/>
    <w:rsid w:val="002401B6"/>
    <w:rsid w:val="00242CC4"/>
    <w:rsid w:val="00245255"/>
    <w:rsid w:val="00245288"/>
    <w:rsid w:val="00246556"/>
    <w:rsid w:val="0025069E"/>
    <w:rsid w:val="00250ADC"/>
    <w:rsid w:val="0025277F"/>
    <w:rsid w:val="00252F3D"/>
    <w:rsid w:val="00255126"/>
    <w:rsid w:val="00256145"/>
    <w:rsid w:val="00256725"/>
    <w:rsid w:val="0025674E"/>
    <w:rsid w:val="00257C68"/>
    <w:rsid w:val="00260689"/>
    <w:rsid w:val="00266BBA"/>
    <w:rsid w:val="00270A31"/>
    <w:rsid w:val="00271B9A"/>
    <w:rsid w:val="0027200E"/>
    <w:rsid w:val="00275DD5"/>
    <w:rsid w:val="00276EEB"/>
    <w:rsid w:val="002776AC"/>
    <w:rsid w:val="00277761"/>
    <w:rsid w:val="0027783B"/>
    <w:rsid w:val="002842F4"/>
    <w:rsid w:val="0028492E"/>
    <w:rsid w:val="00284F6A"/>
    <w:rsid w:val="00285703"/>
    <w:rsid w:val="00285F1F"/>
    <w:rsid w:val="002865F5"/>
    <w:rsid w:val="00287324"/>
    <w:rsid w:val="00292B7C"/>
    <w:rsid w:val="002957B9"/>
    <w:rsid w:val="00296D85"/>
    <w:rsid w:val="002A0867"/>
    <w:rsid w:val="002A13ED"/>
    <w:rsid w:val="002A2857"/>
    <w:rsid w:val="002A600F"/>
    <w:rsid w:val="002A66A8"/>
    <w:rsid w:val="002A6C79"/>
    <w:rsid w:val="002B34C9"/>
    <w:rsid w:val="002C17E7"/>
    <w:rsid w:val="002C343B"/>
    <w:rsid w:val="002D33EA"/>
    <w:rsid w:val="002D528A"/>
    <w:rsid w:val="002D75D9"/>
    <w:rsid w:val="002D7937"/>
    <w:rsid w:val="002E0D6F"/>
    <w:rsid w:val="002E1BD5"/>
    <w:rsid w:val="002E2501"/>
    <w:rsid w:val="002E4F22"/>
    <w:rsid w:val="002E59AC"/>
    <w:rsid w:val="002E7736"/>
    <w:rsid w:val="002F03FC"/>
    <w:rsid w:val="002F06E7"/>
    <w:rsid w:val="002F6437"/>
    <w:rsid w:val="003055FB"/>
    <w:rsid w:val="00310107"/>
    <w:rsid w:val="003106B3"/>
    <w:rsid w:val="003136F8"/>
    <w:rsid w:val="00316270"/>
    <w:rsid w:val="003200BA"/>
    <w:rsid w:val="003200C4"/>
    <w:rsid w:val="00333158"/>
    <w:rsid w:val="00333ED4"/>
    <w:rsid w:val="00334875"/>
    <w:rsid w:val="00336CCF"/>
    <w:rsid w:val="003373E6"/>
    <w:rsid w:val="00345CF0"/>
    <w:rsid w:val="003460D0"/>
    <w:rsid w:val="003536F3"/>
    <w:rsid w:val="00353C6C"/>
    <w:rsid w:val="00354903"/>
    <w:rsid w:val="003648B1"/>
    <w:rsid w:val="00364E6D"/>
    <w:rsid w:val="003713E7"/>
    <w:rsid w:val="00372AC9"/>
    <w:rsid w:val="00372C0F"/>
    <w:rsid w:val="00373EE9"/>
    <w:rsid w:val="00373F17"/>
    <w:rsid w:val="003760FF"/>
    <w:rsid w:val="00376219"/>
    <w:rsid w:val="0038210F"/>
    <w:rsid w:val="00390D4D"/>
    <w:rsid w:val="003917F0"/>
    <w:rsid w:val="00394E4B"/>
    <w:rsid w:val="0039598C"/>
    <w:rsid w:val="0039659E"/>
    <w:rsid w:val="00397218"/>
    <w:rsid w:val="003A0C2A"/>
    <w:rsid w:val="003A6F53"/>
    <w:rsid w:val="003B0D4C"/>
    <w:rsid w:val="003B1586"/>
    <w:rsid w:val="003B2D16"/>
    <w:rsid w:val="003B36DB"/>
    <w:rsid w:val="003C0EE9"/>
    <w:rsid w:val="003C10C5"/>
    <w:rsid w:val="003C4D35"/>
    <w:rsid w:val="003C4E23"/>
    <w:rsid w:val="003D0F45"/>
    <w:rsid w:val="003D33AC"/>
    <w:rsid w:val="003D45A6"/>
    <w:rsid w:val="003D4CDB"/>
    <w:rsid w:val="003D5253"/>
    <w:rsid w:val="003E36D7"/>
    <w:rsid w:val="003E4359"/>
    <w:rsid w:val="003E4FEE"/>
    <w:rsid w:val="003E6B64"/>
    <w:rsid w:val="003F3576"/>
    <w:rsid w:val="003F3B48"/>
    <w:rsid w:val="003F4331"/>
    <w:rsid w:val="003F6914"/>
    <w:rsid w:val="003F69B3"/>
    <w:rsid w:val="00401AAA"/>
    <w:rsid w:val="004073A4"/>
    <w:rsid w:val="004079AA"/>
    <w:rsid w:val="0041645F"/>
    <w:rsid w:val="00420221"/>
    <w:rsid w:val="0042033E"/>
    <w:rsid w:val="00421BF2"/>
    <w:rsid w:val="00422D9E"/>
    <w:rsid w:val="00426FE5"/>
    <w:rsid w:val="0043256A"/>
    <w:rsid w:val="00436711"/>
    <w:rsid w:val="00436E25"/>
    <w:rsid w:val="004372DB"/>
    <w:rsid w:val="00437E52"/>
    <w:rsid w:val="00443556"/>
    <w:rsid w:val="0044545B"/>
    <w:rsid w:val="00445F54"/>
    <w:rsid w:val="00450708"/>
    <w:rsid w:val="004507B1"/>
    <w:rsid w:val="00451B05"/>
    <w:rsid w:val="00454DF9"/>
    <w:rsid w:val="00455531"/>
    <w:rsid w:val="004600E9"/>
    <w:rsid w:val="0046030A"/>
    <w:rsid w:val="004613B4"/>
    <w:rsid w:val="004637F3"/>
    <w:rsid w:val="00465635"/>
    <w:rsid w:val="00466BAA"/>
    <w:rsid w:val="00470749"/>
    <w:rsid w:val="004727BA"/>
    <w:rsid w:val="00476351"/>
    <w:rsid w:val="004805FC"/>
    <w:rsid w:val="004823DF"/>
    <w:rsid w:val="0048313C"/>
    <w:rsid w:val="004852B0"/>
    <w:rsid w:val="00485DBD"/>
    <w:rsid w:val="00491FE9"/>
    <w:rsid w:val="00496350"/>
    <w:rsid w:val="004A1F56"/>
    <w:rsid w:val="004A33B6"/>
    <w:rsid w:val="004A3955"/>
    <w:rsid w:val="004A5015"/>
    <w:rsid w:val="004A6E68"/>
    <w:rsid w:val="004A7869"/>
    <w:rsid w:val="004A7A99"/>
    <w:rsid w:val="004B082C"/>
    <w:rsid w:val="004B32D3"/>
    <w:rsid w:val="004B414A"/>
    <w:rsid w:val="004C0131"/>
    <w:rsid w:val="004C20E6"/>
    <w:rsid w:val="004C28D6"/>
    <w:rsid w:val="004C33A7"/>
    <w:rsid w:val="004C38C7"/>
    <w:rsid w:val="004C511D"/>
    <w:rsid w:val="004D73C7"/>
    <w:rsid w:val="004E06C0"/>
    <w:rsid w:val="004E2109"/>
    <w:rsid w:val="004E4EA1"/>
    <w:rsid w:val="004E59B7"/>
    <w:rsid w:val="004E5C2A"/>
    <w:rsid w:val="004E7096"/>
    <w:rsid w:val="004F0E03"/>
    <w:rsid w:val="004F1514"/>
    <w:rsid w:val="004F2A60"/>
    <w:rsid w:val="004F2F1C"/>
    <w:rsid w:val="004F3035"/>
    <w:rsid w:val="004F6214"/>
    <w:rsid w:val="00500F3E"/>
    <w:rsid w:val="005065DE"/>
    <w:rsid w:val="00507899"/>
    <w:rsid w:val="00510529"/>
    <w:rsid w:val="00510FCC"/>
    <w:rsid w:val="00511F1B"/>
    <w:rsid w:val="00515055"/>
    <w:rsid w:val="0051639C"/>
    <w:rsid w:val="005166A6"/>
    <w:rsid w:val="00516894"/>
    <w:rsid w:val="00520A4C"/>
    <w:rsid w:val="005210B7"/>
    <w:rsid w:val="005212E9"/>
    <w:rsid w:val="00523E89"/>
    <w:rsid w:val="00524998"/>
    <w:rsid w:val="00525082"/>
    <w:rsid w:val="005251E6"/>
    <w:rsid w:val="005254EB"/>
    <w:rsid w:val="00525E0C"/>
    <w:rsid w:val="00531702"/>
    <w:rsid w:val="0053601C"/>
    <w:rsid w:val="00540E48"/>
    <w:rsid w:val="0054460B"/>
    <w:rsid w:val="0054549B"/>
    <w:rsid w:val="00547D6A"/>
    <w:rsid w:val="00551063"/>
    <w:rsid w:val="00551883"/>
    <w:rsid w:val="00552602"/>
    <w:rsid w:val="005529B0"/>
    <w:rsid w:val="00554471"/>
    <w:rsid w:val="00556A01"/>
    <w:rsid w:val="0056618F"/>
    <w:rsid w:val="0056619E"/>
    <w:rsid w:val="00566322"/>
    <w:rsid w:val="00566AF7"/>
    <w:rsid w:val="00572FCF"/>
    <w:rsid w:val="0057330B"/>
    <w:rsid w:val="00573310"/>
    <w:rsid w:val="00575491"/>
    <w:rsid w:val="00583A35"/>
    <w:rsid w:val="00584997"/>
    <w:rsid w:val="00585081"/>
    <w:rsid w:val="005905F6"/>
    <w:rsid w:val="005908D0"/>
    <w:rsid w:val="0059540D"/>
    <w:rsid w:val="00596BA6"/>
    <w:rsid w:val="005A6694"/>
    <w:rsid w:val="005A6A98"/>
    <w:rsid w:val="005A6BC7"/>
    <w:rsid w:val="005B0E9B"/>
    <w:rsid w:val="005B13FC"/>
    <w:rsid w:val="005B2D44"/>
    <w:rsid w:val="005C1E78"/>
    <w:rsid w:val="005C2293"/>
    <w:rsid w:val="005C4FBE"/>
    <w:rsid w:val="005C52E4"/>
    <w:rsid w:val="005C5812"/>
    <w:rsid w:val="005D0D31"/>
    <w:rsid w:val="005D1BEF"/>
    <w:rsid w:val="005D58E5"/>
    <w:rsid w:val="005E02ED"/>
    <w:rsid w:val="005E24BE"/>
    <w:rsid w:val="005E260F"/>
    <w:rsid w:val="005E3998"/>
    <w:rsid w:val="005E5297"/>
    <w:rsid w:val="005E6690"/>
    <w:rsid w:val="005F138E"/>
    <w:rsid w:val="005F19AB"/>
    <w:rsid w:val="005F2061"/>
    <w:rsid w:val="005F3CF9"/>
    <w:rsid w:val="005F4F24"/>
    <w:rsid w:val="005F537E"/>
    <w:rsid w:val="005F5C82"/>
    <w:rsid w:val="00600F52"/>
    <w:rsid w:val="0060173E"/>
    <w:rsid w:val="00602F21"/>
    <w:rsid w:val="006037E0"/>
    <w:rsid w:val="00603C7A"/>
    <w:rsid w:val="00605D63"/>
    <w:rsid w:val="0060704C"/>
    <w:rsid w:val="0061387D"/>
    <w:rsid w:val="0061428B"/>
    <w:rsid w:val="0061601E"/>
    <w:rsid w:val="00616C42"/>
    <w:rsid w:val="006177D0"/>
    <w:rsid w:val="00617E6A"/>
    <w:rsid w:val="006224DC"/>
    <w:rsid w:val="006279EF"/>
    <w:rsid w:val="00627A73"/>
    <w:rsid w:val="006307E9"/>
    <w:rsid w:val="00630F0D"/>
    <w:rsid w:val="00632078"/>
    <w:rsid w:val="0063351D"/>
    <w:rsid w:val="00635824"/>
    <w:rsid w:val="00635A1F"/>
    <w:rsid w:val="0063767E"/>
    <w:rsid w:val="00641C06"/>
    <w:rsid w:val="00643839"/>
    <w:rsid w:val="006545A1"/>
    <w:rsid w:val="00661DBB"/>
    <w:rsid w:val="00662901"/>
    <w:rsid w:val="00663B5D"/>
    <w:rsid w:val="00671104"/>
    <w:rsid w:val="00673276"/>
    <w:rsid w:val="006764D7"/>
    <w:rsid w:val="00676E16"/>
    <w:rsid w:val="00685A8A"/>
    <w:rsid w:val="00687E78"/>
    <w:rsid w:val="00694AF5"/>
    <w:rsid w:val="006963D6"/>
    <w:rsid w:val="006A108A"/>
    <w:rsid w:val="006A23E1"/>
    <w:rsid w:val="006A2B13"/>
    <w:rsid w:val="006A4984"/>
    <w:rsid w:val="006A50D2"/>
    <w:rsid w:val="006A5AB5"/>
    <w:rsid w:val="006A6429"/>
    <w:rsid w:val="006B0051"/>
    <w:rsid w:val="006B4059"/>
    <w:rsid w:val="006B41EF"/>
    <w:rsid w:val="006B7614"/>
    <w:rsid w:val="006C0D77"/>
    <w:rsid w:val="006C2F3A"/>
    <w:rsid w:val="006C3180"/>
    <w:rsid w:val="006C349F"/>
    <w:rsid w:val="006C352A"/>
    <w:rsid w:val="006C3B8B"/>
    <w:rsid w:val="006C4270"/>
    <w:rsid w:val="006C79F9"/>
    <w:rsid w:val="006D35BD"/>
    <w:rsid w:val="006D7AC5"/>
    <w:rsid w:val="006E019D"/>
    <w:rsid w:val="006E035E"/>
    <w:rsid w:val="006E0985"/>
    <w:rsid w:val="006E1396"/>
    <w:rsid w:val="006E1FD7"/>
    <w:rsid w:val="006E3653"/>
    <w:rsid w:val="006E36AB"/>
    <w:rsid w:val="006E484B"/>
    <w:rsid w:val="006E4B22"/>
    <w:rsid w:val="006E5C21"/>
    <w:rsid w:val="006E7B52"/>
    <w:rsid w:val="006F1D22"/>
    <w:rsid w:val="006F5054"/>
    <w:rsid w:val="006F7809"/>
    <w:rsid w:val="007007DA"/>
    <w:rsid w:val="007008B4"/>
    <w:rsid w:val="00703A54"/>
    <w:rsid w:val="00707B2B"/>
    <w:rsid w:val="00711254"/>
    <w:rsid w:val="00712AA6"/>
    <w:rsid w:val="007138A1"/>
    <w:rsid w:val="00715839"/>
    <w:rsid w:val="00715850"/>
    <w:rsid w:val="0071603A"/>
    <w:rsid w:val="007162E5"/>
    <w:rsid w:val="007168BB"/>
    <w:rsid w:val="00720518"/>
    <w:rsid w:val="00720A33"/>
    <w:rsid w:val="00724F1B"/>
    <w:rsid w:val="00725144"/>
    <w:rsid w:val="007252E2"/>
    <w:rsid w:val="00725C19"/>
    <w:rsid w:val="00725E2A"/>
    <w:rsid w:val="007260C9"/>
    <w:rsid w:val="0072627B"/>
    <w:rsid w:val="0072654E"/>
    <w:rsid w:val="007275BA"/>
    <w:rsid w:val="007279E3"/>
    <w:rsid w:val="00731EE9"/>
    <w:rsid w:val="007326DD"/>
    <w:rsid w:val="00732DB5"/>
    <w:rsid w:val="00733B37"/>
    <w:rsid w:val="0073594E"/>
    <w:rsid w:val="00740A17"/>
    <w:rsid w:val="00743A08"/>
    <w:rsid w:val="00743D06"/>
    <w:rsid w:val="007453F2"/>
    <w:rsid w:val="0074618E"/>
    <w:rsid w:val="007470F7"/>
    <w:rsid w:val="0074714D"/>
    <w:rsid w:val="00747BA4"/>
    <w:rsid w:val="00752A52"/>
    <w:rsid w:val="00752DF8"/>
    <w:rsid w:val="00755B81"/>
    <w:rsid w:val="0075761F"/>
    <w:rsid w:val="00761FDA"/>
    <w:rsid w:val="007665EE"/>
    <w:rsid w:val="00766DC4"/>
    <w:rsid w:val="0077169A"/>
    <w:rsid w:val="00771FB9"/>
    <w:rsid w:val="00773220"/>
    <w:rsid w:val="007742D1"/>
    <w:rsid w:val="00774F60"/>
    <w:rsid w:val="00777814"/>
    <w:rsid w:val="0078005C"/>
    <w:rsid w:val="00780EDC"/>
    <w:rsid w:val="007829E8"/>
    <w:rsid w:val="00784354"/>
    <w:rsid w:val="00784511"/>
    <w:rsid w:val="007855B4"/>
    <w:rsid w:val="00791A9D"/>
    <w:rsid w:val="007925A3"/>
    <w:rsid w:val="007926F7"/>
    <w:rsid w:val="007963E0"/>
    <w:rsid w:val="00797462"/>
    <w:rsid w:val="00797D18"/>
    <w:rsid w:val="007A07E5"/>
    <w:rsid w:val="007A140D"/>
    <w:rsid w:val="007A247E"/>
    <w:rsid w:val="007A26D6"/>
    <w:rsid w:val="007A35D3"/>
    <w:rsid w:val="007A389A"/>
    <w:rsid w:val="007A5873"/>
    <w:rsid w:val="007A5DCB"/>
    <w:rsid w:val="007A6450"/>
    <w:rsid w:val="007A6769"/>
    <w:rsid w:val="007A6E4E"/>
    <w:rsid w:val="007A7207"/>
    <w:rsid w:val="007B050D"/>
    <w:rsid w:val="007B4949"/>
    <w:rsid w:val="007B5615"/>
    <w:rsid w:val="007B65E3"/>
    <w:rsid w:val="007B6655"/>
    <w:rsid w:val="007B7F5E"/>
    <w:rsid w:val="007C741A"/>
    <w:rsid w:val="007C74F9"/>
    <w:rsid w:val="007D409F"/>
    <w:rsid w:val="007D52BF"/>
    <w:rsid w:val="007D6286"/>
    <w:rsid w:val="007D7F24"/>
    <w:rsid w:val="007E26C3"/>
    <w:rsid w:val="007E35C5"/>
    <w:rsid w:val="007E49D6"/>
    <w:rsid w:val="007E4BCD"/>
    <w:rsid w:val="007E51B8"/>
    <w:rsid w:val="007E54B1"/>
    <w:rsid w:val="007E782E"/>
    <w:rsid w:val="007F1300"/>
    <w:rsid w:val="007F304B"/>
    <w:rsid w:val="007F537E"/>
    <w:rsid w:val="00800AA6"/>
    <w:rsid w:val="008027CF"/>
    <w:rsid w:val="00803A4A"/>
    <w:rsid w:val="00805C24"/>
    <w:rsid w:val="00811E6B"/>
    <w:rsid w:val="0081650E"/>
    <w:rsid w:val="00820AC4"/>
    <w:rsid w:val="00822379"/>
    <w:rsid w:val="00823ACC"/>
    <w:rsid w:val="00833866"/>
    <w:rsid w:val="00835E6A"/>
    <w:rsid w:val="00841483"/>
    <w:rsid w:val="00842EBE"/>
    <w:rsid w:val="00845BE7"/>
    <w:rsid w:val="008500D4"/>
    <w:rsid w:val="008515C6"/>
    <w:rsid w:val="008531A5"/>
    <w:rsid w:val="00853E33"/>
    <w:rsid w:val="00862F04"/>
    <w:rsid w:val="00863690"/>
    <w:rsid w:val="008642A5"/>
    <w:rsid w:val="00865AEE"/>
    <w:rsid w:val="0086616B"/>
    <w:rsid w:val="008663F0"/>
    <w:rsid w:val="0086732F"/>
    <w:rsid w:val="00871056"/>
    <w:rsid w:val="008710FC"/>
    <w:rsid w:val="00871A48"/>
    <w:rsid w:val="00871FB3"/>
    <w:rsid w:val="00872E9A"/>
    <w:rsid w:val="0087651D"/>
    <w:rsid w:val="00876AC7"/>
    <w:rsid w:val="00877A04"/>
    <w:rsid w:val="0088018D"/>
    <w:rsid w:val="00882451"/>
    <w:rsid w:val="00883B6C"/>
    <w:rsid w:val="008862B8"/>
    <w:rsid w:val="00887786"/>
    <w:rsid w:val="00891D52"/>
    <w:rsid w:val="0089487C"/>
    <w:rsid w:val="008A168C"/>
    <w:rsid w:val="008A2EA0"/>
    <w:rsid w:val="008A4456"/>
    <w:rsid w:val="008A4D90"/>
    <w:rsid w:val="008A5CB5"/>
    <w:rsid w:val="008B21D8"/>
    <w:rsid w:val="008B225C"/>
    <w:rsid w:val="008B2304"/>
    <w:rsid w:val="008B2A27"/>
    <w:rsid w:val="008B3926"/>
    <w:rsid w:val="008B5CD4"/>
    <w:rsid w:val="008B7AF7"/>
    <w:rsid w:val="008C01C4"/>
    <w:rsid w:val="008C3C1D"/>
    <w:rsid w:val="008C50EF"/>
    <w:rsid w:val="008C5533"/>
    <w:rsid w:val="008C779A"/>
    <w:rsid w:val="008D5769"/>
    <w:rsid w:val="008D610E"/>
    <w:rsid w:val="008D7C0C"/>
    <w:rsid w:val="008E1223"/>
    <w:rsid w:val="008E2FA5"/>
    <w:rsid w:val="008E4611"/>
    <w:rsid w:val="008E4C01"/>
    <w:rsid w:val="008F3D8F"/>
    <w:rsid w:val="008F3F44"/>
    <w:rsid w:val="008F5814"/>
    <w:rsid w:val="00901B6A"/>
    <w:rsid w:val="00903394"/>
    <w:rsid w:val="0090433F"/>
    <w:rsid w:val="00905CC0"/>
    <w:rsid w:val="00906D9C"/>
    <w:rsid w:val="00911AFA"/>
    <w:rsid w:val="0091348A"/>
    <w:rsid w:val="00921F57"/>
    <w:rsid w:val="00922728"/>
    <w:rsid w:val="00923035"/>
    <w:rsid w:val="00926848"/>
    <w:rsid w:val="009274D8"/>
    <w:rsid w:val="00935738"/>
    <w:rsid w:val="00941C3A"/>
    <w:rsid w:val="009423F8"/>
    <w:rsid w:val="009432E4"/>
    <w:rsid w:val="009433F1"/>
    <w:rsid w:val="00943EC5"/>
    <w:rsid w:val="009441EF"/>
    <w:rsid w:val="00944FA3"/>
    <w:rsid w:val="00945253"/>
    <w:rsid w:val="00947D43"/>
    <w:rsid w:val="00950BFC"/>
    <w:rsid w:val="009519A2"/>
    <w:rsid w:val="0095308F"/>
    <w:rsid w:val="00956098"/>
    <w:rsid w:val="00957334"/>
    <w:rsid w:val="009578BC"/>
    <w:rsid w:val="00963C4D"/>
    <w:rsid w:val="009650EF"/>
    <w:rsid w:val="0096554E"/>
    <w:rsid w:val="00965767"/>
    <w:rsid w:val="009662F0"/>
    <w:rsid w:val="009677CD"/>
    <w:rsid w:val="00972BDF"/>
    <w:rsid w:val="00974016"/>
    <w:rsid w:val="009744A0"/>
    <w:rsid w:val="00975C41"/>
    <w:rsid w:val="009762F2"/>
    <w:rsid w:val="009766E0"/>
    <w:rsid w:val="00977730"/>
    <w:rsid w:val="009840CF"/>
    <w:rsid w:val="009870C3"/>
    <w:rsid w:val="00987FAE"/>
    <w:rsid w:val="00990668"/>
    <w:rsid w:val="009930F9"/>
    <w:rsid w:val="0099470D"/>
    <w:rsid w:val="0099704E"/>
    <w:rsid w:val="009A09DA"/>
    <w:rsid w:val="009A28A2"/>
    <w:rsid w:val="009A4602"/>
    <w:rsid w:val="009B06C2"/>
    <w:rsid w:val="009B0B78"/>
    <w:rsid w:val="009B318C"/>
    <w:rsid w:val="009B6114"/>
    <w:rsid w:val="009C4F56"/>
    <w:rsid w:val="009C74D6"/>
    <w:rsid w:val="009C78A9"/>
    <w:rsid w:val="009C7A98"/>
    <w:rsid w:val="009D047B"/>
    <w:rsid w:val="009D1262"/>
    <w:rsid w:val="009D2E8E"/>
    <w:rsid w:val="009D307E"/>
    <w:rsid w:val="009D319B"/>
    <w:rsid w:val="009D56A2"/>
    <w:rsid w:val="009E0C7E"/>
    <w:rsid w:val="009E0EA5"/>
    <w:rsid w:val="009E0F8B"/>
    <w:rsid w:val="009E236E"/>
    <w:rsid w:val="009E45CB"/>
    <w:rsid w:val="009E49E9"/>
    <w:rsid w:val="009F13E8"/>
    <w:rsid w:val="009F307C"/>
    <w:rsid w:val="009F31AA"/>
    <w:rsid w:val="009F36B1"/>
    <w:rsid w:val="009F3767"/>
    <w:rsid w:val="009F377D"/>
    <w:rsid w:val="00A03A01"/>
    <w:rsid w:val="00A072D5"/>
    <w:rsid w:val="00A07575"/>
    <w:rsid w:val="00A11775"/>
    <w:rsid w:val="00A124CD"/>
    <w:rsid w:val="00A12B1E"/>
    <w:rsid w:val="00A134AD"/>
    <w:rsid w:val="00A16101"/>
    <w:rsid w:val="00A17B32"/>
    <w:rsid w:val="00A20A92"/>
    <w:rsid w:val="00A21151"/>
    <w:rsid w:val="00A23040"/>
    <w:rsid w:val="00A24023"/>
    <w:rsid w:val="00A24462"/>
    <w:rsid w:val="00A24CF5"/>
    <w:rsid w:val="00A27266"/>
    <w:rsid w:val="00A3019A"/>
    <w:rsid w:val="00A3410A"/>
    <w:rsid w:val="00A36039"/>
    <w:rsid w:val="00A36145"/>
    <w:rsid w:val="00A4149F"/>
    <w:rsid w:val="00A414D3"/>
    <w:rsid w:val="00A43CEB"/>
    <w:rsid w:val="00A44B81"/>
    <w:rsid w:val="00A45A8B"/>
    <w:rsid w:val="00A46712"/>
    <w:rsid w:val="00A46858"/>
    <w:rsid w:val="00A472DC"/>
    <w:rsid w:val="00A51F10"/>
    <w:rsid w:val="00A521E7"/>
    <w:rsid w:val="00A528F1"/>
    <w:rsid w:val="00A540A2"/>
    <w:rsid w:val="00A5612B"/>
    <w:rsid w:val="00A626E2"/>
    <w:rsid w:val="00A65083"/>
    <w:rsid w:val="00A65BF7"/>
    <w:rsid w:val="00A6636C"/>
    <w:rsid w:val="00A66CB1"/>
    <w:rsid w:val="00A67B5B"/>
    <w:rsid w:val="00A72504"/>
    <w:rsid w:val="00A751EA"/>
    <w:rsid w:val="00A75FA4"/>
    <w:rsid w:val="00A82075"/>
    <w:rsid w:val="00A82F81"/>
    <w:rsid w:val="00A859D9"/>
    <w:rsid w:val="00A90ED2"/>
    <w:rsid w:val="00A91351"/>
    <w:rsid w:val="00A914F3"/>
    <w:rsid w:val="00A91D59"/>
    <w:rsid w:val="00A922B1"/>
    <w:rsid w:val="00A93661"/>
    <w:rsid w:val="00A93673"/>
    <w:rsid w:val="00A94F6F"/>
    <w:rsid w:val="00A97C5E"/>
    <w:rsid w:val="00AA0F4B"/>
    <w:rsid w:val="00AA2363"/>
    <w:rsid w:val="00AA36BE"/>
    <w:rsid w:val="00AA43ED"/>
    <w:rsid w:val="00AA6A12"/>
    <w:rsid w:val="00AA6FBD"/>
    <w:rsid w:val="00AB2F3B"/>
    <w:rsid w:val="00AB3119"/>
    <w:rsid w:val="00AB3E8A"/>
    <w:rsid w:val="00AB5D9D"/>
    <w:rsid w:val="00AC5335"/>
    <w:rsid w:val="00AD1155"/>
    <w:rsid w:val="00AD4CED"/>
    <w:rsid w:val="00AD65E9"/>
    <w:rsid w:val="00AD68F2"/>
    <w:rsid w:val="00AE09E5"/>
    <w:rsid w:val="00AE376A"/>
    <w:rsid w:val="00AE3FC8"/>
    <w:rsid w:val="00AE476D"/>
    <w:rsid w:val="00AF21D5"/>
    <w:rsid w:val="00AF3BA5"/>
    <w:rsid w:val="00AF3C43"/>
    <w:rsid w:val="00AF506A"/>
    <w:rsid w:val="00AF671A"/>
    <w:rsid w:val="00AF6A28"/>
    <w:rsid w:val="00AF7242"/>
    <w:rsid w:val="00AF7D63"/>
    <w:rsid w:val="00B004FB"/>
    <w:rsid w:val="00B01D23"/>
    <w:rsid w:val="00B025CF"/>
    <w:rsid w:val="00B066C1"/>
    <w:rsid w:val="00B21048"/>
    <w:rsid w:val="00B22589"/>
    <w:rsid w:val="00B2438C"/>
    <w:rsid w:val="00B26E1B"/>
    <w:rsid w:val="00B302FA"/>
    <w:rsid w:val="00B316D9"/>
    <w:rsid w:val="00B33C3A"/>
    <w:rsid w:val="00B364DB"/>
    <w:rsid w:val="00B364E7"/>
    <w:rsid w:val="00B37098"/>
    <w:rsid w:val="00B40C21"/>
    <w:rsid w:val="00B41037"/>
    <w:rsid w:val="00B42555"/>
    <w:rsid w:val="00B43991"/>
    <w:rsid w:val="00B44C26"/>
    <w:rsid w:val="00B44D87"/>
    <w:rsid w:val="00B45ACA"/>
    <w:rsid w:val="00B4662E"/>
    <w:rsid w:val="00B475D9"/>
    <w:rsid w:val="00B50BF7"/>
    <w:rsid w:val="00B52576"/>
    <w:rsid w:val="00B52AB3"/>
    <w:rsid w:val="00B52EBD"/>
    <w:rsid w:val="00B56CD4"/>
    <w:rsid w:val="00B60B69"/>
    <w:rsid w:val="00B62B0C"/>
    <w:rsid w:val="00B634F3"/>
    <w:rsid w:val="00B640C6"/>
    <w:rsid w:val="00B70B23"/>
    <w:rsid w:val="00B72776"/>
    <w:rsid w:val="00B72D6E"/>
    <w:rsid w:val="00B73F25"/>
    <w:rsid w:val="00B745AF"/>
    <w:rsid w:val="00B7558B"/>
    <w:rsid w:val="00B81C81"/>
    <w:rsid w:val="00B844B0"/>
    <w:rsid w:val="00B85EE0"/>
    <w:rsid w:val="00B86916"/>
    <w:rsid w:val="00B86FFD"/>
    <w:rsid w:val="00BA61EA"/>
    <w:rsid w:val="00BB33E8"/>
    <w:rsid w:val="00BB7D37"/>
    <w:rsid w:val="00BC1C1C"/>
    <w:rsid w:val="00BC1DBE"/>
    <w:rsid w:val="00BC306C"/>
    <w:rsid w:val="00BC509E"/>
    <w:rsid w:val="00BC54DA"/>
    <w:rsid w:val="00BC65B8"/>
    <w:rsid w:val="00BC69FC"/>
    <w:rsid w:val="00BC6CDB"/>
    <w:rsid w:val="00BD2568"/>
    <w:rsid w:val="00BD2800"/>
    <w:rsid w:val="00BD3F13"/>
    <w:rsid w:val="00BD5032"/>
    <w:rsid w:val="00BD636C"/>
    <w:rsid w:val="00BE12D0"/>
    <w:rsid w:val="00BE3D28"/>
    <w:rsid w:val="00BE3D6A"/>
    <w:rsid w:val="00BE5FCE"/>
    <w:rsid w:val="00BE655B"/>
    <w:rsid w:val="00BE7215"/>
    <w:rsid w:val="00BE72F4"/>
    <w:rsid w:val="00BF0056"/>
    <w:rsid w:val="00BF04AB"/>
    <w:rsid w:val="00BF1E0E"/>
    <w:rsid w:val="00BF22D2"/>
    <w:rsid w:val="00BF2BDB"/>
    <w:rsid w:val="00BF378B"/>
    <w:rsid w:val="00BF7A6A"/>
    <w:rsid w:val="00C03A49"/>
    <w:rsid w:val="00C04C21"/>
    <w:rsid w:val="00C04FF7"/>
    <w:rsid w:val="00C05088"/>
    <w:rsid w:val="00C07115"/>
    <w:rsid w:val="00C077AF"/>
    <w:rsid w:val="00C103F7"/>
    <w:rsid w:val="00C1185F"/>
    <w:rsid w:val="00C123CC"/>
    <w:rsid w:val="00C126B6"/>
    <w:rsid w:val="00C147BB"/>
    <w:rsid w:val="00C20895"/>
    <w:rsid w:val="00C22ACC"/>
    <w:rsid w:val="00C22B85"/>
    <w:rsid w:val="00C23B0C"/>
    <w:rsid w:val="00C256E8"/>
    <w:rsid w:val="00C27DDA"/>
    <w:rsid w:val="00C332A3"/>
    <w:rsid w:val="00C33681"/>
    <w:rsid w:val="00C3509E"/>
    <w:rsid w:val="00C42CE7"/>
    <w:rsid w:val="00C44D50"/>
    <w:rsid w:val="00C44F2D"/>
    <w:rsid w:val="00C4632E"/>
    <w:rsid w:val="00C510EA"/>
    <w:rsid w:val="00C510F5"/>
    <w:rsid w:val="00C522D4"/>
    <w:rsid w:val="00C52B5D"/>
    <w:rsid w:val="00C56544"/>
    <w:rsid w:val="00C6007E"/>
    <w:rsid w:val="00C75479"/>
    <w:rsid w:val="00C8094E"/>
    <w:rsid w:val="00C811DF"/>
    <w:rsid w:val="00C81E88"/>
    <w:rsid w:val="00C820D4"/>
    <w:rsid w:val="00C82418"/>
    <w:rsid w:val="00C83306"/>
    <w:rsid w:val="00C84533"/>
    <w:rsid w:val="00C87F03"/>
    <w:rsid w:val="00C916D4"/>
    <w:rsid w:val="00C919E4"/>
    <w:rsid w:val="00C92111"/>
    <w:rsid w:val="00C92B54"/>
    <w:rsid w:val="00C97AF6"/>
    <w:rsid w:val="00CA11AB"/>
    <w:rsid w:val="00CA152B"/>
    <w:rsid w:val="00CA37A5"/>
    <w:rsid w:val="00CA574D"/>
    <w:rsid w:val="00CA5751"/>
    <w:rsid w:val="00CA79BB"/>
    <w:rsid w:val="00CB22B0"/>
    <w:rsid w:val="00CB3407"/>
    <w:rsid w:val="00CB6E26"/>
    <w:rsid w:val="00CB7CFB"/>
    <w:rsid w:val="00CC24FB"/>
    <w:rsid w:val="00CC2562"/>
    <w:rsid w:val="00CC47FF"/>
    <w:rsid w:val="00CC749C"/>
    <w:rsid w:val="00CC77E4"/>
    <w:rsid w:val="00CD293D"/>
    <w:rsid w:val="00CD7782"/>
    <w:rsid w:val="00CE3A0E"/>
    <w:rsid w:val="00CF3EDD"/>
    <w:rsid w:val="00CF4094"/>
    <w:rsid w:val="00CF423B"/>
    <w:rsid w:val="00CF5456"/>
    <w:rsid w:val="00D0287F"/>
    <w:rsid w:val="00D04AF2"/>
    <w:rsid w:val="00D0603F"/>
    <w:rsid w:val="00D07567"/>
    <w:rsid w:val="00D0760E"/>
    <w:rsid w:val="00D11455"/>
    <w:rsid w:val="00D11FDB"/>
    <w:rsid w:val="00D12A60"/>
    <w:rsid w:val="00D15D6B"/>
    <w:rsid w:val="00D17D94"/>
    <w:rsid w:val="00D20805"/>
    <w:rsid w:val="00D218E1"/>
    <w:rsid w:val="00D22543"/>
    <w:rsid w:val="00D259C5"/>
    <w:rsid w:val="00D26887"/>
    <w:rsid w:val="00D26F07"/>
    <w:rsid w:val="00D31675"/>
    <w:rsid w:val="00D4044B"/>
    <w:rsid w:val="00D43FD9"/>
    <w:rsid w:val="00D46AFB"/>
    <w:rsid w:val="00D5034D"/>
    <w:rsid w:val="00D51D30"/>
    <w:rsid w:val="00D5260F"/>
    <w:rsid w:val="00D5504C"/>
    <w:rsid w:val="00D5569E"/>
    <w:rsid w:val="00D560F0"/>
    <w:rsid w:val="00D56471"/>
    <w:rsid w:val="00D60DCE"/>
    <w:rsid w:val="00D60E69"/>
    <w:rsid w:val="00D61C3B"/>
    <w:rsid w:val="00D64044"/>
    <w:rsid w:val="00D648C8"/>
    <w:rsid w:val="00D64928"/>
    <w:rsid w:val="00D651AC"/>
    <w:rsid w:val="00D669BB"/>
    <w:rsid w:val="00D669DE"/>
    <w:rsid w:val="00D72102"/>
    <w:rsid w:val="00D72B8A"/>
    <w:rsid w:val="00D734B7"/>
    <w:rsid w:val="00D758D1"/>
    <w:rsid w:val="00D83816"/>
    <w:rsid w:val="00D83AFA"/>
    <w:rsid w:val="00D83B54"/>
    <w:rsid w:val="00D86D57"/>
    <w:rsid w:val="00D86FDD"/>
    <w:rsid w:val="00D87AA1"/>
    <w:rsid w:val="00D906D2"/>
    <w:rsid w:val="00D912F2"/>
    <w:rsid w:val="00D93AAB"/>
    <w:rsid w:val="00D9433F"/>
    <w:rsid w:val="00D95752"/>
    <w:rsid w:val="00D971E3"/>
    <w:rsid w:val="00D978EC"/>
    <w:rsid w:val="00DA33AD"/>
    <w:rsid w:val="00DA6623"/>
    <w:rsid w:val="00DB054F"/>
    <w:rsid w:val="00DB0D4D"/>
    <w:rsid w:val="00DB0FC9"/>
    <w:rsid w:val="00DB1FEB"/>
    <w:rsid w:val="00DB2164"/>
    <w:rsid w:val="00DB3A91"/>
    <w:rsid w:val="00DB5E29"/>
    <w:rsid w:val="00DC33F1"/>
    <w:rsid w:val="00DC6ADC"/>
    <w:rsid w:val="00DC7E75"/>
    <w:rsid w:val="00DE09FF"/>
    <w:rsid w:val="00DE193E"/>
    <w:rsid w:val="00DE21AB"/>
    <w:rsid w:val="00DE40D5"/>
    <w:rsid w:val="00DE5696"/>
    <w:rsid w:val="00DF0774"/>
    <w:rsid w:val="00DF0A34"/>
    <w:rsid w:val="00DF1585"/>
    <w:rsid w:val="00DF161B"/>
    <w:rsid w:val="00DF1DD7"/>
    <w:rsid w:val="00DF5F7F"/>
    <w:rsid w:val="00DF7AA7"/>
    <w:rsid w:val="00E04538"/>
    <w:rsid w:val="00E057D4"/>
    <w:rsid w:val="00E068D1"/>
    <w:rsid w:val="00E11053"/>
    <w:rsid w:val="00E12B42"/>
    <w:rsid w:val="00E139B1"/>
    <w:rsid w:val="00E16FD8"/>
    <w:rsid w:val="00E172DF"/>
    <w:rsid w:val="00E20A99"/>
    <w:rsid w:val="00E22831"/>
    <w:rsid w:val="00E2512D"/>
    <w:rsid w:val="00E25E7A"/>
    <w:rsid w:val="00E315EE"/>
    <w:rsid w:val="00E32EEE"/>
    <w:rsid w:val="00E34A8D"/>
    <w:rsid w:val="00E34CA7"/>
    <w:rsid w:val="00E36D3E"/>
    <w:rsid w:val="00E3753A"/>
    <w:rsid w:val="00E40DF9"/>
    <w:rsid w:val="00E44563"/>
    <w:rsid w:val="00E46A50"/>
    <w:rsid w:val="00E518EA"/>
    <w:rsid w:val="00E523BE"/>
    <w:rsid w:val="00E537B5"/>
    <w:rsid w:val="00E549E5"/>
    <w:rsid w:val="00E553FC"/>
    <w:rsid w:val="00E554B7"/>
    <w:rsid w:val="00E606BF"/>
    <w:rsid w:val="00E60B84"/>
    <w:rsid w:val="00E62CCB"/>
    <w:rsid w:val="00E632A0"/>
    <w:rsid w:val="00E6414C"/>
    <w:rsid w:val="00E6444E"/>
    <w:rsid w:val="00E71890"/>
    <w:rsid w:val="00E72A47"/>
    <w:rsid w:val="00E74518"/>
    <w:rsid w:val="00E74B68"/>
    <w:rsid w:val="00E752A8"/>
    <w:rsid w:val="00E75838"/>
    <w:rsid w:val="00E827C4"/>
    <w:rsid w:val="00E82A19"/>
    <w:rsid w:val="00E8305C"/>
    <w:rsid w:val="00E86886"/>
    <w:rsid w:val="00E90F0E"/>
    <w:rsid w:val="00E92102"/>
    <w:rsid w:val="00E95EF7"/>
    <w:rsid w:val="00E97D43"/>
    <w:rsid w:val="00EA07DC"/>
    <w:rsid w:val="00EA385A"/>
    <w:rsid w:val="00EA77A2"/>
    <w:rsid w:val="00EB20F6"/>
    <w:rsid w:val="00EB405B"/>
    <w:rsid w:val="00EB53A0"/>
    <w:rsid w:val="00EB5D33"/>
    <w:rsid w:val="00EB7E5D"/>
    <w:rsid w:val="00EC1169"/>
    <w:rsid w:val="00EC20F8"/>
    <w:rsid w:val="00EC3954"/>
    <w:rsid w:val="00EC6293"/>
    <w:rsid w:val="00EC6500"/>
    <w:rsid w:val="00EC7F62"/>
    <w:rsid w:val="00ED16E7"/>
    <w:rsid w:val="00ED3BC8"/>
    <w:rsid w:val="00EE6136"/>
    <w:rsid w:val="00EF3358"/>
    <w:rsid w:val="00EF3C3A"/>
    <w:rsid w:val="00EF3F27"/>
    <w:rsid w:val="00EF737C"/>
    <w:rsid w:val="00EF7FF2"/>
    <w:rsid w:val="00F00238"/>
    <w:rsid w:val="00F01235"/>
    <w:rsid w:val="00F0260B"/>
    <w:rsid w:val="00F040C1"/>
    <w:rsid w:val="00F07349"/>
    <w:rsid w:val="00F1022E"/>
    <w:rsid w:val="00F10BF0"/>
    <w:rsid w:val="00F1173B"/>
    <w:rsid w:val="00F133BE"/>
    <w:rsid w:val="00F14B26"/>
    <w:rsid w:val="00F157BC"/>
    <w:rsid w:val="00F1733F"/>
    <w:rsid w:val="00F17B80"/>
    <w:rsid w:val="00F20700"/>
    <w:rsid w:val="00F21434"/>
    <w:rsid w:val="00F2198B"/>
    <w:rsid w:val="00F23043"/>
    <w:rsid w:val="00F23122"/>
    <w:rsid w:val="00F23E8E"/>
    <w:rsid w:val="00F25EE8"/>
    <w:rsid w:val="00F26EB7"/>
    <w:rsid w:val="00F34722"/>
    <w:rsid w:val="00F34EE0"/>
    <w:rsid w:val="00F3557F"/>
    <w:rsid w:val="00F365AB"/>
    <w:rsid w:val="00F41D26"/>
    <w:rsid w:val="00F42049"/>
    <w:rsid w:val="00F4301B"/>
    <w:rsid w:val="00F4365A"/>
    <w:rsid w:val="00F47D11"/>
    <w:rsid w:val="00F50512"/>
    <w:rsid w:val="00F51FFA"/>
    <w:rsid w:val="00F522BD"/>
    <w:rsid w:val="00F53600"/>
    <w:rsid w:val="00F54073"/>
    <w:rsid w:val="00F54DAD"/>
    <w:rsid w:val="00F54E10"/>
    <w:rsid w:val="00F54E39"/>
    <w:rsid w:val="00F57D12"/>
    <w:rsid w:val="00F600B2"/>
    <w:rsid w:val="00F645B3"/>
    <w:rsid w:val="00F6661E"/>
    <w:rsid w:val="00F6747F"/>
    <w:rsid w:val="00F703AD"/>
    <w:rsid w:val="00F719AD"/>
    <w:rsid w:val="00F73529"/>
    <w:rsid w:val="00F73B5E"/>
    <w:rsid w:val="00F76B1C"/>
    <w:rsid w:val="00F77255"/>
    <w:rsid w:val="00F96122"/>
    <w:rsid w:val="00F96B31"/>
    <w:rsid w:val="00F97CEC"/>
    <w:rsid w:val="00FA0C5E"/>
    <w:rsid w:val="00FA1F22"/>
    <w:rsid w:val="00FA301F"/>
    <w:rsid w:val="00FA401B"/>
    <w:rsid w:val="00FB1E82"/>
    <w:rsid w:val="00FB689A"/>
    <w:rsid w:val="00FB6E23"/>
    <w:rsid w:val="00FB7177"/>
    <w:rsid w:val="00FC0DEC"/>
    <w:rsid w:val="00FC54BE"/>
    <w:rsid w:val="00FC604E"/>
    <w:rsid w:val="00FC683B"/>
    <w:rsid w:val="00FC6FDC"/>
    <w:rsid w:val="00FD3BD4"/>
    <w:rsid w:val="00FE0337"/>
    <w:rsid w:val="00FE241F"/>
    <w:rsid w:val="00FE35CE"/>
    <w:rsid w:val="00FE536B"/>
    <w:rsid w:val="00FE67B1"/>
    <w:rsid w:val="00FF1335"/>
    <w:rsid w:val="00FF4C20"/>
    <w:rsid w:val="066241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keepNext/>
      <w:keepLines/>
      <w:jc w:val="left"/>
      <w:outlineLvl w:val="0"/>
    </w:pPr>
    <w:rPr>
      <w:rFonts w:cstheme="majorBidi"/>
      <w:sz w:val="28"/>
      <w:szCs w:val="48"/>
    </w:rPr>
  </w:style>
  <w:style w:type="paragraph" w:styleId="3">
    <w:name w:val="heading 2"/>
    <w:basedOn w:val="1"/>
    <w:next w:val="1"/>
    <w:link w:val="36"/>
    <w:unhideWhenUsed/>
    <w:qFormat/>
    <w:uiPriority w:val="9"/>
    <w:pPr>
      <w:keepNext/>
      <w:keepLines/>
      <w:jc w:val="left"/>
      <w:outlineLvl w:val="1"/>
    </w:pPr>
    <w:rPr>
      <w:rFonts w:cstheme="majorBidi"/>
      <w:szCs w:val="40"/>
    </w:rPr>
  </w:style>
  <w:style w:type="paragraph" w:styleId="4">
    <w:name w:val="heading 3"/>
    <w:basedOn w:val="1"/>
    <w:next w:val="1"/>
    <w:link w:val="3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9"/>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38"/>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Cs w:val="24"/>
    </w:rPr>
  </w:style>
  <w:style w:type="paragraph" w:styleId="7">
    <w:name w:val="heading 6"/>
    <w:basedOn w:val="1"/>
    <w:next w:val="1"/>
    <w:link w:val="29"/>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rPr>
  </w:style>
  <w:style w:type="paragraph" w:styleId="8">
    <w:name w:val="heading 7"/>
    <w:basedOn w:val="1"/>
    <w:next w:val="1"/>
    <w:link w:val="33"/>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Body Text"/>
    <w:basedOn w:val="1"/>
    <w:link w:val="42"/>
    <w:qFormat/>
    <w:uiPriority w:val="0"/>
    <w:pPr>
      <w:widowControl/>
      <w:spacing w:before="180" w:after="180"/>
      <w:ind w:firstLine="0" w:firstLineChars="0"/>
      <w:jc w:val="left"/>
    </w:pPr>
    <w:rPr>
      <w:color w:val="000000"/>
      <w:kern w:val="0"/>
      <w:sz w:val="21"/>
      <w:szCs w:val="24"/>
      <w:lang w:eastAsia="en-US"/>
    </w:rPr>
  </w:style>
  <w:style w:type="paragraph" w:styleId="12">
    <w:name w:val="footer"/>
    <w:basedOn w:val="1"/>
    <w:link w:val="47"/>
    <w:unhideWhenUsed/>
    <w:uiPriority w:val="99"/>
    <w:pPr>
      <w:tabs>
        <w:tab w:val="center" w:pos="4153"/>
        <w:tab w:val="right" w:pos="8306"/>
      </w:tabs>
      <w:snapToGrid w:val="0"/>
      <w:spacing w:line="240" w:lineRule="auto"/>
      <w:jc w:val="left"/>
    </w:pPr>
    <w:rPr>
      <w:sz w:val="18"/>
      <w:szCs w:val="18"/>
    </w:rPr>
  </w:style>
  <w:style w:type="paragraph" w:styleId="13">
    <w:name w:val="header"/>
    <w:basedOn w:val="1"/>
    <w:link w:val="46"/>
    <w:unhideWhenUsed/>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26"/>
    <w:qFormat/>
    <w:uiPriority w:val="11"/>
    <w:pPr>
      <w:spacing w:after="160"/>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footnote text"/>
    <w:basedOn w:val="1"/>
    <w:link w:val="32"/>
    <w:semiHidden/>
    <w:unhideWhenUsed/>
    <w:uiPriority w:val="99"/>
    <w:pPr>
      <w:snapToGrid w:val="0"/>
      <w:jc w:val="left"/>
    </w:pPr>
    <w:rPr>
      <w:sz w:val="18"/>
      <w:szCs w:val="18"/>
    </w:rPr>
  </w:style>
  <w:style w:type="paragraph" w:styleId="16">
    <w:name w:val="Normal (Web)"/>
    <w:basedOn w:val="1"/>
    <w:semiHidden/>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17">
    <w:name w:val="Title"/>
    <w:basedOn w:val="1"/>
    <w:next w:val="1"/>
    <w:link w:val="34"/>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9">
    <w:name w:val="Table Grid"/>
    <w:basedOn w:val="18"/>
    <w:uiPriority w:val="59"/>
    <w:rPr>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footnote reference"/>
    <w:basedOn w:val="20"/>
    <w:semiHidden/>
    <w:unhideWhenUsed/>
    <w:uiPriority w:val="99"/>
    <w:rPr>
      <w:vertAlign w:val="superscript"/>
    </w:rPr>
  </w:style>
  <w:style w:type="character" w:customStyle="1" w:styleId="23">
    <w:name w:val="标题 1 字符"/>
    <w:basedOn w:val="20"/>
    <w:link w:val="2"/>
    <w:uiPriority w:val="9"/>
    <w:rPr>
      <w:rFonts w:ascii="Times New Roman" w:hAnsi="Times New Roman" w:eastAsia="宋体" w:cstheme="majorBidi"/>
      <w:sz w:val="28"/>
      <w:szCs w:val="48"/>
      <w14:ligatures w14:val="standardContextual"/>
    </w:rPr>
  </w:style>
  <w:style w:type="character" w:customStyle="1" w:styleId="24">
    <w:name w:val="明显引用 字符"/>
    <w:basedOn w:val="20"/>
    <w:link w:val="25"/>
    <w:uiPriority w:val="30"/>
    <w:rPr>
      <w:rFonts w:ascii="Times New Roman" w:hAnsi="Times New Roman" w:eastAsia="宋体"/>
      <w:i/>
      <w:iCs/>
      <w:color w:val="104862" w:themeColor="accent1" w:themeShade="BF"/>
      <w:sz w:val="24"/>
    </w:rPr>
  </w:style>
  <w:style w:type="paragraph" w:styleId="25">
    <w:name w:val="Intense Quote"/>
    <w:basedOn w:val="1"/>
    <w:next w:val="1"/>
    <w:link w:val="2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26">
    <w:name w:val="副标题 字符"/>
    <w:basedOn w:val="20"/>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7">
    <w:name w:val="Intense Emphasis"/>
    <w:basedOn w:val="20"/>
    <w:qFormat/>
    <w:uiPriority w:val="21"/>
    <w:rPr>
      <w:i/>
      <w:iCs/>
      <w:color w:val="104862" w:themeColor="accent1" w:themeShade="BF"/>
    </w:rPr>
  </w:style>
  <w:style w:type="character" w:customStyle="1" w:styleId="28">
    <w:name w:val="标题 8 字符"/>
    <w:basedOn w:val="20"/>
    <w:link w:val="9"/>
    <w:semiHidden/>
    <w:uiPriority w:val="9"/>
    <w:rPr>
      <w:rFonts w:cstheme="majorBidi"/>
      <w:color w:val="595959" w:themeColor="text1" w:themeTint="A6"/>
      <w:sz w:val="24"/>
      <w14:textFill>
        <w14:solidFill>
          <w14:schemeClr w14:val="tx1">
            <w14:lumMod w14:val="65000"/>
            <w14:lumOff w14:val="35000"/>
          </w14:schemeClr>
        </w14:solidFill>
      </w14:textFill>
    </w:rPr>
  </w:style>
  <w:style w:type="character" w:customStyle="1" w:styleId="29">
    <w:name w:val="标题 6 字符"/>
    <w:basedOn w:val="20"/>
    <w:link w:val="7"/>
    <w:semiHidden/>
    <w:uiPriority w:val="9"/>
    <w:rPr>
      <w:rFonts w:cstheme="majorBidi"/>
      <w:b/>
      <w:bCs/>
      <w:color w:val="104862" w:themeColor="accent1" w:themeShade="BF"/>
      <w:sz w:val="24"/>
    </w:rPr>
  </w:style>
  <w:style w:type="paragraph" w:customStyle="1" w:styleId="30">
    <w:name w:val="MTDisplayEquation"/>
    <w:basedOn w:val="1"/>
    <w:next w:val="1"/>
    <w:link w:val="43"/>
    <w:uiPriority w:val="0"/>
    <w:pPr>
      <w:tabs>
        <w:tab w:val="center" w:pos="4160"/>
        <w:tab w:val="right" w:pos="8300"/>
      </w:tabs>
      <w:spacing w:before="156" w:beforeLines="50" w:after="156" w:afterLines="50"/>
      <w:ind w:firstLine="0" w:firstLineChars="0"/>
    </w:pPr>
    <w:rPr>
      <w:rFonts w:ascii="宋体" w:hAnsi="宋体" w:cs="Times New Roman"/>
      <w:b/>
      <w:bCs/>
      <w:szCs w:val="24"/>
    </w:rPr>
  </w:style>
  <w:style w:type="character" w:customStyle="1" w:styleId="31">
    <w:name w:val="标题 9 字符"/>
    <w:basedOn w:val="20"/>
    <w:link w:val="10"/>
    <w:semiHidden/>
    <w:uiPriority w:val="9"/>
    <w:rPr>
      <w:rFonts w:eastAsiaTheme="majorEastAsia" w:cstheme="majorBidi"/>
      <w:color w:val="595959" w:themeColor="text1" w:themeTint="A6"/>
      <w:sz w:val="24"/>
      <w14:textFill>
        <w14:solidFill>
          <w14:schemeClr w14:val="tx1">
            <w14:lumMod w14:val="65000"/>
            <w14:lumOff w14:val="35000"/>
          </w14:schemeClr>
        </w14:solidFill>
      </w14:textFill>
    </w:rPr>
  </w:style>
  <w:style w:type="character" w:customStyle="1" w:styleId="32">
    <w:name w:val="脚注文本 字符"/>
    <w:basedOn w:val="20"/>
    <w:link w:val="15"/>
    <w:semiHidden/>
    <w:uiPriority w:val="99"/>
    <w:rPr>
      <w:rFonts w:ascii="Times New Roman" w:hAnsi="Times New Roman" w:eastAsia="宋体"/>
      <w:sz w:val="18"/>
      <w:szCs w:val="18"/>
    </w:rPr>
  </w:style>
  <w:style w:type="character" w:customStyle="1" w:styleId="33">
    <w:name w:val="标题 7 字符"/>
    <w:basedOn w:val="20"/>
    <w:link w:val="8"/>
    <w:semiHidden/>
    <w:uiPriority w:val="9"/>
    <w:rPr>
      <w:rFonts w:cstheme="majorBidi"/>
      <w:b/>
      <w:bCs/>
      <w:color w:val="595959" w:themeColor="text1" w:themeTint="A6"/>
      <w:sz w:val="24"/>
      <w14:textFill>
        <w14:solidFill>
          <w14:schemeClr w14:val="tx1">
            <w14:lumMod w14:val="65000"/>
            <w14:lumOff w14:val="35000"/>
          </w14:schemeClr>
        </w14:solidFill>
      </w14:textFill>
    </w:rPr>
  </w:style>
  <w:style w:type="character" w:customStyle="1" w:styleId="34">
    <w:name w:val="标题 字符"/>
    <w:basedOn w:val="20"/>
    <w:link w:val="17"/>
    <w:uiPriority w:val="10"/>
    <w:rPr>
      <w:rFonts w:asciiTheme="majorHAnsi" w:hAnsiTheme="majorHAnsi" w:eastAsiaTheme="majorEastAsia" w:cstheme="majorBidi"/>
      <w:spacing w:val="-10"/>
      <w:kern w:val="28"/>
      <w:sz w:val="56"/>
      <w:szCs w:val="56"/>
    </w:rPr>
  </w:style>
  <w:style w:type="paragraph" w:styleId="35">
    <w:name w:val="Quote"/>
    <w:basedOn w:val="1"/>
    <w:next w:val="1"/>
    <w:link w:val="4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标题 2 字符"/>
    <w:basedOn w:val="20"/>
    <w:link w:val="3"/>
    <w:uiPriority w:val="9"/>
    <w:rPr>
      <w:rFonts w:ascii="Times New Roman" w:hAnsi="Times New Roman" w:eastAsia="宋体" w:cstheme="majorBidi"/>
      <w:sz w:val="24"/>
      <w:szCs w:val="40"/>
      <w14:ligatures w14:val="standardContextual"/>
    </w:rPr>
  </w:style>
  <w:style w:type="character" w:customStyle="1" w:styleId="37">
    <w:name w:val="标题 3 字符"/>
    <w:basedOn w:val="20"/>
    <w:link w:val="4"/>
    <w:semiHidden/>
    <w:uiPriority w:val="9"/>
    <w:rPr>
      <w:rFonts w:asciiTheme="majorHAnsi" w:hAnsiTheme="majorHAnsi" w:eastAsiaTheme="majorEastAsia" w:cstheme="majorBidi"/>
      <w:color w:val="104862" w:themeColor="accent1" w:themeShade="BF"/>
      <w:sz w:val="32"/>
      <w:szCs w:val="32"/>
    </w:rPr>
  </w:style>
  <w:style w:type="character" w:customStyle="1" w:styleId="38">
    <w:name w:val="标题 5 字符"/>
    <w:basedOn w:val="20"/>
    <w:link w:val="6"/>
    <w:semiHidden/>
    <w:uiPriority w:val="9"/>
    <w:rPr>
      <w:rFonts w:cstheme="majorBidi"/>
      <w:color w:val="104862" w:themeColor="accent1" w:themeShade="BF"/>
      <w:sz w:val="24"/>
      <w:szCs w:val="24"/>
    </w:rPr>
  </w:style>
  <w:style w:type="character" w:customStyle="1" w:styleId="39">
    <w:name w:val="标题 4 字符"/>
    <w:basedOn w:val="20"/>
    <w:link w:val="5"/>
    <w:uiPriority w:val="9"/>
    <w:rPr>
      <w:rFonts w:cstheme="majorBidi"/>
      <w:color w:val="104862" w:themeColor="accent1" w:themeShade="BF"/>
      <w:sz w:val="28"/>
      <w:szCs w:val="28"/>
    </w:rPr>
  </w:style>
  <w:style w:type="character" w:customStyle="1" w:styleId="40">
    <w:name w:val="Intense Reference"/>
    <w:basedOn w:val="20"/>
    <w:qFormat/>
    <w:uiPriority w:val="32"/>
    <w:rPr>
      <w:b/>
      <w:bCs/>
      <w:smallCaps/>
      <w:color w:val="104862" w:themeColor="accent1" w:themeShade="BF"/>
      <w:spacing w:val="5"/>
    </w:rPr>
  </w:style>
  <w:style w:type="character" w:customStyle="1" w:styleId="41">
    <w:name w:val="引用 字符"/>
    <w:basedOn w:val="20"/>
    <w:link w:val="35"/>
    <w:qFormat/>
    <w:uiPriority w:val="29"/>
    <w:rPr>
      <w:rFonts w:ascii="Times New Roman" w:hAnsi="Times New Roman" w:eastAsia="宋体"/>
      <w:i/>
      <w:iCs/>
      <w:color w:val="404040" w:themeColor="text1" w:themeTint="BF"/>
      <w:sz w:val="24"/>
      <w14:textFill>
        <w14:solidFill>
          <w14:schemeClr w14:val="tx1">
            <w14:lumMod w14:val="75000"/>
            <w14:lumOff w14:val="25000"/>
          </w14:schemeClr>
        </w14:solidFill>
      </w14:textFill>
    </w:rPr>
  </w:style>
  <w:style w:type="character" w:customStyle="1" w:styleId="42">
    <w:name w:val="正文文本 字符"/>
    <w:basedOn w:val="20"/>
    <w:link w:val="11"/>
    <w:uiPriority w:val="0"/>
    <w:rPr>
      <w:rFonts w:ascii="Times New Roman" w:hAnsi="Times New Roman" w:eastAsia="宋体"/>
      <w:color w:val="000000"/>
      <w:kern w:val="0"/>
      <w:szCs w:val="24"/>
      <w:lang w:eastAsia="en-US"/>
    </w:rPr>
  </w:style>
  <w:style w:type="character" w:customStyle="1" w:styleId="43">
    <w:name w:val="MTDisplayEquation 字符"/>
    <w:basedOn w:val="20"/>
    <w:link w:val="30"/>
    <w:qFormat/>
    <w:uiPriority w:val="0"/>
    <w:rPr>
      <w:rFonts w:ascii="宋体" w:hAnsi="宋体" w:eastAsia="宋体" w:cs="Times New Roman"/>
      <w:b/>
      <w:bCs/>
      <w:sz w:val="24"/>
      <w:szCs w:val="24"/>
    </w:rPr>
  </w:style>
  <w:style w:type="character" w:customStyle="1" w:styleId="44">
    <w:name w:val="MTEquationSection"/>
    <w:basedOn w:val="20"/>
    <w:uiPriority w:val="0"/>
    <w:rPr>
      <w:rFonts w:ascii="楷体" w:hAnsi="楷体" w:eastAsia="楷体" w:cs="Times New Roman"/>
      <w:b/>
      <w:bCs/>
      <w:vanish/>
      <w:color w:val="FF0000"/>
      <w:sz w:val="28"/>
      <w:szCs w:val="28"/>
    </w:rPr>
  </w:style>
  <w:style w:type="paragraph" w:styleId="45">
    <w:name w:val="List Paragraph"/>
    <w:basedOn w:val="1"/>
    <w:qFormat/>
    <w:uiPriority w:val="34"/>
    <w:pPr>
      <w:ind w:left="720"/>
      <w:contextualSpacing/>
    </w:pPr>
  </w:style>
  <w:style w:type="character" w:customStyle="1" w:styleId="46">
    <w:name w:val="页眉 字符"/>
    <w:basedOn w:val="20"/>
    <w:link w:val="13"/>
    <w:uiPriority w:val="99"/>
    <w:rPr>
      <w:rFonts w:ascii="Times New Roman" w:hAnsi="Times New Roman" w:eastAsia="宋体"/>
      <w:sz w:val="18"/>
      <w:szCs w:val="18"/>
    </w:rPr>
  </w:style>
  <w:style w:type="character" w:customStyle="1" w:styleId="47">
    <w:name w:val="页脚 字符"/>
    <w:basedOn w:val="20"/>
    <w:link w:val="12"/>
    <w:uiPriority w:val="99"/>
    <w:rPr>
      <w:rFonts w:ascii="Times New Roman" w:hAnsi="Times New Roman" w:eastAsia="宋体"/>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2.bin"/><Relationship Id="rId97" Type="http://schemas.openxmlformats.org/officeDocument/2006/relationships/image" Target="media/image45.wmf"/><Relationship Id="rId96" Type="http://schemas.openxmlformats.org/officeDocument/2006/relationships/oleObject" Target="embeddings/oleObject41.bin"/><Relationship Id="rId95" Type="http://schemas.openxmlformats.org/officeDocument/2006/relationships/image" Target="media/image44.wmf"/><Relationship Id="rId94" Type="http://schemas.openxmlformats.org/officeDocument/2006/relationships/oleObject" Target="embeddings/oleObject40.bin"/><Relationship Id="rId93" Type="http://schemas.openxmlformats.org/officeDocument/2006/relationships/image" Target="media/image43.wmf"/><Relationship Id="rId92" Type="http://schemas.openxmlformats.org/officeDocument/2006/relationships/oleObject" Target="embeddings/oleObject39.bin"/><Relationship Id="rId91" Type="http://schemas.openxmlformats.org/officeDocument/2006/relationships/image" Target="media/image42.wmf"/><Relationship Id="rId90" Type="http://schemas.openxmlformats.org/officeDocument/2006/relationships/oleObject" Target="embeddings/oleObject38.bin"/><Relationship Id="rId9" Type="http://schemas.openxmlformats.org/officeDocument/2006/relationships/footer" Target="footer2.xml"/><Relationship Id="rId89" Type="http://schemas.openxmlformats.org/officeDocument/2006/relationships/image" Target="media/image41.wmf"/><Relationship Id="rId88" Type="http://schemas.openxmlformats.org/officeDocument/2006/relationships/oleObject" Target="embeddings/oleObject37.bin"/><Relationship Id="rId87" Type="http://schemas.openxmlformats.org/officeDocument/2006/relationships/image" Target="media/image40.wmf"/><Relationship Id="rId86" Type="http://schemas.openxmlformats.org/officeDocument/2006/relationships/oleObject" Target="embeddings/oleObject36.bin"/><Relationship Id="rId85" Type="http://schemas.openxmlformats.org/officeDocument/2006/relationships/image" Target="media/image39.wmf"/><Relationship Id="rId84" Type="http://schemas.openxmlformats.org/officeDocument/2006/relationships/oleObject" Target="embeddings/oleObject35.bin"/><Relationship Id="rId83" Type="http://schemas.openxmlformats.org/officeDocument/2006/relationships/image" Target="media/image38.wmf"/><Relationship Id="rId82" Type="http://schemas.openxmlformats.org/officeDocument/2006/relationships/oleObject" Target="embeddings/oleObject34.bin"/><Relationship Id="rId81" Type="http://schemas.openxmlformats.org/officeDocument/2006/relationships/image" Target="media/image37.wmf"/><Relationship Id="rId80" Type="http://schemas.openxmlformats.org/officeDocument/2006/relationships/oleObject" Target="embeddings/oleObject33.bin"/><Relationship Id="rId8" Type="http://schemas.openxmlformats.org/officeDocument/2006/relationships/footer" Target="footer1.xml"/><Relationship Id="rId79" Type="http://schemas.openxmlformats.org/officeDocument/2006/relationships/image" Target="media/image36.wmf"/><Relationship Id="rId78" Type="http://schemas.openxmlformats.org/officeDocument/2006/relationships/oleObject" Target="embeddings/oleObject32.bin"/><Relationship Id="rId77" Type="http://schemas.openxmlformats.org/officeDocument/2006/relationships/image" Target="media/image35.wmf"/><Relationship Id="rId76" Type="http://schemas.openxmlformats.org/officeDocument/2006/relationships/oleObject" Target="embeddings/oleObject31.bin"/><Relationship Id="rId75" Type="http://schemas.openxmlformats.org/officeDocument/2006/relationships/image" Target="media/image34.wmf"/><Relationship Id="rId74" Type="http://schemas.openxmlformats.org/officeDocument/2006/relationships/oleObject" Target="embeddings/oleObject30.bin"/><Relationship Id="rId73" Type="http://schemas.openxmlformats.org/officeDocument/2006/relationships/image" Target="media/image33.wmf"/><Relationship Id="rId72" Type="http://schemas.openxmlformats.org/officeDocument/2006/relationships/oleObject" Target="embeddings/oleObject29.bin"/><Relationship Id="rId71" Type="http://schemas.openxmlformats.org/officeDocument/2006/relationships/image" Target="media/image32.wmf"/><Relationship Id="rId70" Type="http://schemas.openxmlformats.org/officeDocument/2006/relationships/oleObject" Target="embeddings/oleObject28.bin"/><Relationship Id="rId7" Type="http://schemas.openxmlformats.org/officeDocument/2006/relationships/header" Target="header3.xml"/><Relationship Id="rId69" Type="http://schemas.openxmlformats.org/officeDocument/2006/relationships/image" Target="media/image31.wmf"/><Relationship Id="rId68" Type="http://schemas.openxmlformats.org/officeDocument/2006/relationships/oleObject" Target="embeddings/oleObject27.bin"/><Relationship Id="rId67" Type="http://schemas.openxmlformats.org/officeDocument/2006/relationships/image" Target="media/image30.wmf"/><Relationship Id="rId66" Type="http://schemas.openxmlformats.org/officeDocument/2006/relationships/oleObject" Target="embeddings/oleObject26.bin"/><Relationship Id="rId65" Type="http://schemas.openxmlformats.org/officeDocument/2006/relationships/image" Target="media/image29.wmf"/><Relationship Id="rId64" Type="http://schemas.openxmlformats.org/officeDocument/2006/relationships/oleObject" Target="embeddings/oleObject25.bin"/><Relationship Id="rId63" Type="http://schemas.openxmlformats.org/officeDocument/2006/relationships/image" Target="media/image28.wmf"/><Relationship Id="rId62" Type="http://schemas.openxmlformats.org/officeDocument/2006/relationships/oleObject" Target="embeddings/oleObject24.bin"/><Relationship Id="rId61" Type="http://schemas.openxmlformats.org/officeDocument/2006/relationships/image" Target="media/image27.wmf"/><Relationship Id="rId60" Type="http://schemas.openxmlformats.org/officeDocument/2006/relationships/oleObject" Target="embeddings/oleObject23.bin"/><Relationship Id="rId6" Type="http://schemas.openxmlformats.org/officeDocument/2006/relationships/header" Target="header2.xml"/><Relationship Id="rId59" Type="http://schemas.openxmlformats.org/officeDocument/2006/relationships/image" Target="media/image26.wmf"/><Relationship Id="rId58" Type="http://schemas.openxmlformats.org/officeDocument/2006/relationships/oleObject" Target="embeddings/oleObject22.bin"/><Relationship Id="rId57" Type="http://schemas.openxmlformats.org/officeDocument/2006/relationships/image" Target="media/image25.wmf"/><Relationship Id="rId56" Type="http://schemas.openxmlformats.org/officeDocument/2006/relationships/oleObject" Target="embeddings/oleObject21.bin"/><Relationship Id="rId55" Type="http://schemas.openxmlformats.org/officeDocument/2006/relationships/image" Target="media/image24.wmf"/><Relationship Id="rId54" Type="http://schemas.openxmlformats.org/officeDocument/2006/relationships/oleObject" Target="embeddings/oleObject20.bin"/><Relationship Id="rId53" Type="http://schemas.openxmlformats.org/officeDocument/2006/relationships/image" Target="media/image23.wmf"/><Relationship Id="rId52" Type="http://schemas.openxmlformats.org/officeDocument/2006/relationships/oleObject" Target="embeddings/oleObject19.bin"/><Relationship Id="rId51" Type="http://schemas.openxmlformats.org/officeDocument/2006/relationships/image" Target="media/image22.wmf"/><Relationship Id="rId50" Type="http://schemas.openxmlformats.org/officeDocument/2006/relationships/oleObject" Target="embeddings/oleObject18.bin"/><Relationship Id="rId5" Type="http://schemas.openxmlformats.org/officeDocument/2006/relationships/header" Target="header1.xml"/><Relationship Id="rId49" Type="http://schemas.openxmlformats.org/officeDocument/2006/relationships/image" Target="media/image21.png"/><Relationship Id="rId48" Type="http://schemas.openxmlformats.org/officeDocument/2006/relationships/image" Target="media/image20.wmf"/><Relationship Id="rId47" Type="http://schemas.openxmlformats.org/officeDocument/2006/relationships/oleObject" Target="embeddings/oleObject17.bin"/><Relationship Id="rId46" Type="http://schemas.openxmlformats.org/officeDocument/2006/relationships/image" Target="media/image19.wmf"/><Relationship Id="rId45" Type="http://schemas.openxmlformats.org/officeDocument/2006/relationships/oleObject" Target="embeddings/oleObject16.bin"/><Relationship Id="rId44" Type="http://schemas.openxmlformats.org/officeDocument/2006/relationships/image" Target="media/image18.wmf"/><Relationship Id="rId43" Type="http://schemas.openxmlformats.org/officeDocument/2006/relationships/oleObject" Target="embeddings/oleObject15.bin"/><Relationship Id="rId42" Type="http://schemas.openxmlformats.org/officeDocument/2006/relationships/image" Target="media/image17.wmf"/><Relationship Id="rId41" Type="http://schemas.openxmlformats.org/officeDocument/2006/relationships/oleObject" Target="embeddings/oleObject14.bin"/><Relationship Id="rId40" Type="http://schemas.openxmlformats.org/officeDocument/2006/relationships/image" Target="media/image16.wmf"/><Relationship Id="rId4" Type="http://schemas.openxmlformats.org/officeDocument/2006/relationships/endnotes" Target="endnotes.xml"/><Relationship Id="rId39" Type="http://schemas.openxmlformats.org/officeDocument/2006/relationships/oleObject" Target="embeddings/oleObject13.bin"/><Relationship Id="rId38" Type="http://schemas.openxmlformats.org/officeDocument/2006/relationships/image" Target="media/image15.wmf"/><Relationship Id="rId37" Type="http://schemas.openxmlformats.org/officeDocument/2006/relationships/oleObject" Target="embeddings/oleObject12.bin"/><Relationship Id="rId36" Type="http://schemas.openxmlformats.org/officeDocument/2006/relationships/image" Target="media/image14.wmf"/><Relationship Id="rId35" Type="http://schemas.openxmlformats.org/officeDocument/2006/relationships/oleObject" Target="embeddings/oleObject11.bin"/><Relationship Id="rId34" Type="http://schemas.openxmlformats.org/officeDocument/2006/relationships/image" Target="media/image13.wmf"/><Relationship Id="rId33" Type="http://schemas.openxmlformats.org/officeDocument/2006/relationships/oleObject" Target="embeddings/oleObject10.bin"/><Relationship Id="rId32" Type="http://schemas.openxmlformats.org/officeDocument/2006/relationships/image" Target="media/image12.wmf"/><Relationship Id="rId31" Type="http://schemas.openxmlformats.org/officeDocument/2006/relationships/oleObject" Target="embeddings/oleObject9.bin"/><Relationship Id="rId30" Type="http://schemas.openxmlformats.org/officeDocument/2006/relationships/image" Target="media/image11.wmf"/><Relationship Id="rId3" Type="http://schemas.openxmlformats.org/officeDocument/2006/relationships/footnotes" Target="footnotes.xml"/><Relationship Id="rId29" Type="http://schemas.openxmlformats.org/officeDocument/2006/relationships/oleObject" Target="embeddings/oleObject8.bin"/><Relationship Id="rId28" Type="http://schemas.openxmlformats.org/officeDocument/2006/relationships/image" Target="media/image10.wmf"/><Relationship Id="rId27" Type="http://schemas.openxmlformats.org/officeDocument/2006/relationships/oleObject" Target="embeddings/oleObject7.bin"/><Relationship Id="rId26" Type="http://schemas.openxmlformats.org/officeDocument/2006/relationships/image" Target="media/image9.wmf"/><Relationship Id="rId25" Type="http://schemas.openxmlformats.org/officeDocument/2006/relationships/oleObject" Target="embeddings/oleObject6.bin"/><Relationship Id="rId24" Type="http://schemas.openxmlformats.org/officeDocument/2006/relationships/image" Target="media/image8.wmf"/><Relationship Id="rId23" Type="http://schemas.openxmlformats.org/officeDocument/2006/relationships/oleObject" Target="embeddings/oleObject5.bin"/><Relationship Id="rId22" Type="http://schemas.openxmlformats.org/officeDocument/2006/relationships/image" Target="media/image7.wmf"/><Relationship Id="rId21" Type="http://schemas.openxmlformats.org/officeDocument/2006/relationships/oleObject" Target="embeddings/oleObject4.bin"/><Relationship Id="rId20" Type="http://schemas.openxmlformats.org/officeDocument/2006/relationships/image" Target="media/image6.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5.wmf"/><Relationship Id="rId17" Type="http://schemas.openxmlformats.org/officeDocument/2006/relationships/oleObject" Target="embeddings/oleObject2.bin"/><Relationship Id="rId16" Type="http://schemas.openxmlformats.org/officeDocument/2006/relationships/image" Target="media/image4.png"/><Relationship Id="rId15" Type="http://schemas.openxmlformats.org/officeDocument/2006/relationships/image" Target="media/image3.wmf"/><Relationship Id="rId144" Type="http://schemas.openxmlformats.org/officeDocument/2006/relationships/fontTable" Target="fontTable.xml"/><Relationship Id="rId143" Type="http://schemas.openxmlformats.org/officeDocument/2006/relationships/numbering" Target="numbering.xml"/><Relationship Id="rId142" Type="http://schemas.openxmlformats.org/officeDocument/2006/relationships/image" Target="media/image68.png"/><Relationship Id="rId141" Type="http://schemas.openxmlformats.org/officeDocument/2006/relationships/image" Target="media/image67.wmf"/><Relationship Id="rId140" Type="http://schemas.openxmlformats.org/officeDocument/2006/relationships/oleObject" Target="embeddings/oleObject63.bin"/><Relationship Id="rId14" Type="http://schemas.openxmlformats.org/officeDocument/2006/relationships/oleObject" Target="embeddings/oleObject1.bin"/><Relationship Id="rId139" Type="http://schemas.openxmlformats.org/officeDocument/2006/relationships/image" Target="media/image66.wmf"/><Relationship Id="rId138" Type="http://schemas.openxmlformats.org/officeDocument/2006/relationships/oleObject" Target="embeddings/oleObject62.bin"/><Relationship Id="rId137" Type="http://schemas.openxmlformats.org/officeDocument/2006/relationships/image" Target="media/image65.wmf"/><Relationship Id="rId136" Type="http://schemas.openxmlformats.org/officeDocument/2006/relationships/oleObject" Target="embeddings/oleObject61.bin"/><Relationship Id="rId135" Type="http://schemas.openxmlformats.org/officeDocument/2006/relationships/image" Target="media/image64.wmf"/><Relationship Id="rId134" Type="http://schemas.openxmlformats.org/officeDocument/2006/relationships/oleObject" Target="embeddings/oleObject60.bin"/><Relationship Id="rId133" Type="http://schemas.openxmlformats.org/officeDocument/2006/relationships/image" Target="media/image63.wmf"/><Relationship Id="rId132" Type="http://schemas.openxmlformats.org/officeDocument/2006/relationships/oleObject" Target="embeddings/oleObject59.bin"/><Relationship Id="rId131" Type="http://schemas.openxmlformats.org/officeDocument/2006/relationships/image" Target="media/image62.wmf"/><Relationship Id="rId130" Type="http://schemas.openxmlformats.org/officeDocument/2006/relationships/oleObject" Target="embeddings/oleObject58.bin"/><Relationship Id="rId13" Type="http://schemas.openxmlformats.org/officeDocument/2006/relationships/image" Target="media/image2.png"/><Relationship Id="rId129" Type="http://schemas.openxmlformats.org/officeDocument/2006/relationships/image" Target="media/image61.wmf"/><Relationship Id="rId128" Type="http://schemas.openxmlformats.org/officeDocument/2006/relationships/oleObject" Target="embeddings/oleObject57.bin"/><Relationship Id="rId127" Type="http://schemas.openxmlformats.org/officeDocument/2006/relationships/image" Target="media/image60.wmf"/><Relationship Id="rId126" Type="http://schemas.openxmlformats.org/officeDocument/2006/relationships/oleObject" Target="embeddings/oleObject56.bin"/><Relationship Id="rId125" Type="http://schemas.openxmlformats.org/officeDocument/2006/relationships/image" Target="media/image59.wmf"/><Relationship Id="rId124" Type="http://schemas.openxmlformats.org/officeDocument/2006/relationships/oleObject" Target="embeddings/oleObject55.bin"/><Relationship Id="rId123" Type="http://schemas.openxmlformats.org/officeDocument/2006/relationships/image" Target="media/image58.wmf"/><Relationship Id="rId122" Type="http://schemas.openxmlformats.org/officeDocument/2006/relationships/oleObject" Target="embeddings/oleObject54.bin"/><Relationship Id="rId121" Type="http://schemas.openxmlformats.org/officeDocument/2006/relationships/image" Target="media/image57.wmf"/><Relationship Id="rId120" Type="http://schemas.openxmlformats.org/officeDocument/2006/relationships/oleObject" Target="embeddings/oleObject53.bin"/><Relationship Id="rId12" Type="http://schemas.openxmlformats.org/officeDocument/2006/relationships/image" Target="media/image1.png"/><Relationship Id="rId119" Type="http://schemas.openxmlformats.org/officeDocument/2006/relationships/image" Target="media/image56.wmf"/><Relationship Id="rId118" Type="http://schemas.openxmlformats.org/officeDocument/2006/relationships/oleObject" Target="embeddings/oleObject52.bin"/><Relationship Id="rId117" Type="http://schemas.openxmlformats.org/officeDocument/2006/relationships/image" Target="media/image55.wmf"/><Relationship Id="rId116" Type="http://schemas.openxmlformats.org/officeDocument/2006/relationships/oleObject" Target="embeddings/oleObject51.bin"/><Relationship Id="rId115" Type="http://schemas.openxmlformats.org/officeDocument/2006/relationships/image" Target="media/image54.wmf"/><Relationship Id="rId114" Type="http://schemas.openxmlformats.org/officeDocument/2006/relationships/oleObject" Target="embeddings/oleObject50.bin"/><Relationship Id="rId113" Type="http://schemas.openxmlformats.org/officeDocument/2006/relationships/image" Target="media/image53.wmf"/><Relationship Id="rId112" Type="http://schemas.openxmlformats.org/officeDocument/2006/relationships/oleObject" Target="embeddings/oleObject49.bin"/><Relationship Id="rId111" Type="http://schemas.openxmlformats.org/officeDocument/2006/relationships/image" Target="media/image52.wmf"/><Relationship Id="rId110" Type="http://schemas.openxmlformats.org/officeDocument/2006/relationships/oleObject" Target="embeddings/oleObject48.bin"/><Relationship Id="rId11" Type="http://schemas.openxmlformats.org/officeDocument/2006/relationships/theme" Target="theme/theme1.xml"/><Relationship Id="rId109" Type="http://schemas.openxmlformats.org/officeDocument/2006/relationships/image" Target="media/image51.wmf"/><Relationship Id="rId108" Type="http://schemas.openxmlformats.org/officeDocument/2006/relationships/oleObject" Target="embeddings/oleObject47.bin"/><Relationship Id="rId107" Type="http://schemas.openxmlformats.org/officeDocument/2006/relationships/image" Target="media/image50.wmf"/><Relationship Id="rId106" Type="http://schemas.openxmlformats.org/officeDocument/2006/relationships/oleObject" Target="embeddings/oleObject46.bin"/><Relationship Id="rId105" Type="http://schemas.openxmlformats.org/officeDocument/2006/relationships/image" Target="media/image49.wmf"/><Relationship Id="rId104" Type="http://schemas.openxmlformats.org/officeDocument/2006/relationships/oleObject" Target="embeddings/oleObject45.bin"/><Relationship Id="rId103" Type="http://schemas.openxmlformats.org/officeDocument/2006/relationships/image" Target="media/image48.wmf"/><Relationship Id="rId102" Type="http://schemas.openxmlformats.org/officeDocument/2006/relationships/oleObject" Target="embeddings/oleObject44.bin"/><Relationship Id="rId101" Type="http://schemas.openxmlformats.org/officeDocument/2006/relationships/image" Target="media/image47.wmf"/><Relationship Id="rId100" Type="http://schemas.openxmlformats.org/officeDocument/2006/relationships/oleObject" Target="embeddings/oleObject43.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1431</Words>
  <Characters>1626</Characters>
  <Lines>115</Lines>
  <Paragraphs>32</Paragraphs>
  <TotalTime>98</TotalTime>
  <ScaleCrop>false</ScaleCrop>
  <LinksUpToDate>false</LinksUpToDate>
  <CharactersWithSpaces>1636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2026-09-11T02:41:00Z</dcterms:created>
  <dc:creator>lei chen</dc:creator>
  <cp:lastModifiedBy>smother</cp:lastModifiedBy>
  <dcterms:modified xsi:type="dcterms:W3CDTF">2026-09-24T17:45:53Z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KSOTemplateDocerSaveRecord">
    <vt:lpwstr>eyJoZGlkIjoiZjhmNDNkY2NkMTE2MDBmNWM1NWViMjQ2ZGU4MmVjNjEiLCJ1c2VySWQiOiIxMzkwNDc4Mjk3In0=</vt:lpwstr>
  </property>
  <property fmtid="{D5CDD505-2E9C-101B-9397-08002B2CF9AE}" pid="5" name="KSOProductBuildVer">
    <vt:lpwstr>2052-12.1.0.29161</vt:lpwstr>
  </property>
  <property fmtid="{D5CDD505-2E9C-101B-9397-08002B2CF9AE}" pid="6" name="ICV">
    <vt:lpwstr>9EB71F125DD84BD6952B498488E9F98F_12</vt:lpwstr>
  </property>
</Properties>
</file>