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4A5568"/>
          <w:spacing w:val="200"/>
          <w:sz w:val="20"/>
          <w:szCs w:val="20"/>
        </w:rPr>
        <w:t xml:space="preserve">MERIDIAN FINANCIAL SERVICES GROUP</w:t>
      </w:r>
    </w:p>
    <w:p>
      <w:pPr>
        <w:spacing w:after="200"/>
      </w:pPr>
    </w:p>
    <w:p>
      <w:pPr>
        <w:jc w:val="center"/>
      </w:pPr>
      <w:r>
        <w:rPr>
          <w:rFonts w:ascii="Arial" w:cs="Arial" w:eastAsia="Arial" w:hAnsi="Arial"/>
          <w:b/>
          <w:bCs/>
          <w:color w:val="1B2A4A"/>
          <w:sz w:val="52"/>
          <w:szCs w:val="52"/>
        </w:rPr>
        <w:t xml:space="preserve">Request for Proposal</w:t>
      </w:r>
    </w:p>
    <w:p>
      <w:pPr>
        <w:spacing w:after="100"/>
      </w:pPr>
    </w:p>
    <w:p>
      <w:pPr>
        <w:jc w:val="center"/>
      </w:pPr>
      <w:r>
        <w:rPr>
          <w:rFonts w:ascii="Arial" w:cs="Arial" w:eastAsia="Arial" w:hAnsi="Arial"/>
          <w:color w:val="2B5797"/>
          <w:sz w:val="36"/>
          <w:szCs w:val="36"/>
        </w:rPr>
        <w:t xml:space="preserve">Managed IT Services,</w:t>
      </w:r>
    </w:p>
    <w:p>
      <w:pPr>
        <w:jc w:val="center"/>
      </w:pPr>
      <w:r>
        <w:rPr>
          <w:rFonts w:ascii="Arial" w:cs="Arial" w:eastAsia="Arial" w:hAnsi="Arial"/>
          <w:color w:val="2B5797"/>
          <w:sz w:val="36"/>
          <w:szCs w:val="36"/>
        </w:rPr>
        <w:t xml:space="preserve">Intelligent Operations &amp;</w:t>
      </w:r>
    </w:p>
    <w:p>
      <w:pPr>
        <w:jc w:val="center"/>
      </w:pPr>
      <w:r>
        <w:rPr>
          <w:rFonts w:ascii="Arial" w:cs="Arial" w:eastAsia="Arial" w:hAnsi="Arial"/>
          <w:color w:val="2B5797"/>
          <w:sz w:val="36"/>
          <w:szCs w:val="36"/>
        </w:rPr>
        <w:t xml:space="preserve">Operational Resilience Transformation</w:t>
      </w:r>
    </w:p>
    <w:p>
      <w:pPr>
        <w:spacing w:after="400"/>
      </w:pPr>
    </w:p>
    <w:p>
      <w:pPr>
        <w:jc w:val="center"/>
      </w:pPr>
      <w:r>
        <w:rPr>
          <w:rFonts w:ascii="Arial" w:cs="Arial" w:eastAsia="Arial" w:hAnsi="Arial"/>
          <w:color w:val="4A5568"/>
          <w:sz w:val="22"/>
          <w:szCs w:val="22"/>
        </w:rPr>
        <w:t xml:space="preserve">RFP Reference: MFS-2026-ORT-001</w:t>
      </w:r>
    </w:p>
    <w:p>
      <w:pPr>
        <w:jc w:val="center"/>
      </w:pPr>
      <w:r>
        <w:rPr>
          <w:rFonts w:ascii="Arial" w:cs="Arial" w:eastAsia="Arial" w:hAnsi="Arial"/>
          <w:color w:val="4A5568"/>
          <w:sz w:val="22"/>
          <w:szCs w:val="22"/>
        </w:rPr>
        <w:t xml:space="preserve">Issue Date: 10 February 2026</w:t>
      </w:r>
    </w:p>
    <w:p>
      <w:pPr>
        <w:jc w:val="center"/>
      </w:pPr>
      <w:r>
        <w:rPr>
          <w:rFonts w:ascii="Arial" w:cs="Arial" w:eastAsia="Arial" w:hAnsi="Arial"/>
          <w:color w:val="4A5568"/>
          <w:sz w:val="22"/>
          <w:szCs w:val="22"/>
        </w:rPr>
        <w:t xml:space="preserve">Response Deadline: 28 March 2026, 17:00 GMT</w:t>
      </w:r>
    </w:p>
    <w:p>
      <w:pPr>
        <w:spacing w:after="600"/>
      </w:pPr>
    </w:p>
    <w:p>
      <w:pPr>
        <w:spacing w:after="60"/>
        <w:jc w:val="center"/>
      </w:pPr>
      <w:r>
        <w:rPr>
          <w:rFonts w:ascii="Arial" w:cs="Arial" w:eastAsia="Arial" w:hAnsi="Arial"/>
          <w:b/>
          <w:bCs/>
          <w:color w:val="C0392B"/>
          <w:sz w:val="18"/>
          <w:szCs w:val="18"/>
        </w:rPr>
        <w:t xml:space="preserve">CLASSIFICATION: COMMERCIAL IN CONFIDENCE</w:t>
      </w:r>
    </w:p>
    <w:p>
      <w:pPr>
        <w:jc w:val="center"/>
      </w:pPr>
      <w:r>
        <w:rPr>
          <w:rFonts w:ascii="Arial" w:cs="Arial" w:eastAsia="Arial" w:hAnsi="Arial"/>
          <w:i/>
          <w:iCs/>
          <w:color w:val="4A5568"/>
          <w:sz w:val="17"/>
          <w:szCs w:val="17"/>
        </w:rPr>
        <w:t xml:space="preserve">This document is subject to the Non-Disclosure Agreement between Meridian Financial Services Group and the Recipient dated [NDA Date].</w:t>
      </w:r>
    </w:p>
    <w:p>
      <w:r>
        <w:br w:type="page"/>
      </w:r>
    </w:p>
    <w:p>
      <w:pPr>
        <w:pStyle w:val="Heading1"/>
        <w:spacing w:before="360" w:after="200"/>
      </w:pPr>
      <w:r>
        <w:rPr>
          <w:rFonts w:ascii="Arial" w:cs="Arial" w:eastAsia="Arial" w:hAnsi="Arial"/>
          <w:b/>
          <w:bCs/>
          <w:color w:val="1B2A4A"/>
          <w:sz w:val="32"/>
          <w:szCs w:val="32"/>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Author</w:t>
            </w:r>
          </w:p>
        </w:tc>
        <w:tc>
          <w:tcPr>
            <w:tcW w:type="dxa" w:w="2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10 Feb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Group Procurement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Issued</w:t>
            </w:r>
          </w:p>
        </w:tc>
      </w:tr>
    </w:tbl>
    <w:p>
      <w:pPr>
        <w:spacing w:after="120"/>
      </w:pPr>
    </w:p>
    <w:p>
      <w:pPr>
        <w:spacing w:before="200" w:after="120"/>
      </w:pPr>
      <w:r>
        <w:rPr>
          <w:rFonts w:ascii="Arial" w:cs="Arial" w:eastAsia="Arial" w:hAnsi="Arial"/>
          <w:b/>
          <w:bCs/>
          <w:color w:val="4A5568"/>
          <w:sz w:val="22"/>
          <w:szCs w:val="22"/>
        </w:rPr>
        <w:t xml:space="preserve">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Name</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c>
          <w:tcPr>
            <w:tcW w:type="dxa" w:w="2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Organisation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Richard Hale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Chief Information Officer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Meridian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Jennifer Morris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Director, Operational Resilience &amp; Business Continuity</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Meridian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Andrew Chen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Head of IT Infrastructure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Meridian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Sarah Blackwell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Group Procurement Director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Meridian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Mark Thompson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Chief Financial Officer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Meridian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David Osei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Chief Risk Officer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Meridian</w:t>
            </w:r>
          </w:p>
        </w:tc>
      </w:tr>
    </w:tbl>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60"/>
      </w:pPr>
      <w:r>
        <w:rPr>
          <w:rFonts w:ascii="Arial" w:cs="Arial" w:eastAsia="Arial" w:hAnsi="Arial"/>
          <w:i/>
          <w:iCs/>
          <w:color w:val="4A5568"/>
          <w:sz w:val="18"/>
          <w:szCs w:val="18"/>
        </w:rPr>
        <w:t xml:space="preserve">Note: Please update the Table of Contents after opening this document (right-click &gt; Update Field &gt; Update Entire Table).</w:t>
      </w:r>
    </w:p>
    <w:p>
      <w:r>
        <w:br w:type="page"/>
      </w:r>
    </w:p>
    <w:p>
      <w:pPr>
        <w:pStyle w:val="Heading1"/>
        <w:spacing w:before="360" w:after="200"/>
      </w:pPr>
      <w:r>
        <w:rPr>
          <w:rFonts w:ascii="Arial" w:cs="Arial" w:eastAsia="Arial" w:hAnsi="Arial"/>
          <w:b/>
          <w:bCs/>
          <w:color w:val="1B2A4A"/>
          <w:sz w:val="32"/>
          <w:szCs w:val="32"/>
        </w:rPr>
        <w:t xml:space="preserve">Section 1: Introduction &amp; Background</w:t>
      </w:r>
    </w:p>
    <w:p>
      <w:pPr>
        <w:pStyle w:val="Heading2"/>
        <w:spacing w:before="280" w:after="160"/>
      </w:pPr>
      <w:r>
        <w:rPr>
          <w:rFonts w:ascii="Arial" w:cs="Arial" w:eastAsia="Arial" w:hAnsi="Arial"/>
          <w:b/>
          <w:bCs/>
          <w:color w:val="2B5797"/>
          <w:sz w:val="26"/>
          <w:szCs w:val="26"/>
        </w:rPr>
        <w:t xml:space="preserve">1.1 About Meridian Financial Services Group</w:t>
      </w:r>
    </w:p>
    <w:p>
      <w:pPr>
        <w:spacing w:after="160"/>
      </w:pPr>
      <w:r>
        <w:rPr>
          <w:rFonts w:ascii="Arial" w:cs="Arial" w:eastAsia="Arial" w:hAnsi="Arial"/>
          <w:color w:val="333333"/>
          <w:sz w:val="21"/>
          <w:szCs w:val="21"/>
        </w:rPr>
        <w:t xml:space="preserve">Meridian Financial Services Group (“Meridian” or “the Group”) is a mid-tier UK financial services organisation headquartered in London, with five regional offices across the United Kingdom. Established in 1987, Meridian provides insurance underwriting, wealth management, corporate pensions administration, and commercial lending services to approximately 1.2 million customers.</w:t>
      </w:r>
    </w:p>
    <w:p>
      <w:pPr>
        <w:spacing w:after="160"/>
      </w:pPr>
      <w:r>
        <w:rPr>
          <w:rFonts w:ascii="Arial" w:cs="Arial" w:eastAsia="Arial" w:hAnsi="Arial"/>
          <w:color w:val="333333"/>
          <w:sz w:val="21"/>
          <w:szCs w:val="21"/>
        </w:rPr>
        <w:t xml:space="preserve">The Group employs over 8,000 staff across the following locations:</w:t>
      </w:r>
    </w:p>
    <w:p>
      <w:pPr>
        <w:pStyle w:val="ListParagraph"/>
        <w:numPr>
          <w:ilvl w:val="0"/>
          <w:numId w:val="2"/>
        </w:numPr>
        <w:spacing w:after="80"/>
      </w:pPr>
      <w:r>
        <w:rPr>
          <w:rFonts w:ascii="Arial" w:cs="Arial" w:eastAsia="Arial" w:hAnsi="Arial"/>
          <w:color w:val="333333"/>
          <w:sz w:val="21"/>
          <w:szCs w:val="21"/>
        </w:rPr>
        <w:t xml:space="preserve">London (Head Office) — 2,400 staff</w:t>
      </w:r>
    </w:p>
    <w:p>
      <w:pPr>
        <w:pStyle w:val="ListParagraph"/>
        <w:numPr>
          <w:ilvl w:val="0"/>
          <w:numId w:val="2"/>
        </w:numPr>
        <w:spacing w:after="80"/>
      </w:pPr>
      <w:r>
        <w:rPr>
          <w:rFonts w:ascii="Arial" w:cs="Arial" w:eastAsia="Arial" w:hAnsi="Arial"/>
          <w:color w:val="333333"/>
          <w:sz w:val="21"/>
          <w:szCs w:val="21"/>
        </w:rPr>
        <w:t xml:space="preserve">Manchester — 1,800 staff</w:t>
      </w:r>
    </w:p>
    <w:p>
      <w:pPr>
        <w:pStyle w:val="ListParagraph"/>
        <w:numPr>
          <w:ilvl w:val="0"/>
          <w:numId w:val="2"/>
        </w:numPr>
        <w:spacing w:after="80"/>
      </w:pPr>
      <w:r>
        <w:rPr>
          <w:rFonts w:ascii="Arial" w:cs="Arial" w:eastAsia="Arial" w:hAnsi="Arial"/>
          <w:color w:val="333333"/>
          <w:sz w:val="21"/>
          <w:szCs w:val="21"/>
        </w:rPr>
        <w:t xml:space="preserve">Edinburgh — 1,600 staff</w:t>
      </w:r>
    </w:p>
    <w:p>
      <w:pPr>
        <w:pStyle w:val="ListParagraph"/>
        <w:numPr>
          <w:ilvl w:val="0"/>
          <w:numId w:val="2"/>
        </w:numPr>
        <w:spacing w:after="80"/>
      </w:pPr>
      <w:r>
        <w:rPr>
          <w:rFonts w:ascii="Arial" w:cs="Arial" w:eastAsia="Arial" w:hAnsi="Arial"/>
          <w:color w:val="333333"/>
          <w:sz w:val="21"/>
          <w:szCs w:val="21"/>
        </w:rPr>
        <w:t xml:space="preserve">Bristol — 1,200 staff</w:t>
      </w:r>
    </w:p>
    <w:p>
      <w:pPr>
        <w:pStyle w:val="ListParagraph"/>
        <w:numPr>
          <w:ilvl w:val="0"/>
          <w:numId w:val="2"/>
        </w:numPr>
        <w:spacing w:after="80"/>
      </w:pPr>
      <w:r>
        <w:rPr>
          <w:rFonts w:ascii="Arial" w:cs="Arial" w:eastAsia="Arial" w:hAnsi="Arial"/>
          <w:color w:val="333333"/>
          <w:sz w:val="21"/>
          <w:szCs w:val="21"/>
        </w:rPr>
        <w:t xml:space="preserve">Birmingham — 1,000 staff</w:t>
      </w:r>
    </w:p>
    <w:p>
      <w:pPr>
        <w:spacing w:after="80"/>
      </w:pPr>
    </w:p>
    <w:p>
      <w:pPr>
        <w:spacing w:after="160"/>
      </w:pPr>
      <w:r>
        <w:rPr>
          <w:rFonts w:ascii="Arial" w:cs="Arial" w:eastAsia="Arial" w:hAnsi="Arial"/>
          <w:color w:val="333333"/>
          <w:sz w:val="21"/>
          <w:szCs w:val="21"/>
        </w:rPr>
        <w:t xml:space="preserve">Meridian is dual-regulated by the Financial Conduct Authority (FCA) and the Prudential Regulation Authority (PRA). The Group holds £14.2 billion in assets under management and reported gross written premium of £3.1 billion in FY2025.</w:t>
      </w:r>
    </w:p>
    <w:p>
      <w:pPr>
        <w:pStyle w:val="Heading2"/>
        <w:spacing w:before="280" w:after="160"/>
      </w:pPr>
      <w:r>
        <w:rPr>
          <w:rFonts w:ascii="Arial" w:cs="Arial" w:eastAsia="Arial" w:hAnsi="Arial"/>
          <w:b/>
          <w:bCs/>
          <w:color w:val="2B5797"/>
          <w:sz w:val="26"/>
          <w:szCs w:val="26"/>
        </w:rPr>
        <w:t xml:space="preserve">1.2 Regulatory Context</w:t>
      </w:r>
    </w:p>
    <w:p>
      <w:pPr>
        <w:spacing w:after="160"/>
      </w:pPr>
      <w:r>
        <w:rPr>
          <w:rFonts w:ascii="Arial" w:cs="Arial" w:eastAsia="Arial" w:hAnsi="Arial"/>
          <w:color w:val="333333"/>
          <w:sz w:val="21"/>
          <w:szCs w:val="21"/>
        </w:rPr>
        <w:t xml:space="preserve">Respondents must demonstrate a thorough understanding of the regulatory environment in which Meridian operates. The following regulatory obligations are directly relevant to the services in scope:</w:t>
      </w:r>
    </w:p>
    <w:p>
      <w:pPr>
        <w:spacing w:before="200" w:after="120"/>
      </w:pPr>
      <w:r>
        <w:rPr>
          <w:rFonts w:ascii="Arial" w:cs="Arial" w:eastAsia="Arial" w:hAnsi="Arial"/>
          <w:b/>
          <w:bCs/>
          <w:color w:val="4A5568"/>
          <w:sz w:val="22"/>
          <w:szCs w:val="22"/>
        </w:rPr>
        <w:t xml:space="preserve">Operational Resilience (PRA SS1/21 &amp; FCA PS21/3)</w:t>
      </w:r>
    </w:p>
    <w:p>
      <w:pPr>
        <w:spacing w:after="160"/>
      </w:pPr>
      <w:r>
        <w:rPr>
          <w:rFonts w:ascii="Arial" w:cs="Arial" w:eastAsia="Arial" w:hAnsi="Arial"/>
          <w:color w:val="333333"/>
          <w:sz w:val="21"/>
          <w:szCs w:val="21"/>
        </w:rPr>
        <w:t xml:space="preserve">Since March 2022, Meridian has been required to identify its Important Business Services (IBS), set impact tolerances, and map the resources required to deliver each IBS. The March 2025 compliance deadline has passed; Meridian must now demonstrate that it can remain within impact tolerances for each IBS on an ongoing basis. The incoming partner will operate critical resources underpinning at least seven of Meridian’s twelve designated Important Business Services. Any degradation in these services is a potential regulatory breach reportable to the PRA.</w:t>
      </w:r>
    </w:p>
    <w:p>
      <w:pPr>
        <w:spacing w:before="200" w:after="120"/>
      </w:pPr>
      <w:r>
        <w:rPr>
          <w:rFonts w:ascii="Arial" w:cs="Arial" w:eastAsia="Arial" w:hAnsi="Arial"/>
          <w:b/>
          <w:bCs/>
          <w:color w:val="4A5568"/>
          <w:sz w:val="22"/>
          <w:szCs w:val="22"/>
        </w:rPr>
        <w:t xml:space="preserve">Consumer Duty (FCA PS22/9)</w:t>
      </w:r>
    </w:p>
    <w:p>
      <w:pPr>
        <w:spacing w:after="160"/>
      </w:pPr>
      <w:r>
        <w:rPr>
          <w:rFonts w:ascii="Arial" w:cs="Arial" w:eastAsia="Arial" w:hAnsi="Arial"/>
          <w:color w:val="333333"/>
          <w:sz w:val="21"/>
          <w:szCs w:val="21"/>
        </w:rPr>
        <w:t xml:space="preserve">Meridian’s Consumer Duty obligations require that outsourced services do not create foreseeable harm to retail customers. Service failures, extended outages, and degraded digital channel availability are classified as potential Consumer Duty breaches. The partner’s service management framework must explicitly address Consumer Duty reporting requirements.</w:t>
      </w:r>
    </w:p>
    <w:p>
      <w:pPr>
        <w:spacing w:before="200" w:after="120"/>
      </w:pPr>
      <w:r>
        <w:rPr>
          <w:rFonts w:ascii="Arial" w:cs="Arial" w:eastAsia="Arial" w:hAnsi="Arial"/>
          <w:b/>
          <w:bCs/>
          <w:color w:val="4A5568"/>
          <w:sz w:val="22"/>
          <w:szCs w:val="22"/>
        </w:rPr>
        <w:t xml:space="preserve">Third-Party Risk Management (PRA SS2/21)</w:t>
      </w:r>
    </w:p>
    <w:p>
      <w:pPr>
        <w:spacing w:after="160"/>
      </w:pPr>
      <w:r>
        <w:rPr>
          <w:rFonts w:ascii="Arial" w:cs="Arial" w:eastAsia="Arial" w:hAnsi="Arial"/>
          <w:color w:val="333333"/>
          <w:sz w:val="21"/>
          <w:szCs w:val="21"/>
        </w:rPr>
        <w:t xml:space="preserve">The PRA’s supervisory statement on outsourcing and third-party risk management requires Meridian to maintain effective oversight of material outsourcing arrangements. This contract will be classified as a material outsourcing arrangement. Respondents should expect Meridian to exercise contractual audit rights, require pre-approval of sub-contracting, and maintain exit strategies that can be executed within the defined impact tolerance windows.</w:t>
      </w:r>
    </w:p>
    <w:p>
      <w:pPr>
        <w:spacing w:before="200" w:after="120"/>
      </w:pPr>
      <w:r>
        <w:rPr>
          <w:rFonts w:ascii="Arial" w:cs="Arial" w:eastAsia="Arial" w:hAnsi="Arial"/>
          <w:b/>
          <w:bCs/>
          <w:color w:val="4A5568"/>
          <w:sz w:val="22"/>
          <w:szCs w:val="22"/>
        </w:rPr>
        <w:t xml:space="preserve">ISO 22301 Certification</w:t>
      </w:r>
    </w:p>
    <w:p>
      <w:pPr>
        <w:spacing w:after="160"/>
      </w:pPr>
      <w:r>
        <w:rPr>
          <w:rFonts w:ascii="Arial" w:cs="Arial" w:eastAsia="Arial" w:hAnsi="Arial"/>
          <w:color w:val="333333"/>
          <w:sz w:val="21"/>
          <w:szCs w:val="21"/>
        </w:rPr>
        <w:t xml:space="preserve">Meridian has committed to achieving ISO 22301 (Business Continuity Management Systems) certification by Q3 2026. This is a Board-level commitment reinforced by PRA feedback. The certification scope covers all Important Business Services. The incoming partner will be required to support the certification programme and maintain compliance throughout the contract term.</w:t>
      </w:r>
    </w:p>
    <w:p>
      <w:pPr>
        <w:spacing w:before="200" w:after="120"/>
      </w:pPr>
      <w:r>
        <w:rPr>
          <w:rFonts w:ascii="Arial" w:cs="Arial" w:eastAsia="Arial" w:hAnsi="Arial"/>
          <w:b/>
          <w:bCs/>
          <w:color w:val="4A5568"/>
          <w:sz w:val="22"/>
          <w:szCs w:val="22"/>
        </w:rPr>
        <w:t xml:space="preserve">DORA-Influenced Thinking</w:t>
      </w:r>
    </w:p>
    <w:p>
      <w:pPr>
        <w:spacing w:after="160"/>
      </w:pPr>
      <w:r>
        <w:rPr>
          <w:rFonts w:ascii="Arial" w:cs="Arial" w:eastAsia="Arial" w:hAnsi="Arial"/>
          <w:color w:val="333333"/>
          <w:sz w:val="21"/>
          <w:szCs w:val="21"/>
        </w:rPr>
        <w:t xml:space="preserve">While the EU Digital Operational Resilience Act (DORA) does not directly apply to Meridian as a UK-regulated entity, the PRA has signalled that it expects UK firms to adopt equivalent standards for ICT risk management, incident reporting, and third-party oversight. Respondents with experience of DORA compliance across European operations should highlight this capability.</w:t>
      </w:r>
    </w:p>
    <w:p>
      <w:pPr>
        <w:pStyle w:val="Heading2"/>
        <w:spacing w:before="280" w:after="160"/>
      </w:pPr>
      <w:r>
        <w:rPr>
          <w:rFonts w:ascii="Arial" w:cs="Arial" w:eastAsia="Arial" w:hAnsi="Arial"/>
          <w:b/>
          <w:bCs/>
          <w:color w:val="2B5797"/>
          <w:sz w:val="26"/>
          <w:szCs w:val="26"/>
        </w:rPr>
        <w:t xml:space="preserve">1.3 Strategic Context</w:t>
      </w:r>
    </w:p>
    <w:p>
      <w:pPr>
        <w:spacing w:after="160"/>
      </w:pPr>
      <w:r>
        <w:rPr>
          <w:rFonts w:ascii="Arial" w:cs="Arial" w:eastAsia="Arial" w:hAnsi="Arial"/>
          <w:color w:val="333333"/>
          <w:sz w:val="21"/>
          <w:szCs w:val="21"/>
        </w:rPr>
        <w:t xml:space="preserve">In October 2025, the Meridian Board approved a five-year transformation programme, “Meridian 2030,” which establishes the following strategic priorities:</w:t>
      </w:r>
    </w:p>
    <w:p>
      <w:pPr>
        <w:pStyle w:val="ListParagraph"/>
        <w:numPr>
          <w:ilvl w:val="0"/>
          <w:numId w:val="2"/>
        </w:numPr>
        <w:spacing w:after="80"/>
      </w:pPr>
      <w:r>
        <w:rPr>
          <w:rFonts w:ascii="Arial" w:cs="Arial" w:eastAsia="Arial" w:hAnsi="Arial"/>
          <w:color w:val="333333"/>
          <w:sz w:val="21"/>
          <w:szCs w:val="21"/>
        </w:rPr>
        <w:t xml:space="preserve">Transition to an automated, self-healing infrastructure operating model where human intervention is the exception rather than the norm</w:t>
      </w:r>
    </w:p>
    <w:p>
      <w:pPr>
        <w:pStyle w:val="ListParagraph"/>
        <w:numPr>
          <w:ilvl w:val="0"/>
          <w:numId w:val="2"/>
        </w:numPr>
        <w:spacing w:after="80"/>
      </w:pPr>
      <w:r>
        <w:rPr>
          <w:rFonts w:ascii="Arial" w:cs="Arial" w:eastAsia="Arial" w:hAnsi="Arial"/>
          <w:color w:val="333333"/>
          <w:sz w:val="21"/>
          <w:szCs w:val="21"/>
        </w:rPr>
        <w:t xml:space="preserve">Achievement of ISO 22301 certification by Q3 2026</w:t>
      </w:r>
    </w:p>
    <w:p>
      <w:pPr>
        <w:pStyle w:val="ListParagraph"/>
        <w:numPr>
          <w:ilvl w:val="0"/>
          <w:numId w:val="2"/>
        </w:numPr>
        <w:spacing w:after="80"/>
      </w:pPr>
      <w:r>
        <w:rPr>
          <w:rFonts w:ascii="Arial" w:cs="Arial" w:eastAsia="Arial" w:hAnsi="Arial"/>
          <w:color w:val="333333"/>
          <w:sz w:val="21"/>
          <w:szCs w:val="21"/>
        </w:rPr>
        <w:t xml:space="preserve">Realisation of the CEO’s “Continuous Business Availability” vision — predictive operational resilience that detects and remediates issues before they impact customers or trigger regulatory reporting</w:t>
      </w:r>
    </w:p>
    <w:p>
      <w:pPr>
        <w:pStyle w:val="ListParagraph"/>
        <w:numPr>
          <w:ilvl w:val="0"/>
          <w:numId w:val="2"/>
        </w:numPr>
        <w:spacing w:after="80"/>
      </w:pPr>
      <w:r>
        <w:rPr>
          <w:rFonts w:ascii="Arial" w:cs="Arial" w:eastAsia="Arial" w:hAnsi="Arial"/>
          <w:color w:val="333333"/>
          <w:sz w:val="21"/>
          <w:szCs w:val="21"/>
        </w:rPr>
        <w:t xml:space="preserve">Reduction of operational risk exposure following PRA supervisory feedback on the Group’s operational resilience self-assessment (December 2025)</w:t>
      </w:r>
    </w:p>
    <w:p>
      <w:pPr>
        <w:pStyle w:val="ListParagraph"/>
        <w:numPr>
          <w:ilvl w:val="0"/>
          <w:numId w:val="2"/>
        </w:numPr>
        <w:spacing w:after="80"/>
      </w:pPr>
      <w:r>
        <w:rPr>
          <w:rFonts w:ascii="Arial" w:cs="Arial" w:eastAsia="Arial" w:hAnsi="Arial"/>
          <w:color w:val="333333"/>
          <w:sz w:val="21"/>
          <w:szCs w:val="21"/>
        </w:rPr>
        <w:t xml:space="preserve">A demonstrable cost glide path: Year 1 transition investment recovering to a materially lower operating cost by Year 5, with ongoing efficiency gains driven by automation and platform maturity</w:t>
      </w:r>
    </w:p>
    <w:p>
      <w:pPr>
        <w:spacing w:after="80"/>
      </w:pPr>
    </w:p>
    <w:p>
      <w:pPr>
        <w:spacing w:after="160"/>
      </w:pPr>
      <w:r>
        <w:rPr>
          <w:rFonts w:ascii="Arial" w:cs="Arial" w:eastAsia="Arial" w:hAnsi="Arial"/>
          <w:color w:val="333333"/>
          <w:sz w:val="21"/>
          <w:szCs w:val="21"/>
        </w:rPr>
        <w:t xml:space="preserve">The Group’s CEO, James Whitfield, has publicly stated that Meridian’s competitive position depends on </w:t>
      </w:r>
      <w:r>
        <w:rPr>
          <w:rFonts w:ascii="Arial" w:cs="Arial" w:eastAsia="Arial" w:hAnsi="Arial"/>
          <w:i/>
          <w:iCs/>
          <w:color w:val="333333"/>
          <w:sz w:val="21"/>
          <w:szCs w:val="21"/>
        </w:rPr>
        <w:t xml:space="preserve">“availability, not assets”</w:t>
      </w:r>
      <w:r>
        <w:rPr>
          <w:rFonts w:ascii="Arial" w:cs="Arial" w:eastAsia="Arial" w:hAnsi="Arial"/>
          <w:color w:val="333333"/>
          <w:sz w:val="21"/>
          <w:szCs w:val="21"/>
        </w:rPr>
        <w:t xml:space="preserve"> — signalling that resilience and service continuity are board-level priorities that directly influence capital allocation decisions.</w:t>
      </w:r>
    </w:p>
    <w:p>
      <w:pPr>
        <w:pStyle w:val="Heading2"/>
        <w:spacing w:before="280" w:after="160"/>
      </w:pPr>
      <w:r>
        <w:rPr>
          <w:rFonts w:ascii="Arial" w:cs="Arial" w:eastAsia="Arial" w:hAnsi="Arial"/>
          <w:b/>
          <w:bCs/>
          <w:color w:val="2B5797"/>
          <w:sz w:val="26"/>
          <w:szCs w:val="26"/>
        </w:rPr>
        <w:t xml:space="preserve">1.4 Automation &amp; Intelligent Operations Expectations</w:t>
      </w:r>
    </w:p>
    <w:p>
      <w:pPr>
        <w:spacing w:after="160"/>
      </w:pPr>
      <w:r>
        <w:rPr>
          <w:rFonts w:ascii="Arial" w:cs="Arial" w:eastAsia="Arial" w:hAnsi="Arial"/>
          <w:color w:val="333333"/>
          <w:sz w:val="21"/>
          <w:szCs w:val="21"/>
        </w:rPr>
        <w:t xml:space="preserve">Meridian does not consider AI and automation capabilities to be differentiators or innovations. They are baseline expectations for any partner operating at this scale in 2026. Respondents should demonstrate maturity across the following capabilities as standard operating practice:</w:t>
      </w:r>
    </w:p>
    <w:p>
      <w:pPr>
        <w:spacing w:before="200" w:after="120"/>
      </w:pPr>
      <w:r>
        <w:rPr>
          <w:rFonts w:ascii="Arial" w:cs="Arial" w:eastAsia="Arial" w:hAnsi="Arial"/>
          <w:b/>
          <w:bCs/>
          <w:color w:val="4A5568"/>
          <w:sz w:val="22"/>
          <w:szCs w:val="22"/>
        </w:rPr>
        <w:t xml:space="preserve">Self-Healing Infrastructure</w:t>
      </w:r>
    </w:p>
    <w:p>
      <w:pPr>
        <w:pStyle w:val="ListParagraph"/>
        <w:numPr>
          <w:ilvl w:val="0"/>
          <w:numId w:val="2"/>
        </w:numPr>
        <w:spacing w:after="80"/>
      </w:pPr>
      <w:r>
        <w:rPr>
          <w:rFonts w:ascii="Arial" w:cs="Arial" w:eastAsia="Arial" w:hAnsi="Arial"/>
          <w:color w:val="333333"/>
          <w:sz w:val="21"/>
          <w:szCs w:val="21"/>
        </w:rPr>
        <w:t xml:space="preserve">Automated detection, diagnosis, and remediation of common infrastructure events without human intervention</w:t>
      </w:r>
    </w:p>
    <w:p>
      <w:pPr>
        <w:pStyle w:val="ListParagraph"/>
        <w:numPr>
          <w:ilvl w:val="0"/>
          <w:numId w:val="2"/>
        </w:numPr>
        <w:spacing w:after="80"/>
      </w:pPr>
      <w:r>
        <w:rPr>
          <w:rFonts w:ascii="Arial" w:cs="Arial" w:eastAsia="Arial" w:hAnsi="Arial"/>
          <w:color w:val="333333"/>
          <w:sz w:val="21"/>
          <w:szCs w:val="21"/>
        </w:rPr>
        <w:t xml:space="preserve">Event correlation across hybrid environments (on-premises, Azure, AWS) reducing alert noise by a minimum of 70%</w:t>
      </w:r>
    </w:p>
    <w:p>
      <w:pPr>
        <w:pStyle w:val="ListParagraph"/>
        <w:numPr>
          <w:ilvl w:val="0"/>
          <w:numId w:val="2"/>
        </w:numPr>
        <w:spacing w:after="80"/>
      </w:pPr>
      <w:r>
        <w:rPr>
          <w:rFonts w:ascii="Arial" w:cs="Arial" w:eastAsia="Arial" w:hAnsi="Arial"/>
          <w:color w:val="333333"/>
          <w:sz w:val="21"/>
          <w:szCs w:val="21"/>
        </w:rPr>
        <w:t xml:space="preserve">Predictive capacity management using historical and real-time telemetry to prevent resource exhaustion before impact</w:t>
      </w:r>
    </w:p>
    <w:p>
      <w:pPr>
        <w:spacing w:before="200" w:after="120"/>
      </w:pPr>
      <w:r>
        <w:rPr>
          <w:rFonts w:ascii="Arial" w:cs="Arial" w:eastAsia="Arial" w:hAnsi="Arial"/>
          <w:b/>
          <w:bCs/>
          <w:color w:val="4A5568"/>
          <w:sz w:val="22"/>
          <w:szCs w:val="22"/>
        </w:rPr>
        <w:t xml:space="preserve">AIOps &amp; Observability</w:t>
      </w:r>
    </w:p>
    <w:p>
      <w:pPr>
        <w:pStyle w:val="ListParagraph"/>
        <w:numPr>
          <w:ilvl w:val="0"/>
          <w:numId w:val="2"/>
        </w:numPr>
        <w:spacing w:after="80"/>
      </w:pPr>
      <w:r>
        <w:rPr>
          <w:rFonts w:ascii="Arial" w:cs="Arial" w:eastAsia="Arial" w:hAnsi="Arial"/>
          <w:color w:val="333333"/>
          <w:sz w:val="21"/>
          <w:szCs w:val="21"/>
        </w:rPr>
        <w:t xml:space="preserve">Unified observability platform spanning all five service towers with AI-driven anomaly detection</w:t>
      </w:r>
    </w:p>
    <w:p>
      <w:pPr>
        <w:pStyle w:val="ListParagraph"/>
        <w:numPr>
          <w:ilvl w:val="0"/>
          <w:numId w:val="2"/>
        </w:numPr>
        <w:spacing w:after="80"/>
      </w:pPr>
      <w:r>
        <w:rPr>
          <w:rFonts w:ascii="Arial" w:cs="Arial" w:eastAsia="Arial" w:hAnsi="Arial"/>
          <w:color w:val="333333"/>
          <w:sz w:val="21"/>
          <w:szCs w:val="21"/>
        </w:rPr>
        <w:t xml:space="preserve">Automated root cause analysis reducing Mean Time to Identify (MTTI) to under 5 minutes for P1 incidents</w:t>
      </w:r>
    </w:p>
    <w:p>
      <w:pPr>
        <w:pStyle w:val="ListParagraph"/>
        <w:numPr>
          <w:ilvl w:val="0"/>
          <w:numId w:val="2"/>
        </w:numPr>
        <w:spacing w:after="80"/>
      </w:pPr>
      <w:r>
        <w:rPr>
          <w:rFonts w:ascii="Arial" w:cs="Arial" w:eastAsia="Arial" w:hAnsi="Arial"/>
          <w:color w:val="333333"/>
          <w:sz w:val="21"/>
          <w:szCs w:val="21"/>
        </w:rPr>
        <w:t xml:space="preserve">Machine learning models trained on Meridian’s operational data within the first 6 months, continuously improving accuracy</w:t>
      </w:r>
    </w:p>
    <w:p>
      <w:pPr>
        <w:spacing w:before="200" w:after="120"/>
      </w:pPr>
      <w:r>
        <w:rPr>
          <w:rFonts w:ascii="Arial" w:cs="Arial" w:eastAsia="Arial" w:hAnsi="Arial"/>
          <w:b/>
          <w:bCs/>
          <w:color w:val="4A5568"/>
          <w:sz w:val="22"/>
          <w:szCs w:val="22"/>
        </w:rPr>
        <w:t xml:space="preserve">Intelligent Service Desk</w:t>
      </w:r>
    </w:p>
    <w:p>
      <w:pPr>
        <w:pStyle w:val="ListParagraph"/>
        <w:numPr>
          <w:ilvl w:val="0"/>
          <w:numId w:val="2"/>
        </w:numPr>
        <w:spacing w:after="80"/>
      </w:pPr>
      <w:r>
        <w:rPr>
          <w:rFonts w:ascii="Arial" w:cs="Arial" w:eastAsia="Arial" w:hAnsi="Arial"/>
          <w:color w:val="333333"/>
          <w:sz w:val="21"/>
          <w:szCs w:val="21"/>
        </w:rPr>
        <w:t xml:space="preserve">AI-assisted triage and resolution for L1 service desk contacts, targeting 40% automation of repeatable requests within 12 months</w:t>
      </w:r>
    </w:p>
    <w:p>
      <w:pPr>
        <w:pStyle w:val="ListParagraph"/>
        <w:numPr>
          <w:ilvl w:val="0"/>
          <w:numId w:val="2"/>
        </w:numPr>
        <w:spacing w:after="80"/>
      </w:pPr>
      <w:r>
        <w:rPr>
          <w:rFonts w:ascii="Arial" w:cs="Arial" w:eastAsia="Arial" w:hAnsi="Arial"/>
          <w:color w:val="333333"/>
          <w:sz w:val="21"/>
          <w:szCs w:val="21"/>
        </w:rPr>
        <w:t xml:space="preserve">Natural language interfaces for common employee requests (password resets, access provisioning, device enrolment)</w:t>
      </w:r>
    </w:p>
    <w:p>
      <w:pPr>
        <w:pStyle w:val="ListParagraph"/>
        <w:numPr>
          <w:ilvl w:val="0"/>
          <w:numId w:val="2"/>
        </w:numPr>
        <w:spacing w:after="80"/>
      </w:pPr>
      <w:r>
        <w:rPr>
          <w:rFonts w:ascii="Arial" w:cs="Arial" w:eastAsia="Arial" w:hAnsi="Arial"/>
          <w:color w:val="333333"/>
          <w:sz w:val="21"/>
          <w:szCs w:val="21"/>
        </w:rPr>
        <w:t xml:space="preserve">Sentiment analysis on service interactions to identify emerging dissatisfaction before formal complaint</w:t>
      </w:r>
    </w:p>
    <w:p>
      <w:pPr>
        <w:spacing w:before="200" w:after="120"/>
      </w:pPr>
      <w:r>
        <w:rPr>
          <w:rFonts w:ascii="Arial" w:cs="Arial" w:eastAsia="Arial" w:hAnsi="Arial"/>
          <w:b/>
          <w:bCs/>
          <w:color w:val="4A5568"/>
          <w:sz w:val="22"/>
          <w:szCs w:val="22"/>
        </w:rPr>
        <w:t xml:space="preserve">Automated Security Operations</w:t>
      </w:r>
    </w:p>
    <w:p>
      <w:pPr>
        <w:pStyle w:val="ListParagraph"/>
        <w:numPr>
          <w:ilvl w:val="0"/>
          <w:numId w:val="2"/>
        </w:numPr>
        <w:spacing w:after="80"/>
      </w:pPr>
      <w:r>
        <w:rPr>
          <w:rFonts w:ascii="Arial" w:cs="Arial" w:eastAsia="Arial" w:hAnsi="Arial"/>
          <w:color w:val="333333"/>
          <w:sz w:val="21"/>
          <w:szCs w:val="21"/>
        </w:rPr>
        <w:t xml:space="preserve">SOAR (Security Orchestration, Automation and Response) platform integrated with SIEM for automated playbook execution on known threat patterns</w:t>
      </w:r>
    </w:p>
    <w:p>
      <w:pPr>
        <w:pStyle w:val="ListParagraph"/>
        <w:numPr>
          <w:ilvl w:val="0"/>
          <w:numId w:val="2"/>
        </w:numPr>
        <w:spacing w:after="80"/>
      </w:pPr>
      <w:r>
        <w:rPr>
          <w:rFonts w:ascii="Arial" w:cs="Arial" w:eastAsia="Arial" w:hAnsi="Arial"/>
          <w:color w:val="333333"/>
          <w:sz w:val="21"/>
          <w:szCs w:val="21"/>
        </w:rPr>
        <w:t xml:space="preserve">Automated vulnerability scanning and prioritisation based on Meridian’s specific asset criticality and regulatory exposure</w:t>
      </w:r>
    </w:p>
    <w:p>
      <w:pPr>
        <w:pStyle w:val="ListParagraph"/>
        <w:numPr>
          <w:ilvl w:val="0"/>
          <w:numId w:val="2"/>
        </w:numPr>
        <w:spacing w:after="80"/>
      </w:pPr>
      <w:r>
        <w:rPr>
          <w:rFonts w:ascii="Arial" w:cs="Arial" w:eastAsia="Arial" w:hAnsi="Arial"/>
          <w:color w:val="333333"/>
          <w:sz w:val="21"/>
          <w:szCs w:val="21"/>
        </w:rPr>
        <w:t xml:space="preserve">Continuous compliance monitoring against CIS benchmarks with automated drift detection and remediation</w:t>
      </w:r>
    </w:p>
    <w:p>
      <w:pPr>
        <w:spacing w:after="80"/>
      </w:pPr>
    </w:p>
    <w:p>
      <w:pPr>
        <w:spacing w:after="160"/>
      </w:pPr>
      <w:r>
        <w:rPr>
          <w:rFonts w:ascii="Arial" w:cs="Arial" w:eastAsia="Arial" w:hAnsi="Arial"/>
          <w:b/>
          <w:bCs/>
          <w:color w:val="333333"/>
          <w:sz w:val="21"/>
          <w:szCs w:val="21"/>
        </w:rPr>
        <w:t xml:space="preserve">Meridian expects its partner to bring an automation-first operating philosophy. </w:t>
      </w:r>
      <w:r>
        <w:rPr>
          <w:rFonts w:ascii="Arial" w:cs="Arial" w:eastAsia="Arial" w:hAnsi="Arial"/>
          <w:color w:val="333333"/>
          <w:sz w:val="21"/>
          <w:szCs w:val="21"/>
        </w:rPr>
        <w:t xml:space="preserve">Proposals that rely primarily on staffing volume rather than platform intelligence will not score competitively. The evaluation will assess the respondent’s demonstrated ability to reduce human intervention progressively over the contract term, with specific automation maturity milestones at Month 6, Month 12, Month 24, and annually thereafter.</w:t>
      </w:r>
    </w:p>
    <w:p>
      <w:pPr>
        <w:pStyle w:val="Heading2"/>
        <w:spacing w:before="280" w:after="160"/>
      </w:pPr>
      <w:r>
        <w:rPr>
          <w:rFonts w:ascii="Arial" w:cs="Arial" w:eastAsia="Arial" w:hAnsi="Arial"/>
          <w:b/>
          <w:bCs/>
          <w:color w:val="2B5797"/>
          <w:sz w:val="26"/>
          <w:szCs w:val="26"/>
        </w:rPr>
        <w:t xml:space="preserve">1.5 Current State &amp; Problem Statements</w:t>
      </w:r>
    </w:p>
    <w:p>
      <w:pPr>
        <w:spacing w:after="160"/>
      </w:pPr>
      <w:r>
        <w:rPr>
          <w:rFonts w:ascii="Arial" w:cs="Arial" w:eastAsia="Arial" w:hAnsi="Arial"/>
          <w:color w:val="333333"/>
          <w:sz w:val="21"/>
          <w:szCs w:val="21"/>
        </w:rPr>
        <w:t xml:space="preserve">Meridian’s current IT infrastructure environment presents several challenges that this procurement seeks to address:</w:t>
      </w:r>
    </w:p>
    <w:p>
      <w:pPr>
        <w:spacing w:before="200" w:after="120"/>
      </w:pPr>
      <w:r>
        <w:rPr>
          <w:rFonts w:ascii="Arial" w:cs="Arial" w:eastAsia="Arial" w:hAnsi="Arial"/>
          <w:b/>
          <w:bCs/>
          <w:color w:val="4A5568"/>
          <w:sz w:val="22"/>
          <w:szCs w:val="22"/>
        </w:rPr>
        <w:t xml:space="preserve">Infrastructure &amp; Operations</w:t>
      </w:r>
    </w:p>
    <w:p>
      <w:pPr>
        <w:pStyle w:val="ListParagraph"/>
        <w:numPr>
          <w:ilvl w:val="0"/>
          <w:numId w:val="2"/>
        </w:numPr>
        <w:spacing w:after="80"/>
      </w:pPr>
      <w:r>
        <w:rPr>
          <w:rFonts w:ascii="Arial" w:cs="Arial" w:eastAsia="Arial" w:hAnsi="Arial"/>
          <w:color w:val="333333"/>
          <w:sz w:val="21"/>
          <w:szCs w:val="21"/>
        </w:rPr>
        <w:t xml:space="preserve">Ageing on-premises estate: 62% of server infrastructure is beyond vendor end-of-life</w:t>
      </w:r>
    </w:p>
    <w:p>
      <w:pPr>
        <w:pStyle w:val="ListParagraph"/>
        <w:numPr>
          <w:ilvl w:val="0"/>
          <w:numId w:val="2"/>
        </w:numPr>
        <w:spacing w:after="80"/>
      </w:pPr>
      <w:r>
        <w:rPr>
          <w:rFonts w:ascii="Arial" w:cs="Arial" w:eastAsia="Arial" w:hAnsi="Arial"/>
          <w:color w:val="333333"/>
          <w:sz w:val="21"/>
          <w:szCs w:val="21"/>
        </w:rPr>
        <w:t xml:space="preserve">Predominantly manual incident response protocols with a documented 47-minute communication gap during the most recent stress test (November 2025)</w:t>
      </w:r>
    </w:p>
    <w:p>
      <w:pPr>
        <w:pStyle w:val="ListParagraph"/>
        <w:numPr>
          <w:ilvl w:val="0"/>
          <w:numId w:val="2"/>
        </w:numPr>
        <w:spacing w:after="80"/>
      </w:pPr>
      <w:r>
        <w:rPr>
          <w:rFonts w:ascii="Arial" w:cs="Arial" w:eastAsia="Arial" w:hAnsi="Arial"/>
          <w:color w:val="333333"/>
          <w:sz w:val="21"/>
          <w:szCs w:val="21"/>
        </w:rPr>
        <w:t xml:space="preserve">Staff location awareness during incident at 68% — below the Group’s 95% impact tolerance target</w:t>
      </w:r>
    </w:p>
    <w:p>
      <w:pPr>
        <w:pStyle w:val="ListParagraph"/>
        <w:numPr>
          <w:ilvl w:val="0"/>
          <w:numId w:val="2"/>
        </w:numPr>
        <w:spacing w:after="80"/>
      </w:pPr>
      <w:r>
        <w:rPr>
          <w:rFonts w:ascii="Arial" w:cs="Arial" w:eastAsia="Arial" w:hAnsi="Arial"/>
          <w:color w:val="333333"/>
          <w:sz w:val="21"/>
          <w:szCs w:val="21"/>
        </w:rPr>
        <w:t xml:space="preserve">12% year-on-year increase in micro-outage costs, now estimated at £2.8M annually</w:t>
      </w:r>
    </w:p>
    <w:p>
      <w:pPr>
        <w:pStyle w:val="ListParagraph"/>
        <w:numPr>
          <w:ilvl w:val="0"/>
          <w:numId w:val="2"/>
        </w:numPr>
        <w:spacing w:after="80"/>
      </w:pPr>
      <w:r>
        <w:rPr>
          <w:rFonts w:ascii="Arial" w:cs="Arial" w:eastAsia="Arial" w:hAnsi="Arial"/>
          <w:color w:val="333333"/>
          <w:sz w:val="21"/>
          <w:szCs w:val="21"/>
        </w:rPr>
        <w:t xml:space="preserve">Fragmented tooling across five sites with no unified observability or automated remediation capability</w:t>
      </w:r>
    </w:p>
    <w:p>
      <w:pPr>
        <w:pStyle w:val="ListParagraph"/>
        <w:numPr>
          <w:ilvl w:val="0"/>
          <w:numId w:val="2"/>
        </w:numPr>
        <w:spacing w:after="80"/>
      </w:pPr>
      <w:r>
        <w:rPr>
          <w:rFonts w:ascii="Arial" w:cs="Arial" w:eastAsia="Arial" w:hAnsi="Arial"/>
          <w:color w:val="333333"/>
          <w:sz w:val="21"/>
          <w:szCs w:val="21"/>
        </w:rPr>
        <w:t xml:space="preserve">Alert fatigue: current monitoring generates approximately 14,000 alerts per month, of which fewer than 3% require human action</w:t>
      </w:r>
    </w:p>
    <w:p>
      <w:pPr>
        <w:spacing w:before="200" w:after="120"/>
      </w:pPr>
      <w:r>
        <w:rPr>
          <w:rFonts w:ascii="Arial" w:cs="Arial" w:eastAsia="Arial" w:hAnsi="Arial"/>
          <w:b/>
          <w:bCs/>
          <w:color w:val="4A5568"/>
          <w:sz w:val="22"/>
          <w:szCs w:val="22"/>
        </w:rPr>
        <w:t xml:space="preserve">Resilience &amp; Regulatory Compliance</w:t>
      </w:r>
    </w:p>
    <w:p>
      <w:pPr>
        <w:pStyle w:val="ListParagraph"/>
        <w:numPr>
          <w:ilvl w:val="0"/>
          <w:numId w:val="2"/>
        </w:numPr>
        <w:spacing w:after="80"/>
      </w:pPr>
      <w:r>
        <w:rPr>
          <w:rFonts w:ascii="Arial" w:cs="Arial" w:eastAsia="Arial" w:hAnsi="Arial"/>
          <w:color w:val="333333"/>
          <w:sz w:val="21"/>
          <w:szCs w:val="21"/>
        </w:rPr>
        <w:t xml:space="preserve">ISO 22301 gap analysis (September 2025) identified 34 non-conformities, 12 classified as major</w:t>
      </w:r>
    </w:p>
    <w:p>
      <w:pPr>
        <w:pStyle w:val="ListParagraph"/>
        <w:numPr>
          <w:ilvl w:val="0"/>
          <w:numId w:val="2"/>
        </w:numPr>
        <w:spacing w:after="80"/>
      </w:pPr>
      <w:r>
        <w:rPr>
          <w:rFonts w:ascii="Arial" w:cs="Arial" w:eastAsia="Arial" w:hAnsi="Arial"/>
          <w:color w:val="333333"/>
          <w:sz w:val="21"/>
          <w:szCs w:val="21"/>
        </w:rPr>
        <w:t xml:space="preserve">PRA supervisory feedback (December 2025) noted insufficient evidence of ability to remain within impact tolerances under stress</w:t>
      </w:r>
    </w:p>
    <w:p>
      <w:pPr>
        <w:pStyle w:val="ListParagraph"/>
        <w:numPr>
          <w:ilvl w:val="0"/>
          <w:numId w:val="2"/>
        </w:numPr>
        <w:spacing w:after="80"/>
      </w:pPr>
      <w:r>
        <w:rPr>
          <w:rFonts w:ascii="Arial" w:cs="Arial" w:eastAsia="Arial" w:hAnsi="Arial"/>
          <w:color w:val="333333"/>
          <w:sz w:val="21"/>
          <w:szCs w:val="21"/>
        </w:rPr>
        <w:t xml:space="preserve">Business continuity plans exist per site but are not integrated at Group level and have not been tested end-to-end across Important Business Services</w:t>
      </w:r>
    </w:p>
    <w:p>
      <w:pPr>
        <w:pStyle w:val="ListParagraph"/>
        <w:numPr>
          <w:ilvl w:val="0"/>
          <w:numId w:val="2"/>
        </w:numPr>
        <w:spacing w:after="80"/>
      </w:pPr>
      <w:r>
        <w:rPr>
          <w:rFonts w:ascii="Arial" w:cs="Arial" w:eastAsia="Arial" w:hAnsi="Arial"/>
          <w:color w:val="333333"/>
          <w:sz w:val="21"/>
          <w:szCs w:val="21"/>
        </w:rPr>
        <w:t xml:space="preserve">Resilience skills gap at managerial level identified in the Group’s annual capability assessment</w:t>
      </w:r>
    </w:p>
    <w:p>
      <w:pPr>
        <w:pStyle w:val="ListParagraph"/>
        <w:numPr>
          <w:ilvl w:val="0"/>
          <w:numId w:val="2"/>
        </w:numPr>
        <w:spacing w:after="80"/>
      </w:pPr>
      <w:r>
        <w:rPr>
          <w:rFonts w:ascii="Arial" w:cs="Arial" w:eastAsia="Arial" w:hAnsi="Arial"/>
          <w:color w:val="333333"/>
          <w:sz w:val="21"/>
          <w:szCs w:val="21"/>
        </w:rPr>
        <w:t xml:space="preserve">Consumer Duty MI reporting for technology-driven service failures is currently manual and delayed by up to 72 hours</w:t>
      </w:r>
    </w:p>
    <w:p>
      <w:pPr>
        <w:spacing w:before="200" w:after="120"/>
      </w:pPr>
      <w:r>
        <w:rPr>
          <w:rFonts w:ascii="Arial" w:cs="Arial" w:eastAsia="Arial" w:hAnsi="Arial"/>
          <w:b/>
          <w:bCs/>
          <w:color w:val="4A5568"/>
          <w:sz w:val="22"/>
          <w:szCs w:val="22"/>
        </w:rPr>
        <w:t xml:space="preserve">Workplace &amp; End User Services</w:t>
      </w:r>
    </w:p>
    <w:p>
      <w:pPr>
        <w:pStyle w:val="ListParagraph"/>
        <w:numPr>
          <w:ilvl w:val="0"/>
          <w:numId w:val="2"/>
        </w:numPr>
        <w:spacing w:after="80"/>
      </w:pPr>
      <w:r>
        <w:rPr>
          <w:rFonts w:ascii="Arial" w:cs="Arial" w:eastAsia="Arial" w:hAnsi="Arial"/>
          <w:color w:val="333333"/>
          <w:sz w:val="21"/>
          <w:szCs w:val="21"/>
        </w:rPr>
        <w:t xml:space="preserve">Service desk first-call resolution rate at 58% against an industry benchmark of 72%</w:t>
      </w:r>
    </w:p>
    <w:p>
      <w:pPr>
        <w:pStyle w:val="ListParagraph"/>
        <w:numPr>
          <w:ilvl w:val="0"/>
          <w:numId w:val="2"/>
        </w:numPr>
        <w:spacing w:after="80"/>
      </w:pPr>
      <w:r>
        <w:rPr>
          <w:rFonts w:ascii="Arial" w:cs="Arial" w:eastAsia="Arial" w:hAnsi="Arial"/>
          <w:color w:val="333333"/>
          <w:sz w:val="21"/>
          <w:szCs w:val="21"/>
        </w:rPr>
        <w:t xml:space="preserve">Zero automation of repeatable requests (password resets, access provisioning, device enrolment all handled manually)</w:t>
      </w:r>
    </w:p>
    <w:p>
      <w:pPr>
        <w:pStyle w:val="ListParagraph"/>
        <w:numPr>
          <w:ilvl w:val="0"/>
          <w:numId w:val="2"/>
        </w:numPr>
        <w:spacing w:after="80"/>
      </w:pPr>
      <w:r>
        <w:rPr>
          <w:rFonts w:ascii="Arial" w:cs="Arial" w:eastAsia="Arial" w:hAnsi="Arial"/>
          <w:color w:val="333333"/>
          <w:sz w:val="21"/>
          <w:szCs w:val="21"/>
        </w:rPr>
        <w:t xml:space="preserve">Average device age of 4.2 years across the estate (8,200 managed endpoints)</w:t>
      </w:r>
    </w:p>
    <w:p>
      <w:pPr>
        <w:pStyle w:val="ListParagraph"/>
        <w:numPr>
          <w:ilvl w:val="0"/>
          <w:numId w:val="2"/>
        </w:numPr>
        <w:spacing w:after="80"/>
      </w:pPr>
      <w:r>
        <w:rPr>
          <w:rFonts w:ascii="Arial" w:cs="Arial" w:eastAsia="Arial" w:hAnsi="Arial"/>
          <w:color w:val="333333"/>
          <w:sz w:val="21"/>
          <w:szCs w:val="21"/>
        </w:rPr>
        <w:t xml:space="preserve">No unified endpoint management platform — three separate tools across regions</w:t>
      </w:r>
    </w:p>
    <w:p>
      <w:pPr>
        <w:pStyle w:val="ListParagraph"/>
        <w:numPr>
          <w:ilvl w:val="0"/>
          <w:numId w:val="2"/>
        </w:numPr>
        <w:spacing w:after="80"/>
      </w:pPr>
      <w:r>
        <w:rPr>
          <w:rFonts w:ascii="Arial" w:cs="Arial" w:eastAsia="Arial" w:hAnsi="Arial"/>
          <w:color w:val="333333"/>
          <w:sz w:val="21"/>
          <w:szCs w:val="21"/>
        </w:rPr>
        <w:t xml:space="preserve">Employee experience score for IT services: 3.1/5.0 (2025 Group survey, lowest-scoring corporate function)</w:t>
      </w:r>
    </w:p>
    <w:p>
      <w:pPr>
        <w:pStyle w:val="Heading2"/>
        <w:spacing w:before="280" w:after="160"/>
      </w:pPr>
      <w:r>
        <w:rPr>
          <w:rFonts w:ascii="Arial" w:cs="Arial" w:eastAsia="Arial" w:hAnsi="Arial"/>
          <w:b/>
          <w:bCs/>
          <w:color w:val="2B5797"/>
          <w:sz w:val="26"/>
          <w:szCs w:val="26"/>
        </w:rPr>
        <w:t xml:space="preserve">1.6 Outsourcing Rationale</w:t>
      </w:r>
    </w:p>
    <w:p>
      <w:pPr>
        <w:spacing w:after="160"/>
      </w:pPr>
      <w:r>
        <w:rPr>
          <w:rFonts w:ascii="Arial" w:cs="Arial" w:eastAsia="Arial" w:hAnsi="Arial"/>
          <w:color w:val="333333"/>
          <w:sz w:val="21"/>
          <w:szCs w:val="21"/>
        </w:rPr>
        <w:t xml:space="preserve">The Meridian Board has determined that IT infrastructure and operations, including operational resilience delivery, is not a core differentiating capability. The Group seeks a strategic partner who can:</w:t>
      </w:r>
    </w:p>
    <w:p>
      <w:pPr>
        <w:pStyle w:val="ListParagraph"/>
        <w:numPr>
          <w:ilvl w:val="0"/>
          <w:numId w:val="3"/>
        </w:numPr>
        <w:spacing w:after="80"/>
      </w:pPr>
      <w:r>
        <w:rPr>
          <w:rFonts w:ascii="Arial" w:cs="Arial" w:eastAsia="Arial" w:hAnsi="Arial"/>
          <w:color w:val="333333"/>
          <w:sz w:val="21"/>
          <w:szCs w:val="21"/>
        </w:rPr>
        <w:t xml:space="preserve">Bring intelligent, automated operational capabilities that Meridian cannot build or sustain in-house</w:t>
      </w:r>
    </w:p>
    <w:p>
      <w:pPr>
        <w:pStyle w:val="ListParagraph"/>
        <w:numPr>
          <w:ilvl w:val="0"/>
          <w:numId w:val="3"/>
        </w:numPr>
        <w:spacing w:after="80"/>
      </w:pPr>
      <w:r>
        <w:rPr>
          <w:rFonts w:ascii="Arial" w:cs="Arial" w:eastAsia="Arial" w:hAnsi="Arial"/>
          <w:color w:val="333333"/>
          <w:sz w:val="21"/>
          <w:szCs w:val="21"/>
        </w:rPr>
        <w:t xml:space="preserve">Accelerate the ISO 22301 certification programme and embed resilience as an operational discipline</w:t>
      </w:r>
    </w:p>
    <w:p>
      <w:pPr>
        <w:pStyle w:val="ListParagraph"/>
        <w:numPr>
          <w:ilvl w:val="0"/>
          <w:numId w:val="3"/>
        </w:numPr>
        <w:spacing w:after="80"/>
      </w:pPr>
      <w:r>
        <w:rPr>
          <w:rFonts w:ascii="Arial" w:cs="Arial" w:eastAsia="Arial" w:hAnsi="Arial"/>
          <w:color w:val="333333"/>
          <w:sz w:val="21"/>
          <w:szCs w:val="21"/>
        </w:rPr>
        <w:t xml:space="preserve">Deliver measurable, progressive improvements in service availability, incident response, and employee experience</w:t>
      </w:r>
    </w:p>
    <w:p>
      <w:pPr>
        <w:pStyle w:val="ListParagraph"/>
        <w:numPr>
          <w:ilvl w:val="0"/>
          <w:numId w:val="3"/>
        </w:numPr>
        <w:spacing w:after="80"/>
      </w:pPr>
      <w:r>
        <w:rPr>
          <w:rFonts w:ascii="Arial" w:cs="Arial" w:eastAsia="Arial" w:hAnsi="Arial"/>
          <w:color w:val="333333"/>
          <w:sz w:val="21"/>
          <w:szCs w:val="21"/>
        </w:rPr>
        <w:t xml:space="preserve">Demonstrate a credible cost glide path from Year 1 transition investment to materially lower steady-state costs by Year 5</w:t>
      </w:r>
    </w:p>
    <w:p>
      <w:pPr>
        <w:pStyle w:val="ListParagraph"/>
        <w:numPr>
          <w:ilvl w:val="0"/>
          <w:numId w:val="3"/>
        </w:numPr>
        <w:spacing w:after="80"/>
      </w:pPr>
      <w:r>
        <w:rPr>
          <w:rFonts w:ascii="Arial" w:cs="Arial" w:eastAsia="Arial" w:hAnsi="Arial"/>
          <w:color w:val="333333"/>
          <w:sz w:val="21"/>
          <w:szCs w:val="21"/>
        </w:rPr>
        <w:t xml:space="preserve">Operate within Meridian’s regulatory framework (FCA, PRA, Consumer Duty) as a knowledgeable participant, not a passive supplier</w:t>
      </w:r>
    </w:p>
    <w:p>
      <w:pPr>
        <w:pStyle w:val="ListParagraph"/>
        <w:numPr>
          <w:ilvl w:val="0"/>
          <w:numId w:val="3"/>
        </w:numPr>
        <w:spacing w:after="80"/>
      </w:pPr>
      <w:r>
        <w:rPr>
          <w:rFonts w:ascii="Arial" w:cs="Arial" w:eastAsia="Arial" w:hAnsi="Arial"/>
          <w:color w:val="333333"/>
          <w:sz w:val="21"/>
          <w:szCs w:val="21"/>
        </w:rPr>
        <w:t xml:space="preserve">Provide a flexible commercial model that rewards outcomes and accommodates business change over a seven-year term</w:t>
      </w:r>
    </w:p>
    <w:p>
      <w:pPr>
        <w:spacing w:after="80"/>
      </w:pPr>
    </w:p>
    <w:p>
      <w:pPr>
        <w:spacing w:after="160"/>
      </w:pPr>
      <w:r>
        <w:rPr>
          <w:rFonts w:ascii="Arial" w:cs="Arial" w:eastAsia="Arial" w:hAnsi="Arial"/>
          <w:b/>
          <w:bCs/>
          <w:color w:val="333333"/>
          <w:sz w:val="21"/>
          <w:szCs w:val="21"/>
        </w:rPr>
        <w:t xml:space="preserve">Important: </w:t>
      </w:r>
      <w:r>
        <w:rPr>
          <w:rFonts w:ascii="Arial" w:cs="Arial" w:eastAsia="Arial" w:hAnsi="Arial"/>
          <w:color w:val="333333"/>
          <w:sz w:val="21"/>
          <w:szCs w:val="21"/>
        </w:rPr>
        <w:t xml:space="preserve">Although Meridian has defined IT I&amp;O as non-core, the Board considers resilient, secure, and continuously available IT services to be </w:t>
      </w:r>
      <w:r>
        <w:rPr>
          <w:rFonts w:ascii="Arial" w:cs="Arial" w:eastAsia="Arial" w:hAnsi="Arial"/>
          <w:b/>
          <w:bCs/>
          <w:color w:val="333333"/>
          <w:sz w:val="21"/>
          <w:szCs w:val="21"/>
        </w:rPr>
        <w:t xml:space="preserve">essential to the Group’s regulated status, its Consumer Duty obligations, and its ability to operate within PRA impact tolerances.</w:t>
      </w:r>
      <w:r>
        <w:rPr>
          <w:rFonts w:ascii="Arial" w:cs="Arial" w:eastAsia="Arial" w:hAnsi="Arial"/>
          <w:color w:val="333333"/>
          <w:sz w:val="21"/>
          <w:szCs w:val="21"/>
        </w:rPr>
        <w:t xml:space="preserve"> The incoming partner will effectively operate infrastructure and services underpinning regulated activities. This is not a commodity outsource.</w:t>
      </w:r>
    </w:p>
    <w:p>
      <w:r>
        <w:br w:type="page"/>
      </w:r>
    </w:p>
    <w:p>
      <w:pPr>
        <w:pStyle w:val="Heading1"/>
        <w:spacing w:before="360" w:after="200"/>
      </w:pPr>
      <w:r>
        <w:rPr>
          <w:rFonts w:ascii="Arial" w:cs="Arial" w:eastAsia="Arial" w:hAnsi="Arial"/>
          <w:b/>
          <w:bCs/>
          <w:color w:val="1B2A4A"/>
          <w:sz w:val="32"/>
          <w:szCs w:val="32"/>
        </w:rPr>
        <w:t xml:space="preserve">Section 2: Scope of Services</w:t>
      </w:r>
    </w:p>
    <w:p>
      <w:pPr>
        <w:pStyle w:val="Heading2"/>
        <w:spacing w:before="280" w:after="160"/>
      </w:pPr>
      <w:r>
        <w:rPr>
          <w:rFonts w:ascii="Arial" w:cs="Arial" w:eastAsia="Arial" w:hAnsi="Arial"/>
          <w:b/>
          <w:bCs/>
          <w:color w:val="2B5797"/>
          <w:sz w:val="26"/>
          <w:szCs w:val="26"/>
        </w:rPr>
        <w:t xml:space="preserve">2.1 Service Towers</w:t>
      </w:r>
    </w:p>
    <w:p>
      <w:pPr>
        <w:spacing w:after="160"/>
      </w:pPr>
      <w:r>
        <w:rPr>
          <w:rFonts w:ascii="Arial" w:cs="Arial" w:eastAsia="Arial" w:hAnsi="Arial"/>
          <w:color w:val="333333"/>
          <w:sz w:val="21"/>
          <w:szCs w:val="21"/>
        </w:rPr>
        <w:t xml:space="preserve">The services within scope are organised into five towers. Respondents must bid for all five towers; partial bids will not be accepted.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226"/>
        <w:gridCol w:w="2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Ref</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Service Tower</w:t>
            </w:r>
          </w:p>
        </w:tc>
        <w:tc>
          <w:tcPr>
            <w:tcW w:type="dxa" w:w="4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Scope Summary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Current FTE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Infrastructure &amp; Cloud</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Data centre operations (2 sites), server management (Wintel, Linux, AIX), cloud platform management (Azure, AWS), storage &amp; backup, database administration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42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Network &amp; Security</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WAN/LAN management across 5 sites, firewall management, intrusion detection, vulnerability management, SIEM operations, certificate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End User Services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Service desk (L1/L2), desktop engineering, endpoint management, mobile device management, print services, AV/conferencing support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Operational Resilience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Business continuity management, disaster recovery, resilience testing &amp; exercising, ISO 22301 implementation support, incident communication, crisis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Service Integration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SIAM function, cross-tower coordination, vendor management, tooling integration, reporting &amp; analytics, continual service improvement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Total in-scope FTE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109</w:t>
            </w:r>
          </w:p>
        </w:tc>
      </w:tr>
    </w:tbl>
    <w:p>
      <w:pPr>
        <w:spacing w:after="120"/>
      </w:pPr>
    </w:p>
    <w:p>
      <w:pPr>
        <w:pStyle w:val="Heading2"/>
        <w:spacing w:before="280" w:after="160"/>
      </w:pPr>
      <w:r>
        <w:rPr>
          <w:rFonts w:ascii="Arial" w:cs="Arial" w:eastAsia="Arial" w:hAnsi="Arial"/>
          <w:b/>
          <w:bCs/>
          <w:color w:val="2B5797"/>
          <w:sz w:val="26"/>
          <w:szCs w:val="26"/>
        </w:rPr>
        <w:t xml:space="preserve">2.2 Current Operating Costs</w:t>
      </w:r>
    </w:p>
    <w:p>
      <w:pPr>
        <w:spacing w:after="160"/>
      </w:pPr>
      <w:r>
        <w:rPr>
          <w:rFonts w:ascii="Arial" w:cs="Arial" w:eastAsia="Arial" w:hAnsi="Arial"/>
          <w:color w:val="333333"/>
          <w:sz w:val="21"/>
          <w:szCs w:val="21"/>
        </w:rPr>
        <w:t xml:space="preserve">The current annualised operating costs for in-scope services are:</w:t>
      </w:r>
    </w:p>
    <w:p>
      <w:pPr>
        <w:pStyle w:val="ListParagraph"/>
        <w:numPr>
          <w:ilvl w:val="0"/>
          <w:numId w:val="2"/>
        </w:numPr>
        <w:spacing w:after="80"/>
      </w:pPr>
      <w:r>
        <w:rPr>
          <w:rFonts w:ascii="Arial" w:cs="Arial" w:eastAsia="Arial" w:hAnsi="Arial"/>
          <w:color w:val="333333"/>
          <w:sz w:val="21"/>
          <w:szCs w:val="21"/>
        </w:rPr>
        <w:t xml:space="preserve">Staff costs (109 FTE): £8.2M</w:t>
      </w:r>
    </w:p>
    <w:p>
      <w:pPr>
        <w:pStyle w:val="ListParagraph"/>
        <w:numPr>
          <w:ilvl w:val="0"/>
          <w:numId w:val="2"/>
        </w:numPr>
        <w:spacing w:after="80"/>
      </w:pPr>
      <w:r>
        <w:rPr>
          <w:rFonts w:ascii="Arial" w:cs="Arial" w:eastAsia="Arial" w:hAnsi="Arial"/>
          <w:color w:val="333333"/>
          <w:sz w:val="21"/>
          <w:szCs w:val="21"/>
        </w:rPr>
        <w:t xml:space="preserve">Third-party contracts &amp; licensing: £4.1M</w:t>
      </w:r>
    </w:p>
    <w:p>
      <w:pPr>
        <w:pStyle w:val="ListParagraph"/>
        <w:numPr>
          <w:ilvl w:val="0"/>
          <w:numId w:val="2"/>
        </w:numPr>
        <w:spacing w:after="80"/>
      </w:pPr>
      <w:r>
        <w:rPr>
          <w:rFonts w:ascii="Arial" w:cs="Arial" w:eastAsia="Arial" w:hAnsi="Arial"/>
          <w:color w:val="333333"/>
          <w:sz w:val="21"/>
          <w:szCs w:val="21"/>
        </w:rPr>
        <w:t xml:space="preserve">Data centre facility costs (allocated): £1.8M</w:t>
      </w:r>
    </w:p>
    <w:p>
      <w:pPr>
        <w:pStyle w:val="ListParagraph"/>
        <w:numPr>
          <w:ilvl w:val="0"/>
          <w:numId w:val="2"/>
        </w:numPr>
        <w:spacing w:after="80"/>
      </w:pPr>
      <w:r>
        <w:rPr>
          <w:rFonts w:ascii="Arial" w:cs="Arial" w:eastAsia="Arial" w:hAnsi="Arial"/>
          <w:color w:val="333333"/>
          <w:sz w:val="21"/>
          <w:szCs w:val="21"/>
        </w:rPr>
        <w:t xml:space="preserve">Capital expenditure (annualised depreciation): £2.4M</w:t>
      </w:r>
    </w:p>
    <w:p>
      <w:pPr>
        <w:pStyle w:val="ListParagraph"/>
        <w:numPr>
          <w:ilvl w:val="0"/>
          <w:numId w:val="2"/>
        </w:numPr>
        <w:spacing w:after="80"/>
      </w:pPr>
      <w:r>
        <w:rPr>
          <w:rFonts w:ascii="Arial" w:cs="Arial" w:eastAsia="Arial" w:hAnsi="Arial"/>
          <w:color w:val="333333"/>
          <w:sz w:val="21"/>
          <w:szCs w:val="21"/>
        </w:rPr>
        <w:t xml:space="preserve">Total current cost envelope: £16.5M per annum</w:t>
      </w:r>
    </w:p>
    <w:p>
      <w:pPr>
        <w:spacing w:after="80"/>
      </w:pPr>
    </w:p>
    <w:p>
      <w:pPr>
        <w:spacing w:after="160"/>
      </w:pPr>
      <w:r>
        <w:rPr>
          <w:rFonts w:ascii="Arial" w:cs="Arial" w:eastAsia="Arial" w:hAnsi="Arial"/>
          <w:color w:val="333333"/>
          <w:sz w:val="21"/>
          <w:szCs w:val="21"/>
        </w:rPr>
        <w:t xml:space="preserve">Respondents should note that Meridian expects demonstrable cost reduction over the contract term whilst simultaneously improving service quality and resilience outcomes. The Board has indicated a target of 15% cost reduction by Year 3 of steady-state operations.</w:t>
      </w:r>
    </w:p>
    <w:p>
      <w:pPr>
        <w:pStyle w:val="Heading2"/>
        <w:spacing w:before="280" w:after="160"/>
      </w:pPr>
      <w:r>
        <w:rPr>
          <w:rFonts w:ascii="Arial" w:cs="Arial" w:eastAsia="Arial" w:hAnsi="Arial"/>
          <w:b/>
          <w:bCs/>
          <w:color w:val="2B5797"/>
          <w:sz w:val="26"/>
          <w:szCs w:val="26"/>
        </w:rPr>
        <w:t xml:space="preserve">2.3 Out of Scope</w:t>
      </w:r>
    </w:p>
    <w:p>
      <w:pPr>
        <w:spacing w:after="160"/>
      </w:pPr>
      <w:r>
        <w:rPr>
          <w:rFonts w:ascii="Arial" w:cs="Arial" w:eastAsia="Arial" w:hAnsi="Arial"/>
          <w:color w:val="333333"/>
          <w:sz w:val="21"/>
          <w:szCs w:val="21"/>
        </w:rPr>
        <w:t xml:space="preserve">The following services are explicitly excluded from this procurement:</w:t>
      </w:r>
    </w:p>
    <w:p>
      <w:pPr>
        <w:pStyle w:val="ListParagraph"/>
        <w:numPr>
          <w:ilvl w:val="0"/>
          <w:numId w:val="2"/>
        </w:numPr>
        <w:spacing w:after="80"/>
      </w:pPr>
      <w:r>
        <w:rPr>
          <w:rFonts w:ascii="Arial" w:cs="Arial" w:eastAsia="Arial" w:hAnsi="Arial"/>
          <w:color w:val="333333"/>
          <w:sz w:val="21"/>
          <w:szCs w:val="21"/>
        </w:rPr>
        <w:t xml:space="preserve">Application development and maintenance</w:t>
      </w:r>
    </w:p>
    <w:p>
      <w:pPr>
        <w:pStyle w:val="ListParagraph"/>
        <w:numPr>
          <w:ilvl w:val="0"/>
          <w:numId w:val="2"/>
        </w:numPr>
        <w:spacing w:after="80"/>
      </w:pPr>
      <w:r>
        <w:rPr>
          <w:rFonts w:ascii="Arial" w:cs="Arial" w:eastAsia="Arial" w:hAnsi="Arial"/>
          <w:color w:val="333333"/>
          <w:sz w:val="21"/>
          <w:szCs w:val="21"/>
        </w:rPr>
        <w:t xml:space="preserve">Data &amp; analytics platforms (separate procurement in progress)</w:t>
      </w:r>
    </w:p>
    <w:p>
      <w:pPr>
        <w:pStyle w:val="ListParagraph"/>
        <w:numPr>
          <w:ilvl w:val="0"/>
          <w:numId w:val="2"/>
        </w:numPr>
        <w:spacing w:after="80"/>
      </w:pPr>
      <w:r>
        <w:rPr>
          <w:rFonts w:ascii="Arial" w:cs="Arial" w:eastAsia="Arial" w:hAnsi="Arial"/>
          <w:color w:val="333333"/>
          <w:sz w:val="21"/>
          <w:szCs w:val="21"/>
        </w:rPr>
        <w:t xml:space="preserve">Information security governance and policy (retained by Meridian CISO)</w:t>
      </w:r>
    </w:p>
    <w:p>
      <w:pPr>
        <w:pStyle w:val="ListParagraph"/>
        <w:numPr>
          <w:ilvl w:val="0"/>
          <w:numId w:val="2"/>
        </w:numPr>
        <w:spacing w:after="80"/>
      </w:pPr>
      <w:r>
        <w:rPr>
          <w:rFonts w:ascii="Arial" w:cs="Arial" w:eastAsia="Arial" w:hAnsi="Arial"/>
          <w:color w:val="333333"/>
          <w:sz w:val="21"/>
          <w:szCs w:val="21"/>
        </w:rPr>
        <w:t xml:space="preserve">Telephony and contact centre platform (under separate contract until 2029)</w:t>
      </w:r>
    </w:p>
    <w:p>
      <w:pPr>
        <w:pStyle w:val="ListParagraph"/>
        <w:numPr>
          <w:ilvl w:val="0"/>
          <w:numId w:val="2"/>
        </w:numPr>
        <w:spacing w:after="80"/>
      </w:pPr>
      <w:r>
        <w:rPr>
          <w:rFonts w:ascii="Arial" w:cs="Arial" w:eastAsia="Arial" w:hAnsi="Arial"/>
          <w:color w:val="333333"/>
          <w:sz w:val="21"/>
          <w:szCs w:val="21"/>
        </w:rPr>
        <w:t xml:space="preserve">Physical security and facilities management</w:t>
      </w:r>
    </w:p>
    <w:p>
      <w:pPr>
        <w:pStyle w:val="Heading2"/>
        <w:spacing w:before="280" w:after="160"/>
      </w:pPr>
      <w:r>
        <w:rPr>
          <w:rFonts w:ascii="Arial" w:cs="Arial" w:eastAsia="Arial" w:hAnsi="Arial"/>
          <w:b/>
          <w:bCs/>
          <w:color w:val="2B5797"/>
          <w:sz w:val="26"/>
          <w:szCs w:val="26"/>
        </w:rPr>
        <w:t xml:space="preserve">2.4 Contract Structure</w:t>
      </w:r>
    </w:p>
    <w:p>
      <w:pPr>
        <w:spacing w:after="160"/>
      </w:pPr>
      <w:r>
        <w:rPr>
          <w:rFonts w:ascii="Arial" w:cs="Arial" w:eastAsia="Arial" w:hAnsi="Arial"/>
          <w:color w:val="333333"/>
          <w:sz w:val="21"/>
          <w:szCs w:val="21"/>
        </w:rPr>
        <w:t xml:space="preserve">Meridian seeks a seven-year managed services agreement structured as follows:</w:t>
      </w:r>
    </w:p>
    <w:p>
      <w:pPr>
        <w:pStyle w:val="ListParagraph"/>
        <w:numPr>
          <w:ilvl w:val="0"/>
          <w:numId w:val="2"/>
        </w:numPr>
        <w:spacing w:after="80"/>
      </w:pPr>
      <w:r>
        <w:rPr>
          <w:rFonts w:ascii="Arial" w:cs="Arial" w:eastAsia="Arial" w:hAnsi="Arial"/>
          <w:color w:val="333333"/>
          <w:sz w:val="21"/>
          <w:szCs w:val="21"/>
        </w:rPr>
        <w:t xml:space="preserve">Transition phase: Months 1–12 (knowledge transfer, TUPE, tooling deployment)</w:t>
      </w:r>
    </w:p>
    <w:p>
      <w:pPr>
        <w:pStyle w:val="ListParagraph"/>
        <w:numPr>
          <w:ilvl w:val="0"/>
          <w:numId w:val="2"/>
        </w:numPr>
        <w:spacing w:after="80"/>
      </w:pPr>
      <w:r>
        <w:rPr>
          <w:rFonts w:ascii="Arial" w:cs="Arial" w:eastAsia="Arial" w:hAnsi="Arial"/>
          <w:color w:val="333333"/>
          <w:sz w:val="21"/>
          <w:szCs w:val="21"/>
        </w:rPr>
        <w:t xml:space="preserve">Transformation phase: Months 6–30 (cloud migration, ISO 22301, platform modernisation)</w:t>
      </w:r>
    </w:p>
    <w:p>
      <w:pPr>
        <w:pStyle w:val="ListParagraph"/>
        <w:numPr>
          <w:ilvl w:val="0"/>
          <w:numId w:val="2"/>
        </w:numPr>
        <w:spacing w:after="80"/>
      </w:pPr>
      <w:r>
        <w:rPr>
          <w:rFonts w:ascii="Arial" w:cs="Arial" w:eastAsia="Arial" w:hAnsi="Arial"/>
          <w:color w:val="333333"/>
          <w:sz w:val="21"/>
          <w:szCs w:val="21"/>
        </w:rPr>
        <w:t xml:space="preserve">Steady-state operations: Months 13–84 (overlapping with transformation tail)</w:t>
      </w:r>
    </w:p>
    <w:p>
      <w:pPr>
        <w:pStyle w:val="ListParagraph"/>
        <w:numPr>
          <w:ilvl w:val="0"/>
          <w:numId w:val="2"/>
        </w:numPr>
        <w:spacing w:after="80"/>
      </w:pPr>
      <w:r>
        <w:rPr>
          <w:rFonts w:ascii="Arial" w:cs="Arial" w:eastAsia="Arial" w:hAnsi="Arial"/>
          <w:color w:val="333333"/>
          <w:sz w:val="21"/>
          <w:szCs w:val="21"/>
        </w:rPr>
        <w:t xml:space="preserve">Exit assistance: Final 12 months (reverse transition support)</w:t>
      </w:r>
    </w:p>
    <w:p>
      <w:pPr>
        <w:spacing w:after="80"/>
      </w:pPr>
    </w:p>
    <w:p>
      <w:pPr>
        <w:spacing w:after="160"/>
      </w:pPr>
      <w:r>
        <w:rPr>
          <w:rFonts w:ascii="Arial" w:cs="Arial" w:eastAsia="Arial" w:hAnsi="Arial"/>
          <w:color w:val="333333"/>
          <w:sz w:val="21"/>
          <w:szCs w:val="21"/>
        </w:rPr>
        <w:t xml:space="preserve">The contract will include a break clause at the end of Year 5, subject to 12 months’ notice and benchmarking provisions.</w:t>
      </w:r>
    </w:p>
    <w:p>
      <w:pPr>
        <w:pStyle w:val="Heading2"/>
        <w:spacing w:before="280" w:after="160"/>
      </w:pPr>
      <w:r>
        <w:rPr>
          <w:rFonts w:ascii="Arial" w:cs="Arial" w:eastAsia="Arial" w:hAnsi="Arial"/>
          <w:b/>
          <w:bCs/>
          <w:color w:val="2B5797"/>
          <w:sz w:val="26"/>
          <w:szCs w:val="26"/>
        </w:rPr>
        <w:t xml:space="preserve">2.5 TUPE Obligations</w:t>
      </w:r>
    </w:p>
    <w:p>
      <w:pPr>
        <w:spacing w:after="160"/>
      </w:pPr>
      <w:r>
        <w:rPr>
          <w:rFonts w:ascii="Arial" w:cs="Arial" w:eastAsia="Arial" w:hAnsi="Arial"/>
          <w:color w:val="333333"/>
          <w:sz w:val="21"/>
          <w:szCs w:val="21"/>
        </w:rPr>
        <w:t xml:space="preserve">Respondents must confirm their willingness to accept the transfer of in-scope employees under the Transfer of Undertakings (Protection of Employment) Regulations 2006. Meridian currently employs 109 FTE across the in-scope service towers. Detailed employee data will be provided to the shortlisted respondent(s) during the due diligence phase.</w:t>
      </w:r>
    </w:p>
    <w:p>
      <w:pPr>
        <w:spacing w:after="160"/>
      </w:pPr>
      <w:r>
        <w:rPr>
          <w:rFonts w:ascii="Arial" w:cs="Arial" w:eastAsia="Arial" w:hAnsi="Arial"/>
          <w:b/>
          <w:bCs/>
          <w:color w:val="333333"/>
          <w:sz w:val="21"/>
          <w:szCs w:val="21"/>
        </w:rPr>
        <w:t xml:space="preserve">Meridian places significant importance on the treatment of transferring employees. </w:t>
      </w:r>
      <w:r>
        <w:rPr>
          <w:rFonts w:ascii="Arial" w:cs="Arial" w:eastAsia="Arial" w:hAnsi="Arial"/>
          <w:color w:val="333333"/>
          <w:sz w:val="21"/>
          <w:szCs w:val="21"/>
        </w:rPr>
        <w:t xml:space="preserve">The quality of your transition plan for affected staff will be a scored element of the evaluation.</w:t>
      </w:r>
    </w:p>
    <w:p>
      <w:r>
        <w:br w:type="page"/>
      </w:r>
    </w:p>
    <w:p>
      <w:pPr>
        <w:pStyle w:val="Heading1"/>
        <w:spacing w:before="360" w:after="200"/>
      </w:pPr>
      <w:r>
        <w:rPr>
          <w:rFonts w:ascii="Arial" w:cs="Arial" w:eastAsia="Arial" w:hAnsi="Arial"/>
          <w:b/>
          <w:bCs/>
          <w:color w:val="1B2A4A"/>
          <w:sz w:val="32"/>
          <w:szCs w:val="32"/>
        </w:rPr>
        <w:t xml:space="preserve">Section 3: Requirements</w:t>
      </w:r>
    </w:p>
    <w:p>
      <w:pPr>
        <w:pStyle w:val="Heading2"/>
        <w:spacing w:before="280" w:after="160"/>
      </w:pPr>
      <w:r>
        <w:rPr>
          <w:rFonts w:ascii="Arial" w:cs="Arial" w:eastAsia="Arial" w:hAnsi="Arial"/>
          <w:b/>
          <w:bCs/>
          <w:color w:val="2B5797"/>
          <w:sz w:val="26"/>
          <w:szCs w:val="26"/>
        </w:rPr>
        <w:t xml:space="preserve">3.1 Requirements Classification</w:t>
      </w:r>
    </w:p>
    <w:p>
      <w:pPr>
        <w:spacing w:after="160"/>
      </w:pPr>
      <w:r>
        <w:rPr>
          <w:rFonts w:ascii="Arial" w:cs="Arial" w:eastAsia="Arial" w:hAnsi="Arial"/>
          <w:color w:val="333333"/>
          <w:sz w:val="21"/>
          <w:szCs w:val="21"/>
        </w:rPr>
        <w:t xml:space="preserve">Requirements are classified using the following priority framework:</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26"/>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Code</w:t>
            </w:r>
          </w:p>
        </w:tc>
        <w:tc>
          <w:tcPr>
            <w:tcW w:type="dxa" w:w="57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Definition</w:t>
            </w:r>
          </w:p>
        </w:tc>
      </w:tr>
      <w:tr>
        <w:tc>
          <w:tcPr>
            <w:tcW w:type="dxa" w:w="1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Mandatory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M</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Must be met in full. Failure to comply with any mandatory requirement will result in disqualification.</w:t>
            </w:r>
          </w:p>
        </w:tc>
      </w:tr>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Highly Desirable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HD</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Expected to be met. Non-compliance must be justified and will be scored negatively.</w:t>
            </w:r>
          </w:p>
        </w:tc>
      </w:tr>
      <w:tr>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Desirable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D</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Adds value. Compliance will be scored positively but non-compliance will not disqualify.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Information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I</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For information only. Not scored but may inform clarification questions.</w:t>
            </w:r>
          </w:p>
        </w:tc>
      </w:tr>
    </w:tbl>
    <w:p>
      <w:pPr>
        <w:spacing w:after="120"/>
      </w:pPr>
    </w:p>
    <w:p>
      <w:pPr>
        <w:pStyle w:val="Heading2"/>
        <w:spacing w:before="280" w:after="160"/>
      </w:pPr>
      <w:r>
        <w:rPr>
          <w:rFonts w:ascii="Arial" w:cs="Arial" w:eastAsia="Arial" w:hAnsi="Arial"/>
          <w:b/>
          <w:bCs/>
          <w:color w:val="2B5797"/>
          <w:sz w:val="26"/>
          <w:szCs w:val="26"/>
        </w:rPr>
        <w:t xml:space="preserve">3.2 Service Tower Requirements</w:t>
      </w:r>
    </w:p>
    <w:p>
      <w:pPr>
        <w:spacing w:after="160"/>
      </w:pPr>
      <w:r>
        <w:rPr>
          <w:rFonts w:ascii="Arial" w:cs="Arial" w:eastAsia="Arial" w:hAnsi="Arial"/>
          <w:color w:val="333333"/>
          <w:sz w:val="21"/>
          <w:szCs w:val="21"/>
        </w:rPr>
        <w:t xml:space="preserve">Appendix A contains the full requirements matrix (187 individual requirements across all five towers). The matrix includes requirement reference, description, priority classification, and response format. Respondents must complete Appendix A in full.</w:t>
      </w:r>
    </w:p>
    <w:p>
      <w:pPr>
        <w:spacing w:after="160"/>
      </w:pPr>
      <w:r>
        <w:rPr>
          <w:rFonts w:ascii="Arial" w:cs="Arial" w:eastAsia="Arial" w:hAnsi="Arial"/>
          <w:color w:val="333333"/>
          <w:sz w:val="21"/>
          <w:szCs w:val="21"/>
        </w:rPr>
        <w:t xml:space="preserve">A summary of requirement volumes by tower and priority is provided below:</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426"/>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Service Tower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M</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HD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I</w:t>
            </w:r>
          </w:p>
        </w:tc>
        <w:tc>
          <w:tcPr>
            <w:tcW w:type="dxa" w:w="14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Total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T1: Infrastructure &amp; Cloud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4</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44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T2: Network &amp; Security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T3: End User Services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T4: Operational Resilience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T5: Service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4</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82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54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36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15</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187</w:t>
            </w:r>
          </w:p>
        </w:tc>
      </w:tr>
    </w:tbl>
    <w:p>
      <w:pPr>
        <w:spacing w:after="120"/>
      </w:pPr>
    </w:p>
    <w:p>
      <w:pPr>
        <w:pStyle w:val="Heading2"/>
        <w:spacing w:before="280" w:after="160"/>
      </w:pPr>
      <w:r>
        <w:rPr>
          <w:rFonts w:ascii="Arial" w:cs="Arial" w:eastAsia="Arial" w:hAnsi="Arial"/>
          <w:b/>
          <w:bCs/>
          <w:color w:val="2B5797"/>
          <w:sz w:val="26"/>
          <w:szCs w:val="26"/>
        </w:rPr>
        <w:t xml:space="preserve">3.3 Key Mandatory Requirements (Extract)</w:t>
      </w:r>
    </w:p>
    <w:p>
      <w:pPr>
        <w:spacing w:after="160"/>
      </w:pPr>
      <w:r>
        <w:rPr>
          <w:rFonts w:ascii="Arial" w:cs="Arial" w:eastAsia="Arial" w:hAnsi="Arial"/>
          <w:color w:val="333333"/>
          <w:sz w:val="21"/>
          <w:szCs w:val="21"/>
        </w:rPr>
        <w:t xml:space="preserve">The following mandatory requirements are highlighted for respondent attention. This is not exhaustive; all mandatory requirements in Appendix A must be addressed.</w:t>
      </w:r>
    </w:p>
    <w:p>
      <w:pPr>
        <w:spacing w:before="200" w:after="120"/>
      </w:pPr>
      <w:r>
        <w:rPr>
          <w:rFonts w:ascii="Arial" w:cs="Arial" w:eastAsia="Arial" w:hAnsi="Arial"/>
          <w:b/>
          <w:bCs/>
          <w:color w:val="4A5568"/>
          <w:sz w:val="22"/>
          <w:szCs w:val="22"/>
        </w:rPr>
        <w:t xml:space="preserve">T1: Infrastructure &amp; Cloud</w:t>
      </w:r>
    </w:p>
    <w:p>
      <w:pPr>
        <w:pStyle w:val="ListParagraph"/>
        <w:numPr>
          <w:ilvl w:val="0"/>
          <w:numId w:val="2"/>
        </w:numPr>
        <w:spacing w:after="80"/>
      </w:pPr>
      <w:r>
        <w:rPr>
          <w:rFonts w:ascii="Arial" w:cs="Arial" w:eastAsia="Arial" w:hAnsi="Arial"/>
          <w:color w:val="333333"/>
          <w:sz w:val="21"/>
          <w:szCs w:val="21"/>
        </w:rPr>
        <w:t xml:space="preserve">T1-M-01: Respondent must provide 99.99% availability for Tier 1 business-critical systems</w:t>
      </w:r>
    </w:p>
    <w:p>
      <w:pPr>
        <w:pStyle w:val="ListParagraph"/>
        <w:numPr>
          <w:ilvl w:val="0"/>
          <w:numId w:val="2"/>
        </w:numPr>
        <w:spacing w:after="80"/>
      </w:pPr>
      <w:r>
        <w:rPr>
          <w:rFonts w:ascii="Arial" w:cs="Arial" w:eastAsia="Arial" w:hAnsi="Arial"/>
          <w:color w:val="333333"/>
          <w:sz w:val="21"/>
          <w:szCs w:val="21"/>
        </w:rPr>
        <w:t xml:space="preserve">T1-M-02: All UK customer data must remain within UK sovereign data centres at all times</w:t>
      </w:r>
    </w:p>
    <w:p>
      <w:pPr>
        <w:pStyle w:val="ListParagraph"/>
        <w:numPr>
          <w:ilvl w:val="0"/>
          <w:numId w:val="2"/>
        </w:numPr>
        <w:spacing w:after="80"/>
      </w:pPr>
      <w:r>
        <w:rPr>
          <w:rFonts w:ascii="Arial" w:cs="Arial" w:eastAsia="Arial" w:hAnsi="Arial"/>
          <w:color w:val="333333"/>
          <w:sz w:val="21"/>
          <w:szCs w:val="21"/>
        </w:rPr>
        <w:t xml:space="preserve">T1-M-03: Respondent must deliver a cloud migration roadmap achieving 70% public cloud workloads within 24 months of contract commencement</w:t>
      </w:r>
    </w:p>
    <w:p>
      <w:pPr>
        <w:pStyle w:val="ListParagraph"/>
        <w:numPr>
          <w:ilvl w:val="0"/>
          <w:numId w:val="2"/>
        </w:numPr>
        <w:spacing w:after="80"/>
      </w:pPr>
      <w:r>
        <w:rPr>
          <w:rFonts w:ascii="Arial" w:cs="Arial" w:eastAsia="Arial" w:hAnsi="Arial"/>
          <w:color w:val="333333"/>
          <w:sz w:val="21"/>
          <w:szCs w:val="21"/>
        </w:rPr>
        <w:t xml:space="preserve">T1-M-04: Respondent must support a hybrid operating model (on-premises + multi-cloud) for the duration of the contract</w:t>
      </w:r>
    </w:p>
    <w:p>
      <w:pPr>
        <w:spacing w:before="200" w:after="120"/>
      </w:pPr>
      <w:r>
        <w:rPr>
          <w:rFonts w:ascii="Arial" w:cs="Arial" w:eastAsia="Arial" w:hAnsi="Arial"/>
          <w:b/>
          <w:bCs/>
          <w:color w:val="4A5568"/>
          <w:sz w:val="22"/>
          <w:szCs w:val="22"/>
        </w:rPr>
        <w:t xml:space="preserve">T2: Network &amp; Security</w:t>
      </w:r>
    </w:p>
    <w:p>
      <w:pPr>
        <w:pStyle w:val="ListParagraph"/>
        <w:numPr>
          <w:ilvl w:val="0"/>
          <w:numId w:val="2"/>
        </w:numPr>
        <w:spacing w:after="80"/>
      </w:pPr>
      <w:r>
        <w:rPr>
          <w:rFonts w:ascii="Arial" w:cs="Arial" w:eastAsia="Arial" w:hAnsi="Arial"/>
          <w:color w:val="333333"/>
          <w:sz w:val="21"/>
          <w:szCs w:val="21"/>
        </w:rPr>
        <w:t xml:space="preserve">T2-M-01: 24/7/365 Security Operations Centre with maximum 15-minute response time to P1 security incidents</w:t>
      </w:r>
    </w:p>
    <w:p>
      <w:pPr>
        <w:pStyle w:val="ListParagraph"/>
        <w:numPr>
          <w:ilvl w:val="0"/>
          <w:numId w:val="2"/>
        </w:numPr>
        <w:spacing w:after="80"/>
      </w:pPr>
      <w:r>
        <w:rPr>
          <w:rFonts w:ascii="Arial" w:cs="Arial" w:eastAsia="Arial" w:hAnsi="Arial"/>
          <w:color w:val="333333"/>
          <w:sz w:val="21"/>
          <w:szCs w:val="21"/>
        </w:rPr>
        <w:t xml:space="preserve">T2-M-02: Quarterly vulnerability assessments and annual penetration testing, with remediation SLAs</w:t>
      </w:r>
    </w:p>
    <w:p>
      <w:pPr>
        <w:pStyle w:val="ListParagraph"/>
        <w:numPr>
          <w:ilvl w:val="0"/>
          <w:numId w:val="2"/>
        </w:numPr>
        <w:spacing w:after="80"/>
      </w:pPr>
      <w:r>
        <w:rPr>
          <w:rFonts w:ascii="Arial" w:cs="Arial" w:eastAsia="Arial" w:hAnsi="Arial"/>
          <w:color w:val="333333"/>
          <w:sz w:val="21"/>
          <w:szCs w:val="21"/>
        </w:rPr>
        <w:t xml:space="preserve">T2-M-03: Full compliance with FCA and PRA operational resilience requirements</w:t>
      </w:r>
    </w:p>
    <w:p>
      <w:pPr>
        <w:spacing w:before="200" w:after="120"/>
      </w:pPr>
      <w:r>
        <w:rPr>
          <w:rFonts w:ascii="Arial" w:cs="Arial" w:eastAsia="Arial" w:hAnsi="Arial"/>
          <w:b/>
          <w:bCs/>
          <w:color w:val="4A5568"/>
          <w:sz w:val="22"/>
          <w:szCs w:val="22"/>
        </w:rPr>
        <w:t xml:space="preserve">T4: Operational Resilience</w:t>
      </w:r>
    </w:p>
    <w:p>
      <w:pPr>
        <w:pStyle w:val="ListParagraph"/>
        <w:numPr>
          <w:ilvl w:val="0"/>
          <w:numId w:val="2"/>
        </w:numPr>
        <w:spacing w:after="80"/>
      </w:pPr>
      <w:r>
        <w:rPr>
          <w:rFonts w:ascii="Arial" w:cs="Arial" w:eastAsia="Arial" w:hAnsi="Arial"/>
          <w:color w:val="333333"/>
          <w:sz w:val="21"/>
          <w:szCs w:val="21"/>
        </w:rPr>
        <w:t xml:space="preserve">T4-M-01: Delivery of ISO 22301 implementation support achieving certification by Q3 2026</w:t>
      </w:r>
    </w:p>
    <w:p>
      <w:pPr>
        <w:pStyle w:val="ListParagraph"/>
        <w:numPr>
          <w:ilvl w:val="0"/>
          <w:numId w:val="2"/>
        </w:numPr>
        <w:spacing w:after="80"/>
      </w:pPr>
      <w:r>
        <w:rPr>
          <w:rFonts w:ascii="Arial" w:cs="Arial" w:eastAsia="Arial" w:hAnsi="Arial"/>
          <w:color w:val="333333"/>
          <w:sz w:val="21"/>
          <w:szCs w:val="21"/>
        </w:rPr>
        <w:t xml:space="preserve">T4-M-02: Bi-annual resilience testing programme covering all important business services</w:t>
      </w:r>
    </w:p>
    <w:p>
      <w:pPr>
        <w:pStyle w:val="ListParagraph"/>
        <w:numPr>
          <w:ilvl w:val="0"/>
          <w:numId w:val="2"/>
        </w:numPr>
        <w:spacing w:after="80"/>
      </w:pPr>
      <w:r>
        <w:rPr>
          <w:rFonts w:ascii="Arial" w:cs="Arial" w:eastAsia="Arial" w:hAnsi="Arial"/>
          <w:color w:val="333333"/>
          <w:sz w:val="21"/>
          <w:szCs w:val="21"/>
        </w:rPr>
        <w:t xml:space="preserve">T4-M-03: Incident communication framework achieving 95% staff location awareness within 10 minutes of declared incident</w:t>
      </w:r>
    </w:p>
    <w:p>
      <w:pPr>
        <w:pStyle w:val="ListParagraph"/>
        <w:numPr>
          <w:ilvl w:val="0"/>
          <w:numId w:val="2"/>
        </w:numPr>
        <w:spacing w:after="80"/>
      </w:pPr>
      <w:r>
        <w:rPr>
          <w:rFonts w:ascii="Arial" w:cs="Arial" w:eastAsia="Arial" w:hAnsi="Arial"/>
          <w:color w:val="333333"/>
          <w:sz w:val="21"/>
          <w:szCs w:val="21"/>
        </w:rPr>
        <w:t xml:space="preserve">T4-M-04: Integration with Meridian’s Resilience Steering Committee (quarterly reporting to CFO, CRO, COO)</w:t>
      </w:r>
    </w:p>
    <w:p>
      <w:r>
        <w:br w:type="page"/>
      </w:r>
    </w:p>
    <w:p>
      <w:pPr>
        <w:pStyle w:val="Heading1"/>
        <w:spacing w:before="360" w:after="200"/>
      </w:pPr>
      <w:r>
        <w:rPr>
          <w:rFonts w:ascii="Arial" w:cs="Arial" w:eastAsia="Arial" w:hAnsi="Arial"/>
          <w:b/>
          <w:bCs/>
          <w:color w:val="1B2A4A"/>
          <w:sz w:val="32"/>
          <w:szCs w:val="32"/>
        </w:rPr>
        <w:t xml:space="preserve">Section 4: Evaluation &amp; Scoring Methodology</w:t>
      </w:r>
    </w:p>
    <w:p>
      <w:pPr>
        <w:pStyle w:val="Heading2"/>
        <w:spacing w:before="280" w:after="160"/>
      </w:pPr>
      <w:r>
        <w:rPr>
          <w:rFonts w:ascii="Arial" w:cs="Arial" w:eastAsia="Arial" w:hAnsi="Arial"/>
          <w:b/>
          <w:bCs/>
          <w:color w:val="2B5797"/>
          <w:sz w:val="26"/>
          <w:szCs w:val="26"/>
        </w:rPr>
        <w:t xml:space="preserve">4.1 Evaluation Overview</w:t>
      </w:r>
    </w:p>
    <w:p>
      <w:pPr>
        <w:spacing w:after="160"/>
      </w:pPr>
      <w:r>
        <w:rPr>
          <w:rFonts w:ascii="Arial" w:cs="Arial" w:eastAsia="Arial" w:hAnsi="Arial"/>
          <w:color w:val="333333"/>
          <w:sz w:val="21"/>
          <w:szCs w:val="21"/>
        </w:rPr>
        <w:t xml:space="preserve">Meridian will evaluate responses using a multi-stage process designed to assess both the quality of the proposed solution and the value of the commercial proposition. The evaluation has been designed to weight technical capability, delivery risk, cultural fit, and commercial competitiveness appropriately for a contract of this scale and duration.</w:t>
      </w:r>
    </w:p>
    <w:p>
      <w:pPr>
        <w:spacing w:after="160"/>
      </w:pPr>
      <w:r>
        <w:rPr>
          <w:rFonts w:ascii="Arial" w:cs="Arial" w:eastAsia="Arial" w:hAnsi="Arial"/>
          <w:color w:val="333333"/>
          <w:sz w:val="21"/>
          <w:szCs w:val="21"/>
        </w:rPr>
        <w:t xml:space="preserve">The evaluation comprises four distinct mechanisms, applied sequentially:</w:t>
      </w:r>
    </w:p>
    <w:p>
      <w:pPr>
        <w:pStyle w:val="ListParagraph"/>
        <w:numPr>
          <w:ilvl w:val="0"/>
          <w:numId w:val="3"/>
        </w:numPr>
        <w:spacing w:after="80"/>
      </w:pPr>
      <w:r>
        <w:rPr>
          <w:rFonts w:ascii="Arial" w:cs="Arial" w:eastAsia="Arial" w:hAnsi="Arial"/>
          <w:color w:val="333333"/>
          <w:sz w:val="21"/>
          <w:szCs w:val="21"/>
        </w:rPr>
        <w:t xml:space="preserve">Stage 1: Compliance Gate (Pass/Fail)</w:t>
      </w:r>
    </w:p>
    <w:p>
      <w:pPr>
        <w:pStyle w:val="ListParagraph"/>
        <w:numPr>
          <w:ilvl w:val="0"/>
          <w:numId w:val="3"/>
        </w:numPr>
        <w:spacing w:after="80"/>
      </w:pPr>
      <w:r>
        <w:rPr>
          <w:rFonts w:ascii="Arial" w:cs="Arial" w:eastAsia="Arial" w:hAnsi="Arial"/>
          <w:color w:val="333333"/>
          <w:sz w:val="21"/>
          <w:szCs w:val="21"/>
        </w:rPr>
        <w:t xml:space="preserve">Stage 2: Weighted Technical &amp; Qualitative Evaluation (60%)</w:t>
      </w:r>
    </w:p>
    <w:p>
      <w:pPr>
        <w:pStyle w:val="ListParagraph"/>
        <w:numPr>
          <w:ilvl w:val="0"/>
          <w:numId w:val="3"/>
        </w:numPr>
        <w:spacing w:after="80"/>
      </w:pPr>
      <w:r>
        <w:rPr>
          <w:rFonts w:ascii="Arial" w:cs="Arial" w:eastAsia="Arial" w:hAnsi="Arial"/>
          <w:color w:val="333333"/>
          <w:sz w:val="21"/>
          <w:szCs w:val="21"/>
        </w:rPr>
        <w:t xml:space="preserve">Stage 3: Commercial Evaluation (30%)</w:t>
      </w:r>
    </w:p>
    <w:p>
      <w:pPr>
        <w:pStyle w:val="ListParagraph"/>
        <w:numPr>
          <w:ilvl w:val="0"/>
          <w:numId w:val="3"/>
        </w:numPr>
        <w:spacing w:after="80"/>
      </w:pPr>
      <w:r>
        <w:rPr>
          <w:rFonts w:ascii="Arial" w:cs="Arial" w:eastAsia="Arial" w:hAnsi="Arial"/>
          <w:color w:val="333333"/>
          <w:sz w:val="21"/>
          <w:szCs w:val="21"/>
        </w:rPr>
        <w:t xml:space="preserve">Stage 4: Oral Presentation &amp; Stakeholder Assessment (10%)</w:t>
      </w:r>
    </w:p>
    <w:p>
      <w:pPr>
        <w:spacing w:after="80"/>
      </w:pPr>
    </w:p>
    <w:p>
      <w:pPr>
        <w:spacing w:after="160"/>
      </w:pPr>
      <w:r>
        <w:rPr>
          <w:rFonts w:ascii="Arial" w:cs="Arial" w:eastAsia="Arial" w:hAnsi="Arial"/>
          <w:b/>
          <w:bCs/>
          <w:color w:val="333333"/>
          <w:sz w:val="21"/>
          <w:szCs w:val="21"/>
        </w:rPr>
        <w:t xml:space="preserve">Important: </w:t>
      </w:r>
      <w:r>
        <w:rPr>
          <w:rFonts w:ascii="Arial" w:cs="Arial" w:eastAsia="Arial" w:hAnsi="Arial"/>
          <w:color w:val="333333"/>
          <w:sz w:val="21"/>
          <w:szCs w:val="21"/>
        </w:rPr>
        <w:t xml:space="preserve">Respondents must pass Stage 1 to proceed to Stages 2–4. Stages 2 and 3 are evaluated independently by separate teams. Stage 4 scores are added to the combined Stage 2+3 total to produce the final ranking.</w:t>
      </w:r>
    </w:p>
    <w:p>
      <w:pPr>
        <w:pStyle w:val="Heading2"/>
        <w:spacing w:before="280" w:after="160"/>
      </w:pPr>
      <w:r>
        <w:rPr>
          <w:rFonts w:ascii="Arial" w:cs="Arial" w:eastAsia="Arial" w:hAnsi="Arial"/>
          <w:b/>
          <w:bCs/>
          <w:color w:val="2B5797"/>
          <w:sz w:val="26"/>
          <w:szCs w:val="26"/>
        </w:rPr>
        <w:t xml:space="preserve">4.2 Stage 1: Compliance Gate (Pass/Fail)</w:t>
      </w:r>
    </w:p>
    <w:p>
      <w:pPr>
        <w:spacing w:after="160"/>
      </w:pPr>
      <w:r>
        <w:rPr>
          <w:rFonts w:ascii="Arial" w:cs="Arial" w:eastAsia="Arial" w:hAnsi="Arial"/>
          <w:color w:val="333333"/>
          <w:sz w:val="21"/>
          <w:szCs w:val="21"/>
        </w:rPr>
        <w:t xml:space="preserve">All responses will first be assessed against the following mandatory compliance criteria. Failure on any criterion will result in exclusion from further evaluation.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426"/>
        <w:gridCol w:w="4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Ref</w:t>
            </w:r>
          </w:p>
        </w:tc>
        <w:tc>
          <w:tcPr>
            <w:tcW w:type="dxa" w:w="44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Compliance Criterion</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Evidence Required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CG-01</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Response received by deadline (28 March 2026, 17:00 GMT)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Timestamp of submission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CG-02</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All five service towers addressed in response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Completed Appendix 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CG-03</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Confirmation of TUPE acceptance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Signed statement in Appendix 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CG-04</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All mandatory requirements (M) confirmed as compliant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Appendix A responses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CG-05</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Valid NDA executed prior to submission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Countersigned NDA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CG-06</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Financial statements for past 3 years provided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Appendix 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CG-07</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Confirmation of UK data sovereignty compliance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Written confirmation with evidence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CG-08</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Professional indemnity insurance minimum £25M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Certificate of insurance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CG-09</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No material conflicts of interest declared or mitigated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Conflict declaration (Appendix F)</w:t>
            </w:r>
          </w:p>
        </w:tc>
      </w:tr>
    </w:tbl>
    <w:p>
      <w:pPr>
        <w:spacing w:after="120"/>
      </w:pPr>
    </w:p>
    <w:p>
      <w:pPr>
        <w:pStyle w:val="Heading2"/>
        <w:spacing w:before="280" w:after="160"/>
      </w:pPr>
      <w:r>
        <w:rPr>
          <w:rFonts w:ascii="Arial" w:cs="Arial" w:eastAsia="Arial" w:hAnsi="Arial"/>
          <w:b/>
          <w:bCs/>
          <w:color w:val="2B5797"/>
          <w:sz w:val="26"/>
          <w:szCs w:val="26"/>
        </w:rPr>
        <w:t xml:space="preserve">4.3 Stage 2: Technical &amp; Qualitative Evaluation (60% of Total)</w:t>
      </w:r>
    </w:p>
    <w:p>
      <w:pPr>
        <w:spacing w:after="160"/>
      </w:pPr>
      <w:r>
        <w:rPr>
          <w:rFonts w:ascii="Arial" w:cs="Arial" w:eastAsia="Arial" w:hAnsi="Arial"/>
          <w:color w:val="333333"/>
          <w:sz w:val="21"/>
          <w:szCs w:val="21"/>
        </w:rPr>
        <w:t xml:space="preserve">Responses passing the Compliance Gate will be evaluated by the Meridian Technical Evaluation Panel against six weighted criteria. Each criterion is scored 0–5 using the scoring framework defined in Section 4.6.</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100"/>
        <w:gridCol w:w="1100"/>
        <w:gridCol w:w="1100"/>
        <w:gridCol w:w="1926"/>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Ref</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Evaluation Criterion</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Weight</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Max Raw</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Max Wtd</w:t>
            </w:r>
          </w:p>
        </w:tc>
        <w:tc>
          <w:tcPr>
            <w:tcW w:type="dxa" w:w="19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Evaluating Body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TC-01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Technical Solution &amp; Architecture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12.0</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IT Architecture Board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TC-02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Automation &amp; Intelligent Operations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9.0</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CIO Office + IT Ops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TC-03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Transition &amp; Transformation Approach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9.0</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Programme Office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TC-04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Operational Resilience Capability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12.0</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Resilience Steering Cttee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TC-05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Service Management &amp; Governance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6.0</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IT Operations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TC-06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People &amp; Cultural Fit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6.0</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HR &amp; Change Team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TC-07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Innovation &amp; Continual Improvement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6.0</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CIO Office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Total Technical Score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100%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60.0</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
            </w:r>
          </w:p>
        </w:tc>
      </w:tr>
    </w:tbl>
    <w:p>
      <w:pPr>
        <w:spacing w:after="120"/>
      </w:pPr>
    </w:p>
    <w:p>
      <w:pPr>
        <w:spacing w:before="200" w:after="120"/>
      </w:pPr>
      <w:r>
        <w:rPr>
          <w:rFonts w:ascii="Arial" w:cs="Arial" w:eastAsia="Arial" w:hAnsi="Arial"/>
          <w:b/>
          <w:bCs/>
          <w:color w:val="4A5568"/>
          <w:sz w:val="22"/>
          <w:szCs w:val="22"/>
        </w:rPr>
        <w:t xml:space="preserve">4.3.1 Sub-criteria: TC-01 Technical Solution &amp; Architecture</w:t>
      </w:r>
    </w:p>
    <w:p>
      <w:pPr>
        <w:spacing w:after="160"/>
      </w:pPr>
      <w:r>
        <w:rPr>
          <w:rFonts w:ascii="Arial" w:cs="Arial" w:eastAsia="Arial" w:hAnsi="Arial"/>
          <w:color w:val="333333"/>
          <w:sz w:val="21"/>
          <w:szCs w:val="21"/>
        </w:rPr>
        <w:t xml:space="preserve">The following sub-criteria will be assessed under TC-01:</w:t>
      </w:r>
    </w:p>
    <w:p>
      <w:pPr>
        <w:pStyle w:val="ListParagraph"/>
        <w:numPr>
          <w:ilvl w:val="0"/>
          <w:numId w:val="2"/>
        </w:numPr>
        <w:spacing w:after="80"/>
      </w:pPr>
      <w:r>
        <w:rPr>
          <w:rFonts w:ascii="Arial" w:cs="Arial" w:eastAsia="Arial" w:hAnsi="Arial"/>
          <w:color w:val="333333"/>
          <w:sz w:val="21"/>
          <w:szCs w:val="21"/>
        </w:rPr>
        <w:t xml:space="preserve">TC-01a: Hybrid infrastructure design — coherence of on-premises, Azure, and AWS integration (30%)</w:t>
      </w:r>
    </w:p>
    <w:p>
      <w:pPr>
        <w:pStyle w:val="ListParagraph"/>
        <w:numPr>
          <w:ilvl w:val="0"/>
          <w:numId w:val="2"/>
        </w:numPr>
        <w:spacing w:after="80"/>
      </w:pPr>
      <w:r>
        <w:rPr>
          <w:rFonts w:ascii="Arial" w:cs="Arial" w:eastAsia="Arial" w:hAnsi="Arial"/>
          <w:color w:val="333333"/>
          <w:sz w:val="21"/>
          <w:szCs w:val="21"/>
        </w:rPr>
        <w:t xml:space="preserve">TC-01b: Observability and monitoring architecture spanning all environments (25%)</w:t>
      </w:r>
    </w:p>
    <w:p>
      <w:pPr>
        <w:pStyle w:val="ListParagraph"/>
        <w:numPr>
          <w:ilvl w:val="0"/>
          <w:numId w:val="2"/>
        </w:numPr>
        <w:spacing w:after="80"/>
      </w:pPr>
      <w:r>
        <w:rPr>
          <w:rFonts w:ascii="Arial" w:cs="Arial" w:eastAsia="Arial" w:hAnsi="Arial"/>
          <w:color w:val="333333"/>
          <w:sz w:val="21"/>
          <w:szCs w:val="21"/>
        </w:rPr>
        <w:t xml:space="preserve">TC-01c: Data sovereignty, encryption at rest/in transit, and security architecture (20%)</w:t>
      </w:r>
    </w:p>
    <w:p>
      <w:pPr>
        <w:pStyle w:val="ListParagraph"/>
        <w:numPr>
          <w:ilvl w:val="0"/>
          <w:numId w:val="2"/>
        </w:numPr>
        <w:spacing w:after="80"/>
      </w:pPr>
      <w:r>
        <w:rPr>
          <w:rFonts w:ascii="Arial" w:cs="Arial" w:eastAsia="Arial" w:hAnsi="Arial"/>
          <w:color w:val="333333"/>
          <w:sz w:val="21"/>
          <w:szCs w:val="21"/>
        </w:rPr>
        <w:t xml:space="preserve">TC-01d: Scalability and elasticity of proposed platform under peak and stress conditions (15%)</w:t>
      </w:r>
    </w:p>
    <w:p>
      <w:pPr>
        <w:pStyle w:val="ListParagraph"/>
        <w:numPr>
          <w:ilvl w:val="0"/>
          <w:numId w:val="2"/>
        </w:numPr>
        <w:spacing w:after="80"/>
      </w:pPr>
      <w:r>
        <w:rPr>
          <w:rFonts w:ascii="Arial" w:cs="Arial" w:eastAsia="Arial" w:hAnsi="Arial"/>
          <w:color w:val="333333"/>
          <w:sz w:val="21"/>
          <w:szCs w:val="21"/>
        </w:rPr>
        <w:t xml:space="preserve">TC-01e: Alignment with Meridian’s Important Business Services mapping and impact tolerance windows (10%)</w:t>
      </w:r>
    </w:p>
    <w:p>
      <w:pPr>
        <w:spacing w:before="200" w:after="120"/>
      </w:pPr>
      <w:r>
        <w:rPr>
          <w:rFonts w:ascii="Arial" w:cs="Arial" w:eastAsia="Arial" w:hAnsi="Arial"/>
          <w:b/>
          <w:bCs/>
          <w:color w:val="4A5568"/>
          <w:sz w:val="22"/>
          <w:szCs w:val="22"/>
        </w:rPr>
        <w:t xml:space="preserve">4.3.2 Sub-criteria: TC-02 Automation &amp; Intelligent Operations</w:t>
      </w:r>
    </w:p>
    <w:p>
      <w:pPr>
        <w:spacing w:after="160"/>
      </w:pPr>
      <w:r>
        <w:rPr>
          <w:rFonts w:ascii="Arial" w:cs="Arial" w:eastAsia="Arial" w:hAnsi="Arial"/>
          <w:color w:val="333333"/>
          <w:sz w:val="21"/>
          <w:szCs w:val="21"/>
        </w:rPr>
        <w:t xml:space="preserve">This criterion assesses the respondent’s ability to deliver an automation-first operating model that progressively reduces human intervention and operational risk. Meridian considers this a critical differentiator.</w:t>
      </w:r>
    </w:p>
    <w:p>
      <w:pPr>
        <w:pStyle w:val="ListParagraph"/>
        <w:numPr>
          <w:ilvl w:val="0"/>
          <w:numId w:val="2"/>
        </w:numPr>
        <w:spacing w:after="80"/>
      </w:pPr>
      <w:r>
        <w:rPr>
          <w:rFonts w:ascii="Arial" w:cs="Arial" w:eastAsia="Arial" w:hAnsi="Arial"/>
          <w:color w:val="333333"/>
          <w:sz w:val="21"/>
          <w:szCs w:val="21"/>
        </w:rPr>
        <w:t xml:space="preserve">TC-02a: Self-healing infrastructure — demonstrated capability for automated detection, diagnosis, and remediation of common events without human intervention (25%)</w:t>
      </w:r>
    </w:p>
    <w:p>
      <w:pPr>
        <w:pStyle w:val="ListParagraph"/>
        <w:numPr>
          <w:ilvl w:val="0"/>
          <w:numId w:val="2"/>
        </w:numPr>
        <w:spacing w:after="80"/>
      </w:pPr>
      <w:r>
        <w:rPr>
          <w:rFonts w:ascii="Arial" w:cs="Arial" w:eastAsia="Arial" w:hAnsi="Arial"/>
          <w:color w:val="333333"/>
          <w:sz w:val="21"/>
          <w:szCs w:val="21"/>
        </w:rPr>
        <w:t xml:space="preserve">TC-02b: AIOps maturity — AI-driven anomaly detection, automated root cause analysis, and event correlation. Evidence of reducing alert noise by &gt;70% in comparable environments (25%)</w:t>
      </w:r>
    </w:p>
    <w:p>
      <w:pPr>
        <w:pStyle w:val="ListParagraph"/>
        <w:numPr>
          <w:ilvl w:val="0"/>
          <w:numId w:val="2"/>
        </w:numPr>
        <w:spacing w:after="80"/>
      </w:pPr>
      <w:r>
        <w:rPr>
          <w:rFonts w:ascii="Arial" w:cs="Arial" w:eastAsia="Arial" w:hAnsi="Arial"/>
          <w:color w:val="333333"/>
          <w:sz w:val="21"/>
          <w:szCs w:val="21"/>
        </w:rPr>
        <w:t xml:space="preserve">TC-02c: Intelligent service desk — AI-assisted triage, natural language interfaces, and automation of repeatable requests. Target: 40% automation within 12 months (20%)</w:t>
      </w:r>
    </w:p>
    <w:p>
      <w:pPr>
        <w:pStyle w:val="ListParagraph"/>
        <w:numPr>
          <w:ilvl w:val="0"/>
          <w:numId w:val="2"/>
        </w:numPr>
        <w:spacing w:after="80"/>
      </w:pPr>
      <w:r>
        <w:rPr>
          <w:rFonts w:ascii="Arial" w:cs="Arial" w:eastAsia="Arial" w:hAnsi="Arial"/>
          <w:color w:val="333333"/>
          <w:sz w:val="21"/>
          <w:szCs w:val="21"/>
        </w:rPr>
        <w:t xml:space="preserve">TC-02d: Automation maturity roadmap — specific, measurable milestones at Month 6, 12, 24, and annually thereafter. Respondents must quantify projected reduction in manual intervention over the contract term (20%)</w:t>
      </w:r>
    </w:p>
    <w:p>
      <w:pPr>
        <w:pStyle w:val="ListParagraph"/>
        <w:numPr>
          <w:ilvl w:val="0"/>
          <w:numId w:val="2"/>
        </w:numPr>
        <w:spacing w:after="80"/>
      </w:pPr>
      <w:r>
        <w:rPr>
          <w:rFonts w:ascii="Arial" w:cs="Arial" w:eastAsia="Arial" w:hAnsi="Arial"/>
          <w:color w:val="333333"/>
          <w:sz w:val="21"/>
          <w:szCs w:val="21"/>
        </w:rPr>
        <w:t xml:space="preserve">TC-02e: SOAR and automated security operations — automated playbook execution, vulnerability prioritisation, and continuous compliance monitoring (10%)</w:t>
      </w:r>
    </w:p>
    <w:p>
      <w:pPr>
        <w:spacing w:after="80"/>
      </w:pPr>
    </w:p>
    <w:p>
      <w:pPr>
        <w:spacing w:after="160"/>
      </w:pPr>
      <w:r>
        <w:rPr>
          <w:rFonts w:ascii="Arial" w:cs="Arial" w:eastAsia="Arial" w:hAnsi="Arial"/>
          <w:b/>
          <w:bCs/>
          <w:color w:val="333333"/>
          <w:sz w:val="21"/>
          <w:szCs w:val="21"/>
        </w:rPr>
        <w:t xml:space="preserve">Note: </w:t>
      </w:r>
      <w:r>
        <w:rPr>
          <w:rFonts w:ascii="Arial" w:cs="Arial" w:eastAsia="Arial" w:hAnsi="Arial"/>
          <w:color w:val="333333"/>
          <w:sz w:val="21"/>
          <w:szCs w:val="21"/>
        </w:rPr>
        <w:t xml:space="preserve">Respondents will be asked to provide evidence from existing contracts demonstrating measurable automation outcomes (e.g., percentage reduction in manual tickets, MTTI/MTTR improvements, alert-to-noise ratios). Claims without evidence will score a maximum of 2.</w:t>
      </w:r>
    </w:p>
    <w:p>
      <w:pPr>
        <w:spacing w:before="200" w:after="120"/>
      </w:pPr>
      <w:r>
        <w:rPr>
          <w:rFonts w:ascii="Arial" w:cs="Arial" w:eastAsia="Arial" w:hAnsi="Arial"/>
          <w:b/>
          <w:bCs/>
          <w:color w:val="4A5568"/>
          <w:sz w:val="22"/>
          <w:szCs w:val="22"/>
        </w:rPr>
        <w:t xml:space="preserve">4.3.3 Sub-criteria: TC-03 Transition &amp; Transformation</w:t>
      </w:r>
    </w:p>
    <w:p>
      <w:pPr>
        <w:pStyle w:val="ListParagraph"/>
        <w:numPr>
          <w:ilvl w:val="0"/>
          <w:numId w:val="2"/>
        </w:numPr>
        <w:spacing w:after="80"/>
      </w:pPr>
      <w:r>
        <w:rPr>
          <w:rFonts w:ascii="Arial" w:cs="Arial" w:eastAsia="Arial" w:hAnsi="Arial"/>
          <w:color w:val="333333"/>
          <w:sz w:val="21"/>
          <w:szCs w:val="21"/>
        </w:rPr>
        <w:t xml:space="preserve">TC-03a: Transition methodology and risk management, including dual-running strategy (30%)</w:t>
      </w:r>
    </w:p>
    <w:p>
      <w:pPr>
        <w:pStyle w:val="ListParagraph"/>
        <w:numPr>
          <w:ilvl w:val="0"/>
          <w:numId w:val="2"/>
        </w:numPr>
        <w:spacing w:after="80"/>
      </w:pPr>
      <w:r>
        <w:rPr>
          <w:rFonts w:ascii="Arial" w:cs="Arial" w:eastAsia="Arial" w:hAnsi="Arial"/>
          <w:color w:val="333333"/>
          <w:sz w:val="21"/>
          <w:szCs w:val="21"/>
        </w:rPr>
        <w:t xml:space="preserve">TC-03b: TUPE transfer plan and employee experience during transition (25%)</w:t>
      </w:r>
    </w:p>
    <w:p>
      <w:pPr>
        <w:pStyle w:val="ListParagraph"/>
        <w:numPr>
          <w:ilvl w:val="0"/>
          <w:numId w:val="2"/>
        </w:numPr>
        <w:spacing w:after="80"/>
      </w:pPr>
      <w:r>
        <w:rPr>
          <w:rFonts w:ascii="Arial" w:cs="Arial" w:eastAsia="Arial" w:hAnsi="Arial"/>
          <w:color w:val="333333"/>
          <w:sz w:val="21"/>
          <w:szCs w:val="21"/>
        </w:rPr>
        <w:t xml:space="preserve">TC-03c: Transformation delivery timeline and milestones (25%)</w:t>
      </w:r>
    </w:p>
    <w:p>
      <w:pPr>
        <w:pStyle w:val="ListParagraph"/>
        <w:numPr>
          <w:ilvl w:val="0"/>
          <w:numId w:val="2"/>
        </w:numPr>
        <w:spacing w:after="80"/>
      </w:pPr>
      <w:r>
        <w:rPr>
          <w:rFonts w:ascii="Arial" w:cs="Arial" w:eastAsia="Arial" w:hAnsi="Arial"/>
          <w:color w:val="333333"/>
          <w:sz w:val="21"/>
          <w:szCs w:val="21"/>
        </w:rPr>
        <w:t xml:space="preserve">TC-03d: Knowledge transfer and Meridian retained team upskilling (20%)</w:t>
      </w:r>
    </w:p>
    <w:p>
      <w:pPr>
        <w:spacing w:before="200" w:after="120"/>
      </w:pPr>
      <w:r>
        <w:rPr>
          <w:rFonts w:ascii="Arial" w:cs="Arial" w:eastAsia="Arial" w:hAnsi="Arial"/>
          <w:b/>
          <w:bCs/>
          <w:color w:val="4A5568"/>
          <w:sz w:val="22"/>
          <w:szCs w:val="22"/>
        </w:rPr>
        <w:t xml:space="preserve">4.3.4 Sub-criteria: TC-04 Operational Resilience</w:t>
      </w:r>
    </w:p>
    <w:p>
      <w:pPr>
        <w:pStyle w:val="ListParagraph"/>
        <w:numPr>
          <w:ilvl w:val="0"/>
          <w:numId w:val="2"/>
        </w:numPr>
        <w:spacing w:after="80"/>
      </w:pPr>
      <w:r>
        <w:rPr>
          <w:rFonts w:ascii="Arial" w:cs="Arial" w:eastAsia="Arial" w:hAnsi="Arial"/>
          <w:color w:val="333333"/>
          <w:sz w:val="21"/>
          <w:szCs w:val="21"/>
        </w:rPr>
        <w:t xml:space="preserve">TC-04a: ISO 22301 delivery approach and certification timeline — credibility of achieving Q3 2026 deadline (30%)</w:t>
      </w:r>
    </w:p>
    <w:p>
      <w:pPr>
        <w:pStyle w:val="ListParagraph"/>
        <w:numPr>
          <w:ilvl w:val="0"/>
          <w:numId w:val="2"/>
        </w:numPr>
        <w:spacing w:after="80"/>
      </w:pPr>
      <w:r>
        <w:rPr>
          <w:rFonts w:ascii="Arial" w:cs="Arial" w:eastAsia="Arial" w:hAnsi="Arial"/>
          <w:color w:val="333333"/>
          <w:sz w:val="21"/>
          <w:szCs w:val="21"/>
        </w:rPr>
        <w:t xml:space="preserve">TC-04b: Incident communication and crisis management framework, including regulatory notification workflows (25%)</w:t>
      </w:r>
    </w:p>
    <w:p>
      <w:pPr>
        <w:pStyle w:val="ListParagraph"/>
        <w:numPr>
          <w:ilvl w:val="0"/>
          <w:numId w:val="2"/>
        </w:numPr>
        <w:spacing w:after="80"/>
      </w:pPr>
      <w:r>
        <w:rPr>
          <w:rFonts w:ascii="Arial" w:cs="Arial" w:eastAsia="Arial" w:hAnsi="Arial"/>
          <w:color w:val="333333"/>
          <w:sz w:val="21"/>
          <w:szCs w:val="21"/>
        </w:rPr>
        <w:t xml:space="preserve">TC-04c: Resilience testing methodology — frequency, scope, regulatory alignment (PS21/3, SS1/21) (25%)</w:t>
      </w:r>
    </w:p>
    <w:p>
      <w:pPr>
        <w:pStyle w:val="ListParagraph"/>
        <w:numPr>
          <w:ilvl w:val="0"/>
          <w:numId w:val="2"/>
        </w:numPr>
        <w:spacing w:after="80"/>
      </w:pPr>
      <w:r>
        <w:rPr>
          <w:rFonts w:ascii="Arial" w:cs="Arial" w:eastAsia="Arial" w:hAnsi="Arial"/>
          <w:color w:val="333333"/>
          <w:sz w:val="21"/>
          <w:szCs w:val="21"/>
        </w:rPr>
        <w:t xml:space="preserve">TC-04d: Integration with Meridian governance structures including Resilience Steering Committee and PRA/FCA reporting obligations (20%)</w:t>
      </w:r>
    </w:p>
    <w:p>
      <w:pPr>
        <w:spacing w:before="200" w:after="120"/>
      </w:pPr>
      <w:r>
        <w:rPr>
          <w:rFonts w:ascii="Arial" w:cs="Arial" w:eastAsia="Arial" w:hAnsi="Arial"/>
          <w:b/>
          <w:bCs/>
          <w:color w:val="4A5568"/>
          <w:sz w:val="22"/>
          <w:szCs w:val="22"/>
        </w:rPr>
        <w:t xml:space="preserve">4.3.5 Sub-criteria: TC-05 Service Management &amp; Governance</w:t>
      </w:r>
    </w:p>
    <w:p>
      <w:pPr>
        <w:pStyle w:val="ListParagraph"/>
        <w:numPr>
          <w:ilvl w:val="0"/>
          <w:numId w:val="2"/>
        </w:numPr>
        <w:spacing w:after="80"/>
      </w:pPr>
      <w:r>
        <w:rPr>
          <w:rFonts w:ascii="Arial" w:cs="Arial" w:eastAsia="Arial" w:hAnsi="Arial"/>
          <w:color w:val="333333"/>
          <w:sz w:val="21"/>
          <w:szCs w:val="21"/>
        </w:rPr>
        <w:t xml:space="preserve">TC-05a: Service level framework and regulatory-grade reporting including Consumer Duty MI (30%)</w:t>
      </w:r>
    </w:p>
    <w:p>
      <w:pPr>
        <w:pStyle w:val="ListParagraph"/>
        <w:numPr>
          <w:ilvl w:val="0"/>
          <w:numId w:val="2"/>
        </w:numPr>
        <w:spacing w:after="80"/>
      </w:pPr>
      <w:r>
        <w:rPr>
          <w:rFonts w:ascii="Arial" w:cs="Arial" w:eastAsia="Arial" w:hAnsi="Arial"/>
          <w:color w:val="333333"/>
          <w:sz w:val="21"/>
          <w:szCs w:val="21"/>
        </w:rPr>
        <w:t xml:space="preserve">TC-05b: Escalation and problem management processes, including regulator-facing incident reporting (25%)</w:t>
      </w:r>
    </w:p>
    <w:p>
      <w:pPr>
        <w:pStyle w:val="ListParagraph"/>
        <w:numPr>
          <w:ilvl w:val="0"/>
          <w:numId w:val="2"/>
        </w:numPr>
        <w:spacing w:after="80"/>
      </w:pPr>
      <w:r>
        <w:rPr>
          <w:rFonts w:ascii="Arial" w:cs="Arial" w:eastAsia="Arial" w:hAnsi="Arial"/>
          <w:color w:val="333333"/>
          <w:sz w:val="21"/>
          <w:szCs w:val="21"/>
        </w:rPr>
        <w:t xml:space="preserve">TC-05c: SIAM model and cross-tower coordination (25%)</w:t>
      </w:r>
    </w:p>
    <w:p>
      <w:pPr>
        <w:pStyle w:val="ListParagraph"/>
        <w:numPr>
          <w:ilvl w:val="0"/>
          <w:numId w:val="2"/>
        </w:numPr>
        <w:spacing w:after="80"/>
      </w:pPr>
      <w:r>
        <w:rPr>
          <w:rFonts w:ascii="Arial" w:cs="Arial" w:eastAsia="Arial" w:hAnsi="Arial"/>
          <w:color w:val="333333"/>
          <w:sz w:val="21"/>
          <w:szCs w:val="21"/>
        </w:rPr>
        <w:t xml:space="preserve">TC-05d: Continual service improvement methodology with measurable outcomes (20%)</w:t>
      </w:r>
    </w:p>
    <w:p>
      <w:pPr>
        <w:spacing w:before="200" w:after="120"/>
      </w:pPr>
      <w:r>
        <w:rPr>
          <w:rFonts w:ascii="Arial" w:cs="Arial" w:eastAsia="Arial" w:hAnsi="Arial"/>
          <w:b/>
          <w:bCs/>
          <w:color w:val="4A5568"/>
          <w:sz w:val="22"/>
          <w:szCs w:val="22"/>
        </w:rPr>
        <w:t xml:space="preserve">4.3.6 Sub-criteria: TC-06 People &amp; Cultural Fit</w:t>
      </w:r>
    </w:p>
    <w:p>
      <w:pPr>
        <w:pStyle w:val="ListParagraph"/>
        <w:numPr>
          <w:ilvl w:val="0"/>
          <w:numId w:val="2"/>
        </w:numPr>
        <w:spacing w:after="80"/>
      </w:pPr>
      <w:r>
        <w:rPr>
          <w:rFonts w:ascii="Arial" w:cs="Arial" w:eastAsia="Arial" w:hAnsi="Arial"/>
          <w:color w:val="333333"/>
          <w:sz w:val="21"/>
          <w:szCs w:val="21"/>
        </w:rPr>
        <w:t xml:space="preserve">TC-06a: Proposed account leadership team — credentials, regulated financial services experience, and commitment (40%)</w:t>
      </w:r>
    </w:p>
    <w:p>
      <w:pPr>
        <w:pStyle w:val="ListParagraph"/>
        <w:numPr>
          <w:ilvl w:val="0"/>
          <w:numId w:val="2"/>
        </w:numPr>
        <w:spacing w:after="80"/>
      </w:pPr>
      <w:r>
        <w:rPr>
          <w:rFonts w:ascii="Arial" w:cs="Arial" w:eastAsia="Arial" w:hAnsi="Arial"/>
          <w:color w:val="333333"/>
          <w:sz w:val="21"/>
          <w:szCs w:val="21"/>
        </w:rPr>
        <w:t xml:space="preserve">TC-06b: Staff retention and development approach for transferring employees (35%)</w:t>
      </w:r>
    </w:p>
    <w:p>
      <w:pPr>
        <w:pStyle w:val="ListParagraph"/>
        <w:numPr>
          <w:ilvl w:val="0"/>
          <w:numId w:val="2"/>
        </w:numPr>
        <w:spacing w:after="80"/>
      </w:pPr>
      <w:r>
        <w:rPr>
          <w:rFonts w:ascii="Arial" w:cs="Arial" w:eastAsia="Arial" w:hAnsi="Arial"/>
          <w:color w:val="333333"/>
          <w:sz w:val="21"/>
          <w:szCs w:val="21"/>
        </w:rPr>
        <w:t xml:space="preserve">TC-06c: Cultural alignment evidence and stakeholder management approach (25%)</w:t>
      </w:r>
    </w:p>
    <w:p>
      <w:pPr>
        <w:spacing w:before="200" w:after="120"/>
      </w:pPr>
      <w:r>
        <w:rPr>
          <w:rFonts w:ascii="Arial" w:cs="Arial" w:eastAsia="Arial" w:hAnsi="Arial"/>
          <w:b/>
          <w:bCs/>
          <w:color w:val="4A5568"/>
          <w:sz w:val="22"/>
          <w:szCs w:val="22"/>
        </w:rPr>
        <w:t xml:space="preserve">4.3.7 Sub-criteria: TC-07 Innovation &amp; Continual Improvement</w:t>
      </w:r>
    </w:p>
    <w:p>
      <w:pPr>
        <w:pStyle w:val="ListParagraph"/>
        <w:numPr>
          <w:ilvl w:val="0"/>
          <w:numId w:val="2"/>
        </w:numPr>
        <w:spacing w:after="80"/>
      </w:pPr>
      <w:r>
        <w:rPr>
          <w:rFonts w:ascii="Arial" w:cs="Arial" w:eastAsia="Arial" w:hAnsi="Arial"/>
          <w:color w:val="333333"/>
          <w:sz w:val="21"/>
          <w:szCs w:val="21"/>
        </w:rPr>
        <w:t xml:space="preserve">TC-07a: Innovation governance model — how the respondent identifies, funds, and delivers innovation within the contract (40%)</w:t>
      </w:r>
    </w:p>
    <w:p>
      <w:pPr>
        <w:pStyle w:val="ListParagraph"/>
        <w:numPr>
          <w:ilvl w:val="0"/>
          <w:numId w:val="2"/>
        </w:numPr>
        <w:spacing w:after="80"/>
      </w:pPr>
      <w:r>
        <w:rPr>
          <w:rFonts w:ascii="Arial" w:cs="Arial" w:eastAsia="Arial" w:hAnsi="Arial"/>
          <w:color w:val="333333"/>
          <w:sz w:val="21"/>
          <w:szCs w:val="21"/>
        </w:rPr>
        <w:t xml:space="preserve">TC-07b: Track record of innovation delivery in comparable regulated contracts (30%)</w:t>
      </w:r>
    </w:p>
    <w:p>
      <w:pPr>
        <w:pStyle w:val="ListParagraph"/>
        <w:numPr>
          <w:ilvl w:val="0"/>
          <w:numId w:val="2"/>
        </w:numPr>
        <w:spacing w:after="80"/>
      </w:pPr>
      <w:r>
        <w:rPr>
          <w:rFonts w:ascii="Arial" w:cs="Arial" w:eastAsia="Arial" w:hAnsi="Arial"/>
          <w:color w:val="333333"/>
          <w:sz w:val="21"/>
          <w:szCs w:val="21"/>
        </w:rPr>
        <w:t xml:space="preserve">TC-07c: Emerging technology roadmap — how the respondent stays ahead of the technology and regulatory curve (30%)</w:t>
      </w:r>
    </w:p>
    <w:p>
      <w:r>
        <w:br w:type="page"/>
      </w:r>
    </w:p>
    <w:p>
      <w:pPr>
        <w:pStyle w:val="Heading2"/>
        <w:spacing w:before="280" w:after="160"/>
      </w:pPr>
      <w:r>
        <w:rPr>
          <w:rFonts w:ascii="Arial" w:cs="Arial" w:eastAsia="Arial" w:hAnsi="Arial"/>
          <w:b/>
          <w:bCs/>
          <w:color w:val="2B5797"/>
          <w:sz w:val="26"/>
          <w:szCs w:val="26"/>
        </w:rPr>
        <w:t xml:space="preserve">4.4 Stage 3: Commercial Evaluation (30% of Total)</w:t>
      </w:r>
    </w:p>
    <w:p>
      <w:pPr>
        <w:spacing w:after="160"/>
      </w:pPr>
      <w:r>
        <w:rPr>
          <w:rFonts w:ascii="Arial" w:cs="Arial" w:eastAsia="Arial" w:hAnsi="Arial"/>
          <w:color w:val="333333"/>
          <w:sz w:val="21"/>
          <w:szCs w:val="21"/>
        </w:rPr>
        <w:t xml:space="preserve">Commercial evaluation will be conducted by the Meridian Finance and Procurement team, independently of the technical evaluation. The commercial score is calculated using the following formula:</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100"/>
        <w:gridCol w:w="3526"/>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Ref</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Commercial Criterion</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Weight</w:t>
            </w:r>
          </w:p>
        </w:tc>
        <w:tc>
          <w:tcPr>
            <w:tcW w:type="dxa" w:w="3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Scoring Method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CC-01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Total Cost of Ownership (7 years)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50%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Lowest price scores 100%; others pro-rata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CC-02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Pricing Flexibility &amp; Mechanisms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15%</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Qualitative 0–5 scale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CC-03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Gain-Share &amp; Risk-Share Model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15%</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Qualitative 0–5 scale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CC-04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Transition &amp; Transformation Costs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Lowest price scores 100%; others pro-rata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CC-05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Financial Viability &amp; Stability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Qualitative 0–5 scale</w:t>
            </w:r>
          </w:p>
        </w:tc>
      </w:tr>
    </w:tbl>
    <w:p>
      <w:pPr>
        <w:spacing w:after="120"/>
      </w:pPr>
    </w:p>
    <w:p>
      <w:pPr>
        <w:spacing w:after="160"/>
      </w:pPr>
      <w:r>
        <w:rPr>
          <w:rFonts w:ascii="Arial" w:cs="Arial" w:eastAsia="Arial" w:hAnsi="Arial"/>
          <w:color w:val="333333"/>
          <w:sz w:val="21"/>
          <w:szCs w:val="21"/>
        </w:rPr>
        <w:t xml:space="preserve">The commercial score is normalised to 30 points maximum. For quantitative criteria (CC-01, CC-04), the lowest-priced compliant bid receives the maximum available points; other bids are scored proportionally using the formula:</w:t>
      </w:r>
    </w:p>
    <w:p>
      <w:pPr>
        <w:spacing w:before="120" w:after="120"/>
        <w:jc w:val="center"/>
      </w:pPr>
      <w:r>
        <w:rPr>
          <w:rFonts w:ascii="Arial" w:cs="Arial" w:eastAsia="Arial" w:hAnsi="Arial"/>
          <w:i/>
          <w:iCs/>
          <w:color w:val="2B5797"/>
          <w:sz w:val="21"/>
          <w:szCs w:val="21"/>
        </w:rPr>
        <w:t xml:space="preserve">Score = (Lowest Price / Respondent Price) × Maximum Points Available</w:t>
      </w:r>
    </w:p>
    <w:p>
      <w:pPr>
        <w:pStyle w:val="Heading2"/>
        <w:spacing w:before="280" w:after="160"/>
      </w:pPr>
      <w:r>
        <w:rPr>
          <w:rFonts w:ascii="Arial" w:cs="Arial" w:eastAsia="Arial" w:hAnsi="Arial"/>
          <w:b/>
          <w:bCs/>
          <w:color w:val="2B5797"/>
          <w:sz w:val="26"/>
          <w:szCs w:val="26"/>
        </w:rPr>
        <w:t xml:space="preserve">4.5 Stage 4: Oral Presentation &amp; Stakeholder Assessment (10% of Total)</w:t>
      </w:r>
    </w:p>
    <w:p>
      <w:pPr>
        <w:spacing w:after="160"/>
      </w:pPr>
      <w:r>
        <w:rPr>
          <w:rFonts w:ascii="Arial" w:cs="Arial" w:eastAsia="Arial" w:hAnsi="Arial"/>
          <w:color w:val="333333"/>
          <w:sz w:val="21"/>
          <w:szCs w:val="21"/>
        </w:rPr>
        <w:t xml:space="preserve">Up to three shortlisted respondents will be invited to deliver a 90-minute oral presentation to the Meridian Evaluation Board, comprising:</w:t>
      </w:r>
    </w:p>
    <w:p>
      <w:pPr>
        <w:pStyle w:val="ListParagraph"/>
        <w:numPr>
          <w:ilvl w:val="0"/>
          <w:numId w:val="2"/>
        </w:numPr>
        <w:spacing w:after="80"/>
      </w:pPr>
      <w:r>
        <w:rPr>
          <w:rFonts w:ascii="Arial" w:cs="Arial" w:eastAsia="Arial" w:hAnsi="Arial"/>
          <w:color w:val="333333"/>
          <w:sz w:val="21"/>
          <w:szCs w:val="21"/>
        </w:rPr>
        <w:t xml:space="preserve">30 minutes: Respondent presentation on transition approach and account team</w:t>
      </w:r>
    </w:p>
    <w:p>
      <w:pPr>
        <w:pStyle w:val="ListParagraph"/>
        <w:numPr>
          <w:ilvl w:val="0"/>
          <w:numId w:val="2"/>
        </w:numPr>
        <w:spacing w:after="80"/>
      </w:pPr>
      <w:r>
        <w:rPr>
          <w:rFonts w:ascii="Arial" w:cs="Arial" w:eastAsia="Arial" w:hAnsi="Arial"/>
          <w:color w:val="333333"/>
          <w:sz w:val="21"/>
          <w:szCs w:val="21"/>
        </w:rPr>
        <w:t xml:space="preserve">15 minutes: Live scenario exercise (scenario provided 48 hours in advance)</w:t>
      </w:r>
    </w:p>
    <w:p>
      <w:pPr>
        <w:pStyle w:val="ListParagraph"/>
        <w:numPr>
          <w:ilvl w:val="0"/>
          <w:numId w:val="2"/>
        </w:numPr>
        <w:spacing w:after="80"/>
      </w:pPr>
      <w:r>
        <w:rPr>
          <w:rFonts w:ascii="Arial" w:cs="Arial" w:eastAsia="Arial" w:hAnsi="Arial"/>
          <w:color w:val="333333"/>
          <w:sz w:val="21"/>
          <w:szCs w:val="21"/>
        </w:rPr>
        <w:t xml:space="preserve">30 minutes: Q&amp;A with Evaluation Board</w:t>
      </w:r>
    </w:p>
    <w:p>
      <w:pPr>
        <w:pStyle w:val="ListParagraph"/>
        <w:numPr>
          <w:ilvl w:val="0"/>
          <w:numId w:val="2"/>
        </w:numPr>
        <w:spacing w:after="80"/>
      </w:pPr>
      <w:r>
        <w:rPr>
          <w:rFonts w:ascii="Arial" w:cs="Arial" w:eastAsia="Arial" w:hAnsi="Arial"/>
          <w:color w:val="333333"/>
          <w:sz w:val="21"/>
          <w:szCs w:val="21"/>
        </w:rPr>
        <w:t xml:space="preserve">15 minutes: Informal session with proposed account leadership team</w:t>
      </w:r>
    </w:p>
    <w:p>
      <w:pPr>
        <w:spacing w:after="80"/>
      </w:pPr>
    </w:p>
    <w:p>
      <w:pPr>
        <w:spacing w:after="160"/>
      </w:pPr>
      <w:r>
        <w:rPr>
          <w:rFonts w:ascii="Arial" w:cs="Arial" w:eastAsia="Arial" w:hAnsi="Arial"/>
          <w:color w:val="333333"/>
          <w:sz w:val="21"/>
          <w:szCs w:val="21"/>
        </w:rPr>
        <w:t xml:space="preserve">The oral presentation is scored by the Evaluation Board against three criteria:</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426"/>
        <w:gridCol w:w="1500"/>
        <w:gridCol w:w="25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Ref</w:t>
            </w:r>
          </w:p>
        </w:tc>
        <w:tc>
          <w:tcPr>
            <w:tcW w:type="dxa" w:w="44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Oral Criterion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Weight</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Max Points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OC-01</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Quality of account leadership team and strategic vision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40%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4.0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OC-02</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Credibility of transition plan under questioning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OC-03</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Scenario exercise: quality of incident response approach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Total Oral Score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10.0</w:t>
            </w:r>
          </w:p>
        </w:tc>
      </w:tr>
    </w:tbl>
    <w:p>
      <w:pPr>
        <w:spacing w:after="120"/>
      </w:pPr>
    </w:p>
    <w:p>
      <w:pPr>
        <w:pStyle w:val="Heading2"/>
        <w:spacing w:before="280" w:after="160"/>
      </w:pPr>
      <w:r>
        <w:rPr>
          <w:rFonts w:ascii="Arial" w:cs="Arial" w:eastAsia="Arial" w:hAnsi="Arial"/>
          <w:b/>
          <w:bCs/>
          <w:color w:val="2B5797"/>
          <w:sz w:val="26"/>
          <w:szCs w:val="26"/>
        </w:rPr>
        <w:t xml:space="preserve">4.6 Scoring Framework (0–5 Scale)</w:t>
      </w:r>
    </w:p>
    <w:p>
      <w:pPr>
        <w:spacing w:after="160"/>
      </w:pPr>
      <w:r>
        <w:rPr>
          <w:rFonts w:ascii="Arial" w:cs="Arial" w:eastAsia="Arial" w:hAnsi="Arial"/>
          <w:color w:val="333333"/>
          <w:sz w:val="21"/>
          <w:szCs w:val="21"/>
        </w:rPr>
        <w:t xml:space="preserve">All qualitative criteria across Stages 2, 3, and 4 are assessed using the following standardised scoring framework:</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426"/>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Score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Rating</w:t>
            </w:r>
          </w:p>
        </w:tc>
        <w:tc>
          <w:tcPr>
            <w:tcW w:type="dxa" w:w="64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Definition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Excellent</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Response fully meets and significantly exceeds the requirement. Demonstrates exceptional understanding, innovation, and evidence of delivery in comparable environments. No weaknesses identified.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Good</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Response fully meets the requirement with some elements that exceed expectations. Strong evidence and well-articulated approach. Minor weaknesses only.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Acceptable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Response meets the requirement adequately. Approach is credible but lacks differentiation or depth in certain areas. Some weaknesses that do not undermine overall compliance.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Partial</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Response partially meets the requirement. Significant gaps in approach, evidence, or understanding. Material weaknesses that raise concerns about delivery capability.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Poor</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Response fails to meet the requirement in material respects. Fundamental weaknesses in approach or evidence. Serious concerns about delivery.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Non-compliant</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No response, or response is entirely non-compliant. Requirement not addressed or fundamentally misunderstood.</w:t>
            </w:r>
          </w:p>
        </w:tc>
      </w:tr>
    </w:tbl>
    <w:p>
      <w:pPr>
        <w:spacing w:after="120"/>
      </w:pPr>
    </w:p>
    <w:p>
      <w:pPr>
        <w:pStyle w:val="Heading2"/>
        <w:spacing w:before="280" w:after="160"/>
      </w:pPr>
      <w:r>
        <w:rPr>
          <w:rFonts w:ascii="Arial" w:cs="Arial" w:eastAsia="Arial" w:hAnsi="Arial"/>
          <w:b/>
          <w:bCs/>
          <w:color w:val="2B5797"/>
          <w:sz w:val="26"/>
          <w:szCs w:val="26"/>
        </w:rPr>
        <w:t xml:space="preserve">4.7 Final Score Calculation</w:t>
      </w:r>
    </w:p>
    <w:p>
      <w:pPr>
        <w:spacing w:after="160"/>
      </w:pPr>
      <w:r>
        <w:rPr>
          <w:rFonts w:ascii="Arial" w:cs="Arial" w:eastAsia="Arial" w:hAnsi="Arial"/>
          <w:color w:val="333333"/>
          <w:sz w:val="21"/>
          <w:szCs w:val="21"/>
        </w:rPr>
        <w:t xml:space="preserve">The final score for each respondent is calculated as follows: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Maximum Points</w:t>
            </w:r>
          </w:p>
        </w:tc>
        <w:tc>
          <w:tcPr>
            <w:tcW w:type="dxa" w:w="2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Weight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Stage 2: Technical &amp; Qualitative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60.0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60%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Stage 3: Commercial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Stage 4: Oral Presentation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Total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100.0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100%</w:t>
            </w:r>
          </w:p>
        </w:tc>
      </w:tr>
    </w:tbl>
    <w:p>
      <w:pPr>
        <w:spacing w:after="120"/>
      </w:pPr>
    </w:p>
    <w:p>
      <w:pPr>
        <w:spacing w:after="160"/>
      </w:pPr>
      <w:r>
        <w:rPr>
          <w:rFonts w:ascii="Arial" w:cs="Arial" w:eastAsia="Arial" w:hAnsi="Arial"/>
          <w:b/>
          <w:bCs/>
          <w:color w:val="333333"/>
          <w:sz w:val="21"/>
          <w:szCs w:val="21"/>
        </w:rPr>
        <w:t xml:space="preserve">Meridian reserves the right to: </w:t>
      </w:r>
      <w:r>
        <w:rPr>
          <w:rFonts w:ascii="Arial" w:cs="Arial" w:eastAsia="Arial" w:hAnsi="Arial"/>
          <w:color w:val="333333"/>
          <w:sz w:val="21"/>
          <w:szCs w:val="21"/>
        </w:rPr>
        <w:t xml:space="preserve">(a) seek clarification on any element of a response; (b) invite respondents for a clarification meeting prior to final scoring; (c) adjust weightings with written notice to all respondents prior to the submission deadline; (d) not award the contract if no response meets the minimum acceptable quality threshold of 65% of total available points.</w:t>
      </w:r>
    </w:p>
    <w:p>
      <w:r>
        <w:br w:type="page"/>
      </w:r>
    </w:p>
    <w:p>
      <w:pPr>
        <w:pStyle w:val="Heading1"/>
        <w:spacing w:before="360" w:after="200"/>
      </w:pPr>
      <w:r>
        <w:rPr>
          <w:rFonts w:ascii="Arial" w:cs="Arial" w:eastAsia="Arial" w:hAnsi="Arial"/>
          <w:b/>
          <w:bCs/>
          <w:color w:val="1B2A4A"/>
          <w:sz w:val="32"/>
          <w:szCs w:val="32"/>
        </w:rPr>
        <w:t xml:space="preserve">Section 5: Response Requirements</w:t>
      </w:r>
    </w:p>
    <w:p>
      <w:pPr>
        <w:pStyle w:val="Heading2"/>
        <w:spacing w:before="280" w:after="160"/>
      </w:pPr>
      <w:r>
        <w:rPr>
          <w:rFonts w:ascii="Arial" w:cs="Arial" w:eastAsia="Arial" w:hAnsi="Arial"/>
          <w:b/>
          <w:bCs/>
          <w:color w:val="2B5797"/>
          <w:sz w:val="26"/>
          <w:szCs w:val="26"/>
        </w:rPr>
        <w:t xml:space="preserve">5.1 Response Structure</w:t>
      </w:r>
    </w:p>
    <w:p>
      <w:pPr>
        <w:spacing w:after="160"/>
      </w:pPr>
      <w:r>
        <w:rPr>
          <w:rFonts w:ascii="Arial" w:cs="Arial" w:eastAsia="Arial" w:hAnsi="Arial"/>
          <w:color w:val="333333"/>
          <w:sz w:val="21"/>
          <w:szCs w:val="21"/>
        </w:rPr>
        <w:t xml:space="preserve">Respondents must structure their submission as follows. Adherence to this structure is mandatory and will facilitate efficient evaluation.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Volume</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Title</w:t>
            </w:r>
          </w:p>
        </w:tc>
        <w:tc>
          <w:tcPr>
            <w:tcW w:type="dxa" w:w="4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Content Requirements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Vol 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Executive Summary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Maximum 10 pages. Strategic vision, key differentiators, and commitment statement.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Vol 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Technical Response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Detailed response to all requirements in Appendix A, organised by service tower.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Vol 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Transition &amp; Transformation Plan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Methodology, timeline, milestones, risk register, TUPE plan, knowledge transfer approach.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Vol 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Service Management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Governance model, SLA framework, reporting, escalation, CSI approach, SIAM model.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Vol 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Commercial Proposal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Pricing schedules (Appendix B), commercial model, gain-share proposal, assumptions.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Vol 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People &amp; Organisation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Proposed account team (CVs), organisational structure, cultural alignment, staff development.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Vol 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Case Studies &amp; References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Minimum 3 comparable references (regulated financial services, &gt;5,000 users, &gt;£10M ACV).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Vol 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Appendices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Completed Appendices A–F as specified.</w:t>
            </w:r>
          </w:p>
        </w:tc>
      </w:tr>
    </w:tbl>
    <w:p>
      <w:pPr>
        <w:spacing w:after="120"/>
      </w:pPr>
    </w:p>
    <w:p>
      <w:pPr>
        <w:pStyle w:val="Heading2"/>
        <w:spacing w:before="280" w:after="160"/>
      </w:pPr>
      <w:r>
        <w:rPr>
          <w:rFonts w:ascii="Arial" w:cs="Arial" w:eastAsia="Arial" w:hAnsi="Arial"/>
          <w:b/>
          <w:bCs/>
          <w:color w:val="2B5797"/>
          <w:sz w:val="26"/>
          <w:szCs w:val="26"/>
        </w:rPr>
        <w:t xml:space="preserve">5.2 Appendices to be Completed</w:t>
      </w:r>
    </w:p>
    <w:p>
      <w:pPr>
        <w:spacing w:after="160"/>
      </w:pPr>
      <w:r>
        <w:rPr>
          <w:rFonts w:ascii="Arial" w:cs="Arial" w:eastAsia="Arial" w:hAnsi="Arial"/>
          <w:color w:val="333333"/>
          <w:sz w:val="21"/>
          <w:szCs w:val="21"/>
        </w:rPr>
        <w:t xml:space="preserve">The following appendices are provided as separate documents and must be returned completed:</w:t>
      </w:r>
    </w:p>
    <w:p>
      <w:pPr>
        <w:pStyle w:val="ListParagraph"/>
        <w:numPr>
          <w:ilvl w:val="0"/>
          <w:numId w:val="2"/>
        </w:numPr>
        <w:spacing w:after="80"/>
      </w:pPr>
      <w:r>
        <w:rPr>
          <w:rFonts w:ascii="Arial" w:cs="Arial" w:eastAsia="Arial" w:hAnsi="Arial"/>
          <w:color w:val="333333"/>
          <w:sz w:val="21"/>
          <w:szCs w:val="21"/>
        </w:rPr>
        <w:t xml:space="preserve">Appendix A: Requirements Compliance Matrix (187 requirements)</w:t>
      </w:r>
    </w:p>
    <w:p>
      <w:pPr>
        <w:pStyle w:val="ListParagraph"/>
        <w:numPr>
          <w:ilvl w:val="0"/>
          <w:numId w:val="2"/>
        </w:numPr>
        <w:spacing w:after="80"/>
      </w:pPr>
      <w:r>
        <w:rPr>
          <w:rFonts w:ascii="Arial" w:cs="Arial" w:eastAsia="Arial" w:hAnsi="Arial"/>
          <w:color w:val="333333"/>
          <w:sz w:val="21"/>
          <w:szCs w:val="21"/>
        </w:rPr>
        <w:t xml:space="preserve">Appendix B: Pricing Schedule (7-year model by tower, phase, and cost category)</w:t>
      </w:r>
    </w:p>
    <w:p>
      <w:pPr>
        <w:pStyle w:val="ListParagraph"/>
        <w:numPr>
          <w:ilvl w:val="0"/>
          <w:numId w:val="2"/>
        </w:numPr>
        <w:spacing w:after="80"/>
      </w:pPr>
      <w:r>
        <w:rPr>
          <w:rFonts w:ascii="Arial" w:cs="Arial" w:eastAsia="Arial" w:hAnsi="Arial"/>
          <w:color w:val="333333"/>
          <w:sz w:val="21"/>
          <w:szCs w:val="21"/>
        </w:rPr>
        <w:t xml:space="preserve">Appendix C: Transition &amp; Transformation Milestone Plan</w:t>
      </w:r>
    </w:p>
    <w:p>
      <w:pPr>
        <w:pStyle w:val="ListParagraph"/>
        <w:numPr>
          <w:ilvl w:val="0"/>
          <w:numId w:val="2"/>
        </w:numPr>
        <w:spacing w:after="80"/>
      </w:pPr>
      <w:r>
        <w:rPr>
          <w:rFonts w:ascii="Arial" w:cs="Arial" w:eastAsia="Arial" w:hAnsi="Arial"/>
          <w:color w:val="333333"/>
          <w:sz w:val="21"/>
          <w:szCs w:val="21"/>
        </w:rPr>
        <w:t xml:space="preserve">Appendix D: TUPE Confirmation &amp; Employee Engagement Approach</w:t>
      </w:r>
    </w:p>
    <w:p>
      <w:pPr>
        <w:pStyle w:val="ListParagraph"/>
        <w:numPr>
          <w:ilvl w:val="0"/>
          <w:numId w:val="2"/>
        </w:numPr>
        <w:spacing w:after="80"/>
      </w:pPr>
      <w:r>
        <w:rPr>
          <w:rFonts w:ascii="Arial" w:cs="Arial" w:eastAsia="Arial" w:hAnsi="Arial"/>
          <w:color w:val="333333"/>
          <w:sz w:val="21"/>
          <w:szCs w:val="21"/>
        </w:rPr>
        <w:t xml:space="preserve">Appendix E: Financial Statements (3 years audited accounts)</w:t>
      </w:r>
    </w:p>
    <w:p>
      <w:pPr>
        <w:pStyle w:val="ListParagraph"/>
        <w:numPr>
          <w:ilvl w:val="0"/>
          <w:numId w:val="2"/>
        </w:numPr>
        <w:spacing w:after="80"/>
      </w:pPr>
      <w:r>
        <w:rPr>
          <w:rFonts w:ascii="Arial" w:cs="Arial" w:eastAsia="Arial" w:hAnsi="Arial"/>
          <w:color w:val="333333"/>
          <w:sz w:val="21"/>
          <w:szCs w:val="21"/>
        </w:rPr>
        <w:t xml:space="preserve">Appendix F: Conflict of Interest Declaration</w:t>
      </w:r>
    </w:p>
    <w:p>
      <w:pPr>
        <w:pStyle w:val="Heading2"/>
        <w:spacing w:before="280" w:after="160"/>
      </w:pPr>
      <w:r>
        <w:rPr>
          <w:rFonts w:ascii="Arial" w:cs="Arial" w:eastAsia="Arial" w:hAnsi="Arial"/>
          <w:b/>
          <w:bCs/>
          <w:color w:val="2B5797"/>
          <w:sz w:val="26"/>
          <w:szCs w:val="26"/>
        </w:rPr>
        <w:t xml:space="preserve">5.3 Response Format</w:t>
      </w:r>
    </w:p>
    <w:p>
      <w:pPr>
        <w:pStyle w:val="ListParagraph"/>
        <w:numPr>
          <w:ilvl w:val="0"/>
          <w:numId w:val="2"/>
        </w:numPr>
        <w:spacing w:after="80"/>
      </w:pPr>
      <w:r>
        <w:rPr>
          <w:rFonts w:ascii="Arial" w:cs="Arial" w:eastAsia="Arial" w:hAnsi="Arial"/>
          <w:color w:val="333333"/>
          <w:sz w:val="21"/>
          <w:szCs w:val="21"/>
        </w:rPr>
        <w:t xml:space="preserve">Electronic submission only, via the Meridian Secure Procurement Portal</w:t>
      </w:r>
    </w:p>
    <w:p>
      <w:pPr>
        <w:pStyle w:val="ListParagraph"/>
        <w:numPr>
          <w:ilvl w:val="0"/>
          <w:numId w:val="2"/>
        </w:numPr>
        <w:spacing w:after="80"/>
      </w:pPr>
      <w:r>
        <w:rPr>
          <w:rFonts w:ascii="Arial" w:cs="Arial" w:eastAsia="Arial" w:hAnsi="Arial"/>
          <w:color w:val="333333"/>
          <w:sz w:val="21"/>
          <w:szCs w:val="21"/>
        </w:rPr>
        <w:t xml:space="preserve">All documents in Microsoft Office or PDF format</w:t>
      </w:r>
    </w:p>
    <w:p>
      <w:pPr>
        <w:pStyle w:val="ListParagraph"/>
        <w:numPr>
          <w:ilvl w:val="0"/>
          <w:numId w:val="2"/>
        </w:numPr>
        <w:spacing w:after="80"/>
      </w:pPr>
      <w:r>
        <w:rPr>
          <w:rFonts w:ascii="Arial" w:cs="Arial" w:eastAsia="Arial" w:hAnsi="Arial"/>
          <w:color w:val="333333"/>
          <w:sz w:val="21"/>
          <w:szCs w:val="21"/>
        </w:rPr>
        <w:t xml:space="preserve">Maximum file size per document: 50MB</w:t>
      </w:r>
    </w:p>
    <w:p>
      <w:pPr>
        <w:pStyle w:val="ListParagraph"/>
        <w:numPr>
          <w:ilvl w:val="0"/>
          <w:numId w:val="2"/>
        </w:numPr>
        <w:spacing w:after="80"/>
      </w:pPr>
      <w:r>
        <w:rPr>
          <w:rFonts w:ascii="Arial" w:cs="Arial" w:eastAsia="Arial" w:hAnsi="Arial"/>
          <w:color w:val="333333"/>
          <w:sz w:val="21"/>
          <w:szCs w:val="21"/>
        </w:rPr>
        <w:t xml:space="preserve">Password protection required; password to be provided separately to the Procurement Contact</w:t>
      </w:r>
    </w:p>
    <w:p>
      <w:pPr>
        <w:pStyle w:val="ListParagraph"/>
        <w:numPr>
          <w:ilvl w:val="0"/>
          <w:numId w:val="2"/>
        </w:numPr>
        <w:spacing w:after="80"/>
      </w:pPr>
      <w:r>
        <w:rPr>
          <w:rFonts w:ascii="Arial" w:cs="Arial" w:eastAsia="Arial" w:hAnsi="Arial"/>
          <w:color w:val="333333"/>
          <w:sz w:val="21"/>
          <w:szCs w:val="21"/>
        </w:rPr>
        <w:t xml:space="preserve">Response must be structured using the volume numbering above</w:t>
      </w:r>
    </w:p>
    <w:p>
      <w:pPr>
        <w:pStyle w:val="ListParagraph"/>
        <w:numPr>
          <w:ilvl w:val="0"/>
          <w:numId w:val="2"/>
        </w:numPr>
        <w:spacing w:after="80"/>
      </w:pPr>
      <w:r>
        <w:rPr>
          <w:rFonts w:ascii="Arial" w:cs="Arial" w:eastAsia="Arial" w:hAnsi="Arial"/>
          <w:color w:val="333333"/>
          <w:sz w:val="21"/>
          <w:szCs w:val="21"/>
        </w:rPr>
        <w:t xml:space="preserve">All pages must include respondent name, RFP reference (MFS-2026-ORT-001), and page number</w:t>
      </w:r>
    </w:p>
    <w:p>
      <w:r>
        <w:br w:type="page"/>
      </w:r>
    </w:p>
    <w:p>
      <w:pPr>
        <w:pStyle w:val="Heading1"/>
        <w:spacing w:before="360" w:after="200"/>
      </w:pPr>
      <w:r>
        <w:rPr>
          <w:rFonts w:ascii="Arial" w:cs="Arial" w:eastAsia="Arial" w:hAnsi="Arial"/>
          <w:b/>
          <w:bCs/>
          <w:color w:val="1B2A4A"/>
          <w:sz w:val="32"/>
          <w:szCs w:val="32"/>
        </w:rPr>
        <w:t xml:space="preserve">Section 6: Information Requirements</w:t>
      </w:r>
    </w:p>
    <w:p>
      <w:pPr>
        <w:pStyle w:val="Heading2"/>
        <w:spacing w:before="280" w:after="160"/>
      </w:pPr>
      <w:r>
        <w:rPr>
          <w:rFonts w:ascii="Arial" w:cs="Arial" w:eastAsia="Arial" w:hAnsi="Arial"/>
          <w:b/>
          <w:bCs/>
          <w:color w:val="2B5797"/>
          <w:sz w:val="26"/>
          <w:szCs w:val="26"/>
        </w:rPr>
        <w:t xml:space="preserve">6.1 Company Profile</w:t>
      </w:r>
    </w:p>
    <w:p>
      <w:pPr>
        <w:spacing w:after="160"/>
      </w:pPr>
      <w:r>
        <w:rPr>
          <w:rFonts w:ascii="Arial" w:cs="Arial" w:eastAsia="Arial" w:hAnsi="Arial"/>
          <w:color w:val="333333"/>
          <w:sz w:val="21"/>
          <w:szCs w:val="21"/>
        </w:rPr>
        <w:t xml:space="preserve">Please provide the following information about your organisation:</w:t>
      </w:r>
    </w:p>
    <w:p>
      <w:pPr>
        <w:pStyle w:val="ListParagraph"/>
        <w:numPr>
          <w:ilvl w:val="0"/>
          <w:numId w:val="2"/>
        </w:numPr>
        <w:spacing w:after="80"/>
      </w:pPr>
      <w:r>
        <w:rPr>
          <w:rFonts w:ascii="Arial" w:cs="Arial" w:eastAsia="Arial" w:hAnsi="Arial"/>
          <w:color w:val="333333"/>
          <w:sz w:val="21"/>
          <w:szCs w:val="21"/>
        </w:rPr>
        <w:t xml:space="preserve">Corporate history, ownership structure, and years in business</w:t>
      </w:r>
    </w:p>
    <w:p>
      <w:pPr>
        <w:pStyle w:val="ListParagraph"/>
        <w:numPr>
          <w:ilvl w:val="0"/>
          <w:numId w:val="2"/>
        </w:numPr>
        <w:spacing w:after="80"/>
      </w:pPr>
      <w:r>
        <w:rPr>
          <w:rFonts w:ascii="Arial" w:cs="Arial" w:eastAsia="Arial" w:hAnsi="Arial"/>
          <w:color w:val="333333"/>
          <w:sz w:val="21"/>
          <w:szCs w:val="21"/>
        </w:rPr>
        <w:t xml:space="preserve">Lines of business and relevant service capabilities</w:t>
      </w:r>
    </w:p>
    <w:p>
      <w:pPr>
        <w:pStyle w:val="ListParagraph"/>
        <w:numPr>
          <w:ilvl w:val="0"/>
          <w:numId w:val="2"/>
        </w:numPr>
        <w:spacing w:after="80"/>
      </w:pPr>
      <w:r>
        <w:rPr>
          <w:rFonts w:ascii="Arial" w:cs="Arial" w:eastAsia="Arial" w:hAnsi="Arial"/>
          <w:color w:val="333333"/>
          <w:sz w:val="21"/>
          <w:szCs w:val="21"/>
        </w:rPr>
        <w:t xml:space="preserve">Financial condition: turnover, EBITDA, and net assets for the past three years</w:t>
      </w:r>
    </w:p>
    <w:p>
      <w:pPr>
        <w:pStyle w:val="ListParagraph"/>
        <w:numPr>
          <w:ilvl w:val="0"/>
          <w:numId w:val="2"/>
        </w:numPr>
        <w:spacing w:after="80"/>
      </w:pPr>
      <w:r>
        <w:rPr>
          <w:rFonts w:ascii="Arial" w:cs="Arial" w:eastAsia="Arial" w:hAnsi="Arial"/>
          <w:color w:val="333333"/>
          <w:sz w:val="21"/>
          <w:szCs w:val="21"/>
        </w:rPr>
        <w:t xml:space="preserve">Number of employees (total and UK-based)</w:t>
      </w:r>
    </w:p>
    <w:p>
      <w:pPr>
        <w:pStyle w:val="ListParagraph"/>
        <w:numPr>
          <w:ilvl w:val="0"/>
          <w:numId w:val="2"/>
        </w:numPr>
        <w:spacing w:after="80"/>
      </w:pPr>
      <w:r>
        <w:rPr>
          <w:rFonts w:ascii="Arial" w:cs="Arial" w:eastAsia="Arial" w:hAnsi="Arial"/>
          <w:color w:val="333333"/>
          <w:sz w:val="21"/>
          <w:szCs w:val="21"/>
        </w:rPr>
        <w:t xml:space="preserve">Geographic coverage and delivery centre locations</w:t>
      </w:r>
    </w:p>
    <w:p>
      <w:pPr>
        <w:pStyle w:val="ListParagraph"/>
        <w:numPr>
          <w:ilvl w:val="0"/>
          <w:numId w:val="2"/>
        </w:numPr>
        <w:spacing w:after="80"/>
      </w:pPr>
      <w:r>
        <w:rPr>
          <w:rFonts w:ascii="Arial" w:cs="Arial" w:eastAsia="Arial" w:hAnsi="Arial"/>
          <w:color w:val="333333"/>
          <w:sz w:val="21"/>
          <w:szCs w:val="21"/>
        </w:rPr>
        <w:t xml:space="preserve">What differentiates your organisation from competitors in this market</w:t>
      </w:r>
    </w:p>
    <w:p>
      <w:pPr>
        <w:pStyle w:val="ListParagraph"/>
        <w:numPr>
          <w:ilvl w:val="0"/>
          <w:numId w:val="2"/>
        </w:numPr>
        <w:spacing w:after="80"/>
      </w:pPr>
      <w:r>
        <w:rPr>
          <w:rFonts w:ascii="Arial" w:cs="Arial" w:eastAsia="Arial" w:hAnsi="Arial"/>
          <w:color w:val="333333"/>
          <w:sz w:val="21"/>
          <w:szCs w:val="21"/>
        </w:rPr>
        <w:t xml:space="preserve">Any pending litigation, regulatory action, or material corporate events</w:t>
      </w:r>
    </w:p>
    <w:p>
      <w:pPr>
        <w:pStyle w:val="Heading2"/>
        <w:spacing w:before="280" w:after="160"/>
      </w:pPr>
      <w:r>
        <w:rPr>
          <w:rFonts w:ascii="Arial" w:cs="Arial" w:eastAsia="Arial" w:hAnsi="Arial"/>
          <w:b/>
          <w:bCs/>
          <w:color w:val="2B5797"/>
          <w:sz w:val="26"/>
          <w:szCs w:val="26"/>
        </w:rPr>
        <w:t xml:space="preserve">6.2 Relevant Experience</w:t>
      </w:r>
    </w:p>
    <w:p>
      <w:pPr>
        <w:spacing w:after="160"/>
      </w:pPr>
      <w:r>
        <w:rPr>
          <w:rFonts w:ascii="Arial" w:cs="Arial" w:eastAsia="Arial" w:hAnsi="Arial"/>
          <w:color w:val="333333"/>
          <w:sz w:val="21"/>
          <w:szCs w:val="21"/>
        </w:rPr>
        <w:t xml:space="preserve">Please provide evidence of your experience in the following areas:</w:t>
      </w:r>
    </w:p>
    <w:p>
      <w:pPr>
        <w:pStyle w:val="ListParagraph"/>
        <w:numPr>
          <w:ilvl w:val="0"/>
          <w:numId w:val="2"/>
        </w:numPr>
        <w:spacing w:after="80"/>
      </w:pPr>
      <w:r>
        <w:rPr>
          <w:rFonts w:ascii="Arial" w:cs="Arial" w:eastAsia="Arial" w:hAnsi="Arial"/>
          <w:color w:val="333333"/>
          <w:sz w:val="21"/>
          <w:szCs w:val="21"/>
        </w:rPr>
        <w:t xml:space="preserve">Managed IT services for UK regulated financial services organisations</w:t>
      </w:r>
    </w:p>
    <w:p>
      <w:pPr>
        <w:pStyle w:val="ListParagraph"/>
        <w:numPr>
          <w:ilvl w:val="0"/>
          <w:numId w:val="2"/>
        </w:numPr>
        <w:spacing w:after="80"/>
      </w:pPr>
      <w:r>
        <w:rPr>
          <w:rFonts w:ascii="Arial" w:cs="Arial" w:eastAsia="Arial" w:hAnsi="Arial"/>
          <w:color w:val="333333"/>
          <w:sz w:val="21"/>
          <w:szCs w:val="21"/>
        </w:rPr>
        <w:t xml:space="preserve">ISO 22301 implementation and operational resilience programmes</w:t>
      </w:r>
    </w:p>
    <w:p>
      <w:pPr>
        <w:pStyle w:val="ListParagraph"/>
        <w:numPr>
          <w:ilvl w:val="0"/>
          <w:numId w:val="2"/>
        </w:numPr>
        <w:spacing w:after="80"/>
      </w:pPr>
      <w:r>
        <w:rPr>
          <w:rFonts w:ascii="Arial" w:cs="Arial" w:eastAsia="Arial" w:hAnsi="Arial"/>
          <w:color w:val="333333"/>
          <w:sz w:val="21"/>
          <w:szCs w:val="21"/>
        </w:rPr>
        <w:t xml:space="preserve">Cloud migration programmes (Azure and/or AWS) at comparable scale</w:t>
      </w:r>
    </w:p>
    <w:p>
      <w:pPr>
        <w:pStyle w:val="ListParagraph"/>
        <w:numPr>
          <w:ilvl w:val="0"/>
          <w:numId w:val="2"/>
        </w:numPr>
        <w:spacing w:after="80"/>
      </w:pPr>
      <w:r>
        <w:rPr>
          <w:rFonts w:ascii="Arial" w:cs="Arial" w:eastAsia="Arial" w:hAnsi="Arial"/>
          <w:color w:val="333333"/>
          <w:sz w:val="21"/>
          <w:szCs w:val="21"/>
        </w:rPr>
        <w:t xml:space="preserve">TUPE transfers involving 50+ employees</w:t>
      </w:r>
    </w:p>
    <w:p>
      <w:pPr>
        <w:pStyle w:val="ListParagraph"/>
        <w:numPr>
          <w:ilvl w:val="0"/>
          <w:numId w:val="2"/>
        </w:numPr>
        <w:spacing w:after="80"/>
      </w:pPr>
      <w:r>
        <w:rPr>
          <w:rFonts w:ascii="Arial" w:cs="Arial" w:eastAsia="Arial" w:hAnsi="Arial"/>
          <w:color w:val="333333"/>
          <w:sz w:val="21"/>
          <w:szCs w:val="21"/>
        </w:rPr>
        <w:t xml:space="preserve">Multi-site UK operations with 5,000+ end users</w:t>
      </w:r>
    </w:p>
    <w:p>
      <w:pPr>
        <w:pStyle w:val="Heading2"/>
        <w:spacing w:before="280" w:after="160"/>
      </w:pPr>
      <w:r>
        <w:rPr>
          <w:rFonts w:ascii="Arial" w:cs="Arial" w:eastAsia="Arial" w:hAnsi="Arial"/>
          <w:b/>
          <w:bCs/>
          <w:color w:val="2B5797"/>
          <w:sz w:val="26"/>
          <w:szCs w:val="26"/>
        </w:rPr>
        <w:t xml:space="preserve">6.3 Proposed Account Team</w:t>
      </w:r>
    </w:p>
    <w:p>
      <w:pPr>
        <w:spacing w:after="160"/>
      </w:pPr>
      <w:r>
        <w:rPr>
          <w:rFonts w:ascii="Arial" w:cs="Arial" w:eastAsia="Arial" w:hAnsi="Arial"/>
          <w:color w:val="333333"/>
          <w:sz w:val="21"/>
          <w:szCs w:val="21"/>
        </w:rPr>
        <w:t xml:space="preserve">Please provide detailed CVs for the following proposed roles:</w:t>
      </w:r>
    </w:p>
    <w:p>
      <w:pPr>
        <w:pStyle w:val="ListParagraph"/>
        <w:numPr>
          <w:ilvl w:val="0"/>
          <w:numId w:val="2"/>
        </w:numPr>
        <w:spacing w:after="80"/>
      </w:pPr>
      <w:r>
        <w:rPr>
          <w:rFonts w:ascii="Arial" w:cs="Arial" w:eastAsia="Arial" w:hAnsi="Arial"/>
          <w:color w:val="333333"/>
          <w:sz w:val="21"/>
          <w:szCs w:val="21"/>
        </w:rPr>
        <w:t xml:space="preserve">Account Director (overall relationship ownership)</w:t>
      </w:r>
    </w:p>
    <w:p>
      <w:pPr>
        <w:pStyle w:val="ListParagraph"/>
        <w:numPr>
          <w:ilvl w:val="0"/>
          <w:numId w:val="2"/>
        </w:numPr>
        <w:spacing w:after="80"/>
      </w:pPr>
      <w:r>
        <w:rPr>
          <w:rFonts w:ascii="Arial" w:cs="Arial" w:eastAsia="Arial" w:hAnsi="Arial"/>
          <w:color w:val="333333"/>
          <w:sz w:val="21"/>
          <w:szCs w:val="21"/>
        </w:rPr>
        <w:t xml:space="preserve">Service Delivery Manager (day-to-day operational accountability)</w:t>
      </w:r>
    </w:p>
    <w:p>
      <w:pPr>
        <w:pStyle w:val="ListParagraph"/>
        <w:numPr>
          <w:ilvl w:val="0"/>
          <w:numId w:val="2"/>
        </w:numPr>
        <w:spacing w:after="80"/>
      </w:pPr>
      <w:r>
        <w:rPr>
          <w:rFonts w:ascii="Arial" w:cs="Arial" w:eastAsia="Arial" w:hAnsi="Arial"/>
          <w:color w:val="333333"/>
          <w:sz w:val="21"/>
          <w:szCs w:val="21"/>
        </w:rPr>
        <w:t xml:space="preserve">Transition Manager (responsible for Months 1–12)</w:t>
      </w:r>
    </w:p>
    <w:p>
      <w:pPr>
        <w:pStyle w:val="ListParagraph"/>
        <w:numPr>
          <w:ilvl w:val="0"/>
          <w:numId w:val="2"/>
        </w:numPr>
        <w:spacing w:after="80"/>
      </w:pPr>
      <w:r>
        <w:rPr>
          <w:rFonts w:ascii="Arial" w:cs="Arial" w:eastAsia="Arial" w:hAnsi="Arial"/>
          <w:color w:val="333333"/>
          <w:sz w:val="21"/>
          <w:szCs w:val="21"/>
        </w:rPr>
        <w:t xml:space="preserve">Transformation Lead (responsible for cloud migration and ISO programme)</w:t>
      </w:r>
    </w:p>
    <w:p>
      <w:pPr>
        <w:pStyle w:val="ListParagraph"/>
        <w:numPr>
          <w:ilvl w:val="0"/>
          <w:numId w:val="2"/>
        </w:numPr>
        <w:spacing w:after="80"/>
      </w:pPr>
      <w:r>
        <w:rPr>
          <w:rFonts w:ascii="Arial" w:cs="Arial" w:eastAsia="Arial" w:hAnsi="Arial"/>
          <w:color w:val="333333"/>
          <w:sz w:val="21"/>
          <w:szCs w:val="21"/>
        </w:rPr>
        <w:t xml:space="preserve">Technical Architect (solution design ownership)</w:t>
      </w:r>
    </w:p>
    <w:p>
      <w:pPr>
        <w:pStyle w:val="ListParagraph"/>
        <w:numPr>
          <w:ilvl w:val="0"/>
          <w:numId w:val="2"/>
        </w:numPr>
        <w:spacing w:after="80"/>
      </w:pPr>
      <w:r>
        <w:rPr>
          <w:rFonts w:ascii="Arial" w:cs="Arial" w:eastAsia="Arial" w:hAnsi="Arial"/>
          <w:color w:val="333333"/>
          <w:sz w:val="21"/>
          <w:szCs w:val="21"/>
        </w:rPr>
        <w:t xml:space="preserve">Security Lead (responsible for T2 tower)</w:t>
      </w:r>
    </w:p>
    <w:p>
      <w:pPr>
        <w:spacing w:after="80"/>
      </w:pPr>
    </w:p>
    <w:p>
      <w:pPr>
        <w:spacing w:after="160"/>
      </w:pPr>
      <w:r>
        <w:rPr>
          <w:rFonts w:ascii="Arial" w:cs="Arial" w:eastAsia="Arial" w:hAnsi="Arial"/>
          <w:b/>
          <w:bCs/>
          <w:color w:val="333333"/>
          <w:sz w:val="21"/>
          <w:szCs w:val="21"/>
        </w:rPr>
        <w:t xml:space="preserve">Named individuals must be committed to the Meridian account for a minimum of 24 months. </w:t>
      </w:r>
      <w:r>
        <w:rPr>
          <w:rFonts w:ascii="Arial" w:cs="Arial" w:eastAsia="Arial" w:hAnsi="Arial"/>
          <w:color w:val="333333"/>
          <w:sz w:val="21"/>
          <w:szCs w:val="21"/>
        </w:rPr>
        <w:t xml:space="preserve">Meridian requires the right to approve any change to named account leadership during the first 36 months of the contract.</w:t>
      </w:r>
    </w:p>
    <w:p>
      <w:pPr>
        <w:pStyle w:val="Heading2"/>
        <w:spacing w:before="280" w:after="160"/>
      </w:pPr>
      <w:r>
        <w:rPr>
          <w:rFonts w:ascii="Arial" w:cs="Arial" w:eastAsia="Arial" w:hAnsi="Arial"/>
          <w:b/>
          <w:bCs/>
          <w:color w:val="2B5797"/>
          <w:sz w:val="26"/>
          <w:szCs w:val="26"/>
        </w:rPr>
        <w:t xml:space="preserve">6.4 Social Value</w:t>
      </w:r>
    </w:p>
    <w:p>
      <w:pPr>
        <w:spacing w:after="160"/>
      </w:pPr>
      <w:r>
        <w:rPr>
          <w:rFonts w:ascii="Arial" w:cs="Arial" w:eastAsia="Arial" w:hAnsi="Arial"/>
          <w:color w:val="333333"/>
          <w:sz w:val="21"/>
          <w:szCs w:val="21"/>
        </w:rPr>
        <w:t xml:space="preserve">Meridian is committed to responsible procurement. Please describe your approach to:</w:t>
      </w:r>
    </w:p>
    <w:p>
      <w:pPr>
        <w:pStyle w:val="ListParagraph"/>
        <w:numPr>
          <w:ilvl w:val="0"/>
          <w:numId w:val="2"/>
        </w:numPr>
        <w:spacing w:after="80"/>
      </w:pPr>
      <w:r>
        <w:rPr>
          <w:rFonts w:ascii="Arial" w:cs="Arial" w:eastAsia="Arial" w:hAnsi="Arial"/>
          <w:color w:val="333333"/>
          <w:sz w:val="21"/>
          <w:szCs w:val="21"/>
        </w:rPr>
        <w:t xml:space="preserve">Environmental sustainability and carbon reduction in IT operations</w:t>
      </w:r>
    </w:p>
    <w:p>
      <w:pPr>
        <w:pStyle w:val="ListParagraph"/>
        <w:numPr>
          <w:ilvl w:val="0"/>
          <w:numId w:val="2"/>
        </w:numPr>
        <w:spacing w:after="80"/>
      </w:pPr>
      <w:r>
        <w:rPr>
          <w:rFonts w:ascii="Arial" w:cs="Arial" w:eastAsia="Arial" w:hAnsi="Arial"/>
          <w:color w:val="333333"/>
          <w:sz w:val="21"/>
          <w:szCs w:val="21"/>
        </w:rPr>
        <w:t xml:space="preserve">Diversity, equity and inclusion in your workforce</w:t>
      </w:r>
    </w:p>
    <w:p>
      <w:pPr>
        <w:pStyle w:val="ListParagraph"/>
        <w:numPr>
          <w:ilvl w:val="0"/>
          <w:numId w:val="2"/>
        </w:numPr>
        <w:spacing w:after="80"/>
      </w:pPr>
      <w:r>
        <w:rPr>
          <w:rFonts w:ascii="Arial" w:cs="Arial" w:eastAsia="Arial" w:hAnsi="Arial"/>
          <w:color w:val="333333"/>
          <w:sz w:val="21"/>
          <w:szCs w:val="21"/>
        </w:rPr>
        <w:t xml:space="preserve">Apprenticeships and early-career development programmes</w:t>
      </w:r>
    </w:p>
    <w:p>
      <w:pPr>
        <w:pStyle w:val="ListParagraph"/>
        <w:numPr>
          <w:ilvl w:val="0"/>
          <w:numId w:val="2"/>
        </w:numPr>
        <w:spacing w:after="80"/>
      </w:pPr>
      <w:r>
        <w:rPr>
          <w:rFonts w:ascii="Arial" w:cs="Arial" w:eastAsia="Arial" w:hAnsi="Arial"/>
          <w:color w:val="333333"/>
          <w:sz w:val="21"/>
          <w:szCs w:val="21"/>
        </w:rPr>
        <w:t xml:space="preserve">Local economic impact (particularly in Manchester, Edinburgh, and Bristol)</w:t>
      </w:r>
    </w:p>
    <w:p>
      <w:r>
        <w:br w:type="page"/>
      </w:r>
    </w:p>
    <w:p>
      <w:pPr>
        <w:pStyle w:val="Heading1"/>
        <w:spacing w:before="360" w:after="200"/>
      </w:pPr>
      <w:r>
        <w:rPr>
          <w:rFonts w:ascii="Arial" w:cs="Arial" w:eastAsia="Arial" w:hAnsi="Arial"/>
          <w:b/>
          <w:bCs/>
          <w:color w:val="1B2A4A"/>
          <w:sz w:val="32"/>
          <w:szCs w:val="32"/>
        </w:rPr>
        <w:t xml:space="preserve">Section 7: Commercial Requirements</w:t>
      </w:r>
    </w:p>
    <w:p>
      <w:pPr>
        <w:pStyle w:val="Heading2"/>
        <w:spacing w:before="280" w:after="160"/>
      </w:pPr>
      <w:r>
        <w:rPr>
          <w:rFonts w:ascii="Arial" w:cs="Arial" w:eastAsia="Arial" w:hAnsi="Arial"/>
          <w:b/>
          <w:bCs/>
          <w:color w:val="2B5797"/>
          <w:sz w:val="26"/>
          <w:szCs w:val="26"/>
        </w:rPr>
        <w:t xml:space="preserve">7.1 Commercial Philosophy</w:t>
      </w:r>
    </w:p>
    <w:p>
      <w:pPr>
        <w:spacing w:after="160"/>
      </w:pPr>
      <w:r>
        <w:rPr>
          <w:rFonts w:ascii="Arial" w:cs="Arial" w:eastAsia="Arial" w:hAnsi="Arial"/>
          <w:color w:val="333333"/>
          <w:sz w:val="21"/>
          <w:szCs w:val="21"/>
        </w:rPr>
        <w:t xml:space="preserve">Meridian is seeking a commercial model that rewards outcomes rather than inputs. The Board has been clear that this is not a body-shop procurement. Meridian does not wish to pay for headcount; it wishes to pay for availability, resilience, and the progressive reduction of operational risk.</w:t>
      </w:r>
    </w:p>
    <w:p>
      <w:pPr>
        <w:spacing w:after="160"/>
      </w:pPr>
      <w:r>
        <w:rPr>
          <w:rFonts w:ascii="Arial" w:cs="Arial" w:eastAsia="Arial" w:hAnsi="Arial"/>
          <w:color w:val="333333"/>
          <w:sz w:val="21"/>
          <w:szCs w:val="21"/>
        </w:rPr>
        <w:t xml:space="preserve">Respondents are encouraged to propose pricing structures that align the partner’s financial incentives with Meridian’s strategic objectives. Proposals that rely predominantly on fixed-price, input-based pricing (e.g., per-FTE charges) will not score competitively against those that demonstrate genuine outcome-alignment.</w:t>
      </w:r>
    </w:p>
    <w:p>
      <w:pPr>
        <w:spacing w:after="160"/>
      </w:pPr>
      <w:r>
        <w:rPr>
          <w:rFonts w:ascii="Arial" w:cs="Arial" w:eastAsia="Arial" w:hAnsi="Arial"/>
          <w:b/>
          <w:bCs/>
          <w:color w:val="333333"/>
          <w:sz w:val="21"/>
          <w:szCs w:val="21"/>
        </w:rPr>
        <w:t xml:space="preserve">The strongest commercial proposals will answer this question: </w:t>
      </w:r>
      <w:r>
        <w:rPr>
          <w:rFonts w:ascii="Arial" w:cs="Arial" w:eastAsia="Arial" w:hAnsi="Arial"/>
          <w:color w:val="333333"/>
          <w:sz w:val="21"/>
          <w:szCs w:val="21"/>
        </w:rPr>
        <w:t xml:space="preserve">“If the partner delivers exceptional outcomes, should they earn more than the baseline — and if they underperform, should Meridian’s costs reduce automatically?” The answer Meridian expects is yes to both.</w:t>
      </w:r>
    </w:p>
    <w:p>
      <w:pPr>
        <w:pStyle w:val="Heading2"/>
        <w:spacing w:before="280" w:after="160"/>
      </w:pPr>
      <w:r>
        <w:rPr>
          <w:rFonts w:ascii="Arial" w:cs="Arial" w:eastAsia="Arial" w:hAnsi="Arial"/>
          <w:b/>
          <w:bCs/>
          <w:color w:val="2B5797"/>
          <w:sz w:val="26"/>
          <w:szCs w:val="26"/>
        </w:rPr>
        <w:t xml:space="preserve">7.2 Cost Glide Path</w:t>
      </w:r>
    </w:p>
    <w:p>
      <w:pPr>
        <w:spacing w:after="160"/>
      </w:pPr>
      <w:r>
        <w:rPr>
          <w:rFonts w:ascii="Arial" w:cs="Arial" w:eastAsia="Arial" w:hAnsi="Arial"/>
          <w:color w:val="333333"/>
          <w:sz w:val="21"/>
          <w:szCs w:val="21"/>
        </w:rPr>
        <w:t xml:space="preserve">Meridian expects the total cost of this engagement to follow a clear downward trajectory over the contract term. Year 1 will necessarily be the most expensive year due to transition costs, dual-running, TUPE transfer, and tooling deployment. By Year 5, the annualised cost should be materially lower than the current £16.5M operating envelope, driven by:</w:t>
      </w:r>
    </w:p>
    <w:p>
      <w:pPr>
        <w:pStyle w:val="ListParagraph"/>
        <w:numPr>
          <w:ilvl w:val="0"/>
          <w:numId w:val="2"/>
        </w:numPr>
        <w:spacing w:after="80"/>
      </w:pPr>
      <w:r>
        <w:rPr>
          <w:rFonts w:ascii="Arial" w:cs="Arial" w:eastAsia="Arial" w:hAnsi="Arial"/>
          <w:color w:val="333333"/>
          <w:sz w:val="21"/>
          <w:szCs w:val="21"/>
        </w:rPr>
        <w:t xml:space="preserve">Automation maturity reducing manual intervention and associated staffing costs</w:t>
      </w:r>
    </w:p>
    <w:p>
      <w:pPr>
        <w:pStyle w:val="ListParagraph"/>
        <w:numPr>
          <w:ilvl w:val="0"/>
          <w:numId w:val="2"/>
        </w:numPr>
        <w:spacing w:after="80"/>
      </w:pPr>
      <w:r>
        <w:rPr>
          <w:rFonts w:ascii="Arial" w:cs="Arial" w:eastAsia="Arial" w:hAnsi="Arial"/>
          <w:color w:val="333333"/>
          <w:sz w:val="21"/>
          <w:szCs w:val="21"/>
        </w:rPr>
        <w:t xml:space="preserve">Cloud platform optimisation eliminating legacy infrastructure maintenance</w:t>
      </w:r>
    </w:p>
    <w:p>
      <w:pPr>
        <w:pStyle w:val="ListParagraph"/>
        <w:numPr>
          <w:ilvl w:val="0"/>
          <w:numId w:val="2"/>
        </w:numPr>
        <w:spacing w:after="80"/>
      </w:pPr>
      <w:r>
        <w:rPr>
          <w:rFonts w:ascii="Arial" w:cs="Arial" w:eastAsia="Arial" w:hAnsi="Arial"/>
          <w:color w:val="333333"/>
          <w:sz w:val="21"/>
          <w:szCs w:val="21"/>
        </w:rPr>
        <w:t xml:space="preserve">Self-healing and AIOps capabilities reducing incident volumes and resolution times</w:t>
      </w:r>
    </w:p>
    <w:p>
      <w:pPr>
        <w:pStyle w:val="ListParagraph"/>
        <w:numPr>
          <w:ilvl w:val="0"/>
          <w:numId w:val="2"/>
        </w:numPr>
        <w:spacing w:after="80"/>
      </w:pPr>
      <w:r>
        <w:rPr>
          <w:rFonts w:ascii="Arial" w:cs="Arial" w:eastAsia="Arial" w:hAnsi="Arial"/>
          <w:color w:val="333333"/>
          <w:sz w:val="21"/>
          <w:szCs w:val="21"/>
        </w:rPr>
        <w:t xml:space="preserve">Standardisation and consolidation of tooling across five sites</w:t>
      </w:r>
    </w:p>
    <w:p>
      <w:pPr>
        <w:pStyle w:val="ListParagraph"/>
        <w:numPr>
          <w:ilvl w:val="0"/>
          <w:numId w:val="2"/>
        </w:numPr>
        <w:spacing w:after="80"/>
      </w:pPr>
      <w:r>
        <w:rPr>
          <w:rFonts w:ascii="Arial" w:cs="Arial" w:eastAsia="Arial" w:hAnsi="Arial"/>
          <w:color w:val="333333"/>
          <w:sz w:val="21"/>
          <w:szCs w:val="21"/>
        </w:rPr>
        <w:t xml:space="preserve">Continual service improvement delivering year-on-year efficiency gains</w:t>
      </w:r>
    </w:p>
    <w:p>
      <w:pPr>
        <w:spacing w:after="80"/>
      </w:pPr>
    </w:p>
    <w:p>
      <w:pPr>
        <w:spacing w:after="160"/>
      </w:pPr>
      <w:r>
        <w:rPr>
          <w:rFonts w:ascii="Arial" w:cs="Arial" w:eastAsia="Arial" w:hAnsi="Arial"/>
          <w:color w:val="333333"/>
          <w:sz w:val="21"/>
          <w:szCs w:val="21"/>
        </w:rPr>
        <w:t xml:space="preserve">Respondents must provide a seven-year cost profile that clearly demonstrates this trajectory. The following table illustrates the expected shape (indicative, not prescriptive):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900"/>
        <w:gridCol w:w="900"/>
        <w:gridCol w:w="900"/>
        <w:gridCol w:w="900"/>
        <w:gridCol w:w="900"/>
        <w:gridCol w:w="1226"/>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Cost Element</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Year 1</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Year 2</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Year 3</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Year 4</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Year 5</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Year 6</w:t>
            </w:r>
          </w:p>
        </w:tc>
        <w:tc>
          <w:tcPr>
            <w:tcW w:type="dxa" w:w="1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Year 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Transition &amp; Dual-Run</w:t>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High</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Transformation</w:t>
            </w:r>
          </w:p>
        </w:tc>
        <w:tc>
          <w:tcPr>
            <w:tcW w:type="dxa" w:w="11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Medium</w:t>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High</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Managed Services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Ramp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Full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Full</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Reducing</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Lower</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Lowest</w:t>
            </w:r>
          </w:p>
        </w:tc>
        <w:tc>
          <w:tcPr>
            <w:tcW w:type="dxa" w:w="12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Lowest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Total Annual Cost</w:t>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Highest</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High</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Medium</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Lower</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Target</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Target</w:t>
            </w:r>
          </w:p>
        </w:tc>
        <w:tc>
          <w:tcPr>
            <w:tcW w:type="dxa" w:w="12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Target+Exit</w:t>
            </w:r>
          </w:p>
        </w:tc>
      </w:tr>
    </w:tbl>
    <w:p>
      <w:pPr>
        <w:spacing w:after="120"/>
      </w:pPr>
    </w:p>
    <w:p>
      <w:pPr>
        <w:spacing w:after="160"/>
      </w:pPr>
      <w:r>
        <w:rPr>
          <w:rFonts w:ascii="Arial" w:cs="Arial" w:eastAsia="Arial" w:hAnsi="Arial"/>
          <w:b/>
          <w:bCs/>
          <w:color w:val="333333"/>
          <w:sz w:val="21"/>
          <w:szCs w:val="21"/>
        </w:rPr>
        <w:t xml:space="preserve">Meridian expects the Year 5 steady-state cost to be a minimum of 20% below the current £16.5M annual operating envelope. </w:t>
      </w:r>
      <w:r>
        <w:rPr>
          <w:rFonts w:ascii="Arial" w:cs="Arial" w:eastAsia="Arial" w:hAnsi="Arial"/>
          <w:color w:val="333333"/>
          <w:sz w:val="21"/>
          <w:szCs w:val="21"/>
        </w:rPr>
        <w:t xml:space="preserve">Respondents should explain the specific levers (automation, consolidation, platform maturity, volume efficiencies) that drive this reduction and the assumptions underpinning their projections.</w:t>
      </w:r>
    </w:p>
    <w:p>
      <w:pPr>
        <w:pStyle w:val="Heading2"/>
        <w:spacing w:before="280" w:after="160"/>
      </w:pPr>
      <w:r>
        <w:rPr>
          <w:rFonts w:ascii="Arial" w:cs="Arial" w:eastAsia="Arial" w:hAnsi="Arial"/>
          <w:b/>
          <w:bCs/>
          <w:color w:val="2B5797"/>
          <w:sz w:val="26"/>
          <w:szCs w:val="26"/>
        </w:rPr>
        <w:t xml:space="preserve">7.3 Pricing Model Requirements</w:t>
      </w:r>
    </w:p>
    <w:p>
      <w:pPr>
        <w:spacing w:after="160"/>
      </w:pPr>
      <w:r>
        <w:rPr>
          <w:rFonts w:ascii="Arial" w:cs="Arial" w:eastAsia="Arial" w:hAnsi="Arial"/>
          <w:color w:val="333333"/>
          <w:sz w:val="21"/>
          <w:szCs w:val="21"/>
        </w:rPr>
        <w:t xml:space="preserve">Respondents must provide pricing in the format specified in Appendix B, covering:</w:t>
      </w:r>
    </w:p>
    <w:p>
      <w:pPr>
        <w:spacing w:before="200" w:after="120"/>
      </w:pPr>
      <w:r>
        <w:rPr>
          <w:rFonts w:ascii="Arial" w:cs="Arial" w:eastAsia="Arial" w:hAnsi="Arial"/>
          <w:b/>
          <w:bCs/>
          <w:color w:val="4A5568"/>
          <w:sz w:val="22"/>
          <w:szCs w:val="22"/>
        </w:rPr>
        <w:t xml:space="preserve">7.3.1 Transition Phase (Months 1–12)</w:t>
      </w:r>
    </w:p>
    <w:p>
      <w:pPr>
        <w:pStyle w:val="ListParagraph"/>
        <w:numPr>
          <w:ilvl w:val="0"/>
          <w:numId w:val="2"/>
        </w:numPr>
        <w:spacing w:after="80"/>
      </w:pPr>
      <w:r>
        <w:rPr>
          <w:rFonts w:ascii="Arial" w:cs="Arial" w:eastAsia="Arial" w:hAnsi="Arial"/>
          <w:color w:val="333333"/>
          <w:sz w:val="21"/>
          <w:szCs w:val="21"/>
        </w:rPr>
        <w:t xml:space="preserve">One-time transition costs, itemised by activity</w:t>
      </w:r>
    </w:p>
    <w:p>
      <w:pPr>
        <w:pStyle w:val="ListParagraph"/>
        <w:numPr>
          <w:ilvl w:val="0"/>
          <w:numId w:val="2"/>
        </w:numPr>
        <w:spacing w:after="80"/>
      </w:pPr>
      <w:r>
        <w:rPr>
          <w:rFonts w:ascii="Arial" w:cs="Arial" w:eastAsia="Arial" w:hAnsi="Arial"/>
          <w:color w:val="333333"/>
          <w:sz w:val="21"/>
          <w:szCs w:val="21"/>
        </w:rPr>
        <w:t xml:space="preserve">TUPE-related costs (redundancy provisions, harmonisation costs)</w:t>
      </w:r>
    </w:p>
    <w:p>
      <w:pPr>
        <w:pStyle w:val="ListParagraph"/>
        <w:numPr>
          <w:ilvl w:val="0"/>
          <w:numId w:val="2"/>
        </w:numPr>
        <w:spacing w:after="80"/>
      </w:pPr>
      <w:r>
        <w:rPr>
          <w:rFonts w:ascii="Arial" w:cs="Arial" w:eastAsia="Arial" w:hAnsi="Arial"/>
          <w:color w:val="333333"/>
          <w:sz w:val="21"/>
          <w:szCs w:val="21"/>
        </w:rPr>
        <w:t xml:space="preserve">Tooling deployment, integration, and data migration costs</w:t>
      </w:r>
    </w:p>
    <w:p>
      <w:pPr>
        <w:pStyle w:val="ListParagraph"/>
        <w:numPr>
          <w:ilvl w:val="0"/>
          <w:numId w:val="2"/>
        </w:numPr>
        <w:spacing w:after="80"/>
      </w:pPr>
      <w:r>
        <w:rPr>
          <w:rFonts w:ascii="Arial" w:cs="Arial" w:eastAsia="Arial" w:hAnsi="Arial"/>
          <w:color w:val="333333"/>
          <w:sz w:val="21"/>
          <w:szCs w:val="21"/>
        </w:rPr>
        <w:t xml:space="preserve">Dual-running costs during knowledge transfer period</w:t>
      </w:r>
    </w:p>
    <w:p>
      <w:pPr>
        <w:pStyle w:val="ListParagraph"/>
        <w:numPr>
          <w:ilvl w:val="0"/>
          <w:numId w:val="2"/>
        </w:numPr>
        <w:spacing w:after="80"/>
      </w:pPr>
      <w:r>
        <w:rPr>
          <w:rFonts w:ascii="Arial" w:cs="Arial" w:eastAsia="Arial" w:hAnsi="Arial"/>
          <w:color w:val="333333"/>
          <w:sz w:val="21"/>
          <w:szCs w:val="21"/>
        </w:rPr>
        <w:t xml:space="preserve">Programme management costs for the transition phase</w:t>
      </w:r>
    </w:p>
    <w:p>
      <w:pPr>
        <w:spacing w:before="200" w:after="120"/>
      </w:pPr>
      <w:r>
        <w:rPr>
          <w:rFonts w:ascii="Arial" w:cs="Arial" w:eastAsia="Arial" w:hAnsi="Arial"/>
          <w:b/>
          <w:bCs/>
          <w:color w:val="4A5568"/>
          <w:sz w:val="22"/>
          <w:szCs w:val="22"/>
        </w:rPr>
        <w:t xml:space="preserve">7.3.2 Transformation Phase (Months 6–30)</w:t>
      </w:r>
    </w:p>
    <w:p>
      <w:pPr>
        <w:pStyle w:val="ListParagraph"/>
        <w:numPr>
          <w:ilvl w:val="0"/>
          <w:numId w:val="2"/>
        </w:numPr>
        <w:spacing w:after="80"/>
      </w:pPr>
      <w:r>
        <w:rPr>
          <w:rFonts w:ascii="Arial" w:cs="Arial" w:eastAsia="Arial" w:hAnsi="Arial"/>
          <w:color w:val="333333"/>
          <w:sz w:val="21"/>
          <w:szCs w:val="21"/>
        </w:rPr>
        <w:t xml:space="preserve">Cloud platform build and workload migration costs by category</w:t>
      </w:r>
    </w:p>
    <w:p>
      <w:pPr>
        <w:pStyle w:val="ListParagraph"/>
        <w:numPr>
          <w:ilvl w:val="0"/>
          <w:numId w:val="2"/>
        </w:numPr>
        <w:spacing w:after="80"/>
      </w:pPr>
      <w:r>
        <w:rPr>
          <w:rFonts w:ascii="Arial" w:cs="Arial" w:eastAsia="Arial" w:hAnsi="Arial"/>
          <w:color w:val="333333"/>
          <w:sz w:val="21"/>
          <w:szCs w:val="21"/>
        </w:rPr>
        <w:t xml:space="preserve">ISO 22301 implementation support costs</w:t>
      </w:r>
    </w:p>
    <w:p>
      <w:pPr>
        <w:pStyle w:val="ListParagraph"/>
        <w:numPr>
          <w:ilvl w:val="0"/>
          <w:numId w:val="2"/>
        </w:numPr>
        <w:spacing w:after="80"/>
      </w:pPr>
      <w:r>
        <w:rPr>
          <w:rFonts w:ascii="Arial" w:cs="Arial" w:eastAsia="Arial" w:hAnsi="Arial"/>
          <w:color w:val="333333"/>
          <w:sz w:val="21"/>
          <w:szCs w:val="21"/>
        </w:rPr>
        <w:t xml:space="preserve">Automation and AIOps platform deployment costs</w:t>
      </w:r>
    </w:p>
    <w:p>
      <w:pPr>
        <w:pStyle w:val="ListParagraph"/>
        <w:numPr>
          <w:ilvl w:val="0"/>
          <w:numId w:val="2"/>
        </w:numPr>
        <w:spacing w:after="80"/>
      </w:pPr>
      <w:r>
        <w:rPr>
          <w:rFonts w:ascii="Arial" w:cs="Arial" w:eastAsia="Arial" w:hAnsi="Arial"/>
          <w:color w:val="333333"/>
          <w:sz w:val="21"/>
          <w:szCs w:val="21"/>
        </w:rPr>
        <w:t xml:space="preserve">Platform modernisation costs (end user computing, observability, SIAM tooling)</w:t>
      </w:r>
    </w:p>
    <w:p>
      <w:pPr>
        <w:pStyle w:val="ListParagraph"/>
        <w:numPr>
          <w:ilvl w:val="0"/>
          <w:numId w:val="2"/>
        </w:numPr>
        <w:spacing w:after="80"/>
      </w:pPr>
      <w:r>
        <w:rPr>
          <w:rFonts w:ascii="Arial" w:cs="Arial" w:eastAsia="Arial" w:hAnsi="Arial"/>
          <w:color w:val="333333"/>
          <w:sz w:val="21"/>
          <w:szCs w:val="21"/>
        </w:rPr>
        <w:t xml:space="preserve">Any third-party licensing costs to be borne by Meridian (itemised)</w:t>
      </w:r>
    </w:p>
    <w:p>
      <w:pPr>
        <w:spacing w:before="200" w:after="120"/>
      </w:pPr>
      <w:r>
        <w:rPr>
          <w:rFonts w:ascii="Arial" w:cs="Arial" w:eastAsia="Arial" w:hAnsi="Arial"/>
          <w:b/>
          <w:bCs/>
          <w:color w:val="4A5568"/>
          <w:sz w:val="22"/>
          <w:szCs w:val="22"/>
        </w:rPr>
        <w:t xml:space="preserve">7.3.3 Steady-State Operations (Annual, Months 13–84)</w:t>
      </w:r>
    </w:p>
    <w:p>
      <w:pPr>
        <w:pStyle w:val="ListParagraph"/>
        <w:numPr>
          <w:ilvl w:val="0"/>
          <w:numId w:val="2"/>
        </w:numPr>
        <w:spacing w:after="80"/>
      </w:pPr>
      <w:r>
        <w:rPr>
          <w:rFonts w:ascii="Arial" w:cs="Arial" w:eastAsia="Arial" w:hAnsi="Arial"/>
          <w:color w:val="333333"/>
          <w:sz w:val="21"/>
          <w:szCs w:val="21"/>
        </w:rPr>
        <w:t xml:space="preserve">Annual managed service charge by service tower</w:t>
      </w:r>
    </w:p>
    <w:p>
      <w:pPr>
        <w:pStyle w:val="ListParagraph"/>
        <w:numPr>
          <w:ilvl w:val="0"/>
          <w:numId w:val="2"/>
        </w:numPr>
        <w:spacing w:after="80"/>
      </w:pPr>
      <w:r>
        <w:rPr>
          <w:rFonts w:ascii="Arial" w:cs="Arial" w:eastAsia="Arial" w:hAnsi="Arial"/>
          <w:color w:val="333333"/>
          <w:sz w:val="21"/>
          <w:szCs w:val="21"/>
        </w:rPr>
        <w:t xml:space="preserve">Volume-based unit pricing for variable elements (e.g., per-user, per-server, per-incident)</w:t>
      </w:r>
    </w:p>
    <w:p>
      <w:pPr>
        <w:pStyle w:val="ListParagraph"/>
        <w:numPr>
          <w:ilvl w:val="0"/>
          <w:numId w:val="2"/>
        </w:numPr>
        <w:spacing w:after="80"/>
      </w:pPr>
      <w:r>
        <w:rPr>
          <w:rFonts w:ascii="Arial" w:cs="Arial" w:eastAsia="Arial" w:hAnsi="Arial"/>
          <w:color w:val="333333"/>
          <w:sz w:val="21"/>
          <w:szCs w:val="21"/>
        </w:rPr>
        <w:t xml:space="preserve">Annual price adjustment mechanism — Meridian’s preference is CPI minus 1% (reflecting expected automation efficiencies)</w:t>
      </w:r>
    </w:p>
    <w:p>
      <w:pPr>
        <w:pStyle w:val="ListParagraph"/>
        <w:numPr>
          <w:ilvl w:val="0"/>
          <w:numId w:val="2"/>
        </w:numPr>
        <w:spacing w:after="80"/>
      </w:pPr>
      <w:r>
        <w:rPr>
          <w:rFonts w:ascii="Arial" w:cs="Arial" w:eastAsia="Arial" w:hAnsi="Arial"/>
          <w:color w:val="333333"/>
          <w:sz w:val="21"/>
          <w:szCs w:val="21"/>
        </w:rPr>
        <w:t xml:space="preserve">Any minimum commitment or take-or-pay provisions (must be justified)</w:t>
      </w:r>
    </w:p>
    <w:p>
      <w:pPr>
        <w:pStyle w:val="Heading2"/>
        <w:spacing w:before="280" w:after="160"/>
      </w:pPr>
      <w:r>
        <w:rPr>
          <w:rFonts w:ascii="Arial" w:cs="Arial" w:eastAsia="Arial" w:hAnsi="Arial"/>
          <w:b/>
          <w:bCs/>
          <w:color w:val="2B5797"/>
          <w:sz w:val="26"/>
          <w:szCs w:val="26"/>
        </w:rPr>
        <w:t xml:space="preserve">7.4 Value-Based &amp; Outcome-Linked Pricing</w:t>
      </w:r>
    </w:p>
    <w:p>
      <w:pPr>
        <w:spacing w:after="160"/>
      </w:pPr>
      <w:r>
        <w:rPr>
          <w:rFonts w:ascii="Arial" w:cs="Arial" w:eastAsia="Arial" w:hAnsi="Arial"/>
          <w:color w:val="333333"/>
          <w:sz w:val="21"/>
          <w:szCs w:val="21"/>
        </w:rPr>
        <w:t xml:space="preserve">In addition to the baseline pricing model, Meridian invites respondents to propose outcome-linked pricing components. These are not optional extras — they will be scored under CC-02 and CC-03 and will materially influence the commercial evaluation.</w:t>
      </w:r>
    </w:p>
    <w:p>
      <w:pPr>
        <w:spacing w:before="200" w:after="120"/>
      </w:pPr>
      <w:r>
        <w:rPr>
          <w:rFonts w:ascii="Arial" w:cs="Arial" w:eastAsia="Arial" w:hAnsi="Arial"/>
          <w:b/>
          <w:bCs/>
          <w:color w:val="4A5568"/>
          <w:sz w:val="22"/>
          <w:szCs w:val="22"/>
        </w:rPr>
        <w:t xml:space="preserve">7.4.1 Outcome-Linked Payment Mechanisms</w:t>
      </w:r>
    </w:p>
    <w:p>
      <w:pPr>
        <w:spacing w:after="160"/>
      </w:pPr>
      <w:r>
        <w:rPr>
          <w:rFonts w:ascii="Arial" w:cs="Arial" w:eastAsia="Arial" w:hAnsi="Arial"/>
          <w:color w:val="333333"/>
          <w:sz w:val="21"/>
          <w:szCs w:val="21"/>
        </w:rPr>
        <w:t xml:space="preserve">Respondents should propose pricing elements linked to the achievement of measurable business outcomes. Examples of outcomes Meridian values:</w:t>
      </w:r>
    </w:p>
    <w:p>
      <w:pPr>
        <w:pStyle w:val="ListParagraph"/>
        <w:numPr>
          <w:ilvl w:val="0"/>
          <w:numId w:val="2"/>
        </w:numPr>
        <w:spacing w:after="80"/>
      </w:pPr>
      <w:r>
        <w:rPr>
          <w:rFonts w:ascii="Arial" w:cs="Arial" w:eastAsia="Arial" w:hAnsi="Arial"/>
          <w:color w:val="333333"/>
          <w:sz w:val="21"/>
          <w:szCs w:val="21"/>
        </w:rPr>
        <w:t xml:space="preserve">Service availability: pricing component linked to achievement of 99.99% availability for Tier 1 Important Business Services</w:t>
      </w:r>
    </w:p>
    <w:p>
      <w:pPr>
        <w:pStyle w:val="ListParagraph"/>
        <w:numPr>
          <w:ilvl w:val="0"/>
          <w:numId w:val="2"/>
        </w:numPr>
        <w:spacing w:after="80"/>
      </w:pPr>
      <w:r>
        <w:rPr>
          <w:rFonts w:ascii="Arial" w:cs="Arial" w:eastAsia="Arial" w:hAnsi="Arial"/>
          <w:color w:val="333333"/>
          <w:sz w:val="21"/>
          <w:szCs w:val="21"/>
        </w:rPr>
        <w:t xml:space="preserve">Incident reduction: pricing component linked to year-on-year reduction in P1/P2 incident volumes</w:t>
      </w:r>
    </w:p>
    <w:p>
      <w:pPr>
        <w:pStyle w:val="ListParagraph"/>
        <w:numPr>
          <w:ilvl w:val="0"/>
          <w:numId w:val="2"/>
        </w:numPr>
        <w:spacing w:after="80"/>
      </w:pPr>
      <w:r>
        <w:rPr>
          <w:rFonts w:ascii="Arial" w:cs="Arial" w:eastAsia="Arial" w:hAnsi="Arial"/>
          <w:color w:val="333333"/>
          <w:sz w:val="21"/>
          <w:szCs w:val="21"/>
        </w:rPr>
        <w:t xml:space="preserve">Automation maturity: pricing component linked to achieving agreed automation milestones (e.g., percentage of L1 requests resolved without human intervention)</w:t>
      </w:r>
    </w:p>
    <w:p>
      <w:pPr>
        <w:pStyle w:val="ListParagraph"/>
        <w:numPr>
          <w:ilvl w:val="0"/>
          <w:numId w:val="2"/>
        </w:numPr>
        <w:spacing w:after="80"/>
      </w:pPr>
      <w:r>
        <w:rPr>
          <w:rFonts w:ascii="Arial" w:cs="Arial" w:eastAsia="Arial" w:hAnsi="Arial"/>
          <w:color w:val="333333"/>
          <w:sz w:val="21"/>
          <w:szCs w:val="21"/>
        </w:rPr>
        <w:t xml:space="preserve">Employee experience: pricing component linked to IT satisfaction scores in the annual Group survey</w:t>
      </w:r>
    </w:p>
    <w:p>
      <w:pPr>
        <w:pStyle w:val="ListParagraph"/>
        <w:numPr>
          <w:ilvl w:val="0"/>
          <w:numId w:val="2"/>
        </w:numPr>
        <w:spacing w:after="80"/>
      </w:pPr>
      <w:r>
        <w:rPr>
          <w:rFonts w:ascii="Arial" w:cs="Arial" w:eastAsia="Arial" w:hAnsi="Arial"/>
          <w:color w:val="333333"/>
          <w:sz w:val="21"/>
          <w:szCs w:val="21"/>
        </w:rPr>
        <w:t xml:space="preserve">Resilience maturity: pricing component linked to successful completion of resilience testing exercises without material findings</w:t>
      </w:r>
    </w:p>
    <w:p>
      <w:pPr>
        <w:spacing w:after="80"/>
      </w:pPr>
    </w:p>
    <w:p>
      <w:pPr>
        <w:spacing w:after="160"/>
      </w:pPr>
      <w:r>
        <w:rPr>
          <w:rFonts w:ascii="Arial" w:cs="Arial" w:eastAsia="Arial" w:hAnsi="Arial"/>
          <w:color w:val="333333"/>
          <w:sz w:val="21"/>
          <w:szCs w:val="21"/>
        </w:rPr>
        <w:t xml:space="preserve">For each outcome-linked component, respondents must specify:</w:t>
      </w:r>
    </w:p>
    <w:p>
      <w:pPr>
        <w:pStyle w:val="ListParagraph"/>
        <w:numPr>
          <w:ilvl w:val="0"/>
          <w:numId w:val="3"/>
        </w:numPr>
        <w:spacing w:after="80"/>
      </w:pPr>
      <w:r>
        <w:rPr>
          <w:rFonts w:ascii="Arial" w:cs="Arial" w:eastAsia="Arial" w:hAnsi="Arial"/>
          <w:color w:val="333333"/>
          <w:sz w:val="21"/>
          <w:szCs w:val="21"/>
        </w:rPr>
        <w:t xml:space="preserve">The measurable KPI and its baseline value</w:t>
      </w:r>
    </w:p>
    <w:p>
      <w:pPr>
        <w:pStyle w:val="ListParagraph"/>
        <w:numPr>
          <w:ilvl w:val="0"/>
          <w:numId w:val="3"/>
        </w:numPr>
        <w:spacing w:after="80"/>
      </w:pPr>
      <w:r>
        <w:rPr>
          <w:rFonts w:ascii="Arial" w:cs="Arial" w:eastAsia="Arial" w:hAnsi="Arial"/>
          <w:color w:val="333333"/>
          <w:sz w:val="21"/>
          <w:szCs w:val="21"/>
        </w:rPr>
        <w:t xml:space="preserve">The target value and measurement methodology</w:t>
      </w:r>
    </w:p>
    <w:p>
      <w:pPr>
        <w:pStyle w:val="ListParagraph"/>
        <w:numPr>
          <w:ilvl w:val="0"/>
          <w:numId w:val="3"/>
        </w:numPr>
        <w:spacing w:after="80"/>
      </w:pPr>
      <w:r>
        <w:rPr>
          <w:rFonts w:ascii="Arial" w:cs="Arial" w:eastAsia="Arial" w:hAnsi="Arial"/>
          <w:color w:val="333333"/>
          <w:sz w:val="21"/>
          <w:szCs w:val="21"/>
        </w:rPr>
        <w:t xml:space="preserve">The financial impact (what Meridian pays more if exceeded, what it pays less if missed)</w:t>
      </w:r>
    </w:p>
    <w:p>
      <w:pPr>
        <w:pStyle w:val="ListParagraph"/>
        <w:numPr>
          <w:ilvl w:val="0"/>
          <w:numId w:val="3"/>
        </w:numPr>
        <w:spacing w:after="80"/>
      </w:pPr>
      <w:r>
        <w:rPr>
          <w:rFonts w:ascii="Arial" w:cs="Arial" w:eastAsia="Arial" w:hAnsi="Arial"/>
          <w:color w:val="333333"/>
          <w:sz w:val="21"/>
          <w:szCs w:val="21"/>
        </w:rPr>
        <w:t xml:space="preserve">How disputes on measurement will be resolved</w:t>
      </w:r>
    </w:p>
    <w:p>
      <w:pPr>
        <w:spacing w:before="200" w:after="120"/>
      </w:pPr>
      <w:r>
        <w:rPr>
          <w:rFonts w:ascii="Arial" w:cs="Arial" w:eastAsia="Arial" w:hAnsi="Arial"/>
          <w:b/>
          <w:bCs/>
          <w:color w:val="4A5568"/>
          <w:sz w:val="22"/>
          <w:szCs w:val="22"/>
        </w:rPr>
        <w:t xml:space="preserve">7.4.2 Gain-Share Model</w:t>
      </w:r>
    </w:p>
    <w:p>
      <w:pPr>
        <w:spacing w:after="160"/>
      </w:pPr>
      <w:r>
        <w:rPr>
          <w:rFonts w:ascii="Arial" w:cs="Arial" w:eastAsia="Arial" w:hAnsi="Arial"/>
          <w:color w:val="333333"/>
          <w:sz w:val="21"/>
          <w:szCs w:val="21"/>
        </w:rPr>
        <w:t xml:space="preserve">Meridian invites respondents to propose a gain-share mechanism linked to the delivery of benefits beyond the contracted baseline. The gain-share model should address:</w:t>
      </w:r>
    </w:p>
    <w:p>
      <w:pPr>
        <w:pStyle w:val="ListParagraph"/>
        <w:numPr>
          <w:ilvl w:val="0"/>
          <w:numId w:val="2"/>
        </w:numPr>
        <w:spacing w:after="80"/>
      </w:pPr>
      <w:r>
        <w:rPr>
          <w:rFonts w:ascii="Arial" w:cs="Arial" w:eastAsia="Arial" w:hAnsi="Arial"/>
          <w:color w:val="333333"/>
          <w:sz w:val="21"/>
          <w:szCs w:val="21"/>
        </w:rPr>
        <w:t xml:space="preserve">Cost savings beyond the Year 5 target (e.g., if automation delivers 30% reduction rather than 20%)</w:t>
      </w:r>
    </w:p>
    <w:p>
      <w:pPr>
        <w:pStyle w:val="ListParagraph"/>
        <w:numPr>
          <w:ilvl w:val="0"/>
          <w:numId w:val="2"/>
        </w:numPr>
        <w:spacing w:after="80"/>
      </w:pPr>
      <w:r>
        <w:rPr>
          <w:rFonts w:ascii="Arial" w:cs="Arial" w:eastAsia="Arial" w:hAnsi="Arial"/>
          <w:color w:val="333333"/>
          <w:sz w:val="21"/>
          <w:szCs w:val="21"/>
        </w:rPr>
        <w:t xml:space="preserve">Productivity improvements attributable to transformation activities</w:t>
      </w:r>
    </w:p>
    <w:p>
      <w:pPr>
        <w:pStyle w:val="ListParagraph"/>
        <w:numPr>
          <w:ilvl w:val="0"/>
          <w:numId w:val="2"/>
        </w:numPr>
        <w:spacing w:after="80"/>
      </w:pPr>
      <w:r>
        <w:rPr>
          <w:rFonts w:ascii="Arial" w:cs="Arial" w:eastAsia="Arial" w:hAnsi="Arial"/>
          <w:color w:val="333333"/>
          <w:sz w:val="21"/>
          <w:szCs w:val="21"/>
        </w:rPr>
        <w:t xml:space="preserve">Revenue protection value: quantifiable reduction in customer-impacting outages and associated regulatory/reputational cost</w:t>
      </w:r>
    </w:p>
    <w:p>
      <w:pPr>
        <w:spacing w:after="80"/>
      </w:pPr>
    </w:p>
    <w:p>
      <w:pPr>
        <w:spacing w:after="160"/>
      </w:pPr>
      <w:r>
        <w:rPr>
          <w:rFonts w:ascii="Arial" w:cs="Arial" w:eastAsia="Arial" w:hAnsi="Arial"/>
          <w:color w:val="333333"/>
          <w:sz w:val="21"/>
          <w:szCs w:val="21"/>
        </w:rPr>
        <w:t xml:space="preserve">Meridian expects gain-share proposals to include clear measurement methodologies, baseline definitions, and an equitable sharing ratio. Meridian’s preferred sharing model is 50:50 for savings above the contracted baseline.</w:t>
      </w:r>
    </w:p>
    <w:p>
      <w:pPr>
        <w:pStyle w:val="Heading2"/>
        <w:spacing w:before="280" w:after="160"/>
      </w:pPr>
      <w:r>
        <w:rPr>
          <w:rFonts w:ascii="Arial" w:cs="Arial" w:eastAsia="Arial" w:hAnsi="Arial"/>
          <w:b/>
          <w:bCs/>
          <w:color w:val="2B5797"/>
          <w:sz w:val="26"/>
          <w:szCs w:val="26"/>
        </w:rPr>
        <w:t xml:space="preserve">7.5 Milestone-Based Payment &amp; Delivery Guarantees</w:t>
      </w:r>
    </w:p>
    <w:p>
      <w:pPr>
        <w:spacing w:after="160"/>
      </w:pPr>
      <w:r>
        <w:rPr>
          <w:rFonts w:ascii="Arial" w:cs="Arial" w:eastAsia="Arial" w:hAnsi="Arial"/>
          <w:color w:val="333333"/>
          <w:sz w:val="21"/>
          <w:szCs w:val="21"/>
        </w:rPr>
        <w:t xml:space="preserve">Meridian operates a principle of payment for proven delivery. The commercial model must reflect this:</w:t>
      </w:r>
    </w:p>
    <w:p>
      <w:pPr>
        <w:spacing w:before="200" w:after="120"/>
      </w:pPr>
      <w:r>
        <w:rPr>
          <w:rFonts w:ascii="Arial" w:cs="Arial" w:eastAsia="Arial" w:hAnsi="Arial"/>
          <w:b/>
          <w:bCs/>
          <w:color w:val="4A5568"/>
          <w:sz w:val="22"/>
          <w:szCs w:val="22"/>
        </w:rPr>
        <w:t xml:space="preserve">7.5.1 Transition Phase: Payment on Milestone Achievement</w:t>
      </w:r>
    </w:p>
    <w:p>
      <w:pPr>
        <w:spacing w:after="160"/>
      </w:pPr>
      <w:r>
        <w:rPr>
          <w:rFonts w:ascii="Arial" w:cs="Arial" w:eastAsia="Arial" w:hAnsi="Arial"/>
          <w:color w:val="333333"/>
          <w:sz w:val="21"/>
          <w:szCs w:val="21"/>
        </w:rPr>
        <w:t xml:space="preserve">Transition phase costs will not be paid on a time-and-materials or monthly retainer basis. Instead, Meridian will release transition payments against the achievement of defined, independently verified milestones: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800"/>
        <w:gridCol w:w="1800"/>
        <w:gridCol w:w="1626"/>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Ref</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Milestone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 Date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Payment Release</w:t>
            </w:r>
          </w:p>
        </w:tc>
        <w:tc>
          <w:tcPr>
            <w:tcW w:type="dxa" w:w="1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Verification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TM-01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TUPE transfer complete, all staff onboarded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Month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15% of transition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HR confirmation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TM-02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Unified monitoring platform operational across all 5 sites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Month 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20% of transition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Technical audit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TM-03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Service desk operational with AI triage 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Month 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15% of transition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Live demonstration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TM-04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Knowledge transfer complete, dual-running ended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Month 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20% of transition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Meridian sign-off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TM-05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All service towers at contracted SLA levels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Month 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20% of transition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3-month SLA 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TM-06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Transition closure report accepted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Month 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10% of transition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Board acceptance</w:t>
            </w:r>
          </w:p>
        </w:tc>
      </w:tr>
    </w:tbl>
    <w:p>
      <w:pPr>
        <w:spacing w:after="120"/>
      </w:pPr>
    </w:p>
    <w:p>
      <w:pPr>
        <w:spacing w:after="160"/>
      </w:pPr>
      <w:r>
        <w:rPr>
          <w:rFonts w:ascii="Arial" w:cs="Arial" w:eastAsia="Arial" w:hAnsi="Arial"/>
          <w:b/>
          <w:bCs/>
          <w:color w:val="333333"/>
          <w:sz w:val="21"/>
          <w:szCs w:val="21"/>
        </w:rPr>
        <w:t xml:space="preserve">No transition payment will be released until the corresponding milestone is independently verified. </w:t>
      </w:r>
      <w:r>
        <w:rPr>
          <w:rFonts w:ascii="Arial" w:cs="Arial" w:eastAsia="Arial" w:hAnsi="Arial"/>
          <w:color w:val="333333"/>
          <w:sz w:val="21"/>
          <w:szCs w:val="21"/>
        </w:rPr>
        <w:t xml:space="preserve">Respondents must confirm their willingness to carry transition costs on their own balance sheet until milestone achievement. This is non-negotiable and will be a compliance gate item.</w:t>
      </w:r>
    </w:p>
    <w:p>
      <w:pPr>
        <w:spacing w:before="200" w:after="120"/>
      </w:pPr>
      <w:r>
        <w:rPr>
          <w:rFonts w:ascii="Arial" w:cs="Arial" w:eastAsia="Arial" w:hAnsi="Arial"/>
          <w:b/>
          <w:bCs/>
          <w:color w:val="4A5568"/>
          <w:sz w:val="22"/>
          <w:szCs w:val="22"/>
        </w:rPr>
        <w:t xml:space="preserve">7.5.2 Transformation Phase: Deferred Payment Model</w:t>
      </w:r>
    </w:p>
    <w:p>
      <w:pPr>
        <w:spacing w:after="160"/>
      </w:pPr>
      <w:r>
        <w:rPr>
          <w:rFonts w:ascii="Arial" w:cs="Arial" w:eastAsia="Arial" w:hAnsi="Arial"/>
          <w:color w:val="333333"/>
          <w:sz w:val="21"/>
          <w:szCs w:val="21"/>
        </w:rPr>
        <w:t xml:space="preserve">For transformation activities (cloud migration, ISO 22301, platform modernisation), Meridian proposes a deferred payment model:</w:t>
      </w:r>
    </w:p>
    <w:p>
      <w:pPr>
        <w:pStyle w:val="ListParagraph"/>
        <w:numPr>
          <w:ilvl w:val="0"/>
          <w:numId w:val="2"/>
        </w:numPr>
        <w:spacing w:after="80"/>
      </w:pPr>
      <w:r>
        <w:rPr>
          <w:rFonts w:ascii="Arial" w:cs="Arial" w:eastAsia="Arial" w:hAnsi="Arial"/>
          <w:color w:val="333333"/>
          <w:sz w:val="21"/>
          <w:szCs w:val="21"/>
        </w:rPr>
        <w:t xml:space="preserve">50% of each transformation workstream cost is payable on delivery of the agreed milestone</w:t>
      </w:r>
    </w:p>
    <w:p>
      <w:pPr>
        <w:pStyle w:val="ListParagraph"/>
        <w:numPr>
          <w:ilvl w:val="0"/>
          <w:numId w:val="2"/>
        </w:numPr>
        <w:spacing w:after="80"/>
      </w:pPr>
      <w:r>
        <w:rPr>
          <w:rFonts w:ascii="Arial" w:cs="Arial" w:eastAsia="Arial" w:hAnsi="Arial"/>
          <w:color w:val="333333"/>
          <w:sz w:val="21"/>
          <w:szCs w:val="21"/>
        </w:rPr>
        <w:t xml:space="preserve">50% is deferred for 90 days post-delivery, payable only if the delivered outcome meets agreed quality criteria during a 90-day stabilisation period</w:t>
      </w:r>
    </w:p>
    <w:p>
      <w:pPr>
        <w:pStyle w:val="ListParagraph"/>
        <w:numPr>
          <w:ilvl w:val="0"/>
          <w:numId w:val="2"/>
        </w:numPr>
        <w:spacing w:after="80"/>
      </w:pPr>
      <w:r>
        <w:rPr>
          <w:rFonts w:ascii="Arial" w:cs="Arial" w:eastAsia="Arial" w:hAnsi="Arial"/>
          <w:color w:val="333333"/>
          <w:sz w:val="21"/>
          <w:szCs w:val="21"/>
        </w:rPr>
        <w:t xml:space="preserve">If quality criteria are not met within the stabilisation period, the deferred payment is reduced pro-rata to reflect remediation effort required</w:t>
      </w:r>
    </w:p>
    <w:p>
      <w:pPr>
        <w:spacing w:after="80"/>
      </w:pPr>
    </w:p>
    <w:p>
      <w:pPr>
        <w:spacing w:after="160"/>
      </w:pPr>
      <w:r>
        <w:rPr>
          <w:rFonts w:ascii="Arial" w:cs="Arial" w:eastAsia="Arial" w:hAnsi="Arial"/>
          <w:color w:val="333333"/>
          <w:sz w:val="21"/>
          <w:szCs w:val="21"/>
        </w:rPr>
        <w:t xml:space="preserve">Respondents should factor the cost of carrying deferred payments into their pricing model. Meridian recognises this model requires the partner to invest ahead of payment and will evaluate the credibility of the respondent’s financial capacity to sustain this approach (CC-05).</w:t>
      </w:r>
    </w:p>
    <w:p>
      <w:pPr>
        <w:pStyle w:val="Heading2"/>
        <w:spacing w:before="280" w:after="160"/>
      </w:pPr>
      <w:r>
        <w:rPr>
          <w:rFonts w:ascii="Arial" w:cs="Arial" w:eastAsia="Arial" w:hAnsi="Arial"/>
          <w:b/>
          <w:bCs/>
          <w:color w:val="2B5797"/>
          <w:sz w:val="26"/>
          <w:szCs w:val="26"/>
        </w:rPr>
        <w:t xml:space="preserve">7.6 Innovation Fund</w:t>
      </w:r>
    </w:p>
    <w:p>
      <w:pPr>
        <w:spacing w:after="160"/>
      </w:pPr>
      <w:r>
        <w:rPr>
          <w:rFonts w:ascii="Arial" w:cs="Arial" w:eastAsia="Arial" w:hAnsi="Arial"/>
          <w:color w:val="333333"/>
          <w:sz w:val="21"/>
          <w:szCs w:val="21"/>
        </w:rPr>
        <w:t xml:space="preserve">Meridian requires the partner to commit a ring-fenced Innovation Fund, governed jointly, to drive continuous improvement and emerging technology adoption throughout the contract term.</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Provision</w:t>
            </w:r>
          </w:p>
        </w:tc>
        <w:tc>
          <w:tcPr>
            <w:tcW w:type="dxa" w:w="6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Fund Size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Minimum 2% of annual managed service charge, ring-fenced and separately reported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Governance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Joint Innovation Board (Meridian CIO + Partner Account Director + 2 nominees each) meeting quarterly to approve investment priorities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Use-It-or-Lose-It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Any unspent fund at year-end is credited back to Meridian. The fund does not roll over. This incentivises the partner to actively invest rather than bank the margin.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Eligible Activities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Proof-of-concept deployments, automation expansion, emerging technology pilots, resilience testing innovation, employee experience improvements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Excluded Activities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Business-as-usual service improvements (these are covered by the CSI obligation), partner internal R&amp;D, generic product development not specific to Meridian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IP Ownership</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Any intellectual property created using the Innovation Fund and specific to Meridian’s environment is jointly owned. Generic IP remains with the partner.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Reporting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Quarterly Innovation Report to Meridian Board: fund utilisation, outcomes delivered, pipeline of proposed investments</w:t>
            </w:r>
          </w:p>
        </w:tc>
      </w:tr>
    </w:tbl>
    <w:p>
      <w:pPr>
        <w:pStyle w:val="Heading2"/>
        <w:spacing w:before="280" w:after="160"/>
      </w:pPr>
      <w:r>
        <w:rPr>
          <w:rFonts w:ascii="Arial" w:cs="Arial" w:eastAsia="Arial" w:hAnsi="Arial"/>
          <w:b/>
          <w:bCs/>
          <w:color w:val="2B5797"/>
          <w:sz w:val="26"/>
          <w:szCs w:val="26"/>
        </w:rPr>
        <w:t xml:space="preserve">7.7 Accelerators &amp; Quality-Linked Incentives</w:t>
      </w:r>
    </w:p>
    <w:p>
      <w:pPr>
        <w:spacing w:after="160"/>
      </w:pPr>
      <w:r>
        <w:rPr>
          <w:rFonts w:ascii="Arial" w:cs="Arial" w:eastAsia="Arial" w:hAnsi="Arial"/>
          <w:color w:val="333333"/>
          <w:sz w:val="21"/>
          <w:szCs w:val="21"/>
        </w:rPr>
        <w:t xml:space="preserve">Meridian believes that the strongest partnerships are those where both parties benefit from exceptional performance. To that end, the commercial model includes accelerator payments for early or above-target delivery — but only where quality is simultaneously proven.</w:t>
      </w:r>
    </w:p>
    <w:p>
      <w:pPr>
        <w:spacing w:before="200" w:after="120"/>
      </w:pPr>
      <w:r>
        <w:rPr>
          <w:rFonts w:ascii="Arial" w:cs="Arial" w:eastAsia="Arial" w:hAnsi="Arial"/>
          <w:b/>
          <w:bCs/>
          <w:color w:val="4A5568"/>
          <w:sz w:val="22"/>
          <w:szCs w:val="22"/>
        </w:rPr>
        <w:t xml:space="preserve">7.7.1 Transformation Accelerators</w:t>
      </w:r>
    </w:p>
    <w:p>
      <w:pPr>
        <w:spacing w:after="160"/>
      </w:pPr>
      <w:r>
        <w:rPr>
          <w:rFonts w:ascii="Arial" w:cs="Arial" w:eastAsia="Arial" w:hAnsi="Arial"/>
          <w:color w:val="333333"/>
          <w:sz w:val="21"/>
          <w:szCs w:val="21"/>
        </w:rPr>
        <w:t xml:space="preserve">Respondents may earn accelerator bonuses for delivering transformation milestones ahead of the contracted timeline: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Milestone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Contracted Date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Accelerator Trigger</w:t>
            </w:r>
          </w:p>
        </w:tc>
        <w:tc>
          <w:tcPr>
            <w:tcW w:type="dxa" w:w="19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Bonus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ISO 22301 certification achieved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Q3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 months early</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 of Year 1 charge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70% cloud workload migration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Month 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≥6 months early</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 of Year 1 charge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Self-healing automation &gt;70% event resolution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Month 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 months early</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1.5% of Year 1 charge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Service desk AI triage &gt;40% automation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Month 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 months early</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 of Year 1 charge</w:t>
            </w:r>
          </w:p>
        </w:tc>
      </w:tr>
    </w:tbl>
    <w:p>
      <w:pPr>
        <w:spacing w:after="120"/>
      </w:pPr>
    </w:p>
    <w:p>
      <w:pPr>
        <w:spacing w:before="200" w:after="120"/>
      </w:pPr>
      <w:r>
        <w:rPr>
          <w:rFonts w:ascii="Arial" w:cs="Arial" w:eastAsia="Arial" w:hAnsi="Arial"/>
          <w:b/>
          <w:bCs/>
          <w:color w:val="4A5568"/>
          <w:sz w:val="22"/>
          <w:szCs w:val="22"/>
        </w:rPr>
        <w:t xml:space="preserve">7.7.2 Quality Gate on Accelerators</w:t>
      </w:r>
    </w:p>
    <w:p>
      <w:pPr>
        <w:spacing w:after="160"/>
      </w:pPr>
      <w:r>
        <w:rPr>
          <w:rFonts w:ascii="Arial" w:cs="Arial" w:eastAsia="Arial" w:hAnsi="Arial"/>
          <w:b/>
          <w:bCs/>
          <w:color w:val="333333"/>
          <w:sz w:val="21"/>
          <w:szCs w:val="21"/>
        </w:rPr>
        <w:t xml:space="preserve">Critical: </w:t>
      </w:r>
      <w:r>
        <w:rPr>
          <w:rFonts w:ascii="Arial" w:cs="Arial" w:eastAsia="Arial" w:hAnsi="Arial"/>
          <w:color w:val="333333"/>
          <w:sz w:val="21"/>
          <w:szCs w:val="21"/>
        </w:rPr>
        <w:t xml:space="preserve">No accelerator payment will be released unless the delivered outcome simultaneously meets the associated quality threshold. Speed without quality earns nothing. Specifically:</w:t>
      </w:r>
    </w:p>
    <w:p>
      <w:pPr>
        <w:pStyle w:val="ListParagraph"/>
        <w:numPr>
          <w:ilvl w:val="0"/>
          <w:numId w:val="2"/>
        </w:numPr>
        <w:spacing w:after="80"/>
      </w:pPr>
      <w:r>
        <w:rPr>
          <w:rFonts w:ascii="Arial" w:cs="Arial" w:eastAsia="Arial" w:hAnsi="Arial"/>
          <w:color w:val="333333"/>
          <w:sz w:val="21"/>
          <w:szCs w:val="21"/>
        </w:rPr>
        <w:t xml:space="preserve">ISO 22301: certification must be achieved without major non-conformities at first audit</w:t>
      </w:r>
    </w:p>
    <w:p>
      <w:pPr>
        <w:pStyle w:val="ListParagraph"/>
        <w:numPr>
          <w:ilvl w:val="0"/>
          <w:numId w:val="2"/>
        </w:numPr>
        <w:spacing w:after="80"/>
      </w:pPr>
      <w:r>
        <w:rPr>
          <w:rFonts w:ascii="Arial" w:cs="Arial" w:eastAsia="Arial" w:hAnsi="Arial"/>
          <w:color w:val="333333"/>
          <w:sz w:val="21"/>
          <w:szCs w:val="21"/>
        </w:rPr>
        <w:t xml:space="preserve">Cloud migration: migrated workloads must operate at or above contracted SLA levels for 30 consecutive days post-migration</w:t>
      </w:r>
    </w:p>
    <w:p>
      <w:pPr>
        <w:pStyle w:val="ListParagraph"/>
        <w:numPr>
          <w:ilvl w:val="0"/>
          <w:numId w:val="2"/>
        </w:numPr>
        <w:spacing w:after="80"/>
      </w:pPr>
      <w:r>
        <w:rPr>
          <w:rFonts w:ascii="Arial" w:cs="Arial" w:eastAsia="Arial" w:hAnsi="Arial"/>
          <w:color w:val="333333"/>
          <w:sz w:val="21"/>
          <w:szCs w:val="21"/>
        </w:rPr>
        <w:t xml:space="preserve">Self-healing automation: false positive rate must be below 5% over a 30-day measurement window</w:t>
      </w:r>
    </w:p>
    <w:p>
      <w:pPr>
        <w:pStyle w:val="ListParagraph"/>
        <w:numPr>
          <w:ilvl w:val="0"/>
          <w:numId w:val="2"/>
        </w:numPr>
        <w:spacing w:after="80"/>
      </w:pPr>
      <w:r>
        <w:rPr>
          <w:rFonts w:ascii="Arial" w:cs="Arial" w:eastAsia="Arial" w:hAnsi="Arial"/>
          <w:color w:val="333333"/>
          <w:sz w:val="21"/>
          <w:szCs w:val="21"/>
        </w:rPr>
        <w:t xml:space="preserve">Service desk AI triage: user satisfaction for AI-resolved contacts must be within 10% of human-resolved satisfaction scores</w:t>
      </w:r>
    </w:p>
    <w:p>
      <w:pPr>
        <w:spacing w:after="80"/>
      </w:pPr>
    </w:p>
    <w:p>
      <w:pPr>
        <w:spacing w:after="160"/>
      </w:pPr>
      <w:r>
        <w:rPr>
          <w:rFonts w:ascii="Arial" w:cs="Arial" w:eastAsia="Arial" w:hAnsi="Arial"/>
          <w:color w:val="333333"/>
          <w:sz w:val="21"/>
          <w:szCs w:val="21"/>
        </w:rPr>
        <w:t xml:space="preserve">Accelerator payments are funded from the cost savings that early delivery generates for Meridian. They are not additional cost — they are a sharing of value created. This aligns the partner’s financial incentive with Meridian’s strategic objective of faster, higher-quality transformation.</w:t>
      </w:r>
    </w:p>
    <w:p>
      <w:pPr>
        <w:pStyle w:val="Heading2"/>
        <w:spacing w:before="280" w:after="160"/>
      </w:pPr>
      <w:r>
        <w:rPr>
          <w:rFonts w:ascii="Arial" w:cs="Arial" w:eastAsia="Arial" w:hAnsi="Arial"/>
          <w:b/>
          <w:bCs/>
          <w:color w:val="2B5797"/>
          <w:sz w:val="26"/>
          <w:szCs w:val="26"/>
        </w:rPr>
        <w:t xml:space="preserve">7.8 Service Credits &amp; Remedies</w:t>
      </w:r>
    </w:p>
    <w:p>
      <w:pPr>
        <w:spacing w:after="160"/>
      </w:pPr>
      <w:r>
        <w:rPr>
          <w:rFonts w:ascii="Arial" w:cs="Arial" w:eastAsia="Arial" w:hAnsi="Arial"/>
          <w:color w:val="333333"/>
          <w:sz w:val="21"/>
          <w:szCs w:val="21"/>
        </w:rPr>
        <w:t xml:space="preserve">Respondents should propose a service credit regime that includes:</w:t>
      </w:r>
    </w:p>
    <w:p>
      <w:pPr>
        <w:pStyle w:val="ListParagraph"/>
        <w:numPr>
          <w:ilvl w:val="0"/>
          <w:numId w:val="2"/>
        </w:numPr>
        <w:spacing w:after="80"/>
      </w:pPr>
      <w:r>
        <w:rPr>
          <w:rFonts w:ascii="Arial" w:cs="Arial" w:eastAsia="Arial" w:hAnsi="Arial"/>
          <w:color w:val="333333"/>
          <w:sz w:val="21"/>
          <w:szCs w:val="21"/>
        </w:rPr>
        <w:t xml:space="preserve">At-risk amount: minimum 15% of monthly managed service charge</w:t>
      </w:r>
    </w:p>
    <w:p>
      <w:pPr>
        <w:pStyle w:val="ListParagraph"/>
        <w:numPr>
          <w:ilvl w:val="0"/>
          <w:numId w:val="2"/>
        </w:numPr>
        <w:spacing w:after="80"/>
      </w:pPr>
      <w:r>
        <w:rPr>
          <w:rFonts w:ascii="Arial" w:cs="Arial" w:eastAsia="Arial" w:hAnsi="Arial"/>
          <w:color w:val="333333"/>
          <w:sz w:val="21"/>
          <w:szCs w:val="21"/>
        </w:rPr>
        <w:t xml:space="preserve">Service credits linked to KPIs defined in the SLA framework (Appendix A, Section T5)</w:t>
      </w:r>
    </w:p>
    <w:p>
      <w:pPr>
        <w:pStyle w:val="ListParagraph"/>
        <w:numPr>
          <w:ilvl w:val="0"/>
          <w:numId w:val="2"/>
        </w:numPr>
        <w:spacing w:after="80"/>
      </w:pPr>
      <w:r>
        <w:rPr>
          <w:rFonts w:ascii="Arial" w:cs="Arial" w:eastAsia="Arial" w:hAnsi="Arial"/>
          <w:color w:val="333333"/>
          <w:sz w:val="21"/>
          <w:szCs w:val="21"/>
        </w:rPr>
        <w:t xml:space="preserve">Escalating remedies for sustained underperformance: improvement plans (30 days), enhanced reporting and governance (60 days), step-in rights (90 days), termination for cause (persistent breach)</w:t>
      </w:r>
    </w:p>
    <w:p>
      <w:pPr>
        <w:pStyle w:val="ListParagraph"/>
        <w:numPr>
          <w:ilvl w:val="0"/>
          <w:numId w:val="2"/>
        </w:numPr>
        <w:spacing w:after="80"/>
      </w:pPr>
      <w:r>
        <w:rPr>
          <w:rFonts w:ascii="Arial" w:cs="Arial" w:eastAsia="Arial" w:hAnsi="Arial"/>
          <w:color w:val="333333"/>
          <w:sz w:val="21"/>
          <w:szCs w:val="21"/>
        </w:rPr>
        <w:t xml:space="preserve">Earn-back mechanism: where the partner consistently exceeds SLA targets over a rolling 6-month period, up to 50% of previously applied service credits may be earned back</w:t>
      </w:r>
    </w:p>
    <w:p>
      <w:pPr>
        <w:spacing w:after="80"/>
      </w:pPr>
    </w:p>
    <w:p>
      <w:pPr>
        <w:spacing w:after="160"/>
      </w:pPr>
      <w:r>
        <w:rPr>
          <w:rFonts w:ascii="Arial" w:cs="Arial" w:eastAsia="Arial" w:hAnsi="Arial"/>
          <w:b/>
          <w:bCs/>
          <w:color w:val="333333"/>
          <w:sz w:val="21"/>
          <w:szCs w:val="21"/>
        </w:rPr>
        <w:t xml:space="preserve">Regulatory note: </w:t>
      </w:r>
      <w:r>
        <w:rPr>
          <w:rFonts w:ascii="Arial" w:cs="Arial" w:eastAsia="Arial" w:hAnsi="Arial"/>
          <w:color w:val="333333"/>
          <w:sz w:val="21"/>
          <w:szCs w:val="21"/>
        </w:rPr>
        <w:t xml:space="preserve">Service failures that breach PRA impact tolerances or trigger Consumer Duty reporting obligations are not subject to the service credit regime. These are potential regulatory breaches with consequences beyond commercial remedies. Respondents must acknowledge this distinction in their commercial proposal.</w:t>
      </w:r>
    </w:p>
    <w:p>
      <w:pPr>
        <w:pStyle w:val="Heading2"/>
        <w:spacing w:before="280" w:after="160"/>
      </w:pPr>
      <w:r>
        <w:rPr>
          <w:rFonts w:ascii="Arial" w:cs="Arial" w:eastAsia="Arial" w:hAnsi="Arial"/>
          <w:b/>
          <w:bCs/>
          <w:color w:val="2B5797"/>
          <w:sz w:val="26"/>
          <w:szCs w:val="26"/>
        </w:rPr>
        <w:t xml:space="preserve">7.9 Benchmarking</w:t>
      </w:r>
    </w:p>
    <w:p>
      <w:pPr>
        <w:spacing w:after="160"/>
      </w:pPr>
      <w:r>
        <w:rPr>
          <w:rFonts w:ascii="Arial" w:cs="Arial" w:eastAsia="Arial" w:hAnsi="Arial"/>
          <w:color w:val="333333"/>
          <w:sz w:val="21"/>
          <w:szCs w:val="21"/>
        </w:rPr>
        <w:t xml:space="preserve">The contract will include benchmarking provisions at Year 3 and Year 5, conducted by an independent third party agreed by both parties. If benchmarking reveals pricing more than 10% above the market median for comparable services (adjusted for scope, complexity, and regulated environment), the Respondent must adjust pricing to within 5% of the median within 90 days.</w:t>
      </w:r>
    </w:p>
    <w:p>
      <w:pPr>
        <w:spacing w:after="160"/>
      </w:pPr>
      <w:r>
        <w:rPr>
          <w:rFonts w:ascii="Arial" w:cs="Arial" w:eastAsia="Arial" w:hAnsi="Arial"/>
          <w:color w:val="333333"/>
          <w:sz w:val="21"/>
          <w:szCs w:val="21"/>
        </w:rPr>
        <w:t xml:space="preserve">Meridian also reserves the right to conduct an informal mid-year cost review against publicly available market data and peer benchmarks. While this does not trigger contractual price adjustment, persistent above-market pricing will be considered in any contract extension decision at Year 5.</w:t>
      </w:r>
    </w:p>
    <w:p>
      <w:r>
        <w:br w:type="page"/>
      </w:r>
    </w:p>
    <w:p>
      <w:pPr>
        <w:pStyle w:val="Heading1"/>
        <w:spacing w:before="360" w:after="200"/>
      </w:pPr>
      <w:r>
        <w:rPr>
          <w:rFonts w:ascii="Arial" w:cs="Arial" w:eastAsia="Arial" w:hAnsi="Arial"/>
          <w:b/>
          <w:bCs/>
          <w:color w:val="1B2A4A"/>
          <w:sz w:val="32"/>
          <w:szCs w:val="32"/>
        </w:rPr>
        <w:t xml:space="preserve">Section 8: Procurement Timeline &amp; Process</w:t>
      </w:r>
    </w:p>
    <w:p>
      <w:pPr>
        <w:pStyle w:val="Heading2"/>
        <w:spacing w:before="280" w:after="160"/>
      </w:pPr>
      <w:r>
        <w:rPr>
          <w:rFonts w:ascii="Arial" w:cs="Arial" w:eastAsia="Arial" w:hAnsi="Arial"/>
          <w:b/>
          <w:bCs/>
          <w:color w:val="2B5797"/>
          <w:sz w:val="26"/>
          <w:szCs w:val="26"/>
        </w:rPr>
        <w:t xml:space="preserve">8.1 Timeline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gridCol w:w="1526"/>
      </w:tblGrid>
      <w:tr>
        <w:tc>
          <w:tcPr>
            <w:tcW w:type="dxa" w:w="4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Milestone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c>
          <w:tcPr>
            <w:tcW w:type="dxa" w:w="1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RFP issued to selected respondents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10 February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Meridian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Respondent briefing session (virtual)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19 February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Meridian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Clarification questions deadline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7 March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Respondent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Meridian responses to clarifications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14 March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Meridian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Response submission deadline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28 March 2026, 17:00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Respondent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Stage 1: Compliance Gate review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28 Mar – 4 Apr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Procurement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Stage 2: Technical evaluation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7 – 25 April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Tech Panel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Stage 3: Commercial evaluation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7 – 25 April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Finance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Clarification meetings (if required)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28 Apr – 2 May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Both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Shortlist notification (max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5 May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Meridian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Stage 4: Oral presentations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12 – 16 May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Both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Preferred partner notification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23 May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Meridian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Due diligence &amp; contract negotiation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Jun – Aug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Both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Target contract signature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1 September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Both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Service commencement (Day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1 October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Both</w:t>
            </w:r>
          </w:p>
        </w:tc>
      </w:tr>
    </w:tbl>
    <w:p>
      <w:pPr>
        <w:spacing w:after="120"/>
      </w:pPr>
    </w:p>
    <w:p>
      <w:pPr>
        <w:pStyle w:val="Heading2"/>
        <w:spacing w:before="280" w:after="160"/>
      </w:pPr>
      <w:r>
        <w:rPr>
          <w:rFonts w:ascii="Arial" w:cs="Arial" w:eastAsia="Arial" w:hAnsi="Arial"/>
          <w:b/>
          <w:bCs/>
          <w:color w:val="2B5797"/>
          <w:sz w:val="26"/>
          <w:szCs w:val="26"/>
        </w:rPr>
        <w:t xml:space="preserve">8.2 Contact &amp; Clarifications</w:t>
      </w:r>
    </w:p>
    <w:p>
      <w:pPr>
        <w:spacing w:after="160"/>
      </w:pPr>
      <w:r>
        <w:rPr>
          <w:rFonts w:ascii="Arial" w:cs="Arial" w:eastAsia="Arial" w:hAnsi="Arial"/>
          <w:color w:val="333333"/>
          <w:sz w:val="21"/>
          <w:szCs w:val="21"/>
        </w:rPr>
        <w:t xml:space="preserve">All communications relating to this RFP must be directed to:</w:t>
      </w:r>
    </w:p>
    <w:p>
      <w:pPr>
        <w:spacing w:after="40"/>
      </w:pPr>
    </w:p>
    <w:p>
      <w:pPr>
        <w:spacing w:after="160"/>
      </w:pPr>
      <w:r>
        <w:rPr>
          <w:rFonts w:ascii="Arial" w:cs="Arial" w:eastAsia="Arial" w:hAnsi="Arial"/>
          <w:b/>
          <w:bCs/>
          <w:color w:val="333333"/>
          <w:sz w:val="21"/>
          <w:szCs w:val="21"/>
        </w:rPr>
        <w:t xml:space="preserve">Sarah Blackwell</w:t>
      </w:r>
    </w:p>
    <w:p>
      <w:pPr>
        <w:spacing w:after="160"/>
      </w:pPr>
      <w:r>
        <w:rPr>
          <w:rFonts w:ascii="Arial" w:cs="Arial" w:eastAsia="Arial" w:hAnsi="Arial"/>
          <w:color w:val="333333"/>
          <w:sz w:val="21"/>
          <w:szCs w:val="21"/>
        </w:rPr>
        <w:t xml:space="preserve">Group Procurement Director</w:t>
      </w:r>
    </w:p>
    <w:p>
      <w:pPr>
        <w:spacing w:after="160"/>
      </w:pPr>
      <w:r>
        <w:rPr>
          <w:rFonts w:ascii="Arial" w:cs="Arial" w:eastAsia="Arial" w:hAnsi="Arial"/>
          <w:color w:val="333333"/>
          <w:sz w:val="21"/>
          <w:szCs w:val="21"/>
        </w:rPr>
        <w:t xml:space="preserve">Meridian Financial Services Group</w:t>
      </w:r>
    </w:p>
    <w:p>
      <w:pPr>
        <w:spacing w:after="160"/>
      </w:pPr>
      <w:r>
        <w:rPr>
          <w:rFonts w:ascii="Arial" w:cs="Arial" w:eastAsia="Arial" w:hAnsi="Arial"/>
          <w:color w:val="333333"/>
          <w:sz w:val="21"/>
          <w:szCs w:val="21"/>
        </w:rPr>
        <w:t xml:space="preserve">procurement.rfp@meridian-fs.co.uk</w:t>
      </w:r>
    </w:p>
    <w:p>
      <w:pPr>
        <w:spacing w:after="80"/>
      </w:pPr>
    </w:p>
    <w:p>
      <w:pPr>
        <w:spacing w:after="160"/>
      </w:pPr>
      <w:r>
        <w:rPr>
          <w:rFonts w:ascii="Arial" w:cs="Arial" w:eastAsia="Arial" w:hAnsi="Arial"/>
          <w:color w:val="333333"/>
          <w:sz w:val="21"/>
          <w:szCs w:val="21"/>
        </w:rPr>
        <w:t xml:space="preserve">Respondents must not contact any other Meridian employee regarding this procurement. Any attempt to do so may result in disqualification.</w:t>
      </w:r>
    </w:p>
    <w:p>
      <w:pPr>
        <w:pStyle w:val="Heading2"/>
        <w:spacing w:before="280" w:after="160"/>
      </w:pPr>
      <w:r>
        <w:rPr>
          <w:rFonts w:ascii="Arial" w:cs="Arial" w:eastAsia="Arial" w:hAnsi="Arial"/>
          <w:b/>
          <w:bCs/>
          <w:color w:val="2B5797"/>
          <w:sz w:val="26"/>
          <w:szCs w:val="26"/>
        </w:rPr>
        <w:t xml:space="preserve">8.3 Confidentiality</w:t>
      </w:r>
    </w:p>
    <w:p>
      <w:pPr>
        <w:spacing w:after="160"/>
      </w:pPr>
      <w:r>
        <w:rPr>
          <w:rFonts w:ascii="Arial" w:cs="Arial" w:eastAsia="Arial" w:hAnsi="Arial"/>
          <w:color w:val="333333"/>
          <w:sz w:val="21"/>
          <w:szCs w:val="21"/>
        </w:rPr>
        <w:t xml:space="preserve">This RFP and all associated materials remain the property of Meridian Financial Services Group. Respondents must not disclose the existence or contents of this RFP to any third party without the prior written consent of Meridian, except to professional advisors engaged in preparing the response.</w:t>
      </w:r>
    </w:p>
    <w:p>
      <w:pPr>
        <w:pStyle w:val="Heading2"/>
        <w:spacing w:before="280" w:after="160"/>
      </w:pPr>
      <w:r>
        <w:rPr>
          <w:rFonts w:ascii="Arial" w:cs="Arial" w:eastAsia="Arial" w:hAnsi="Arial"/>
          <w:b/>
          <w:bCs/>
          <w:color w:val="2B5797"/>
          <w:sz w:val="26"/>
          <w:szCs w:val="26"/>
        </w:rPr>
        <w:t xml:space="preserve">8.4 Disclaimers</w:t>
      </w:r>
    </w:p>
    <w:p>
      <w:pPr>
        <w:pStyle w:val="ListParagraph"/>
        <w:numPr>
          <w:ilvl w:val="0"/>
          <w:numId w:val="2"/>
        </w:numPr>
        <w:spacing w:after="80"/>
      </w:pPr>
      <w:r>
        <w:rPr>
          <w:rFonts w:ascii="Arial" w:cs="Arial" w:eastAsia="Arial" w:hAnsi="Arial"/>
          <w:color w:val="333333"/>
          <w:sz w:val="21"/>
          <w:szCs w:val="21"/>
        </w:rPr>
        <w:t xml:space="preserve">This RFP does not constitute an offer or commitment to award a contract</w:t>
      </w:r>
    </w:p>
    <w:p>
      <w:pPr>
        <w:pStyle w:val="ListParagraph"/>
        <w:numPr>
          <w:ilvl w:val="0"/>
          <w:numId w:val="2"/>
        </w:numPr>
        <w:spacing w:after="80"/>
      </w:pPr>
      <w:r>
        <w:rPr>
          <w:rFonts w:ascii="Arial" w:cs="Arial" w:eastAsia="Arial" w:hAnsi="Arial"/>
          <w:color w:val="333333"/>
          <w:sz w:val="21"/>
          <w:szCs w:val="21"/>
        </w:rPr>
        <w:t xml:space="preserve">Meridian reserves the right to cancel this procurement at any time without liability</w:t>
      </w:r>
    </w:p>
    <w:p>
      <w:pPr>
        <w:pStyle w:val="ListParagraph"/>
        <w:numPr>
          <w:ilvl w:val="0"/>
          <w:numId w:val="2"/>
        </w:numPr>
        <w:spacing w:after="80"/>
      </w:pPr>
      <w:r>
        <w:rPr>
          <w:rFonts w:ascii="Arial" w:cs="Arial" w:eastAsia="Arial" w:hAnsi="Arial"/>
          <w:color w:val="333333"/>
          <w:sz w:val="21"/>
          <w:szCs w:val="21"/>
        </w:rPr>
        <w:t xml:space="preserve">Costs incurred by respondents in preparing their response are not recoverable</w:t>
      </w:r>
    </w:p>
    <w:p>
      <w:pPr>
        <w:pStyle w:val="ListParagraph"/>
        <w:numPr>
          <w:ilvl w:val="0"/>
          <w:numId w:val="2"/>
        </w:numPr>
        <w:spacing w:after="80"/>
      </w:pPr>
      <w:r>
        <w:rPr>
          <w:rFonts w:ascii="Arial" w:cs="Arial" w:eastAsia="Arial" w:hAnsi="Arial"/>
          <w:color w:val="333333"/>
          <w:sz w:val="21"/>
          <w:szCs w:val="21"/>
        </w:rPr>
        <w:t xml:space="preserve">Meridian reserves the right to vary the timeline set out in Section 8.1</w:t>
      </w:r>
    </w:p>
    <w:p>
      <w:pPr>
        <w:pStyle w:val="ListParagraph"/>
        <w:numPr>
          <w:ilvl w:val="0"/>
          <w:numId w:val="2"/>
        </w:numPr>
        <w:spacing w:after="80"/>
      </w:pPr>
      <w:r>
        <w:rPr>
          <w:rFonts w:ascii="Arial" w:cs="Arial" w:eastAsia="Arial" w:hAnsi="Arial"/>
          <w:color w:val="333333"/>
          <w:sz w:val="21"/>
          <w:szCs w:val="21"/>
        </w:rPr>
        <w:t xml:space="preserve">Information provided in this RFP is given in good faith but is not warranted as complete or accurate</w:t>
      </w:r>
    </w:p>
    <w:p>
      <w:pPr>
        <w:spacing w:after="200"/>
      </w:pPr>
    </w:p>
    <w:p>
      <w:pPr>
        <w:spacing w:before="200"/>
        <w:jc w:val="center"/>
      </w:pPr>
      <w:r>
        <w:rPr>
          <w:rFonts w:ascii="Arial" w:cs="Arial" w:eastAsia="Arial" w:hAnsi="Arial"/>
          <w:i/>
          <w:iCs/>
          <w:color w:val="4A5568"/>
          <w:sz w:val="22"/>
          <w:szCs w:val="22"/>
        </w:rPr>
        <w:t xml:space="preserve">— End of RFP Document —</w:t>
      </w:r>
    </w:p>
    <w:p>
      <w:pPr>
        <w:spacing w:after="200"/>
        <w:jc w:val="center"/>
      </w:pPr>
      <w:r>
        <w:rPr>
          <w:rFonts w:ascii="Arial" w:cs="Arial" w:eastAsia="Arial" w:hAnsi="Arial"/>
          <w:color w:val="4A5568"/>
          <w:sz w:val="20"/>
          <w:szCs w:val="20"/>
        </w:rPr>
        <w:t xml:space="preserve">Appendices A–F are provided as separate documents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Meridian Financial Services Group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568"/>
        <w:sz w:val="16"/>
        <w:szCs w:val="16"/>
      </w:rPr>
      <w:t xml:space="preserve">MFS-2026-ORT-001</w:t>
    </w:r>
    <w:r>
      <w:rPr>
        <w:rFonts w:ascii="Arial" w:cs="Arial" w:eastAsia="Arial" w:hAnsi="Arial"/>
        <w:b/>
        <w:bCs/>
        <w:color w:val="C0392B"/>
        <w:sz w:val="16"/>
        <w:szCs w:val="16"/>
      </w:rPr>
      <w:t xml:space="preserve">  |  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579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2026-02-10T13:54:19.905Z</dcterms:created>
  <dcterms:modified xsi:type="dcterms:W3CDTF">2026-02-10T13:54:19.906Z</dcterms:modified>
</cp:coreProperties>
</file>

<file path=docProps/custom.xml><?xml version="1.0" encoding="utf-8"?>
<Properties xmlns="http://schemas.openxmlformats.org/officeDocument/2006/custom-properties" xmlns:vt="http://schemas.openxmlformats.org/officeDocument/2006/docPropsVTypes"/>
</file>