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80" w:lineRule="auto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ICHEC Fionn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80" w:before="280" w:lineRule="auto"/>
        <w:jc w:val="center"/>
        <w:rPr>
          <w:color w:val="8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00"/>
          <w:sz w:val="24"/>
          <w:szCs w:val="24"/>
          <w:vertAlign w:val="baseline"/>
          <w:rtl w:val="0"/>
        </w:rPr>
        <w:t xml:space="preserve">Please note all fields should be completed</w:t>
      </w: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4634"/>
        <w:tblGridChange w:id="0">
          <w:tblGrid>
            <w:gridCol w:w="3888"/>
            <w:gridCol w:w="4634"/>
          </w:tblGrid>
        </w:tblGridChange>
      </w:tblGrid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Title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First Name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Atharva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Surname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Kulkarni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Discipline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School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Computer Science</w:t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College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Science and Engineering</w:t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Institute (if any)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Postal address (work)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Phone Number (work)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+353 0892406326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Email address (institutional i.e. @nuigalway.ie)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a.kulkarni2@nuigalway.ie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Preferred username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akulkarni2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 have read and accepted the acceptable usage policy (aup)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vertAlign w:val="baseline"/>
                  <w:rtl w:val="0"/>
                </w:rPr>
                <w:t xml:space="preserve">http://www.ichec.ie/about_us/aup</w:t>
              </w:r>
            </w:hyperlink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- Yes/No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Name of PI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James McDermott</w:t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Name of Funding Agency/Programme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Project Title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NUI Galway MScAI class projects</w:t>
            </w:r>
          </w:p>
        </w:tc>
      </w:tr>
      <w:tr>
        <w:tc>
          <w:tcPr>
            <w:shd w:fill="c0c0c0" w:val="clear"/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Description of Project</w:t>
            </w:r>
          </w:p>
        </w:tc>
        <w:tc>
          <w:tcPr>
            <w:tcMar>
              <w:top w:w="0.0" w:type="dxa"/>
              <w:bottom w:w="227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Accessing and Learning about High-Performance Computing with ICHEC</w:t>
            </w:r>
          </w:p>
        </w:tc>
      </w:tr>
    </w:tbl>
    <w:p w:rsidR="00000000" w:rsidDel="00000000" w:rsidP="00000000" w:rsidRDefault="00000000" w:rsidRPr="00000000" w14:paraId="00000024">
      <w:pPr>
        <w:spacing w:before="28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chec.ie/about_us/a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