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FAF1E1" w:val="clear"/>
            <w:tcMar>
              <w:top w:type="dxa" w:w="400"/>
              <w:left w:type="dxa" w:w="400"/>
              <w:bottom w:type="dxa" w:w="400"/>
              <w:right w:type="dxa" w:w="400"/>
            </w:tcMar>
          </w:tcPr>
          <w:p>
            <w:pPr>
              <w:spacing w:after="200"/>
            </w:pPr>
            <w:r>
              <w:rPr>
                <w:rFonts w:ascii="Arial" w:cs="Arial" w:eastAsia="Arial" w:hAnsi="Arial"/>
                <w:b/>
                <w:bCs/>
                <w:color w:val="1A1A1A"/>
                <w:sz w:val="32"/>
                <w:szCs w:val="32"/>
              </w:rPr>
              <w:t xml:space="preserve">genpact</w:t>
            </w:r>
          </w:p>
          <w:p>
            <w:pPr>
              <w:spacing w:after="300"/>
            </w:pPr>
            <w:r>
              <w:rPr>
                <w:rFonts w:ascii="Arial" w:cs="Arial" w:eastAsia="Arial" w:hAnsi="Arial"/>
                <w:b/>
                <w:bCs/>
                <w:color w:val="666666"/>
                <w:sz w:val="18"/>
                <w:szCs w:val="18"/>
              </w:rPr>
              <w:t xml:space="preserve">2025 PROXY STATEMENT</w:t>
            </w:r>
          </w:p>
          <w:p>
            <w:pPr>
              <w:spacing w:after="100"/>
            </w:pPr>
            <w:r>
              <w:rPr>
                <w:rFonts w:ascii="Arial" w:cs="Arial" w:eastAsia="Arial" w:hAnsi="Arial"/>
                <w:b/>
                <w:bCs/>
                <w:color w:val="1A1A1A"/>
                <w:sz w:val="40"/>
                <w:szCs w:val="40"/>
              </w:rPr>
              <w:t xml:space="preserve">Compensation Discussion and Analysis (CD&amp;A)</w:t>
            </w:r>
          </w:p>
          <w:p>
            <w:r>
              <w:rPr>
                <w:rFonts w:ascii="Arial" w:cs="Arial" w:eastAsia="Arial" w:hAnsi="Arial"/>
                <w:b/>
                <w:bCs/>
                <w:color w:val="2E6E9E"/>
                <w:sz w:val="28"/>
                <w:szCs w:val="28"/>
              </w:rPr>
              <w:t xml:space="preserve">Named Executive Officers — Excluding CEO</w:t>
            </w:r>
          </w:p>
        </w:tc>
      </w:tr>
    </w:tbl>
    <w:p>
      <w:pPr>
        <w:spacing w:after="300"/>
      </w:pPr>
    </w:p>
    <w:p>
      <w:pPr>
        <w:pBdr>
          <w:bottom w:val="single" w:color="DD6B7D" w:sz="4" w:space="4"/>
        </w:pBdr>
        <w:spacing w:after="40" w:before="200"/>
      </w:pPr>
      <w:r>
        <w:rPr>
          <w:rFonts w:ascii="Arial" w:cs="Arial" w:eastAsia="Arial" w:hAnsi="Arial"/>
          <w:b/>
          <w:bCs/>
          <w:color w:val="DD6B7D"/>
          <w:sz w:val="16"/>
          <w:szCs w:val="16"/>
        </w:rPr>
        <w:t xml:space="preserve">| EXECUTIVE OFFICER COMPENSATION</w:t>
      </w:r>
    </w:p>
    <w:p>
      <w:pPr>
        <w:pStyle w:val="Heading1"/>
        <w:spacing w:after="160" w:before="320"/>
      </w:pPr>
      <w:r>
        <w:rPr>
          <w:rFonts w:ascii="Arial" w:cs="Arial" w:eastAsia="Arial" w:hAnsi="Arial"/>
          <w:b/>
          <w:bCs/>
          <w:color w:val="2E6E9E"/>
          <w:sz w:val="40"/>
          <w:szCs w:val="40"/>
        </w:rPr>
        <w:t xml:space="preserve">Executive Officer Compensation</w:t>
      </w:r>
    </w:p>
    <w:p>
      <w:pPr>
        <w:pStyle w:val="Heading2"/>
        <w:spacing w:after="130" w:before="260"/>
      </w:pPr>
      <w:r>
        <w:rPr>
          <w:rFonts w:ascii="Arial" w:cs="Arial" w:eastAsia="Arial" w:hAnsi="Arial"/>
          <w:b/>
          <w:bCs/>
          <w:color w:val="2E6E9E"/>
          <w:sz w:val="30"/>
          <w:szCs w:val="30"/>
        </w:rPr>
        <w:t xml:space="preserve">Compensation Discussion and Analysis — Named Executive Officers (Excluding CEO)</w:t>
      </w:r>
    </w:p>
    <w:p>
      <w:pPr>
        <w:spacing w:after="160"/>
      </w:pPr>
      <w:r>
        <w:rPr>
          <w:b w:val="false"/>
          <w:bCs w:val="false"/>
          <w:i w:val="false"/>
          <w:iCs w:val="false"/>
          <w:color w:val="1A1A1A"/>
        </w:rPr>
        <w:t xml:space="preserve">The compensation committee of the board of directors oversees our executive officer compensation program. In this role, the compensation committee reviews and approves all compensation decisions relating to our named executive officers. This Compensation discussion and analysis section discusses the compensation policies and programs for our Chief Financial Officer (referred to as our CFO) and our other most highly paid executive officers as determined under the rules of the SEC, excluding our Chief Executive Officer. Such individuals are referred to in this document as our named executive officers (“NEOs”).</w:t>
      </w:r>
    </w:p>
    <w:p>
      <w:pPr>
        <w:spacing w:after="160"/>
      </w:pPr>
      <w:r>
        <w:rPr>
          <w:b w:val="false"/>
          <w:bCs w:val="false"/>
          <w:i w:val="false"/>
          <w:iCs w:val="false"/>
          <w:color w:val="1A1A1A"/>
        </w:rPr>
        <w:t xml:space="preserve">Our named executive officers covered in this document for 2024 are:</w:t>
      </w:r>
    </w:p>
    <w:tbl>
      <w:tblPr>
        <w:tblW w:type="pct" w:w="100%"/>
        <w:tblBorders>
          <w:top w:val="single" w:color="CCCCCC" w:sz="4"/>
          <w:left w:val="none" w:color="FFFFFF" w:sz="0"/>
          <w:bottom w:val="single" w:color="CCCCCC" w:sz="4"/>
          <w:right w:val="none" w:color="FFFFFF" w:sz="0"/>
          <w:insideH w:val="single" w:color="E3E3E3" w:sz="2"/>
          <w:insideV w:val="none" w:color="FFFFFF" w:sz="0"/>
        </w:tblBorders>
      </w:tblPr>
      <w:tblGrid>
        <w:gridCol w:w="100"/>
        <w:gridCol w:w="100"/>
      </w:tblGrid>
      <w:tr>
        <w:trPr>
          <w:tblHeader/>
        </w:trPr>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Name</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Title</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Michael Weiner</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Senior Vice President, Chief Financial Officer</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Piyush Mehta</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Senior Vice President, Chief Human Resources Officer and Country Manager, India</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Anil Nanduru</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Senior Vice President and Global Business Leader, Consumer &amp; Healthcare and High Tech &amp; Manufacturing</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Riju Vashisht</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Senior Vice President, Chief Growth Officer and Global Business Leader, Enterprise Services and Partnerships and Alliances</w:t>
            </w:r>
          </w:p>
        </w:tc>
      </w:tr>
    </w:tbl>
    <w:p>
      <w:pPr>
        <w:spacing w:after="100"/>
      </w:pPr>
      <w:r>
        <w:rPr>
          <w:color w:val="666666"/>
          <w:sz w:val="18"/>
          <w:szCs w:val="18"/>
        </w:rPr>
        <w:t xml:space="preserve">Note: This document excludes compensation information specific to Genpact’s Chief Executive Officer (Balkrishan “BK” Kalra) and former Chief Executive Officer (N.V. “Tiger” Tyagarajan).</w:t>
      </w:r>
    </w:p>
    <w:p>
      <w:pPr>
        <w:pStyle w:val="Heading3"/>
        <w:spacing w:after="110" w:before="220"/>
      </w:pPr>
      <w:r>
        <w:rPr>
          <w:rFonts w:ascii="Arial" w:cs="Arial" w:eastAsia="Arial" w:hAnsi="Arial"/>
          <w:b/>
          <w:bCs/>
          <w:color w:val="1A1A1A"/>
          <w:sz w:val="24"/>
          <w:szCs w:val="24"/>
        </w:rPr>
        <w:t xml:space="preserve">2024 Key Financial Highlights</w:t>
      </w:r>
    </w:p>
    <w:p>
      <w:pPr>
        <w:spacing w:after="160"/>
      </w:pPr>
      <w:r>
        <w:rPr>
          <w:b w:val="false"/>
          <w:bCs w:val="false"/>
          <w:i w:val="false"/>
          <w:iCs w:val="false"/>
          <w:color w:val="1A1A1A"/>
        </w:rPr>
        <w:t xml:space="preserve">In 2024, we sharpened our focus on execution, deepened client relationships and accelerated growth in high-impact areas. Our strong financial results for the year reflect our disciplined focus in these areas.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Borders>
              <w:top w:val="none" w:color="FFFFFF" w:sz="0"/>
              <w:left w:val="none" w:color="FFFFFF" w:sz="0"/>
              <w:bottom w:val="none" w:color="FFFFFF" w:sz="0"/>
              <w:right w:val="none" w:color="FFFFFF" w:sz="0"/>
            </w:tcBorders>
            <w:shd w:fill="FAF1E1" w:val="clear"/>
            <w:tcMar>
              <w:top w:type="dxa" w:w="160"/>
              <w:left w:type="dxa" w:w="160"/>
              <w:bottom w:type="dxa" w:w="160"/>
              <w:right w:type="dxa" w:w="160"/>
            </w:tcMar>
          </w:tcPr>
          <w:p>
            <w:pPr>
              <w:spacing w:after="60"/>
            </w:pPr>
            <w:r>
              <w:rPr>
                <w:rFonts w:ascii="Arial" w:cs="Arial" w:eastAsia="Arial" w:hAnsi="Arial"/>
                <w:b/>
                <w:bCs/>
                <w:color w:val="F2A93C"/>
                <w:sz w:val="30"/>
                <w:szCs w:val="30"/>
              </w:rPr>
              <w:t xml:space="preserve">$4.77 BILLION</w:t>
            </w:r>
          </w:p>
          <w:p>
            <w:r>
              <w:rPr>
                <w:rFonts w:ascii="Arial" w:cs="Arial" w:eastAsia="Arial" w:hAnsi="Arial"/>
                <w:color w:val="1A1A1A"/>
                <w:sz w:val="18"/>
                <w:szCs w:val="18"/>
              </w:rPr>
              <w:t xml:space="preserve">Net revenues, up 6.5% year-over-year (6.7% on a constant currency basis). 2024 revenues were $4.77 billion, up from $4.48 billion.</w:t>
            </w:r>
          </w:p>
        </w:tc>
        <w:tc>
          <w:tcPr>
            <w:tcBorders>
              <w:top w:val="none" w:color="FFFFFF" w:sz="0"/>
              <w:left w:val="none" w:color="FFFFFF" w:sz="0"/>
              <w:bottom w:val="none" w:color="FFFFFF" w:sz="0"/>
              <w:right w:val="none" w:color="FFFFFF" w:sz="0"/>
            </w:tcBorders>
            <w:shd w:fill="FAF1E1" w:val="clear"/>
            <w:tcMar>
              <w:top w:type="dxa" w:w="160"/>
              <w:left w:type="dxa" w:w="160"/>
              <w:bottom w:type="dxa" w:w="160"/>
              <w:right w:type="dxa" w:w="160"/>
            </w:tcMar>
          </w:tcPr>
          <w:p>
            <w:pPr>
              <w:spacing w:after="60"/>
            </w:pPr>
            <w:r>
              <w:rPr>
                <w:rFonts w:ascii="Arial" w:cs="Arial" w:eastAsia="Arial" w:hAnsi="Arial"/>
                <w:b/>
                <w:bCs/>
                <w:color w:val="F2A93C"/>
                <w:sz w:val="30"/>
                <w:szCs w:val="30"/>
              </w:rPr>
              <w:t xml:space="preserve">15%</w:t>
            </w:r>
          </w:p>
          <w:p>
            <w:r>
              <w:rPr>
                <w:rFonts w:ascii="Arial" w:cs="Arial" w:eastAsia="Arial" w:hAnsi="Arial"/>
                <w:color w:val="1A1A1A"/>
                <w:sz w:val="18"/>
                <w:szCs w:val="18"/>
              </w:rPr>
              <w:t xml:space="preserve">New bookings growth. New bookings in 2024 were $5.7 billion, up 15% from $5.0 billion in 2023.</w:t>
            </w:r>
          </w:p>
        </w:tc>
      </w:tr>
      <w:tr>
        <w:trPr>
          <w:cantSplit/>
        </w:trPr>
        <w:tc>
          <w:tcPr>
            <w:tcBorders>
              <w:top w:val="none" w:color="FFFFFF" w:sz="0"/>
              <w:left w:val="none" w:color="FFFFFF" w:sz="0"/>
              <w:bottom w:val="none" w:color="FFFFFF" w:sz="0"/>
              <w:right w:val="none" w:color="FFFFFF" w:sz="0"/>
            </w:tcBorders>
            <w:shd w:fill="FAF1E1" w:val="clear"/>
            <w:tcMar>
              <w:top w:type="dxa" w:w="160"/>
              <w:left w:type="dxa" w:w="160"/>
              <w:bottom w:type="dxa" w:w="160"/>
              <w:right w:type="dxa" w:w="160"/>
            </w:tcMar>
          </w:tcPr>
          <w:p>
            <w:pPr>
              <w:spacing w:after="60"/>
            </w:pPr>
            <w:r>
              <w:rPr>
                <w:rFonts w:ascii="Arial" w:cs="Arial" w:eastAsia="Arial" w:hAnsi="Arial"/>
                <w:b/>
                <w:bCs/>
                <w:color w:val="F2A93C"/>
                <w:sz w:val="30"/>
                <w:szCs w:val="30"/>
              </w:rPr>
              <w:t xml:space="preserve">$2.85 / $3.28</w:t>
            </w:r>
          </w:p>
          <w:p>
            <w:r>
              <w:rPr>
                <w:rFonts w:ascii="Arial" w:cs="Arial" w:eastAsia="Arial" w:hAnsi="Arial"/>
                <w:color w:val="1A1A1A"/>
                <w:sz w:val="18"/>
                <w:szCs w:val="18"/>
              </w:rPr>
              <w:t xml:space="preserve">Diluted EPS / Adjusted diluted EPS. Diluted EPS declined 16% to $2.85; adjusted diluted EPS grew 10% to $3.28.</w:t>
            </w:r>
          </w:p>
        </w:tc>
        <w:tc>
          <w:tcPr>
            <w:tcBorders>
              <w:top w:val="none" w:color="FFFFFF" w:sz="0"/>
              <w:left w:val="none" w:color="FFFFFF" w:sz="0"/>
              <w:bottom w:val="none" w:color="FFFFFF" w:sz="0"/>
              <w:right w:val="none" w:color="FFFFFF" w:sz="0"/>
            </w:tcBorders>
            <w:shd w:fill="FAF1E1" w:val="clear"/>
            <w:tcMar>
              <w:top w:type="dxa" w:w="160"/>
              <w:left w:type="dxa" w:w="160"/>
              <w:bottom w:type="dxa" w:w="160"/>
              <w:right w:type="dxa" w:w="160"/>
            </w:tcMar>
          </w:tcPr>
          <w:p>
            <w:pPr>
              <w:spacing w:after="60"/>
            </w:pPr>
            <w:r>
              <w:rPr>
                <w:rFonts w:ascii="Arial" w:cs="Arial" w:eastAsia="Arial" w:hAnsi="Arial"/>
                <w:b/>
                <w:bCs/>
                <w:color w:val="F2A93C"/>
                <w:sz w:val="30"/>
                <w:szCs w:val="30"/>
              </w:rPr>
              <w:t xml:space="preserve">10.8% / 14.7% / 17.1%</w:t>
            </w:r>
          </w:p>
          <w:p>
            <w:r>
              <w:rPr>
                <w:rFonts w:ascii="Arial" w:cs="Arial" w:eastAsia="Arial" w:hAnsi="Arial"/>
                <w:color w:val="1A1A1A"/>
                <w:sz w:val="18"/>
                <w:szCs w:val="18"/>
              </w:rPr>
              <w:t xml:space="preserve">Net income margin / income from operations margin / adjusted income from operations margin.</w:t>
            </w:r>
          </w:p>
        </w:tc>
      </w:tr>
      <w:tr>
        <w:trPr>
          <w:cantSplit/>
        </w:trPr>
        <w:tc>
          <w:tcPr>
            <w:tcBorders>
              <w:top w:val="none" w:color="FFFFFF" w:sz="0"/>
              <w:left w:val="none" w:color="FFFFFF" w:sz="0"/>
              <w:bottom w:val="none" w:color="FFFFFF" w:sz="0"/>
              <w:right w:val="none" w:color="FFFFFF" w:sz="0"/>
            </w:tcBorders>
            <w:shd w:fill="FAF1E1" w:val="clear"/>
            <w:tcMar>
              <w:top w:type="dxa" w:w="160"/>
              <w:left w:type="dxa" w:w="160"/>
              <w:bottom w:type="dxa" w:w="160"/>
              <w:right w:type="dxa" w:w="160"/>
            </w:tcMar>
          </w:tcPr>
          <w:p>
            <w:pPr>
              <w:spacing w:after="60"/>
            </w:pPr>
            <w:r>
              <w:rPr>
                <w:rFonts w:ascii="Arial" w:cs="Arial" w:eastAsia="Arial" w:hAnsi="Arial"/>
                <w:b/>
                <w:bCs/>
                <w:color w:val="F2A93C"/>
                <w:sz w:val="30"/>
                <w:szCs w:val="30"/>
              </w:rPr>
              <w:t xml:space="preserve">$361 MILLION</w:t>
            </w:r>
          </w:p>
          <w:p>
            <w:r>
              <w:rPr>
                <w:rFonts w:ascii="Arial" w:cs="Arial" w:eastAsia="Arial" w:hAnsi="Arial"/>
                <w:color w:val="1A1A1A"/>
                <w:sz w:val="18"/>
                <w:szCs w:val="18"/>
              </w:rPr>
              <w:t xml:space="preserve">Capital returned to shareholders — $253 million in share repurchases and $108 million in quarterly cash dividends.</w:t>
            </w:r>
          </w:p>
        </w:tc>
        <w:tc>
          <w:tcPr>
            <w:tcBorders>
              <w:top w:val="none" w:color="FFFFFF" w:sz="0"/>
              <w:left w:val="none" w:color="FFFFFF" w:sz="0"/>
              <w:bottom w:val="none" w:color="FFFFFF" w:sz="0"/>
              <w:right w:val="none" w:color="FFFFFF" w:sz="0"/>
            </w:tcBorders>
            <w:shd w:fill="FAF1E1" w:val="clear"/>
            <w:tcMar>
              <w:top w:type="dxa" w:w="160"/>
              <w:left w:type="dxa" w:w="160"/>
              <w:bottom w:type="dxa" w:w="160"/>
              <w:right w:type="dxa" w:w="160"/>
            </w:tcMar>
          </w:tcPr>
          <w:p>
            <w:pPr>
              <w:spacing w:after="60"/>
            </w:pPr>
            <w:r>
              <w:rPr>
                <w:rFonts w:ascii="Arial" w:cs="Arial" w:eastAsia="Arial" w:hAnsi="Arial"/>
                <w:b/>
                <w:bCs/>
                <w:color w:val="F2A93C"/>
                <w:sz w:val="30"/>
                <w:szCs w:val="30"/>
              </w:rPr>
              <w:t xml:space="preserve">$615 MILLION</w:t>
            </w:r>
          </w:p>
          <w:p>
            <w:r>
              <w:rPr>
                <w:rFonts w:ascii="Arial" w:cs="Arial" w:eastAsia="Arial" w:hAnsi="Arial"/>
                <w:color w:val="1A1A1A"/>
                <w:sz w:val="18"/>
                <w:szCs w:val="18"/>
              </w:rPr>
              <w:t xml:space="preserve">Cash generated from operations, up 25% from 2023.</w:t>
            </w:r>
          </w:p>
        </w:tc>
      </w:tr>
    </w:tbl>
    <w:p>
      <w:pPr>
        <w:spacing w:after="160"/>
      </w:pPr>
    </w:p>
    <w:p>
      <w:pPr>
        <w:spacing w:after="160"/>
      </w:pPr>
      <w:r>
        <w:rPr>
          <w:b w:val="false"/>
          <w:bCs w:val="false"/>
          <w:i w:val="false"/>
          <w:iCs w:val="false"/>
          <w:color w:val="1A1A1A"/>
        </w:rPr>
        <w:t xml:space="preserve">Despite continued macroeconomic uncertainty and geopolitical tensions affecting the markets in which we and our clients operate during 2024, our 2024 financial performance exceeded our expectations in several areas, including a 15% increase in new bookings on top of record new bookings in the prior year as well as strong net revenue and adjusted diluted EPS growth, which led to higher-than-target performance against the goals set for the first year under our three-year 2024 performance share unit (“PSU”) awards. The 2024 bonus pool for our NEOs funded at target, reflecting the continued rigor of the goals we set for our performance-based compensation plans.</w:t>
      </w:r>
    </w:p>
    <w:p>
      <w:pPr>
        <w:pStyle w:val="Heading3"/>
        <w:spacing w:after="110" w:before="220"/>
      </w:pPr>
      <w:r>
        <w:rPr>
          <w:rFonts w:ascii="Arial" w:cs="Arial" w:eastAsia="Arial" w:hAnsi="Arial"/>
          <w:b/>
          <w:bCs/>
          <w:color w:val="1A1A1A"/>
          <w:sz w:val="24"/>
          <w:szCs w:val="24"/>
        </w:rPr>
        <w:t xml:space="preserve">Compensation Objectives</w:t>
      </w:r>
    </w:p>
    <w:p>
      <w:pPr>
        <w:spacing w:after="160"/>
      </w:pPr>
      <w:r>
        <w:rPr>
          <w:b w:val="false"/>
          <w:bCs w:val="false"/>
          <w:i w:val="false"/>
          <w:iCs w:val="false"/>
          <w:color w:val="1A1A1A"/>
        </w:rPr>
        <w:t xml:space="preserve">The primary objectives of our compensation program for our executives, including our named executive officers, are to attract, motivate and retain highly talented individuals. Our compensation program is designed to incentivize and reward the achievement of our annual, long-term and strategic goals, such as growing revenues and improving profitability. It is also designed to align the interests of our executives, including our named executive officers, with those of our shareholders by rewarding performance that exceeds our target goals, with the ultimate objective of increasing shareholder value.</w:t>
      </w:r>
    </w:p>
    <w:p>
      <w:pPr>
        <w:spacing w:after="160"/>
      </w:pPr>
      <w:r>
        <w:rPr>
          <w:b w:val="false"/>
          <w:bCs w:val="false"/>
          <w:i w:val="false"/>
          <w:iCs w:val="false"/>
          <w:color w:val="1A1A1A"/>
        </w:rPr>
        <w:t xml:space="preserve">Our compensation committee is responsible for overseeing the goals and objectives of our executive compensation plans and programs. The compensation committee bases our executive compensation programs on the same objectives that guide us in administering the compensation programs for all of our employees globally:</w:t>
      </w:r>
    </w:p>
    <w:p>
      <w:pPr>
        <w:pStyle w:val="ListParagraph"/>
        <w:numPr>
          <w:ilvl w:val="0"/>
          <w:numId w:val="1"/>
        </w:numPr>
        <w:spacing w:after="100"/>
      </w:pPr>
      <w:r>
        <w:rPr>
          <w:color w:val="1A1A1A"/>
        </w:rPr>
        <w:t xml:space="preserve">Compensation is based on the individual’s level of job responsibility.</w:t>
      </w:r>
    </w:p>
    <w:p>
      <w:pPr>
        <w:pStyle w:val="ListParagraph"/>
        <w:numPr>
          <w:ilvl w:val="0"/>
          <w:numId w:val="1"/>
        </w:numPr>
        <w:spacing w:after="100"/>
      </w:pPr>
      <w:r>
        <w:rPr>
          <w:color w:val="1A1A1A"/>
        </w:rPr>
        <w:t xml:space="preserve">Compensation reflects the value of the job in the marketplace.</w:t>
      </w:r>
    </w:p>
    <w:p>
      <w:pPr>
        <w:pStyle w:val="ListParagraph"/>
        <w:numPr>
          <w:ilvl w:val="0"/>
          <w:numId w:val="1"/>
        </w:numPr>
        <w:spacing w:after="100"/>
      </w:pPr>
      <w:r>
        <w:rPr>
          <w:color w:val="1A1A1A"/>
        </w:rPr>
        <w:t xml:space="preserve">Compensation programs are designed to incentivize and reward performance, both on an individual and Company basis.</w:t>
      </w:r>
    </w:p>
    <w:p>
      <w:pPr>
        <w:spacing w:after="160"/>
      </w:pPr>
      <w:r>
        <w:rPr>
          <w:b w:val="false"/>
          <w:bCs w:val="false"/>
          <w:i w:val="false"/>
          <w:iCs w:val="false"/>
          <w:color w:val="1A1A1A"/>
        </w:rPr>
        <w:t xml:space="preserve">Our compensation committee considers risk when developing our compensation program and believes that the design of our current compensation program does not encourage excessive or inappropriate risk taking. For example, we believe that our annual cash bonus plan, which is based on a number of different performance measures together with a meaningful cap on the potential payout, deters executives from focusing exclusively on the specific financial metrics that might encourage excessive short-term risk taking. For 2024, our named executive officers were also granted PSU awards tied to the attainment of multiple performance goals over a three-year period (with a maximum payout of 240% of target) and restricted share unit (“RSU”) awards that vest ratably in equal one-third installments over a three-year period. We believe that these awards do not encourage unnecessary or excessive risk taking since the ultimate value of the awards is tied to the Company’s share price. Additionally, these awards are subject to long-term vesting schedules, which help ensure that executives have significant value tied to long-term share price performance.</w:t>
      </w:r>
    </w:p>
    <w:p>
      <w:pPr>
        <w:spacing w:after="160"/>
      </w:pPr>
      <w:r>
        <w:rPr>
          <w:b w:val="false"/>
          <w:bCs w:val="false"/>
          <w:i w:val="false"/>
          <w:iCs w:val="false"/>
          <w:color w:val="1A1A1A"/>
        </w:rPr>
        <w:t xml:space="preserve">In addition, we have implemented several policies that mitigate excessive risk-taking, including a clawback of compensation in the event of certain accounting restatements, share ownership guidelines and a prohibition on hedging or pledging our shares.</w:t>
      </w:r>
    </w:p>
    <w:p>
      <w:pPr>
        <w:pStyle w:val="Heading3"/>
        <w:spacing w:after="110" w:before="220"/>
      </w:pPr>
      <w:r>
        <w:rPr>
          <w:rFonts w:ascii="Arial" w:cs="Arial" w:eastAsia="Arial" w:hAnsi="Arial"/>
          <w:b/>
          <w:bCs/>
          <w:color w:val="1A1A1A"/>
          <w:sz w:val="24"/>
          <w:szCs w:val="24"/>
        </w:rPr>
        <w:t xml:space="preserve">Executive Compensation Practices</w:t>
      </w:r>
    </w:p>
    <w:p>
      <w:pPr>
        <w:spacing w:after="160"/>
      </w:pPr>
      <w:r>
        <w:rPr>
          <w:b w:val="false"/>
          <w:bCs w:val="false"/>
          <w:i w:val="false"/>
          <w:iCs w:val="false"/>
          <w:color w:val="1A1A1A"/>
        </w:rPr>
        <w:t xml:space="preserve">We strive to maintain sound governance standards and compensation practices by continually monitoring the evolution of “best practices.” As in prior years, we incorporated many best practices into our 2024 compensation programs, including the following:</w:t>
      </w:r>
    </w:p>
    <w:p>
      <w:pPr>
        <w:spacing w:after="160"/>
      </w:pPr>
      <w:r>
        <w:rPr>
          <w:b/>
          <w:bCs/>
          <w:i w:val="false"/>
          <w:iCs w:val="false"/>
          <w:color w:val="1A1A1A"/>
        </w:rPr>
        <w:t xml:space="preserve">What we do:</w:t>
      </w:r>
    </w:p>
    <w:p>
      <w:pPr>
        <w:pStyle w:val="ListParagraph"/>
        <w:numPr>
          <w:ilvl w:val="0"/>
          <w:numId w:val="1"/>
        </w:numPr>
        <w:spacing w:after="100"/>
      </w:pPr>
      <w:r>
        <w:rPr>
          <w:color w:val="1A1A1A"/>
        </w:rPr>
        <w:t xml:space="preserve">Align our executive pay with performance</w:t>
      </w:r>
    </w:p>
    <w:p>
      <w:pPr>
        <w:pStyle w:val="ListParagraph"/>
        <w:numPr>
          <w:ilvl w:val="0"/>
          <w:numId w:val="1"/>
        </w:numPr>
        <w:spacing w:after="100"/>
      </w:pPr>
      <w:r>
        <w:rPr>
          <w:color w:val="1A1A1A"/>
        </w:rPr>
        <w:t xml:space="preserve">Maintain a compensation clawback policy covering equity and cash incentive compensation of Section 16 officers in the event of an accounting restatement</w:t>
      </w:r>
    </w:p>
    <w:p>
      <w:pPr>
        <w:pStyle w:val="ListParagraph"/>
        <w:numPr>
          <w:ilvl w:val="0"/>
          <w:numId w:val="1"/>
        </w:numPr>
        <w:spacing w:after="100"/>
      </w:pPr>
      <w:r>
        <w:rPr>
          <w:color w:val="1A1A1A"/>
        </w:rPr>
        <w:t xml:space="preserve">Make payouts under our annual cash bonus plan only if threshold Company performance is met</w:t>
      </w:r>
    </w:p>
    <w:p>
      <w:pPr>
        <w:pStyle w:val="ListParagraph"/>
        <w:numPr>
          <w:ilvl w:val="0"/>
          <w:numId w:val="1"/>
        </w:numPr>
        <w:spacing w:after="100"/>
      </w:pPr>
      <w:r>
        <w:rPr>
          <w:color w:val="1A1A1A"/>
        </w:rPr>
        <w:t xml:space="preserve">Set challenging performance objectives for our PSU awards and annual cash bonus</w:t>
      </w:r>
    </w:p>
    <w:p>
      <w:pPr>
        <w:pStyle w:val="ListParagraph"/>
        <w:numPr>
          <w:ilvl w:val="0"/>
          <w:numId w:val="1"/>
        </w:numPr>
        <w:spacing w:after="100"/>
      </w:pPr>
      <w:r>
        <w:rPr>
          <w:color w:val="1A1A1A"/>
        </w:rPr>
        <w:t xml:space="preserve">Maintain a meaningful equity ownership policy for the CEO (6x base salary) and other NEOs (1x base salary)</w:t>
      </w:r>
    </w:p>
    <w:p>
      <w:pPr>
        <w:pStyle w:val="ListParagraph"/>
        <w:numPr>
          <w:ilvl w:val="0"/>
          <w:numId w:val="1"/>
        </w:numPr>
        <w:spacing w:after="100"/>
      </w:pPr>
      <w:r>
        <w:rPr>
          <w:color w:val="1A1A1A"/>
        </w:rPr>
        <w:t xml:space="preserve">Regularly review the relationship between NEO compensation and Company performance</w:t>
      </w:r>
    </w:p>
    <w:p>
      <w:pPr>
        <w:pStyle w:val="ListParagraph"/>
        <w:numPr>
          <w:ilvl w:val="0"/>
          <w:numId w:val="1"/>
        </w:numPr>
        <w:spacing w:after="100"/>
      </w:pPr>
      <w:r>
        <w:rPr>
          <w:color w:val="1A1A1A"/>
        </w:rPr>
        <w:t xml:space="preserve">Include caps on individual payouts in short- and long-term incentive plans</w:t>
      </w:r>
    </w:p>
    <w:p>
      <w:pPr>
        <w:pStyle w:val="ListParagraph"/>
        <w:numPr>
          <w:ilvl w:val="0"/>
          <w:numId w:val="1"/>
        </w:numPr>
        <w:spacing w:after="100"/>
      </w:pPr>
      <w:r>
        <w:rPr>
          <w:color w:val="1A1A1A"/>
        </w:rPr>
        <w:t xml:space="preserve">Maintain an independent compensation committee</w:t>
      </w:r>
    </w:p>
    <w:p>
      <w:pPr>
        <w:pStyle w:val="ListParagraph"/>
        <w:numPr>
          <w:ilvl w:val="0"/>
          <w:numId w:val="1"/>
        </w:numPr>
        <w:spacing w:after="100"/>
      </w:pPr>
      <w:r>
        <w:rPr>
          <w:color w:val="1A1A1A"/>
        </w:rPr>
        <w:t xml:space="preserve">Hold an annual “say-on-pay” advisory vote</w:t>
      </w:r>
    </w:p>
    <w:p>
      <w:pPr>
        <w:pStyle w:val="ListParagraph"/>
        <w:numPr>
          <w:ilvl w:val="0"/>
          <w:numId w:val="1"/>
        </w:numPr>
        <w:spacing w:after="100"/>
      </w:pPr>
      <w:r>
        <w:rPr>
          <w:color w:val="1A1A1A"/>
        </w:rPr>
        <w:t xml:space="preserve">Prohibit hedging and pledging of Company common shares</w:t>
      </w:r>
    </w:p>
    <w:p>
      <w:pPr>
        <w:pStyle w:val="ListParagraph"/>
        <w:numPr>
          <w:ilvl w:val="0"/>
          <w:numId w:val="1"/>
        </w:numPr>
        <w:spacing w:after="100"/>
      </w:pPr>
      <w:r>
        <w:rPr>
          <w:color w:val="1A1A1A"/>
        </w:rPr>
        <w:t xml:space="preserve">Retain an independent compensation consultant</w:t>
      </w:r>
    </w:p>
    <w:p>
      <w:pPr>
        <w:pStyle w:val="ListParagraph"/>
        <w:numPr>
          <w:ilvl w:val="0"/>
          <w:numId w:val="1"/>
        </w:numPr>
        <w:spacing w:after="100"/>
      </w:pPr>
      <w:r>
        <w:rPr>
          <w:color w:val="1A1A1A"/>
        </w:rPr>
        <w:t xml:space="preserve">Place a substantial majority of executive pay at risk</w:t>
      </w:r>
    </w:p>
    <w:p>
      <w:pPr>
        <w:pStyle w:val="ListParagraph"/>
        <w:numPr>
          <w:ilvl w:val="0"/>
          <w:numId w:val="1"/>
        </w:numPr>
        <w:spacing w:after="100"/>
      </w:pPr>
      <w:r>
        <w:rPr>
          <w:color w:val="1A1A1A"/>
        </w:rPr>
        <w:t xml:space="preserve">Regularly evaluate our share utilization and the dilutive impact of equity awards</w:t>
      </w:r>
    </w:p>
    <w:p>
      <w:pPr>
        <w:pStyle w:val="ListParagraph"/>
        <w:numPr>
          <w:ilvl w:val="0"/>
          <w:numId w:val="1"/>
        </w:numPr>
        <w:spacing w:after="100"/>
      </w:pPr>
      <w:r>
        <w:rPr>
          <w:color w:val="1A1A1A"/>
        </w:rPr>
        <w:t xml:space="preserve">Mitigate the potentially dilutive effect of equity awards through our share repurchase program</w:t>
      </w:r>
    </w:p>
    <w:p>
      <w:pPr>
        <w:pStyle w:val="ListParagraph"/>
        <w:numPr>
          <w:ilvl w:val="0"/>
          <w:numId w:val="1"/>
        </w:numPr>
        <w:spacing w:after="100"/>
      </w:pPr>
      <w:r>
        <w:rPr>
          <w:color w:val="1A1A1A"/>
        </w:rPr>
        <w:t xml:space="preserve">Include restrictive covenants in equity award agreements, with a “clawback” of equity in certain circumstances</w:t>
      </w:r>
    </w:p>
    <w:p>
      <w:pPr>
        <w:pStyle w:val="ListParagraph"/>
        <w:numPr>
          <w:ilvl w:val="0"/>
          <w:numId w:val="1"/>
        </w:numPr>
        <w:spacing w:after="100"/>
      </w:pPr>
      <w:r>
        <w:rPr>
          <w:color w:val="1A1A1A"/>
        </w:rPr>
        <w:t xml:space="preserve">Maintain a three-year performance period and cliff service vesting schedule for annual PSU awards</w:t>
      </w:r>
    </w:p>
    <w:p>
      <w:pPr>
        <w:spacing w:after="160"/>
      </w:pPr>
      <w:r>
        <w:rPr>
          <w:b/>
          <w:bCs/>
          <w:i w:val="false"/>
          <w:iCs w:val="false"/>
          <w:color w:val="1A1A1A"/>
        </w:rPr>
        <w:t xml:space="preserve">What we don’t do:</w:t>
      </w:r>
    </w:p>
    <w:p>
      <w:pPr>
        <w:pStyle w:val="ListParagraph"/>
        <w:numPr>
          <w:ilvl w:val="0"/>
          <w:numId w:val="1"/>
        </w:numPr>
        <w:spacing w:after="100"/>
      </w:pPr>
      <w:r>
        <w:rPr>
          <w:color w:val="1A1A1A"/>
        </w:rPr>
        <w:t xml:space="preserve">Offer contracts with multi-year guaranteed salary or bonus increases</w:t>
      </w:r>
    </w:p>
    <w:p>
      <w:pPr>
        <w:pStyle w:val="ListParagraph"/>
        <w:numPr>
          <w:ilvl w:val="0"/>
          <w:numId w:val="1"/>
        </w:numPr>
        <w:spacing w:after="100"/>
      </w:pPr>
      <w:r>
        <w:rPr>
          <w:color w:val="1A1A1A"/>
        </w:rPr>
        <w:t xml:space="preserve">Provide guaranteed retirement benefits or contribute to non-qualified deferred compensation plans</w:t>
      </w:r>
    </w:p>
    <w:p>
      <w:pPr>
        <w:pStyle w:val="ListParagraph"/>
        <w:numPr>
          <w:ilvl w:val="0"/>
          <w:numId w:val="1"/>
        </w:numPr>
        <w:spacing w:after="100"/>
      </w:pPr>
      <w:r>
        <w:rPr>
          <w:color w:val="1A1A1A"/>
        </w:rPr>
        <w:t xml:space="preserve">Provide tax gross-ups (except with respect to the reimbursement of relocation expenses)</w:t>
      </w:r>
    </w:p>
    <w:p>
      <w:pPr>
        <w:pStyle w:val="ListParagraph"/>
        <w:numPr>
          <w:ilvl w:val="0"/>
          <w:numId w:val="1"/>
        </w:numPr>
        <w:spacing w:after="100"/>
      </w:pPr>
      <w:r>
        <w:rPr>
          <w:color w:val="1A1A1A"/>
        </w:rPr>
        <w:t xml:space="preserve">Provide excessive perquisites</w:t>
      </w:r>
    </w:p>
    <w:p>
      <w:pPr>
        <w:pStyle w:val="ListParagraph"/>
        <w:numPr>
          <w:ilvl w:val="0"/>
          <w:numId w:val="1"/>
        </w:numPr>
        <w:spacing w:after="100"/>
      </w:pPr>
      <w:r>
        <w:rPr>
          <w:color w:val="1A1A1A"/>
        </w:rPr>
        <w:t xml:space="preserve">Grant equity awards with “single-trigger” change of control provisions</w:t>
      </w:r>
    </w:p>
    <w:p>
      <w:pPr>
        <w:pStyle w:val="ListParagraph"/>
        <w:numPr>
          <w:ilvl w:val="0"/>
          <w:numId w:val="1"/>
        </w:numPr>
        <w:spacing w:after="100"/>
      </w:pPr>
      <w:r>
        <w:rPr>
          <w:color w:val="1A1A1A"/>
        </w:rPr>
        <w:t xml:space="preserve">Pay dividends or dividend equivalents on unvested equity awards</w:t>
      </w:r>
    </w:p>
    <w:p>
      <w:pPr>
        <w:pStyle w:val="ListParagraph"/>
        <w:numPr>
          <w:ilvl w:val="0"/>
          <w:numId w:val="1"/>
        </w:numPr>
        <w:spacing w:after="100"/>
      </w:pPr>
      <w:r>
        <w:rPr>
          <w:color w:val="1A1A1A"/>
        </w:rPr>
        <w:t xml:space="preserve">Reprice or exchange underwater options without shareholder approval</w:t>
      </w:r>
    </w:p>
    <w:p>
      <w:pPr>
        <w:pStyle w:val="ListParagraph"/>
        <w:numPr>
          <w:ilvl w:val="0"/>
          <w:numId w:val="1"/>
        </w:numPr>
        <w:spacing w:after="100"/>
      </w:pPr>
      <w:r>
        <w:rPr>
          <w:color w:val="1A1A1A"/>
        </w:rPr>
        <w:t xml:space="preserve">Maintain special retirement plans exclusively for executive officers</w:t>
      </w:r>
    </w:p>
    <w:p>
      <w:pPr>
        <w:pStyle w:val="ListParagraph"/>
        <w:numPr>
          <w:ilvl w:val="0"/>
          <w:numId w:val="1"/>
        </w:numPr>
        <w:spacing w:after="100"/>
      </w:pPr>
      <w:r>
        <w:rPr>
          <w:color w:val="1A1A1A"/>
        </w:rPr>
        <w:t xml:space="preserve">Time the release of material non-public information to affect the value of executive compensation</w:t>
      </w:r>
    </w:p>
    <w:p>
      <w:pPr>
        <w:pStyle w:val="ListParagraph"/>
        <w:numPr>
          <w:ilvl w:val="0"/>
          <w:numId w:val="1"/>
        </w:numPr>
        <w:spacing w:after="100"/>
      </w:pPr>
      <w:r>
        <w:rPr>
          <w:color w:val="1A1A1A"/>
        </w:rPr>
        <w:t xml:space="preserve">Allow short sales or purchases of equity derivatives of our common shares by officers or directors</w:t>
      </w:r>
    </w:p>
    <w:p>
      <w:pPr>
        <w:pStyle w:val="Heading3"/>
        <w:spacing w:after="110" w:before="220"/>
      </w:pPr>
      <w:r>
        <w:rPr>
          <w:rFonts w:ascii="Arial" w:cs="Arial" w:eastAsia="Arial" w:hAnsi="Arial"/>
          <w:b/>
          <w:bCs/>
          <w:color w:val="1A1A1A"/>
          <w:sz w:val="24"/>
          <w:szCs w:val="24"/>
        </w:rPr>
        <w:t xml:space="preserve">Pay for Performance Philosophy</w:t>
      </w:r>
    </w:p>
    <w:p>
      <w:pPr>
        <w:spacing w:after="160"/>
      </w:pPr>
      <w:r>
        <w:rPr>
          <w:b w:val="false"/>
          <w:bCs w:val="false"/>
          <w:i w:val="false"/>
          <w:iCs w:val="false"/>
          <w:color w:val="1A1A1A"/>
        </w:rPr>
        <w:t xml:space="preserve">The core objective of our executive officer compensation program is to align pay and performance. We believe that as an employee’s level of responsibility increases, so should the proportion of total compensation opportunity that is structured in the form of short-term and long-term incentive opportunities. The compensation of our named executive officers for 2024 reflects both our 2024 performance and our commitment to providing executive compensation opportunities that are linked to Company performance, including progress on long-term strategic goals and shareholder value creation.</w:t>
      </w:r>
    </w:p>
    <w:p>
      <w:pPr>
        <w:spacing w:after="160"/>
      </w:pPr>
      <w:r>
        <w:rPr>
          <w:b w:val="false"/>
          <w:bCs w:val="false"/>
          <w:i w:val="false"/>
          <w:iCs w:val="false"/>
          <w:color w:val="1A1A1A"/>
        </w:rPr>
        <w:t xml:space="preserve">The material components of our compensation are (i) a fixed base salary and (ii) variable compensation comprised of (A) short-term incentive compensation under our performance-based annual cash bonus plan and (B) long-term incentive compensation in the form of equity awards, which since 2023 have been granted as annual PSU and RSU awards. The compensation committee believes that our current executive compensation structure strongly aligns our NEOs’ interests with those of our shareholders and creates an appropriate balance between performance- and time-based awards, discouraging excessive risk taking and supporting retention.</w:t>
      </w:r>
    </w:p>
    <w:p>
      <w:pPr>
        <w:spacing w:after="160"/>
      </w:pPr>
      <w:r>
        <w:rPr>
          <w:b w:val="false"/>
          <w:bCs w:val="false"/>
          <w:i w:val="false"/>
          <w:iCs w:val="false"/>
          <w:color w:val="1A1A1A"/>
        </w:rPr>
        <w:t xml:space="preserve">The chart below reflects the target mix of compensation components for our NEOs during fiscal year 2024, which reflects our pay-for-performance philosophy. In 2024, approximately 60% (on average) of the total target compensation of our named executive officers was in the form of long-term incentive compensation. Performance-based compensation includes short-term incentives in the form of our annual cash bonus plan and long-term incentives in the form of PSU awards.</w:t>
      </w:r>
    </w:p>
    <w:tbl>
      <w:tblPr>
        <w:tblW w:type="pct" w:w="100%"/>
        <w:tblBorders>
          <w:top w:val="single" w:color="CCCCCC" w:sz="4"/>
          <w:left w:val="none" w:color="FFFFFF" w:sz="0"/>
          <w:bottom w:val="single" w:color="CCCCCC" w:sz="4"/>
          <w:right w:val="none" w:color="FFFFFF" w:sz="0"/>
          <w:insideH w:val="single" w:color="E3E3E3" w:sz="2"/>
          <w:insideV w:val="none" w:color="FFFFFF" w:sz="0"/>
        </w:tblBorders>
      </w:tblPr>
      <w:tblGrid>
        <w:gridCol w:w="100"/>
        <w:gridCol w:w="100"/>
      </w:tblGrid>
      <w:tr>
        <w:trPr>
          <w:tblHeader/>
        </w:trPr>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Other NEOs 2024 Compensation Mix</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Percent</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Base Salary</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20%</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Performance Bonus</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20%</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RSUs</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20% (approx.)</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PSUs</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40% (approx.)</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Total Compensation at Risk</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80%</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Total Equity</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60% (approx.)</w:t>
            </w:r>
          </w:p>
        </w:tc>
      </w:tr>
    </w:tbl>
    <w:p>
      <w:pPr>
        <w:pStyle w:val="Heading3"/>
        <w:spacing w:after="110" w:before="220"/>
      </w:pPr>
      <w:r>
        <w:rPr>
          <w:rFonts w:ascii="Arial" w:cs="Arial" w:eastAsia="Arial" w:hAnsi="Arial"/>
          <w:b/>
          <w:bCs/>
          <w:color w:val="1A1A1A"/>
          <w:sz w:val="24"/>
          <w:szCs w:val="24"/>
        </w:rPr>
        <w:t xml:space="preserve">Shareholder Engagement</w:t>
      </w:r>
    </w:p>
    <w:p>
      <w:pPr>
        <w:spacing w:after="160"/>
      </w:pPr>
      <w:r>
        <w:rPr>
          <w:b w:val="false"/>
          <w:bCs w:val="false"/>
          <w:i w:val="false"/>
          <w:iCs w:val="false"/>
          <w:color w:val="1A1A1A"/>
        </w:rPr>
        <w:t xml:space="preserve">We welcome and value the views and insights of our shareholders. We have ongoing communications with our shareholders in the normal course of business and evaluate all shareholder feedback. Leading up to and following our 2024 annual meeting, at which 91% of the shares voted on our say-on-pay proposal were voted in favor of our 2023 executive compensation practices, we conducted extensive shareholder outreach to better understand our shareholders’ perspectives on our compensation practices and to solicit their feedback. In the second quarter of 2024, we contacted shareholders owning more than 70% of our outstanding shares, including our top 10 shareholders, and we had discussions with shareholders representing approximately 14% of our total shares then outstanding. The remaining shareholders from whom we solicited feedback in 2024 either declined to meet or did not respond to our inquiries.</w:t>
      </w:r>
    </w:p>
    <w:p>
      <w:pPr>
        <w:spacing w:after="160"/>
      </w:pPr>
      <w:r>
        <w:rPr>
          <w:b w:val="false"/>
          <w:bCs w:val="false"/>
          <w:i w:val="false"/>
          <w:iCs w:val="false"/>
          <w:color w:val="1A1A1A"/>
        </w:rPr>
        <w:t xml:space="preserve">This effort supplemented our ongoing communications and meetings with our investors throughout the year and focused on the Company’s compensation practices and philosophy, the alignment of our compensation program with our strategic direction and our ESG practices and philosophy.</w:t>
      </w:r>
    </w:p>
    <w:p>
      <w:pPr>
        <w:pStyle w:val="Heading3"/>
        <w:spacing w:after="110" w:before="220"/>
      </w:pPr>
      <w:r>
        <w:rPr>
          <w:rFonts w:ascii="Arial" w:cs="Arial" w:eastAsia="Arial" w:hAnsi="Arial"/>
          <w:b/>
          <w:bCs/>
          <w:color w:val="1A1A1A"/>
          <w:sz w:val="24"/>
          <w:szCs w:val="24"/>
        </w:rPr>
        <w:t xml:space="preserve">Shareholder Feedback and Responsiveness</w:t>
      </w:r>
    </w:p>
    <w:p>
      <w:pPr>
        <w:spacing w:after="160"/>
      </w:pPr>
      <w:r>
        <w:rPr>
          <w:b w:val="false"/>
          <w:bCs w:val="false"/>
          <w:i w:val="false"/>
          <w:iCs w:val="false"/>
          <w:color w:val="1A1A1A"/>
        </w:rPr>
        <w:t xml:space="preserve">Based on shareholder feedback, our compensation committee evaluated and implemented several significant changes to our compensation practices in our 2023 compensation program, including eliminating time-based option grants and replacing them with annual RSU grants, increasing the length of the performance period for our PSU awards from one year to three years and including a relative TSR modifier in our PSU awards. These changes to our compensation practices have been well-received by our shareholders. Given the significant changes made in the 2023 compensation program, the positive feedback from our shareholders to those changes and our compensation committee’s view that consistency in compensation plan design creates better outcomes for the Company, employees and ultimately shareholders, no significant changes were made in our 2024 compensation practices.</w:t>
      </w:r>
    </w:p>
    <w:tbl>
      <w:tblPr>
        <w:tblW w:type="pct" w:w="100%"/>
        <w:tblBorders>
          <w:top w:val="single" w:color="CCCCCC" w:sz="4"/>
          <w:left w:val="none" w:color="FFFFFF" w:sz="0"/>
          <w:bottom w:val="single" w:color="CCCCCC" w:sz="4"/>
          <w:right w:val="none" w:color="FFFFFF" w:sz="0"/>
          <w:insideH w:val="single" w:color="E3E3E3" w:sz="2"/>
          <w:insideV w:val="none" w:color="FFFFFF" w:sz="0"/>
        </w:tblBorders>
      </w:tblPr>
      <w:tblGrid>
        <w:gridCol w:w="100"/>
        <w:gridCol w:w="100"/>
        <w:gridCol w:w="100"/>
      </w:tblGrid>
      <w:tr>
        <w:trPr>
          <w:tblHeader/>
        </w:trPr>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Pay Practice</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2022 and Prior Years</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2023 Onwards</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Length of performance period for annual PSU awards</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One year</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Three years</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Time-based equity vehicle</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Periodic multi-year options</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Annual RSUs with graded vesting</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Relative performance metric</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None</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rTSR modifier in PSUs</w:t>
            </w:r>
          </w:p>
        </w:tc>
      </w:tr>
    </w:tbl>
    <w:p>
      <w:pPr>
        <w:pStyle w:val="Heading3"/>
        <w:spacing w:after="110" w:before="220"/>
      </w:pPr>
      <w:r>
        <w:rPr>
          <w:rFonts w:ascii="Arial" w:cs="Arial" w:eastAsia="Arial" w:hAnsi="Arial"/>
          <w:b/>
          <w:bCs/>
          <w:color w:val="1A1A1A"/>
          <w:sz w:val="24"/>
          <w:szCs w:val="24"/>
        </w:rPr>
        <w:t xml:space="preserve">Our Process</w:t>
      </w:r>
    </w:p>
    <w:p>
      <w:pPr>
        <w:spacing w:after="160"/>
      </w:pPr>
      <w:r>
        <w:rPr>
          <w:b w:val="false"/>
          <w:bCs w:val="false"/>
          <w:i w:val="false"/>
          <w:iCs w:val="false"/>
          <w:color w:val="1A1A1A"/>
        </w:rPr>
        <w:t xml:space="preserve">Our compensation committee is responsible for reviewing the performance and potential of each of our executive officers, including our named executive officers, approving the compensation level of each of our executive officers, establishing criteria for granting equity awards to our executive officers and other employees, approving such grants and combining the compensation elements for each executive in a manner we believe best fulfills the objectives of our compensation program. The compensation committee, which includes experienced directors who have served as members of the boards and compensation committees of other public companies, works closely with our CEO, discussing with him the Company’s overall performance, the CEO’s performance and his evaluation of and compensation recommendations for the other named executive officers.</w:t>
      </w:r>
    </w:p>
    <w:p>
      <w:pPr>
        <w:spacing w:after="160"/>
      </w:pPr>
      <w:r>
        <w:rPr>
          <w:b w:val="false"/>
          <w:bCs w:val="false"/>
          <w:i w:val="false"/>
          <w:iCs w:val="false"/>
          <w:color w:val="1A1A1A"/>
        </w:rPr>
        <w:t xml:space="preserve">The compensation committee then utilizes its judgment and experience in making all compensation determinations. The compensation committee’s determination of compensation levels is based upon what the members of the committee deem appropriate, considering information such as the factors listed above, as well as input from our CEO, shareholder feedback, publicly available information on compensation practices in our industry, and information and advice provided by compensation consultants.</w:t>
      </w:r>
    </w:p>
    <w:p>
      <w:pPr>
        <w:spacing w:after="160"/>
      </w:pPr>
      <w:r>
        <w:rPr>
          <w:b w:val="false"/>
          <w:bCs w:val="false"/>
          <w:i w:val="false"/>
          <w:iCs w:val="false"/>
          <w:color w:val="1A1A1A"/>
        </w:rPr>
        <w:t xml:space="preserve">Base salaries and target annual bonuses for 2024 were reviewed at the end of 2023 and adjustments were approved by the compensation committee for our named executive officers. Base salary and target bonus increases for 2024 were made effective January 1, 2024.</w:t>
      </w:r>
    </w:p>
    <w:p>
      <w:pPr>
        <w:spacing w:after="160"/>
      </w:pPr>
      <w:r>
        <w:rPr>
          <w:b w:val="false"/>
          <w:bCs w:val="false"/>
          <w:i w:val="false"/>
          <w:iCs w:val="false"/>
          <w:color w:val="1A1A1A"/>
        </w:rPr>
        <w:t xml:space="preserve">The performance goals for our 2024 annual bonus plan and the 2024 PSU awards were approved by the compensation committee in early 2024 based on expected financial performance for the full year 2024 and multi-year goals and reflected the Company’s strategic and operational short- and long-term priorities, including in the case of the PSU awards the Company’s multi-year goals for revenue and adjusted diluted earnings per share growth. The compensation committee determined at that time that the targets under our 2024 incentive compensation plans were challenging to achieve but attainable without taking excessive risk.</w:t>
      </w:r>
    </w:p>
    <w:p>
      <w:pPr>
        <w:spacing w:after="160"/>
      </w:pPr>
      <w:r>
        <w:rPr>
          <w:b w:val="false"/>
          <w:bCs w:val="false"/>
          <w:i w:val="false"/>
          <w:iCs w:val="false"/>
          <w:color w:val="1A1A1A"/>
        </w:rPr>
        <w:t xml:space="preserve">Our CEO makes recommendations to the compensation committee on adjustments to the base salaries and target bonuses of our named executive officers as well as grants of long-term incentive awards. After the end of the fiscal year, the compensation committee and the CEO discuss business performance, and the CEO’s evaluation of the level of achievement of the individual objectives set forth in the bonus scorecards of our named executive officers. The compensation committee takes into consideration the CEO’s recommendations but makes the final decisions on compensation as it deems appropriate.</w:t>
      </w:r>
    </w:p>
    <w:p>
      <w:pPr>
        <w:pStyle w:val="Heading3"/>
        <w:spacing w:after="110" w:before="220"/>
      </w:pPr>
      <w:r>
        <w:rPr>
          <w:rFonts w:ascii="Arial" w:cs="Arial" w:eastAsia="Arial" w:hAnsi="Arial"/>
          <w:b/>
          <w:bCs/>
          <w:color w:val="1A1A1A"/>
          <w:sz w:val="24"/>
          <w:szCs w:val="24"/>
        </w:rPr>
        <w:t xml:space="preserve">Role of Consultants and Advisors in Compensation Decisions</w:t>
      </w:r>
    </w:p>
    <w:p>
      <w:pPr>
        <w:spacing w:after="160"/>
      </w:pPr>
      <w:r>
        <w:rPr>
          <w:b w:val="false"/>
          <w:bCs w:val="false"/>
          <w:i w:val="false"/>
          <w:iCs w:val="false"/>
          <w:color w:val="1A1A1A"/>
        </w:rPr>
        <w:t xml:space="preserve">The compensation committee has the authority to retain and terminate an independent third-party compensation consultant and to obtain independent advice and assistance from internal and external legal, accounting and other advisors. The compensation committee has periodically engaged an independent compensation consultant that advises on compensation trends and best practices, plan design, and the competitiveness of CEO compensation.</w:t>
      </w:r>
    </w:p>
    <w:p>
      <w:pPr>
        <w:spacing w:after="160"/>
      </w:pPr>
      <w:r>
        <w:rPr>
          <w:b w:val="false"/>
          <w:bCs w:val="false"/>
          <w:i w:val="false"/>
          <w:iCs w:val="false"/>
          <w:color w:val="1A1A1A"/>
        </w:rPr>
        <w:t xml:space="preserve">In establishing the 2024 compensation for our named executive officers, the compensation committee reviewed, for reference, materials prepared by Aon, a compensation consulting firm, for management in late 2023 showing peer group compensation levels and practices for the peer group set forth below.</w:t>
      </w:r>
    </w:p>
    <w:p>
      <w:pPr>
        <w:spacing w:after="160"/>
      </w:pPr>
      <w:r>
        <w:rPr>
          <w:b w:val="false"/>
          <w:bCs w:val="false"/>
          <w:i w:val="false"/>
          <w:iCs w:val="false"/>
          <w:color w:val="1A1A1A"/>
        </w:rPr>
        <w:t xml:space="preserve">In developing this peer group, Aon included companies with which we compete for business and/or talent and companies in the broader technology industry and for which sufficient disclosure was available in publicly available proxy statements at the time of the review. In cases where the peer company data on comparable management positions was inadequate or insufficient, Aon also provided target compensation data from its published surveys for positions comparable to those of our executive officers (in terms of scope of responsibility).</w:t>
      </w:r>
    </w:p>
    <w:p>
      <w:pPr>
        <w:spacing w:after="160"/>
      </w:pPr>
      <w:r>
        <w:rPr>
          <w:b w:val="false"/>
          <w:bCs w:val="false"/>
          <w:i w:val="false"/>
          <w:iCs w:val="false"/>
          <w:color w:val="1A1A1A"/>
        </w:rPr>
        <w:t xml:space="preserve">At the end of 2023, the compensation committee considered the Company’s overall performance, the individual named executive officer’s performance, the CEO’s recommendation and the market data included in the materials provided by Aon to establish each element of the 2024 compensation for our named executive officers. In comparing our named executive officer compensation with that of the peer and survey group used by Aon, the compensation committee accounted for differences in revenue size and market capitalization between us and the companies in those groups by comparing the compensation of our named executive officers with the compensation paid by the peer and survey group companies to individuals with a similar scope of responsibility but not necessarily the same title. In addition, the compensation committee reviewed data presented by management for additional peers as appropriate by position. While the compensation committee relies on the peer and survey group analysis to provide market data and relevant trend information, it does not consider the analysis as a substitute for its collective business judgment.</w:t>
      </w:r>
    </w:p>
    <w:p>
      <w:pPr>
        <w:spacing w:after="160"/>
      </w:pPr>
      <w:r>
        <w:rPr>
          <w:b/>
          <w:bCs/>
          <w:i w:val="false"/>
          <w:iCs w:val="false"/>
          <w:color w:val="1A1A1A"/>
        </w:rPr>
        <w:t xml:space="preserve">Peer group companies for named executive officers:</w:t>
      </w:r>
    </w:p>
    <w:p>
      <w:pPr>
        <w:pStyle w:val="ListParagraph"/>
        <w:numPr>
          <w:ilvl w:val="0"/>
          <w:numId w:val="1"/>
        </w:numPr>
        <w:spacing w:after="100"/>
      </w:pPr>
      <w:r>
        <w:rPr>
          <w:color w:val="1A1A1A"/>
        </w:rPr>
        <w:t xml:space="preserve">Accenture plc</w:t>
      </w:r>
    </w:p>
    <w:p>
      <w:pPr>
        <w:pStyle w:val="ListParagraph"/>
        <w:numPr>
          <w:ilvl w:val="0"/>
          <w:numId w:val="1"/>
        </w:numPr>
        <w:spacing w:after="100"/>
      </w:pPr>
      <w:r>
        <w:rPr>
          <w:color w:val="1A1A1A"/>
        </w:rPr>
        <w:t xml:space="preserve">Akamai Technologies, Inc.</w:t>
      </w:r>
    </w:p>
    <w:p>
      <w:pPr>
        <w:pStyle w:val="ListParagraph"/>
        <w:numPr>
          <w:ilvl w:val="0"/>
          <w:numId w:val="1"/>
        </w:numPr>
        <w:spacing w:after="100"/>
      </w:pPr>
      <w:r>
        <w:rPr>
          <w:color w:val="1A1A1A"/>
        </w:rPr>
        <w:t xml:space="preserve">Capgemini S.A.</w:t>
      </w:r>
    </w:p>
    <w:p>
      <w:pPr>
        <w:pStyle w:val="ListParagraph"/>
        <w:numPr>
          <w:ilvl w:val="0"/>
          <w:numId w:val="1"/>
        </w:numPr>
        <w:spacing w:after="100"/>
      </w:pPr>
      <w:r>
        <w:rPr>
          <w:color w:val="1A1A1A"/>
        </w:rPr>
        <w:t xml:space="preserve">Cognizant Technology Solutions Corporation</w:t>
      </w:r>
    </w:p>
    <w:p>
      <w:pPr>
        <w:pStyle w:val="ListParagraph"/>
        <w:numPr>
          <w:ilvl w:val="0"/>
          <w:numId w:val="1"/>
        </w:numPr>
        <w:spacing w:after="100"/>
      </w:pPr>
      <w:r>
        <w:rPr>
          <w:color w:val="1A1A1A"/>
        </w:rPr>
        <w:t xml:space="preserve">ExlService Holdings, Inc.</w:t>
      </w:r>
    </w:p>
    <w:p>
      <w:pPr>
        <w:pStyle w:val="ListParagraph"/>
        <w:numPr>
          <w:ilvl w:val="0"/>
          <w:numId w:val="1"/>
        </w:numPr>
        <w:spacing w:after="100"/>
      </w:pPr>
      <w:r>
        <w:rPr>
          <w:color w:val="1A1A1A"/>
        </w:rPr>
        <w:t xml:space="preserve">Gartner, Inc.</w:t>
      </w:r>
    </w:p>
    <w:p>
      <w:pPr>
        <w:pStyle w:val="ListParagraph"/>
        <w:numPr>
          <w:ilvl w:val="0"/>
          <w:numId w:val="1"/>
        </w:numPr>
        <w:spacing w:after="100"/>
      </w:pPr>
      <w:r>
        <w:rPr>
          <w:color w:val="1A1A1A"/>
        </w:rPr>
        <w:t xml:space="preserve">HCL Technologies Ltd.</w:t>
      </w:r>
    </w:p>
    <w:p>
      <w:pPr>
        <w:pStyle w:val="ListParagraph"/>
        <w:numPr>
          <w:ilvl w:val="0"/>
          <w:numId w:val="1"/>
        </w:numPr>
        <w:spacing w:after="100"/>
      </w:pPr>
      <w:r>
        <w:rPr>
          <w:color w:val="1A1A1A"/>
        </w:rPr>
        <w:t xml:space="preserve">Infosys Limited</w:t>
      </w:r>
    </w:p>
    <w:p>
      <w:pPr>
        <w:pStyle w:val="ListParagraph"/>
        <w:numPr>
          <w:ilvl w:val="0"/>
          <w:numId w:val="1"/>
        </w:numPr>
        <w:spacing w:after="100"/>
      </w:pPr>
      <w:r>
        <w:rPr>
          <w:color w:val="1A1A1A"/>
        </w:rPr>
        <w:t xml:space="preserve">International Business Machines Corporation</w:t>
      </w:r>
    </w:p>
    <w:p>
      <w:pPr>
        <w:pStyle w:val="ListParagraph"/>
        <w:numPr>
          <w:ilvl w:val="0"/>
          <w:numId w:val="1"/>
        </w:numPr>
        <w:spacing w:after="100"/>
      </w:pPr>
      <w:r>
        <w:rPr>
          <w:color w:val="1A1A1A"/>
        </w:rPr>
        <w:t xml:space="preserve">Tata Consultancy Services Limited</w:t>
      </w:r>
    </w:p>
    <w:p>
      <w:pPr>
        <w:pStyle w:val="ListParagraph"/>
        <w:numPr>
          <w:ilvl w:val="0"/>
          <w:numId w:val="1"/>
        </w:numPr>
        <w:spacing w:after="100"/>
      </w:pPr>
      <w:r>
        <w:rPr>
          <w:color w:val="1A1A1A"/>
        </w:rPr>
        <w:t xml:space="preserve">Wipro Limited</w:t>
      </w:r>
    </w:p>
    <w:p>
      <w:pPr>
        <w:pStyle w:val="ListParagraph"/>
        <w:numPr>
          <w:ilvl w:val="0"/>
          <w:numId w:val="1"/>
        </w:numPr>
        <w:spacing w:after="100"/>
      </w:pPr>
      <w:r>
        <w:rPr>
          <w:color w:val="1A1A1A"/>
        </w:rPr>
        <w:t xml:space="preserve">WNS (Holdings) Limited</w:t>
      </w:r>
    </w:p>
    <w:p>
      <w:pPr>
        <w:pStyle w:val="Heading3"/>
        <w:spacing w:after="110" w:before="220"/>
      </w:pPr>
      <w:r>
        <w:rPr>
          <w:rFonts w:ascii="Arial" w:cs="Arial" w:eastAsia="Arial" w:hAnsi="Arial"/>
          <w:b/>
          <w:bCs/>
          <w:color w:val="1A1A1A"/>
          <w:sz w:val="24"/>
          <w:szCs w:val="24"/>
        </w:rPr>
        <w:t xml:space="preserve">2024 Target Pay Mix and Pay Positioning</w:t>
      </w:r>
    </w:p>
    <w:p>
      <w:pPr>
        <w:spacing w:after="160"/>
      </w:pPr>
      <w:r>
        <w:rPr>
          <w:b w:val="false"/>
          <w:bCs w:val="false"/>
          <w:i w:val="false"/>
          <w:iCs w:val="false"/>
          <w:color w:val="1A1A1A"/>
        </w:rPr>
        <w:t xml:space="preserve">The compensation committee annually reviews the total direct compensation and pay mix for the CEO and each other named executive officer. In determining total compensation opportunities and the pay mix for our executives, the compensation committee considers many factors, including (i) our pay for performance compensation philosophy; (ii) competitive market data to provide a frame of reference for how our peer group companies set compensation opportunities; (iii) the nature and scope of the executive’s role at the Company; (iv) the individual’s performance, experience, skill set, tenure and institutional knowledge, contributions to the Company and impact to shareholder value; and (v) the retention value of the compensation.</w:t>
      </w:r>
    </w:p>
    <w:p>
      <w:pPr>
        <w:spacing w:after="160"/>
      </w:pPr>
      <w:r>
        <w:rPr>
          <w:b w:val="false"/>
          <w:bCs w:val="false"/>
          <w:i w:val="false"/>
          <w:iCs w:val="false"/>
          <w:color w:val="1A1A1A"/>
        </w:rPr>
        <w:t xml:space="preserve">While we do not have any pre-established allocation of the target pay mix, the compensation committee’s overall intent is to emphasize the variable, performance-based components of pay and, accordingly, we allocate a significant percentage of targeted total compensation in the form of PSUs and our annual performance-based bonus plan, payouts under both of which fluctuate with Company performance. Our long-term incentives for 2024 were in the form of PSUs and RSUs.</w:t>
      </w:r>
    </w:p>
    <w:p>
      <w:pPr>
        <w:spacing w:after="160"/>
      </w:pPr>
      <w:r>
        <w:rPr>
          <w:b/>
          <w:bCs/>
          <w:i w:val="false"/>
          <w:iCs w:val="false"/>
          <w:color w:val="1A1A1A"/>
        </w:rPr>
        <w:t xml:space="preserve">NEO compensation mix:</w:t>
      </w:r>
    </w:p>
    <w:p>
      <w:pPr>
        <w:spacing w:after="160"/>
      </w:pPr>
      <w:r>
        <w:rPr>
          <w:b w:val="false"/>
          <w:bCs w:val="false"/>
          <w:i w:val="false"/>
          <w:iCs w:val="false"/>
          <w:color w:val="1A1A1A"/>
        </w:rPr>
        <w:t xml:space="preserve">For our named executive officers, we continued to maintain a compensation structure with a significant portion of total compensation at risk based on Company and share price performance. Approximately 80% of our NEOs’ target total direct compensation for 2024 was in the form of variable compensation, the ultimate value of which depends on achievement of annual and long-term financial goals or share price performance, or both, and was strongly linked to Company results. Only 20% of our NEOs’ 2024 target compensation was in the form of fixed pay.</w:t>
      </w:r>
    </w:p>
    <w:p>
      <w:pPr>
        <w:pStyle w:val="Heading3"/>
        <w:spacing w:after="110" w:before="220"/>
      </w:pPr>
      <w:r>
        <w:rPr>
          <w:rFonts w:ascii="Arial" w:cs="Arial" w:eastAsia="Arial" w:hAnsi="Arial"/>
          <w:b/>
          <w:bCs/>
          <w:color w:val="1A1A1A"/>
          <w:sz w:val="24"/>
          <w:szCs w:val="24"/>
        </w:rPr>
        <w:t xml:space="preserve">Say-on-Pay Vote</w:t>
      </w:r>
    </w:p>
    <w:p>
      <w:pPr>
        <w:spacing w:after="160"/>
      </w:pPr>
      <w:r>
        <w:rPr>
          <w:b w:val="false"/>
          <w:bCs w:val="false"/>
          <w:i w:val="false"/>
          <w:iCs w:val="false"/>
          <w:color w:val="1A1A1A"/>
        </w:rPr>
        <w:t xml:space="preserve">Each year, our compensation committee considers the outcome of our annual shareholder advisory vote on executive compensation when making decisions relating to the compensation of our named executive officers and our executive compensation programs and policies. At our 2024 annual meeting of shareholders, approximately 91% of the votes cast were in favor of the compensation of our named executive officers.</w:t>
      </w:r>
    </w:p>
    <w:p>
      <w:pPr>
        <w:pStyle w:val="Heading3"/>
        <w:spacing w:after="110" w:before="220"/>
      </w:pPr>
      <w:r>
        <w:rPr>
          <w:rFonts w:ascii="Arial" w:cs="Arial" w:eastAsia="Arial" w:hAnsi="Arial"/>
          <w:b/>
          <w:bCs/>
          <w:color w:val="1A1A1A"/>
          <w:sz w:val="24"/>
          <w:szCs w:val="24"/>
        </w:rPr>
        <w:t xml:space="preserve">Frequency of “Say-on-Pay” Shareholder Advisory Vote</w:t>
      </w:r>
    </w:p>
    <w:p>
      <w:pPr>
        <w:spacing w:after="160"/>
      </w:pPr>
      <w:r>
        <w:rPr>
          <w:b w:val="false"/>
          <w:bCs w:val="false"/>
          <w:i w:val="false"/>
          <w:iCs w:val="false"/>
          <w:color w:val="1A1A1A"/>
        </w:rPr>
        <w:t xml:space="preserve">Based on the results of the “say-on-frequency” vote held at our 2023 annual meeting, at which approximately 98.5% of the votes submitted by our shareholders were in favor of holding an annual shareholder advisory “say-on-pay” vote, our board of directors has decided that shareholder advisory “say-on-pay” votes will occur annually. Our next “say-on-frequency” vote will be held at our 2029 annual meeting.</w:t>
      </w:r>
    </w:p>
    <w:p>
      <w:pPr>
        <w:pStyle w:val="Heading3"/>
        <w:spacing w:after="110" w:before="220"/>
      </w:pPr>
      <w:r>
        <w:rPr>
          <w:rFonts w:ascii="Arial" w:cs="Arial" w:eastAsia="Arial" w:hAnsi="Arial"/>
          <w:b/>
          <w:bCs/>
          <w:color w:val="1A1A1A"/>
          <w:sz w:val="24"/>
          <w:szCs w:val="24"/>
        </w:rPr>
        <w:t xml:space="preserve">Compensation Components</w:t>
      </w:r>
    </w:p>
    <w:p>
      <w:pPr>
        <w:spacing w:after="160"/>
      </w:pPr>
      <w:r>
        <w:rPr>
          <w:b w:val="false"/>
          <w:bCs w:val="false"/>
          <w:i w:val="false"/>
          <w:iCs w:val="false"/>
          <w:color w:val="1A1A1A"/>
        </w:rPr>
        <w:t xml:space="preserve">We regularly evaluate how to best compensate our executive officers, based upon market data and the extensive experience of our compensation committee with performance and retention practices. For fiscal 2024, our executive compensation program had three primary components, in addition to certain benefits and perquisites:</w:t>
      </w:r>
    </w:p>
    <w:p>
      <w:pPr>
        <w:pStyle w:val="ListParagraph"/>
        <w:numPr>
          <w:ilvl w:val="0"/>
          <w:numId w:val="1"/>
        </w:numPr>
        <w:spacing w:after="100"/>
      </w:pPr>
      <w:r>
        <w:rPr>
          <w:color w:val="1A1A1A"/>
        </w:rPr>
        <w:t xml:space="preserve">Base salary;</w:t>
      </w:r>
    </w:p>
    <w:p>
      <w:pPr>
        <w:pStyle w:val="ListParagraph"/>
        <w:numPr>
          <w:ilvl w:val="0"/>
          <w:numId w:val="1"/>
        </w:numPr>
        <w:spacing w:after="100"/>
      </w:pPr>
      <w:r>
        <w:rPr>
          <w:color w:val="1A1A1A"/>
        </w:rPr>
        <w:t xml:space="preserve">Short-term, performance-based incentive compensation, or our annual cash bonus plan; and</w:t>
      </w:r>
    </w:p>
    <w:p>
      <w:pPr>
        <w:pStyle w:val="ListParagraph"/>
        <w:numPr>
          <w:ilvl w:val="0"/>
          <w:numId w:val="1"/>
        </w:numPr>
        <w:spacing w:after="100"/>
      </w:pPr>
      <w:r>
        <w:rPr>
          <w:color w:val="1A1A1A"/>
        </w:rPr>
        <w:t xml:space="preserve">Long-term, performance- and time-based equity compensation in the form of PSUs and RSUs.</w:t>
      </w:r>
    </w:p>
    <w:p>
      <w:pPr>
        <w:pStyle w:val="Heading3"/>
        <w:spacing w:after="110" w:before="220"/>
      </w:pPr>
      <w:r>
        <w:rPr>
          <w:rFonts w:ascii="Arial" w:cs="Arial" w:eastAsia="Arial" w:hAnsi="Arial"/>
          <w:b/>
          <w:bCs/>
          <w:color w:val="1A1A1A"/>
          <w:sz w:val="24"/>
          <w:szCs w:val="24"/>
        </w:rPr>
        <w:t xml:space="preserve">Base Salary</w:t>
      </w:r>
    </w:p>
    <w:p>
      <w:pPr>
        <w:spacing w:after="160"/>
      </w:pPr>
      <w:r>
        <w:rPr>
          <w:b w:val="false"/>
          <w:bCs w:val="false"/>
          <w:i w:val="false"/>
          <w:iCs w:val="false"/>
          <w:color w:val="1A1A1A"/>
        </w:rPr>
        <w:t xml:space="preserve">Base salary is provided to ensure that we are able to attract and retain high-quality executives. It is intended to provide a fixed level of overall compensation that does not vary annually based on performance or changes in shareholder value. Base salary reflects the experience, knowledge, skills and performance records our NEOs bring to their positions and the general market conditions in the country in which they are located. In addition, we have entered into employment agreements with our NEOs, each of which specifies a minimum base salary.</w:t>
      </w:r>
    </w:p>
    <w:p>
      <w:pPr>
        <w:spacing w:after="160"/>
      </w:pPr>
      <w:r>
        <w:rPr>
          <w:b w:val="false"/>
          <w:bCs w:val="false"/>
          <w:i w:val="false"/>
          <w:iCs w:val="false"/>
          <w:color w:val="1A1A1A"/>
        </w:rPr>
        <w:t xml:space="preserve">Our compensation committee reviews the base salaries of our executives annually. The compensation committee determines changes in base salaries based on various factors, including the importance of the executive’s role in our overall business, the performance and potential of the executive, general Company performance, the market practices in the country where the named executive officer is located, and the executive’s current base salary relative to benchmarking data for the peer group companies. In connection with such review, our CEO provides compensation recommendations for our named executive officers, and the compensation committee considers the CEO’s recommendations in setting the executive officers’ base salaries.</w:t>
      </w:r>
    </w:p>
    <w:tbl>
      <w:tblPr>
        <w:tblW w:type="pct" w:w="100%"/>
        <w:tblBorders>
          <w:top w:val="single" w:color="CCCCCC" w:sz="4"/>
          <w:left w:val="none" w:color="FFFFFF" w:sz="0"/>
          <w:bottom w:val="single" w:color="CCCCCC" w:sz="4"/>
          <w:right w:val="none" w:color="FFFFFF" w:sz="0"/>
          <w:insideH w:val="single" w:color="E3E3E3" w:sz="2"/>
          <w:insideV w:val="none" w:color="FFFFFF" w:sz="0"/>
        </w:tblBorders>
      </w:tblPr>
      <w:tblGrid>
        <w:gridCol w:w="100"/>
        <w:gridCol w:w="100"/>
        <w:gridCol w:w="100"/>
      </w:tblGrid>
      <w:tr>
        <w:trPr>
          <w:tblHeader/>
        </w:trPr>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Executive</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2023 Base Salary</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2024 Base Salary</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Michael Weiner</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$625,000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$650,000</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Piyush Mehta</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$345,797</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$376,316</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Anil Nanduru</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$625,000</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Riju Vashisht</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$625,000</w:t>
            </w:r>
          </w:p>
        </w:tc>
      </w:tr>
    </w:tbl>
    <w:p>
      <w:pPr>
        <w:pStyle w:val="Heading3"/>
        <w:spacing w:after="110" w:before="220"/>
      </w:pPr>
      <w:r>
        <w:rPr>
          <w:rFonts w:ascii="Arial" w:cs="Arial" w:eastAsia="Arial" w:hAnsi="Arial"/>
          <w:b/>
          <w:bCs/>
          <w:color w:val="1A1A1A"/>
          <w:sz w:val="24"/>
          <w:szCs w:val="24"/>
        </w:rPr>
        <w:t xml:space="preserve">Annual Cash Bonus</w:t>
      </w:r>
    </w:p>
    <w:p>
      <w:pPr>
        <w:spacing w:after="160"/>
      </w:pPr>
      <w:r>
        <w:rPr>
          <w:b w:val="false"/>
          <w:bCs w:val="false"/>
          <w:i w:val="false"/>
          <w:iCs w:val="false"/>
          <w:color w:val="1A1A1A"/>
        </w:rPr>
        <w:t xml:space="preserve">Annual cash bonuses under our cash bonus plan are designed to reward our executives, including our named executive officers, for Company performance and our executives’ individual performance during the most recent year. Annual cash bonuses are directly linked to Company, segment and individual performance. Annual bonuses to our executives are payable only if threshold performance is attained. As in prior years, for 2024 the compensation committee established a bonus pool, which is funded based on the level of attainment of Company performance metrics (subject to a threshold level of performance). The compensation committee also established target bonuses for each NEO, with the actual bonus payable based on attainment of individual, Company and segment goals and adjusted based on the funding of the bonus pool.</w:t>
      </w:r>
    </w:p>
    <w:p>
      <w:pPr>
        <w:spacing w:after="160"/>
      </w:pPr>
      <w:r>
        <w:rPr>
          <w:b/>
          <w:bCs/>
          <w:i w:val="false"/>
          <w:iCs w:val="false"/>
          <w:color w:val="1A1A1A"/>
        </w:rPr>
        <w:t xml:space="preserve">Target bonuses:</w:t>
      </w:r>
    </w:p>
    <w:p>
      <w:pPr>
        <w:spacing w:after="160"/>
      </w:pPr>
      <w:r>
        <w:rPr>
          <w:b w:val="false"/>
          <w:bCs w:val="false"/>
          <w:i w:val="false"/>
          <w:iCs w:val="false"/>
          <w:color w:val="1A1A1A"/>
        </w:rPr>
        <w:t xml:space="preserve">Under our annual cash bonus plan, each of our named executive officers is eligible for a target bonus specified as a percentage of his or her base salary. For 2024, our named executive officers’ target bonuses were 100% of their base salaries.</w:t>
      </w:r>
    </w:p>
    <w:p>
      <w:pPr>
        <w:spacing w:after="160"/>
      </w:pPr>
      <w:r>
        <w:rPr>
          <w:b/>
          <w:bCs/>
          <w:i w:val="false"/>
          <w:iCs w:val="false"/>
          <w:color w:val="1A1A1A"/>
        </w:rPr>
        <w:t xml:space="preserve">Bonus pool:</w:t>
      </w:r>
    </w:p>
    <w:p>
      <w:pPr>
        <w:spacing w:after="160"/>
      </w:pPr>
      <w:r>
        <w:rPr>
          <w:b w:val="false"/>
          <w:bCs w:val="false"/>
          <w:i w:val="false"/>
          <w:iCs w:val="false"/>
          <w:color w:val="1A1A1A"/>
        </w:rPr>
        <w:t xml:space="preserve">At the beginning of 2024, the compensation committee established a target bonus pool for 2024 equal to the aggregate target bonuses for all of the senior vice presidents in the Company, including all of the named executive officers. The bonus pool was to be funded based on the Company’s 2024 adjusted income from operations (“AOI”) margin, revenue and employee engagement score performance, weighted 45%, 45% and 10%, respectively. The bonus pool funding was subject to an additional condition that if the Company’s AOI margin for 2024 was lower than a specified amount, the compensation committee could reduce the bonus pool funding, including to zero, to allow the Company to achieve a specified AOI margin for 2024.</w:t>
      </w:r>
    </w:p>
    <w:p>
      <w:pPr>
        <w:spacing w:after="160"/>
      </w:pPr>
      <w:r>
        <w:rPr>
          <w:b w:val="false"/>
          <w:bCs w:val="false"/>
          <w:i w:val="false"/>
          <w:iCs w:val="false"/>
          <w:color w:val="1A1A1A"/>
        </w:rPr>
        <w:t xml:space="preserve">The employee engagement metric used for the 2024 bonus pool was the Company’s employee engagement score for 2024, which is calculated by multiplying the Company’s overall employee response rate on its “Amber” platform, an AI-based tool that collects employee feedback and assesses employee sentiment, by the percentage of the Company’s Amber positive mood responses. As in prior years, the compensation committee believes that this employee engagement metric is meaningful because we have observed higher rates of attrition among employees who do not engage with the Amber platform.</w:t>
      </w:r>
    </w:p>
    <w:tbl>
      <w:tblPr>
        <w:tblW w:type="pct" w:w="100%"/>
        <w:tblBorders>
          <w:top w:val="single" w:color="CCCCCC" w:sz="4"/>
          <w:left w:val="none" w:color="FFFFFF" w:sz="0"/>
          <w:bottom w:val="single" w:color="CCCCCC" w:sz="4"/>
          <w:right w:val="none" w:color="FFFFFF" w:sz="0"/>
          <w:insideH w:val="single" w:color="E3E3E3" w:sz="2"/>
          <w:insideV w:val="none" w:color="FFFFFF" w:sz="0"/>
        </w:tblBorders>
      </w:tblPr>
      <w:tblGrid>
        <w:gridCol w:w="100"/>
        <w:gridCol w:w="100"/>
        <w:gridCol w:w="100"/>
        <w:gridCol w:w="100"/>
      </w:tblGrid>
      <w:tr>
        <w:trPr>
          <w:tblHeader/>
        </w:trPr>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Performance Goal (Weighting)</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Threshold</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Target</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Outstanding</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AOI margin (45%)</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98%</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100%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102%</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Revenue (45%)</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99%</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100%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104%</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Employee engagement score (10%)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92%</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100%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108%</w:t>
            </w:r>
          </w:p>
        </w:tc>
      </w:tr>
    </w:tbl>
    <w:p>
      <w:pPr>
        <w:spacing w:after="120"/>
      </w:pPr>
    </w:p>
    <w:tbl>
      <w:tblPr>
        <w:tblW w:type="pct" w:w="100%"/>
        <w:tblBorders>
          <w:top w:val="single" w:color="CCCCCC" w:sz="4"/>
          <w:left w:val="none" w:color="FFFFFF" w:sz="0"/>
          <w:bottom w:val="single" w:color="CCCCCC" w:sz="4"/>
          <w:right w:val="none" w:color="FFFFFF" w:sz="0"/>
          <w:insideH w:val="single" w:color="E3E3E3" w:sz="2"/>
          <w:insideV w:val="none" w:color="FFFFFF" w:sz="0"/>
        </w:tblBorders>
      </w:tblPr>
      <w:tblGrid>
        <w:gridCol w:w="100"/>
        <w:gridCol w:w="100"/>
      </w:tblGrid>
      <w:tr>
        <w:trPr>
          <w:tblHeader/>
        </w:trPr>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Bonus Pool Performance Level</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Company Multiplier (% of Total Target Bonuses)</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Threshold</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50%</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Target</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100%</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Outstanding</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200%</w:t>
            </w:r>
          </w:p>
        </w:tc>
      </w:tr>
    </w:tbl>
    <w:p>
      <w:pPr>
        <w:spacing w:after="160"/>
      </w:pPr>
      <w:r>
        <w:rPr>
          <w:b w:val="false"/>
          <w:bCs w:val="false"/>
          <w:i w:val="false"/>
          <w:iCs w:val="false"/>
          <w:color w:val="1A1A1A"/>
        </w:rPr>
        <w:t xml:space="preserve">For 2024, we achieved higher-than-target performance on the revenue and employee engagement score goals and lower-than-target but higher than threshold performance on the AOI margin goal. Based on the level of achievement of the AOI margin goal, the compensation committee exercised its discretion to reduce the funding of the bonus pool, resulting in a Company Multiplier of approximately 100%.</w:t>
      </w:r>
    </w:p>
    <w:p>
      <w:pPr>
        <w:spacing w:after="160"/>
      </w:pPr>
      <w:r>
        <w:rPr>
          <w:b/>
          <w:bCs/>
          <w:i w:val="false"/>
          <w:iCs w:val="false"/>
          <w:color w:val="1A1A1A"/>
        </w:rPr>
        <w:t xml:space="preserve">Bonus scorecards:</w:t>
      </w:r>
    </w:p>
    <w:p>
      <w:pPr>
        <w:spacing w:after="160"/>
      </w:pPr>
      <w:r>
        <w:rPr>
          <w:b w:val="false"/>
          <w:bCs w:val="false"/>
          <w:i w:val="false"/>
          <w:iCs w:val="false"/>
          <w:color w:val="1A1A1A"/>
        </w:rPr>
        <w:t xml:space="preserve">In an effort to further link our executive officer compensation to measurable Company and individual performance, the actual bonus payable to each of our named executive officers is determined based on attainment of pre-established individual, Company and segment performance targets for each officer subject to the maximum bonus potential based on the level of AOI margin, revenue and employee engagement scores. We utilize a scorecard methodology that incorporates multiple financial and non-financial strategic performance indicators for each officer, with the financial performance metrics accounting for between 60% and 85% of the result. Financial performance metrics included metrics such as company revenue, AOI and gross profit margin and, in certain cases, segment revenue and AOI and gross margin. Non-financial strategic performance metrics included talent and leadership development, talent engagement and retention and AI-led transformation.</w:t>
      </w:r>
    </w:p>
    <w:p>
      <w:pPr>
        <w:spacing w:after="160"/>
      </w:pPr>
      <w:r>
        <w:rPr>
          <w:b w:val="false"/>
          <w:bCs w:val="false"/>
          <w:i w:val="false"/>
          <w:iCs w:val="false"/>
          <w:color w:val="1A1A1A"/>
        </w:rPr>
        <w:t xml:space="preserve">The potential bonus payout based on the scorecard result ranges from 0% to 150% of target. The CEO establishes the scorecards for the other executive officers.</w:t>
      </w:r>
    </w:p>
    <w:p>
      <w:pPr>
        <w:spacing w:after="160"/>
      </w:pPr>
      <w:r>
        <w:rPr>
          <w:b w:val="false"/>
          <w:bCs w:val="false"/>
          <w:i w:val="false"/>
          <w:iCs w:val="false"/>
          <w:color w:val="1A1A1A"/>
        </w:rPr>
        <w:t xml:space="preserve">The compensation committee determines the level of attainment of the scorecard goals for each of our named executive officers, with our CEO providing input. Threshold performance on a given financial metric results in payment of 75% of the target bonus allocated to that metric. There is no threshold performance required for the non-financial metrics.</w:t>
      </w:r>
    </w:p>
    <w:p>
      <w:pPr>
        <w:spacing w:after="160"/>
      </w:pPr>
      <w:r>
        <w:rPr>
          <w:b w:val="false"/>
          <w:bCs w:val="false"/>
          <w:i w:val="false"/>
          <w:iCs w:val="false"/>
          <w:color w:val="1A1A1A"/>
        </w:rPr>
        <w:t xml:space="preserve">The individual bonus amount for each named executive officer was determined based on the scorecard result and the “Bonus Payment Multiplier,” a percentage determined by dividing the funded bonus pool (which was determined by multiplying the aggregate target bonuses of the bonus pool participants by the Company Multiplier of approximately 100%) by the total of all bonus amounts based on individual scorecard results, used to ensure that the total payouts equal the funded pool. For 2024, the Bonus Payment Multiplier was approximately 106%, which is higher than the Company Multiplier because the average bonus scorecard result was below 100%, reflecting the rigor of the scorecard goals. In no circumstance can the total of the bonus payouts under the plan exceed the funded pool.</w:t>
      </w:r>
    </w:p>
    <w:p>
      <w:pPr>
        <w:spacing w:after="160"/>
      </w:pPr>
      <w:r>
        <w:rPr>
          <w:b w:val="false"/>
          <w:bCs w:val="false"/>
          <w:i w:val="false"/>
          <w:iCs w:val="false"/>
          <w:color w:val="1A1A1A"/>
        </w:rPr>
        <w:t xml:space="preserve">Accordingly, the 2024 bonus for each named executive officer was determined as follows: 2024 target bonus multiplied by individual scorecard achievement (0-150%) multiplied by the 2024 Bonus Payment Multiplier of approximately 106%.</w:t>
      </w:r>
    </w:p>
    <w:tbl>
      <w:tblPr>
        <w:tblW w:type="pct" w:w="100%"/>
        <w:tblBorders>
          <w:top w:val="single" w:color="CCCCCC" w:sz="4"/>
          <w:left w:val="none" w:color="FFFFFF" w:sz="0"/>
          <w:bottom w:val="single" w:color="CCCCCC" w:sz="4"/>
          <w:right w:val="none" w:color="FFFFFF" w:sz="0"/>
          <w:insideH w:val="single" w:color="E3E3E3" w:sz="2"/>
          <w:insideV w:val="none" w:color="FFFFFF" w:sz="0"/>
        </w:tblBorders>
      </w:tblPr>
      <w:tblGrid>
        <w:gridCol w:w="100"/>
        <w:gridCol w:w="100"/>
        <w:gridCol w:w="100"/>
        <w:gridCol w:w="100"/>
      </w:tblGrid>
      <w:tr>
        <w:trPr>
          <w:tblHeader/>
        </w:trPr>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Executive</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2023 Payment</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2024 Target Bonus</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2024 Payment</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Michael Weiner</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$512,675</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$650,000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$591,995</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Piyush Mehta</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$291,538</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$376,316</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$406,142</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Anil Nanduru</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$625,000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$669,438</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Riju Vashisht</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$625,000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$766,521</w:t>
            </w:r>
          </w:p>
        </w:tc>
      </w:tr>
    </w:tbl>
    <w:p>
      <w:pPr>
        <w:pStyle w:val="Heading3"/>
        <w:spacing w:after="110" w:before="220"/>
      </w:pPr>
      <w:r>
        <w:rPr>
          <w:rFonts w:ascii="Arial" w:cs="Arial" w:eastAsia="Arial" w:hAnsi="Arial"/>
          <w:b/>
          <w:bCs/>
          <w:color w:val="1A1A1A"/>
          <w:sz w:val="24"/>
          <w:szCs w:val="24"/>
        </w:rPr>
        <w:t xml:space="preserve">Equity-Based Compensation</w:t>
      </w:r>
    </w:p>
    <w:p>
      <w:pPr>
        <w:spacing w:after="160"/>
      </w:pPr>
      <w:r>
        <w:rPr>
          <w:b w:val="false"/>
          <w:bCs w:val="false"/>
          <w:i w:val="false"/>
          <w:iCs w:val="false"/>
          <w:color w:val="1A1A1A"/>
        </w:rPr>
        <w:t xml:space="preserve">Our equity-based compensation program is designed to attract and retain highly qualified individuals, given that competition for talent is high in our industry, and to align the long-term interests of our executives with those of our shareholders. Equity-based compensation is subject to multi-year vesting requirements, which requires the continued service of our executives in order for them to realize gains.</w:t>
      </w:r>
    </w:p>
    <w:p>
      <w:pPr>
        <w:spacing w:after="160"/>
      </w:pPr>
      <w:r>
        <w:rPr>
          <w:b w:val="false"/>
          <w:bCs w:val="false"/>
          <w:i w:val="false"/>
          <w:iCs w:val="false"/>
          <w:color w:val="1A1A1A"/>
        </w:rPr>
        <w:t xml:space="preserve">For 2024, the annual equity component of our executive officer compensation was comprised of PSUs and RSUs. Our compensation committee believes that a mix of annual PSUs and RSUs aligns with market practice among our peers and incentivizes growth without encouraging excessive risk taking.</w:t>
      </w:r>
    </w:p>
    <w:p>
      <w:pPr>
        <w:spacing w:after="160"/>
      </w:pPr>
      <w:r>
        <w:rPr>
          <w:b w:val="false"/>
          <w:bCs w:val="false"/>
          <w:i w:val="false"/>
          <w:iCs w:val="false"/>
          <w:color w:val="1A1A1A"/>
        </w:rPr>
        <w:t xml:space="preserve">In 2024, we granted PSUs and RSUs to all of our named executive officers. The PSUs represented between 37% and 43% of the total 2024 target compensation for our named executive officers, and the RSUs represented between 17% and 38% of the total 2024 target compensation for our named executive officers. We also granted one-time retention RSUs and supplemental PSUs to certain of our named executive officers, described below.</w:t>
      </w:r>
    </w:p>
    <w:p>
      <w:pPr>
        <w:spacing w:after="160"/>
      </w:pPr>
      <w:r>
        <w:rPr>
          <w:b/>
          <w:bCs/>
          <w:i w:val="false"/>
          <w:iCs w:val="false"/>
          <w:color w:val="1A1A1A"/>
        </w:rPr>
        <w:t xml:space="preserve">2024 Restricted Share Unit Awards:</w:t>
      </w:r>
    </w:p>
    <w:p>
      <w:pPr>
        <w:spacing w:after="160"/>
      </w:pPr>
      <w:r>
        <w:rPr>
          <w:b w:val="false"/>
          <w:bCs w:val="false"/>
          <w:i w:val="false"/>
          <w:iCs w:val="false"/>
          <w:color w:val="1A1A1A"/>
        </w:rPr>
        <w:t xml:space="preserve">The RSUs we granted to our named executive officers in 2024 vest with respect to one-third of the shares underlying the award on January 10th each year from 2025 through 2027, subject to each named executive officer’s service through each vesting date. In addition, in the event of a named executive officer’s termination of service by reason of death, disability or retirement, a pro rata portion of such shares will vest based on the period of service through the termination date.</w:t>
      </w:r>
    </w:p>
    <w:p>
      <w:pPr>
        <w:spacing w:after="160"/>
      </w:pPr>
      <w:r>
        <w:rPr>
          <w:b w:val="false"/>
          <w:bCs w:val="false"/>
          <w:i w:val="false"/>
          <w:iCs w:val="false"/>
          <w:color w:val="1A1A1A"/>
        </w:rPr>
        <w:t xml:space="preserve">In March 2024, we granted additional one-time RSUs to Mr. Weiner with a value of $2 million and to Messrs. Mehta and Nanduru and Ms. Vashisht with a value of $1.5 million each as a one-time retention award in connection with the CEO transition in early 2024. These RSUs vest in equal installments over a three-year period on the same schedule as the annual RSU grants awarded in 2024.</w:t>
      </w:r>
    </w:p>
    <w:p>
      <w:pPr>
        <w:spacing w:after="160"/>
      </w:pPr>
      <w:r>
        <w:rPr>
          <w:b/>
          <w:bCs/>
          <w:i w:val="false"/>
          <w:iCs w:val="false"/>
          <w:color w:val="1A1A1A"/>
        </w:rPr>
        <w:t xml:space="preserve">2024 Performance Share Unit Awards:</w:t>
      </w:r>
    </w:p>
    <w:p>
      <w:pPr>
        <w:spacing w:after="160"/>
      </w:pPr>
      <w:r>
        <w:rPr>
          <w:b w:val="false"/>
          <w:bCs w:val="false"/>
          <w:i w:val="false"/>
          <w:iCs w:val="false"/>
          <w:color w:val="1A1A1A"/>
        </w:rPr>
        <w:t xml:space="preserve">Under the 2024 PSU awards, each of our named executive officers is eligible to receive shares based on the Company’s level of attainment of specified performance goals over a three-year performance period and such officer’s continued service through a service vesting period ending on March 10, 2027.</w:t>
      </w:r>
    </w:p>
    <w:p>
      <w:pPr>
        <w:spacing w:after="160"/>
      </w:pPr>
      <w:r>
        <w:rPr>
          <w:b w:val="false"/>
          <w:bCs w:val="false"/>
          <w:i w:val="false"/>
          <w:iCs w:val="false"/>
          <w:color w:val="1A1A1A"/>
        </w:rPr>
        <w:t xml:space="preserve">The performance goals for the 2024 PSUs were adjusted diluted earnings per share (“Adjusted EPS”), weighted 50%, and revenue, weighted 50%. These performance goals were set in early 2024 at predetermined year-over-year growth rates relative to actual performance for the prior year for each of the three performance years from 2024 to 2026.</w:t>
      </w:r>
    </w:p>
    <w:p>
      <w:pPr>
        <w:spacing w:after="160"/>
      </w:pPr>
      <w:r>
        <w:rPr>
          <w:b w:val="false"/>
          <w:bCs w:val="false"/>
          <w:i w:val="false"/>
          <w:iCs w:val="false"/>
          <w:color w:val="1A1A1A"/>
        </w:rPr>
        <w:t xml:space="preserve">In contrast to the 2023 PSUs, which weighted Adjusted EPS at 75% and revenue at 25%, the 2024 PSUs reflect a strategic adjustment to equal weighting. Given our lower-than-expected revenue growth in 2023, the change in weighting for 2024 aims to drive greater accountability for revenue growth while continuing to focus on increasing profitability through the continued use of the Adjusted EPS goal. Additionally, the 2024 PSUs include a relative Total Shareholder Return (TSR) modifier, adjusting the aggregate performance percentage of the awards from 0.8x to 1.2x based on our TSR performance relative to the S&amp;P 400 (Midcap) Index over the three-year performance period. This structure ensures our leadership team remains accountable for sustained profitable growth and aligns executive compensation with shareholder value creation.</w:t>
      </w:r>
    </w:p>
    <w:tbl>
      <w:tblPr>
        <w:tblW w:type="pct" w:w="100%"/>
        <w:tblBorders>
          <w:top w:val="single" w:color="CCCCCC" w:sz="4"/>
          <w:left w:val="none" w:color="FFFFFF" w:sz="0"/>
          <w:bottom w:val="single" w:color="CCCCCC" w:sz="4"/>
          <w:right w:val="none" w:color="FFFFFF" w:sz="0"/>
          <w:insideH w:val="single" w:color="E3E3E3" w:sz="2"/>
          <w:insideV w:val="none" w:color="FFFFFF" w:sz="0"/>
        </w:tblBorders>
      </w:tblPr>
      <w:tblGrid>
        <w:gridCol w:w="100"/>
        <w:gridCol w:w="100"/>
      </w:tblGrid>
      <w:tr>
        <w:trPr>
          <w:tblHeader/>
        </w:trPr>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Performance Level</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Vesting Percentage</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Below Threshold</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0%</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Threshold</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50%</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Target</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100%</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Outstanding</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200%</w:t>
            </w:r>
          </w:p>
        </w:tc>
      </w:tr>
    </w:tbl>
    <w:p>
      <w:pPr>
        <w:spacing w:after="160"/>
      </w:pPr>
      <w:r>
        <w:rPr>
          <w:b w:val="false"/>
          <w:bCs w:val="false"/>
          <w:i w:val="false"/>
          <w:iCs w:val="false"/>
          <w:color w:val="1A1A1A"/>
        </w:rPr>
        <w:t xml:space="preserve">Vesting of either of the two performance tranches of the award (based on the two performance goals) depends on achievement of threshold performance for such tranche. Each tranche can vest independently of the other. Accordingly, failure to achieve the threshold level of one of the goals will negatively affect the aggregate vesting percentage at the end of the performance period but will not on its own prevent the awards from vesting with respect to the other goal, assuming achievement of the other performance goal at the threshold level or higher.</w:t>
      </w:r>
    </w:p>
    <w:tbl>
      <w:tblPr>
        <w:tblW w:type="pct" w:w="100%"/>
        <w:tblBorders>
          <w:top w:val="single" w:color="CCCCCC" w:sz="4"/>
          <w:left w:val="none" w:color="FFFFFF" w:sz="0"/>
          <w:bottom w:val="single" w:color="CCCCCC" w:sz="4"/>
          <w:right w:val="none" w:color="FFFFFF" w:sz="0"/>
          <w:insideH w:val="single" w:color="E3E3E3" w:sz="2"/>
          <w:insideV w:val="none" w:color="FFFFFF" w:sz="0"/>
        </w:tblBorders>
      </w:tblPr>
      <w:tblGrid>
        <w:gridCol w:w="100"/>
        <w:gridCol w:w="100"/>
        <w:gridCol w:w="100"/>
        <w:gridCol w:w="100"/>
      </w:tblGrid>
      <w:tr>
        <w:trPr>
          <w:tblHeader/>
        </w:trPr>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Performance Goal (Weighting)</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Threshold</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Target</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Outstanding</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Adjusted EPS (50%)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99%</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100%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105%</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Revenue (50%)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98%</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100%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103%</w:t>
            </w:r>
          </w:p>
        </w:tc>
      </w:tr>
    </w:tbl>
    <w:p>
      <w:pPr>
        <w:spacing w:after="160"/>
      </w:pPr>
      <w:r>
        <w:rPr>
          <w:b w:val="false"/>
          <w:bCs w:val="false"/>
          <w:i w:val="false"/>
          <w:iCs w:val="false"/>
          <w:color w:val="1A1A1A"/>
        </w:rPr>
        <w:t xml:space="preserve">Each 2024 PSU award specifies a target number of PSUs and the performance goals for each year during the performance period. The number of common shares of the Company into which the 2024 PSU awards may convert (subject to a threshold level of performance relative to at least one goal and continued service through March 10, 2027) will be calculated by multiplying the number of target PSUs designated under the award by an aggregate performance percentage ranging from 0% to 200%, subject to adjustment depending on our relative TSR performance. A TSR that is in the 25th percentile or lower compared to the peer group will modify the aggregate performance percentage by 0.8x, while a TSR that is in the 75th percentile or higher compared to the peer group will modify the aggregate performance percentage by 1.2x, with straight-line interpolation applied to determine the modifier if our TSR is between the 25th and 75th percentiles. Accordingly, the number of common shares into which the 2024 PSUs may ultimately convert can range from 0% to 240% of the target number of shares subject to each award.</w:t>
      </w:r>
    </w:p>
    <w:p>
      <w:pPr>
        <w:spacing w:after="160"/>
      </w:pPr>
      <w:r>
        <w:rPr>
          <w:b w:val="false"/>
          <w:bCs w:val="false"/>
          <w:i w:val="false"/>
          <w:iCs w:val="false"/>
          <w:color w:val="1A1A1A"/>
        </w:rPr>
        <w:t xml:space="preserve">Based on our 2024 financial performance, we achieved higher-than-target performance on both the Adjusted EPS and revenue goals set for the 2024 performance year in the awards. Vesting of the 2024 PSU awards will depend on the company’s performance in 2025 and 2026 against the targets set in the 2024 PSU awards for revenue and Adjusted EPS in those years, as well as the impact of the relative TSR modifier at the end of the performance period.</w:t>
      </w:r>
    </w:p>
    <w:p>
      <w:pPr>
        <w:spacing w:after="160"/>
      </w:pPr>
      <w:r>
        <w:rPr>
          <w:b w:val="false"/>
          <w:bCs w:val="false"/>
          <w:i w:val="false"/>
          <w:iCs w:val="false"/>
          <w:color w:val="1A1A1A"/>
        </w:rPr>
        <w:t xml:space="preserve">In addition to the annual PSU awards granted in March 2024, Messrs. Mehta and Nanduru and Ms. Vashisht were each granted a one-time supplemental PSU award with a target value of $500,000 in June 2024 to recognize their additional contributions to the Company’s strategy development during the leadership transition period. These PSU awards have the same performance and vesting conditions as the annual 2024 PSU awards.</w:t>
      </w:r>
    </w:p>
    <w:tbl>
      <w:tblPr>
        <w:tblW w:type="pct" w:w="100%"/>
        <w:tblBorders>
          <w:top w:val="single" w:color="CCCCCC" w:sz="4"/>
          <w:left w:val="none" w:color="FFFFFF" w:sz="0"/>
          <w:bottom w:val="single" w:color="CCCCCC" w:sz="4"/>
          <w:right w:val="none" w:color="FFFFFF" w:sz="0"/>
          <w:insideH w:val="single" w:color="E3E3E3" w:sz="2"/>
          <w:insideV w:val="none" w:color="FFFFFF" w:sz="0"/>
        </w:tblBorders>
      </w:tblPr>
      <w:tblGrid>
        <w:gridCol w:w="100"/>
        <w:gridCol w:w="100"/>
        <w:gridCol w:w="100"/>
        <w:gridCol w:w="100"/>
      </w:tblGrid>
      <w:tr>
        <w:trPr>
          <w:tblHeader/>
        </w:trPr>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Executive</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Total Target Value of 2024 LTI Awards ($)</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2024 PSU Target Shares (#)</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2024 RSUs (#)</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Michael Weiner</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4,139,750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43,496</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79,017</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Piyush Mehta</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3,950,000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49,159</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68,569</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Anil Nanduru</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3,480,000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45,608</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58,301</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Riju Vashisht</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3,480,000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45,608</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58,301</w:t>
            </w:r>
          </w:p>
        </w:tc>
      </w:tr>
    </w:tbl>
    <w:p>
      <w:pPr>
        <w:pStyle w:val="Heading3"/>
        <w:spacing w:after="110" w:before="220"/>
      </w:pPr>
      <w:r>
        <w:rPr>
          <w:rFonts w:ascii="Arial" w:cs="Arial" w:eastAsia="Arial" w:hAnsi="Arial"/>
          <w:b/>
          <w:bCs/>
          <w:color w:val="1A1A1A"/>
          <w:sz w:val="24"/>
          <w:szCs w:val="24"/>
        </w:rPr>
        <w:t xml:space="preserve">Total Annual Target Compensation</w:t>
      </w:r>
    </w:p>
    <w:tbl>
      <w:tblPr>
        <w:tblW w:type="pct" w:w="100%"/>
        <w:tblBorders>
          <w:top w:val="single" w:color="CCCCCC" w:sz="4"/>
          <w:left w:val="none" w:color="FFFFFF" w:sz="0"/>
          <w:bottom w:val="single" w:color="CCCCCC" w:sz="4"/>
          <w:right w:val="none" w:color="FFFFFF" w:sz="0"/>
          <w:insideH w:val="single" w:color="E3E3E3" w:sz="2"/>
          <w:insideV w:val="none" w:color="FFFFFF" w:sz="0"/>
        </w:tblBorders>
      </w:tblPr>
      <w:tblGrid>
        <w:gridCol w:w="100"/>
        <w:gridCol w:w="100"/>
        <w:gridCol w:w="100"/>
        <w:gridCol w:w="100"/>
        <w:gridCol w:w="100"/>
      </w:tblGrid>
      <w:tr>
        <w:trPr>
          <w:tblHeader/>
        </w:trPr>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Executive</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2024 Base Salary</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2024 Target Bonus</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Total Target Value of 2024 Annual LTI Awards</w:t>
            </w:r>
          </w:p>
        </w:tc>
        <w:tc>
          <w:tcPr>
            <w:tcW w:type="dxa" w:w="2000"/>
            <w:shd w:fill="F2E9DA" w:val="clear"/>
            <w:tcMar>
              <w:top w:type="dxa" w:w="80"/>
              <w:left w:type="dxa" w:w="100"/>
              <w:bottom w:type="dxa" w:w="80"/>
              <w:right w:type="dxa" w:w="100"/>
            </w:tcMar>
          </w:tcPr>
          <w:p>
            <w:r>
              <w:rPr>
                <w:rFonts w:ascii="Arial" w:cs="Arial" w:eastAsia="Arial" w:hAnsi="Arial"/>
                <w:b/>
                <w:bCs/>
                <w:color w:val="1A1A1A"/>
                <w:sz w:val="19"/>
                <w:szCs w:val="19"/>
              </w:rPr>
              <w:t xml:space="preserve">Total Annual Target Compensation</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Michael Weiner</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$650,000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$650,000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$2,139,750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$3,439,750</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Piyush Mehta</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$376,316</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$376,316</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$1,950,000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$2,702,632</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Anil Nanduru</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$625,000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$625,000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$1,480,000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$2,730,000</w:t>
            </w:r>
          </w:p>
        </w:tc>
      </w:tr>
      <w:tr>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Riju Vashisht</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$625,000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$625,000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$1,480,000</w:t>
            </w:r>
          </w:p>
        </w:tc>
        <w:tc>
          <w:tcPr>
            <w:tcW w:type="dxa" w:w="2000"/>
            <w:tcMar>
              <w:top w:type="dxa" w:w="80"/>
              <w:left w:type="dxa" w:w="100"/>
              <w:bottom w:type="dxa" w:w="80"/>
              <w:right w:type="dxa" w:w="100"/>
            </w:tcMar>
          </w:tcPr>
          <w:p>
            <w:r>
              <w:rPr>
                <w:rFonts w:ascii="Arial" w:cs="Arial" w:eastAsia="Arial" w:hAnsi="Arial"/>
                <w:b w:val="false"/>
                <w:bCs w:val="false"/>
                <w:color w:val="1A1A1A"/>
                <w:sz w:val="19"/>
                <w:szCs w:val="19"/>
              </w:rPr>
              <w:t xml:space="preserve">$2,730,000</w:t>
            </w:r>
          </w:p>
        </w:tc>
      </w:tr>
    </w:tbl>
    <w:p>
      <w:pPr>
        <w:pStyle w:val="Heading3"/>
        <w:spacing w:after="110" w:before="220"/>
      </w:pPr>
      <w:r>
        <w:rPr>
          <w:rFonts w:ascii="Arial" w:cs="Arial" w:eastAsia="Arial" w:hAnsi="Arial"/>
          <w:b/>
          <w:bCs/>
          <w:color w:val="1A1A1A"/>
          <w:sz w:val="24"/>
          <w:szCs w:val="24"/>
        </w:rPr>
        <w:t xml:space="preserve">Benefits and Perquisites</w:t>
      </w:r>
    </w:p>
    <w:p>
      <w:pPr>
        <w:spacing w:after="160"/>
      </w:pPr>
      <w:r>
        <w:rPr>
          <w:b w:val="false"/>
          <w:bCs w:val="false"/>
          <w:i w:val="false"/>
          <w:iCs w:val="false"/>
          <w:color w:val="1A1A1A"/>
        </w:rPr>
        <w:t xml:space="preserve">We provide other benefits to our named executive officers that are generally available to other employees in the country in which the named executive officer is located. We also provide our named executive officers with certain modest perquisites that we believe are reasonable and consistent with market practices in the countries in which our named executive officers are located. Our U.S.-based named executive officers are also eligible to participate in the Genpact LLC Executive Deferred Compensation Plan.</w:t>
      </w:r>
    </w:p>
    <w:p>
      <w:pPr>
        <w:pStyle w:val="Heading3"/>
        <w:spacing w:after="110" w:before="220"/>
      </w:pPr>
      <w:r>
        <w:rPr>
          <w:rFonts w:ascii="Arial" w:cs="Arial" w:eastAsia="Arial" w:hAnsi="Arial"/>
          <w:b/>
          <w:bCs/>
          <w:color w:val="1A1A1A"/>
          <w:sz w:val="24"/>
          <w:szCs w:val="24"/>
        </w:rPr>
        <w:t xml:space="preserve">Change of Control and Severance Benefits</w:t>
      </w:r>
    </w:p>
    <w:p>
      <w:pPr>
        <w:spacing w:after="160"/>
      </w:pPr>
      <w:r>
        <w:rPr>
          <w:b w:val="false"/>
          <w:bCs w:val="false"/>
          <w:i w:val="false"/>
          <w:iCs w:val="false"/>
          <w:color w:val="1A1A1A"/>
        </w:rPr>
        <w:t xml:space="preserve">Under the terms of our equity incentive plan, in the event of a change of control, the PSU and RSU awards granted to our named executive officers in 2024 will accelerate unless the awards are assumed, continued or substituted. If the awards are assumed, continued or substituted, then they will continue to vest over the service period. Any assumed, continued or substituted PSU and RSU awards are subject to accelerated vesting in the event of the executive officer’s termination without cause within 24 months following a change of control in accordance with the terms of the 2024 awards.</w:t>
      </w:r>
    </w:p>
    <w:p>
      <w:pPr>
        <w:spacing w:after="160"/>
      </w:pPr>
      <w:r>
        <w:rPr>
          <w:b w:val="false"/>
          <w:bCs w:val="false"/>
          <w:i w:val="false"/>
          <w:iCs w:val="false"/>
          <w:color w:val="1A1A1A"/>
        </w:rPr>
        <w:t xml:space="preserve">We have entered into employment agreements with our named executive officers which provide for certain payments and benefits in the event of a termination of employment. The employment agreements with Ms. Vashisht and Messrs. Mehta, Nanduru and Weiner also provide for partial accelerated vesting of equity awards upon certain qualifying terminations without a change of control and full acceleration upon certain qualifying terminations in connection with a change of control.</w:t>
      </w:r>
    </w:p>
    <w:p>
      <w:pPr>
        <w:spacing w:after="160"/>
      </w:pPr>
      <w:r>
        <w:rPr>
          <w:b w:val="false"/>
          <w:bCs w:val="false"/>
          <w:i w:val="false"/>
          <w:iCs w:val="false"/>
          <w:color w:val="1A1A1A"/>
        </w:rPr>
        <w:t xml:space="preserve">The severance payments and benefits were based on negotiations with each executive and are an important part of employment arrangements designed to retain such executives and provide certainty with respect to the payments and benefits to be provided upon certain termination events.</w:t>
      </w:r>
    </w:p>
    <w:p>
      <w:pPr>
        <w:pStyle w:val="Heading3"/>
        <w:spacing w:after="110" w:before="220"/>
      </w:pPr>
      <w:r>
        <w:rPr>
          <w:rFonts w:ascii="Arial" w:cs="Arial" w:eastAsia="Arial" w:hAnsi="Arial"/>
          <w:b/>
          <w:bCs/>
          <w:color w:val="1A1A1A"/>
          <w:sz w:val="24"/>
          <w:szCs w:val="24"/>
        </w:rPr>
        <w:t xml:space="preserve">Policies and Practices Related to the Grant of Equity Awards</w:t>
      </w:r>
    </w:p>
    <w:p>
      <w:pPr>
        <w:spacing w:after="160"/>
      </w:pPr>
      <w:r>
        <w:rPr>
          <w:b w:val="false"/>
          <w:bCs w:val="false"/>
          <w:i w:val="false"/>
          <w:iCs w:val="false"/>
          <w:color w:val="1A1A1A"/>
        </w:rPr>
        <w:t xml:space="preserve">We grant equity awards, including PSUs and RSUs, to our employees and directors on an annual basis. We may also grant equity awards to individuals upon hire or promotion or for retention purposes. We currently do not grant stock options, stock appreciation rights or similar option-like instruments, and only grant RSUs and PSUs. Equity grants are typically approved at regularly scheduled compensation committee meetings, and, unless a future effective date is specified, become effective as of the date of the meeting at which they are approved. Our compensation committee has delegated limited authority to the CEO and our Chief Human Resources Officer to jointly grant equity awards between regularly scheduled compensation committee meetings to individuals other than executive officers and directors, with prescribed per person and aggregate quarterly limitations.</w:t>
      </w:r>
    </w:p>
    <w:p>
      <w:pPr>
        <w:spacing w:after="160"/>
      </w:pPr>
      <w:r>
        <w:rPr>
          <w:b w:val="false"/>
          <w:bCs w:val="false"/>
          <w:i w:val="false"/>
          <w:iCs w:val="false"/>
          <w:color w:val="1A1A1A"/>
        </w:rPr>
        <w:t xml:space="preserve">During the last fiscal year, neither the board of directors nor the compensation committee took material nonpublic information into account when determining the timing or terms of equity awards, nor did the Company time the disclosure of material nonpublic information for the purpose of affecting the value of executive compensation.</w:t>
      </w:r>
    </w:p>
    <w:p>
      <w:pPr>
        <w:pStyle w:val="Heading3"/>
        <w:spacing w:after="110" w:before="220"/>
      </w:pPr>
      <w:r>
        <w:rPr>
          <w:rFonts w:ascii="Arial" w:cs="Arial" w:eastAsia="Arial" w:hAnsi="Arial"/>
          <w:b/>
          <w:bCs/>
          <w:color w:val="1A1A1A"/>
          <w:sz w:val="24"/>
          <w:szCs w:val="24"/>
        </w:rPr>
        <w:t xml:space="preserve">Share Ownership Guidelines</w:t>
      </w:r>
    </w:p>
    <w:p>
      <w:pPr>
        <w:spacing w:after="160"/>
      </w:pPr>
      <w:r>
        <w:rPr>
          <w:b w:val="false"/>
          <w:bCs w:val="false"/>
          <w:i w:val="false"/>
          <w:iCs w:val="false"/>
          <w:color w:val="1A1A1A"/>
        </w:rPr>
        <w:t xml:space="preserve">The compensation committee recognizes the critical role that executive share ownership has in aligning the interests of management with those of shareholders and, in 2019, adopted share ownership guidelines that apply to all executive officers and directors. Prior to 2019, only our CEO was subject to a share ownership requirement.</w:t>
      </w:r>
    </w:p>
    <w:p>
      <w:pPr>
        <w:spacing w:after="160"/>
      </w:pPr>
      <w:r>
        <w:rPr>
          <w:b w:val="false"/>
          <w:bCs w:val="false"/>
          <w:i w:val="false"/>
          <w:iCs w:val="false"/>
          <w:color w:val="1A1A1A"/>
        </w:rPr>
        <w:t xml:space="preserve">Under our share ownership guidelines, all of our executive officers are required to acquire and hold Genpact common shares with a value of at least (i) in the case of the CEO, six times his base salary, and (ii) in the case of every other executive officer, such officer’s base salary. Each executive officer has a five-year phase-in period to meet the ownership requirements, measured from the later of the adoption of the guidelines in 2019 or the date such person became an executive officer or was promoted into a role that has a higher ownership requirement.</w:t>
      </w:r>
    </w:p>
    <w:p>
      <w:pPr>
        <w:spacing w:after="160"/>
      </w:pPr>
      <w:r>
        <w:rPr>
          <w:b w:val="false"/>
          <w:bCs w:val="false"/>
          <w:i w:val="false"/>
          <w:iCs w:val="false"/>
          <w:color w:val="1A1A1A"/>
        </w:rPr>
        <w:t xml:space="preserve">After the initial phase-in period, each executive officer who is not yet in compliance with the share ownership guidelines is required to retain 100% of the shares issued upon option exercises and vesting of RSUs and PSUs (net of any shares withheld or sold to cover withholding taxes and other applicable taxes) until the applicable ownership guideline is reached. As of December 31, 2024, all of our NEOs were in compliance with the ownership requirement applicable to them.</w:t>
      </w:r>
    </w:p>
    <w:p>
      <w:pPr>
        <w:pStyle w:val="Heading3"/>
        <w:spacing w:after="110" w:before="220"/>
      </w:pPr>
      <w:r>
        <w:rPr>
          <w:rFonts w:ascii="Arial" w:cs="Arial" w:eastAsia="Arial" w:hAnsi="Arial"/>
          <w:b/>
          <w:bCs/>
          <w:color w:val="1A1A1A"/>
          <w:sz w:val="24"/>
          <w:szCs w:val="24"/>
        </w:rPr>
        <w:t xml:space="preserve">Compensation Clawback Policy</w:t>
      </w:r>
    </w:p>
    <w:p>
      <w:pPr>
        <w:spacing w:after="160"/>
      </w:pPr>
      <w:r>
        <w:rPr>
          <w:b w:val="false"/>
          <w:bCs w:val="false"/>
          <w:i w:val="false"/>
          <w:iCs w:val="false"/>
          <w:color w:val="1A1A1A"/>
        </w:rPr>
        <w:t xml:space="preserve">Effective October 2, 2023, our board adopted a compensation clawback policy that covers each of our Section 16 officers and is intended to comply with the requirements of Section 10D of the Exchange Act and Section 303A.14 of the NYSE Listed Company Manual with respect to the mandatory recovery of certain specified financial-based incentive compensation in connection with specified accounting restatements, without regard to the fault of such officer. In addition, our compensation clawback policy also includes a potential recoupment of all forms of incentive compensation in the event that a Section 16 officer engages in certain specified improper conduct that in the discretion of the Committee contributed to the circumstances requiring such an accounting restatement.</w:t>
      </w:r>
    </w:p>
    <w:p>
      <w:pPr>
        <w:pStyle w:val="Heading3"/>
        <w:spacing w:after="110" w:before="220"/>
      </w:pPr>
      <w:r>
        <w:rPr>
          <w:rFonts w:ascii="Arial" w:cs="Arial" w:eastAsia="Arial" w:hAnsi="Arial"/>
          <w:b/>
          <w:bCs/>
          <w:color w:val="1A1A1A"/>
          <w:sz w:val="24"/>
          <w:szCs w:val="24"/>
        </w:rPr>
        <w:t xml:space="preserve">Insider Trading Policy</w:t>
      </w:r>
    </w:p>
    <w:p>
      <w:pPr>
        <w:spacing w:after="160"/>
      </w:pPr>
      <w:r>
        <w:rPr>
          <w:b w:val="false"/>
          <w:bCs w:val="false"/>
          <w:i w:val="false"/>
          <w:iCs w:val="false"/>
          <w:color w:val="1A1A1A"/>
        </w:rPr>
        <w:t xml:space="preserve">We have adopted an insider trading policy containing policies and procedures governing the purchase, sale, and/or other transactions of our securities by our directors, officers, employees and consultants. Such policies and procedures are reasonably designed to promote compliance with insider trading laws, rules, and regulations and any applicable listing standards. In addition, with regard to the Company’s trading in its own securities, it is our policy to comply with the federal securities laws and any applicable exchange listing requirements.</w:t>
      </w:r>
    </w:p>
    <w:p>
      <w:pPr>
        <w:pStyle w:val="Heading3"/>
        <w:spacing w:after="110" w:before="220"/>
      </w:pPr>
      <w:r>
        <w:rPr>
          <w:rFonts w:ascii="Arial" w:cs="Arial" w:eastAsia="Arial" w:hAnsi="Arial"/>
          <w:b/>
          <w:bCs/>
          <w:color w:val="1A1A1A"/>
          <w:sz w:val="24"/>
          <w:szCs w:val="24"/>
        </w:rPr>
        <w:t xml:space="preserve">IRC Section 162(m) Compliance</w:t>
      </w:r>
    </w:p>
    <w:p>
      <w:pPr>
        <w:spacing w:after="160"/>
      </w:pPr>
      <w:r>
        <w:rPr>
          <w:b w:val="false"/>
          <w:bCs w:val="false"/>
          <w:i w:val="false"/>
          <w:iCs w:val="false"/>
          <w:color w:val="1A1A1A"/>
        </w:rPr>
        <w:t xml:space="preserve">Section 162(m) of the Internal Revenue Code limits the amount that we may deduct from our federal income taxes for compensation paid to certain executive officers, including our named executive officers, to $1 million per executive officer per year. Compensation paid to our named executive officers who qualify as covered employees under IRC section 162(m)(3) in excess of $1 million is not deductible unless it qualifies for the transition relief applicable to certain compensation arrangements in place as of November 2, 2017. The compensation committee will continue to consider the tax impact of the Company’s compensation programs but reserves the right to pay compensation that is not tax deductible.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1A" w:sz="6" w:space="6"/>
      </w:pBdr>
      <w:jc w:val="right"/>
    </w:pPr>
    <w:r>
      <w:rPr>
        <w:rFonts w:ascii="Arial" w:cs="Arial" w:eastAsia="Arial" w:hAnsi="Arial"/>
        <w:color w:val="666666"/>
        <w:sz w:val="18"/>
        <w:szCs w:val="18"/>
      </w:rPr>
      <w:t xml:space="preserve">2025 Proxy Statement</w:t>
    </w:r>
    <w:r>
      <w:rPr>
        <w:sz w:val="18"/>
        <w:szCs w:val="18"/>
      </w:rPr>
      <w:t xml:space="preserve">   </w:t>
    </w:r>
    <w:r>
      <w:rPr>
        <w:rFonts w:ascii="Arial" w:cs="Arial" w:eastAsia="Arial" w:hAnsi="Arial"/>
        <w:b/>
        <w:bCs/>
        <w:color w:val="1A1A1A"/>
        <w:sz w:val="18"/>
        <w:szCs w:val="18"/>
      </w:rPr>
      <w:t xml:space="preserve">genpact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Arial" w:cs="Arial" w:eastAsia="Arial" w:hAnsi="Arial"/>
        <w:color w:val="5B8FBA"/>
        <w:sz w:val="16"/>
        <w:szCs w:val="16"/>
        <w:u w:val="single"/>
      </w:rPr>
      <w:t xml:space="preserve">TABLE OF CONTENTS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2026-07-27T06:37:06.314Z</dcterms:created>
  <dcterms:modified xsi:type="dcterms:W3CDTF">2026-07-27T06:37:06.331Z</dcterms:modified>
</cp:coreProperties>
</file>

<file path=docProps/custom.xml><?xml version="1.0" encoding="utf-8"?>
<Properties xmlns="http://schemas.openxmlformats.org/officeDocument/2006/custom-properties" xmlns:vt="http://schemas.openxmlformats.org/officeDocument/2006/docPropsVTypes"/>
</file>