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CompIQ — Functional Status</w:t>
      </w:r>
    </w:p>
    <w:p>
      <w:pPr>
        <w:pStyle w:val="Subtitle"/>
      </w:pPr>
      <w:r>
        <w:t xml:space="preserve">v0.1 capabilities live in production, and the next wave of persona workspaces</w:t>
      </w:r>
    </w:p>
    <w:p>
      <w:pPr>
        <w:pBdr>
          <w:bottom w:val="single" w:color="2E75B6" w:sz="6" w:space="1"/>
        </w:pBdr>
        <w:spacing w:after="80" w:before="20"/>
      </w:pPr>
      <w:r>
        <w:t xml:space="preserve"/>
      </w:r>
    </w:p>
    <w:p>
      <w:pPr>
        <w:pStyle w:val="Heading1"/>
        <w:spacing w:after="60" w:before="80"/>
      </w:pPr>
      <w:r>
        <w:t xml:space="preserve">Completed capabilities</w:t>
      </w:r>
    </w:p>
    <w:p>
      <w:pPr>
        <w:spacing w:after="80" w:line="260"/>
      </w:pPr>
      <w:r>
        <w:t xml:space="preserve">CompIQ is a multi-tenant compensation planning platform for enterprise customers. v0.1 delivers the operating spine — secure access, a defensible compliance posture, and three persona workflows covering the full budget-allocation-to-pay-review cadence.</w:t>
      </w:r>
    </w:p>
    <w:p>
      <w:pPr>
        <w:pStyle w:val="Heading2"/>
        <w:spacing w:after="40" w:before="100"/>
      </w:pPr>
      <w:r>
        <w:t xml:space="preserve">Platform, security, and operations</w:t>
      </w:r>
    </w:p>
    <w:p>
      <w:pPr>
        <w:spacing w:after="80" w:line="260"/>
      </w:pPr>
      <w:r>
        <w:t xml:space="preserve">Strict multi-tenant isolation enforced at both the application and database layers. Tenant lifecycle managed end-to-end (active, suspended, disabled). Two-scope role model separates operator surfaces from customer surfaces, with role-based access on every endpoint. Authentication uses short-lived access tokens with single-use refresh rotation, a revocation deny-list, and rate-limited login. Every sensitive action — success or failure — writes an append-only audit row carrying actor, tenant, action, and request context. Production responses ship standard security headers; all requests carry an end-to-end correlation ID; structured JSON logs make incident investigation routine; every API error returns the same envelope so client teams have one shape to handle.</w:t>
      </w:r>
    </w:p>
    <w:p>
      <w:pPr>
        <w:pStyle w:val="Heading2"/>
        <w:spacing w:after="40" w:before="100"/>
      </w:pPr>
      <w:r>
        <w:t xml:space="preserve">Compensation planning — three flows live</w:t>
      </w:r>
    </w:p>
    <w:p>
      <w:pPr>
        <w:spacing w:after="80" w:line="260"/>
      </w:pPr>
      <w:r>
        <w:rPr>
          <w:b/>
          <w:bCs/>
        </w:rPr>
        <w:t xml:space="preserve">Budget Allocation Cascade. </w:t>
      </w:r>
      <w:r>
        <w:t xml:space="preserve">CFO's root pool flows down through Manager-of-Managers and into front-line Manager budgets. Strategic-reserve carve-outs, alignment to the recommendation engine, line-level edits, validation against budget envelopes, and a one-way submit that automatically funds downstream pools. Iterative until submitted — planners rebalance freely before lock.</w:t>
      </w:r>
    </w:p>
    <w:p>
      <w:pPr>
        <w:spacing w:after="80" w:line="260"/>
      </w:pPr>
      <w:r>
        <w:rPr>
          <w:b/>
          <w:bCs/>
        </w:rPr>
        <w:t xml:space="preserve">Pay Recommendation Workbench. </w:t>
      </w:r>
      <w:r>
        <w:t xml:space="preserve">Front-line manager workspace for individual-contributor pay across Base, Variable, Long-Term Incentive (cash and units), and Other Rewards. Per-component alignment to the recommendation engine; override metadata for role criticality and promotion consideration; batch submission with all-or-nothing validation.</w:t>
      </w:r>
    </w:p>
    <w:p>
      <w:pPr>
        <w:spacing w:after="80" w:line="260"/>
      </w:pPr>
      <w:r>
        <w:rPr>
          <w:b/>
          <w:bCs/>
        </w:rPr>
        <w:t xml:space="preserve">Pay Review Queue. </w:t>
      </w:r>
      <w:r>
        <w:t xml:space="preserve">Manager-of-Managers reviewing recommendations from their downstream managers. Queue grouped by submitter; approve, revise, or annotate workflow; reviewer-only edits once submitted to preserve a clean accountability boundary.</w:t>
      </w:r>
    </w:p>
    <w:p>
      <w:pPr>
        <w:pStyle w:val="Heading2"/>
        <w:spacing w:after="40" w:before="100"/>
      </w:pPr>
      <w:r>
        <w:t xml:space="preserve">Administration</w:t>
      </w:r>
    </w:p>
    <w:p>
      <w:pPr>
        <w:spacing w:after="80" w:line="260"/>
      </w:pPr>
      <w:r>
        <w:t xml:space="preserve">Operator-side endpoints to provision tenants and users; tenant-admin endpoints to manage their own users and departments; first-deploy bootstrap to mint the initial operator account safely. Demo data and reset scripts cover internal training and stakeholder walkthroughs.</w:t>
      </w:r>
    </w:p>
    <w:p>
      <w:r>
        <w:br w:type="page"/>
      </w:r>
    </w:p>
    <w:p>
      <w:pPr>
        <w:pStyle w:val="Heading1"/>
        <w:spacing w:after="60" w:before="80"/>
      </w:pPr>
      <w:r>
        <w:t xml:space="preserve">Upcoming persona workspaces</w:t>
      </w:r>
    </w:p>
    <w:p>
      <w:pPr>
        <w:spacing w:after="80" w:line="260"/>
      </w:pPr>
      <w:r>
        <w:t xml:space="preserve">v0.1 covers the planner and reviewer tier. The next release extends the operating model upward (CFO, CHRO, C-Suite) and outward (HR Business Partners). The platform foundation — tenant isolation, role model, audit, observability — already supports these personas; the new work is scoped to user-facing flows, not foundational rework. Build begins as each design lands.</w:t>
      </w:r>
    </w:p>
    <w:p>
      <w:pPr>
        <w:pStyle w:val="Heading2"/>
        <w:spacing w:after="40" w:before="100"/>
      </w:pPr>
      <w:r>
        <w:t xml:space="preserve">CFO Workspace</w:t>
      </w:r>
    </w:p>
    <w:p>
      <w:pPr>
        <w:spacing w:after="80" w:line="260"/>
      </w:pPr>
      <w:r>
        <w:t xml:space="preserve">Today the CFO's root allocation is materialized through configuration and pre-submitted so downstream planners have funded pools. The CFO workspace gives the office of the CFO direct authoring: set the cycle envelope, carve strategic reserve, allocate to the Manager-of-Managers tier, monitor variance against the recommendation engine across the organization, and lock the plan with a tracked submission. Same audit and validation guarantees as the existing flows.</w:t>
      </w:r>
    </w:p>
    <w:p>
      <w:pPr>
        <w:pStyle w:val="Heading2"/>
        <w:spacing w:after="40" w:before="100"/>
      </w:pPr>
      <w:r>
        <w:t xml:space="preserve">CHRO Workspace</w:t>
      </w:r>
    </w:p>
    <w:p>
      <w:pPr>
        <w:spacing w:after="80" w:line="260"/>
      </w:pPr>
      <w:r>
        <w:t xml:space="preserve">Read-only top-of-house cockpit for the CHRO and their leadership team. Cycle-wide visibility into allocation, recommendation, and review status; framework-level metrics — deviation from recommendation bands, promotion volumes, reserve utilization; a structured snapshot suitable for board and compensation-committee reporting. The CHRO owns the framework and needs the integrated lens; they do not author pay decisions.</w:t>
      </w:r>
    </w:p>
    <w:p>
      <w:pPr>
        <w:pStyle w:val="Heading2"/>
        <w:spacing w:after="40" w:before="100"/>
      </w:pPr>
      <w:r>
        <w:t xml:space="preserve">C-Suite (CXO) Workspace</w:t>
      </w:r>
    </w:p>
    <w:p>
      <w:pPr>
        <w:spacing w:after="80" w:line="260"/>
      </w:pPr>
      <w:r>
        <w:t xml:space="preserve">Approval gates at the top of the funnel. Cross-business-unit view of allocation submissions and recommendation roll-ups; sign-off for material moves; an exception queue surfacing promotions, off-band recommendations, and reserve drawdowns that require executive review. Compensation governance lands here without asking executives to learn the planner UI.</w:t>
      </w:r>
    </w:p>
    <w:p>
      <w:pPr>
        <w:pStyle w:val="Heading2"/>
        <w:spacing w:after="40" w:before="100"/>
      </w:pPr>
      <w:r>
        <w:t xml:space="preserve">HRBP Workspace</w:t>
      </w:r>
    </w:p>
    <w:p>
      <w:pPr>
        <w:spacing w:after="80" w:line="260"/>
      </w:pPr>
      <w:r>
        <w:t xml:space="preserve">HR Business Partners aligned to specific business units need visibility into how their managers are using budget, and the ability to advise, escalate, or flag policy concerns before submission. The HRBP workspace overlays manager activity with HR context (tenure, performance, prior comp actions) and provides an annotation and escalation channel that runs in parallel to the manager-review flow.</w:t>
      </w:r>
    </w:p>
    <w:p>
      <w:pPr>
        <w:pStyle w:val="Heading2"/>
        <w:spacing w:after="40" w:before="100"/>
      </w:pPr>
      <w:r>
        <w:t xml:space="preserve">Additional roadmap items</w:t>
      </w:r>
    </w:p>
    <w:p>
      <w:pPr>
        <w:pStyle w:val="ListParagraph"/>
        <w:numPr>
          <w:ilvl w:val="0"/>
          <w:numId w:val="2"/>
        </w:numPr>
        <w:spacing w:after="40" w:line="240"/>
      </w:pPr>
      <w:r>
        <w:rPr>
          <w:b/>
          <w:bCs/>
        </w:rPr>
        <w:t xml:space="preserve">Compensation Inquiry assistant: </w:t>
      </w:r>
      <w:r>
        <w:t xml:space="preserve">conversational access to recommendations and history for managers who prefer ask-the-system over click-through.</w:t>
      </w:r>
    </w:p>
    <w:p>
      <w:pPr>
        <w:pStyle w:val="ListParagraph"/>
        <w:numPr>
          <w:ilvl w:val="0"/>
          <w:numId w:val="2"/>
        </w:numPr>
        <w:spacing w:after="40" w:line="240"/>
      </w:pPr>
      <w:r>
        <w:rPr>
          <w:b/>
          <w:bCs/>
        </w:rPr>
        <w:t xml:space="preserve">Multi-currency switcher: </w:t>
      </w:r>
      <w:r>
        <w:t xml:space="preserve">the data model already carries currency per row; the UI surface to switch presentation currency lands in v0.2.</w:t>
      </w:r>
    </w:p>
    <w:p>
      <w:pPr>
        <w:pStyle w:val="ListParagraph"/>
        <w:numPr>
          <w:ilvl w:val="0"/>
          <w:numId w:val="2"/>
        </w:numPr>
        <w:spacing w:after="40" w:line="240"/>
      </w:pPr>
      <w:r>
        <w:rPr>
          <w:b/>
          <w:bCs/>
        </w:rPr>
        <w:t xml:space="preserve">Promotion approval gate: </w:t>
      </w:r>
      <w:r>
        <w:t xml:space="preserve">the promotion flag is captured today as recommendation metadata; the explicit approval gate lives in the C-Suite workspace.</w:t>
      </w:r>
    </w:p>
    <w:p>
      <w:pPr>
        <w:pStyle w:val="ListParagraph"/>
        <w:numPr>
          <w:ilvl w:val="0"/>
          <w:numId w:val="2"/>
        </w:numPr>
        <w:spacing w:after="40" w:line="240"/>
      </w:pPr>
      <w:r>
        <w:rPr>
          <w:b/>
          <w:bCs/>
        </w:rPr>
        <w:t xml:space="preserve">Audit-log query endpoint: </w:t>
      </w:r>
      <w:r>
        <w:t xml:space="preserve">read API over the existing append-only audit trail, for compliance, internal-audit, and customer support.</w:t>
      </w:r>
    </w:p>
    <w:p>
      <w:pPr>
        <w:pStyle w:val="Heading2"/>
        <w:spacing w:after="40" w:before="100"/>
      </w:pPr>
      <w:r>
        <w:t xml:space="preserve">Delivery posture</w:t>
      </w:r>
    </w:p>
    <w:p>
      <w:pPr>
        <w:spacing w:after="80" w:line="260"/>
      </w:pPr>
      <w:r>
        <w:t xml:space="preserve">The platform and three live persona flows give us a credible, demoable v0.1 today. v0.2 is sequenced behind design completion and is engineered to be additive — no breaking changes for existing tenants, no migrations that disrupt live planning cycles, no rework of the security and audit posture already in place.</w:t>
      </w:r>
    </w:p>
    <w:sectPr>
      <w:pgSz w:w="12240" w:h="15840"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2" w:hanging="2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40" w:before="0"/>
      <w:outlineLvl w:val="0"/>
    </w:pPr>
    <w:rPr>
      <w:rFonts w:ascii="Arial" w:cs="Arial" w:eastAsia="Arial" w:hAnsi="Arial"/>
      <w:b/>
      <w:bCs/>
      <w:color w:val="1F3864"/>
      <w:sz w:val="30"/>
      <w:szCs w:val="30"/>
    </w:rPr>
  </w:style>
  <w:style w:type="paragraph" w:styleId="Subtitle">
    <w:name w:val="Subtitle"/>
    <w:basedOn w:val="Normal"/>
    <w:next w:val="Normal"/>
    <w:qFormat/>
    <w:pPr>
      <w:spacing w:after="60" w:before="0"/>
    </w:pPr>
    <w:rPr>
      <w:rFonts w:ascii="Arial" w:cs="Arial" w:eastAsia="Arial" w:hAnsi="Arial"/>
      <w:i/>
      <w:iCs/>
      <w:color w:val="595959"/>
      <w:sz w:val="19"/>
      <w:szCs w:val="19"/>
    </w:rPr>
  </w:style>
  <w:style w:type="paragraph" w:styleId="Heading1">
    <w:name w:val="Heading 1"/>
    <w:basedOn w:val="Normal"/>
    <w:next w:val="Normal"/>
    <w:qFormat/>
    <w:pPr>
      <w:spacing w:after="60" w:before="80"/>
      <w:outlineLvl w:val="0"/>
    </w:pPr>
    <w:rPr>
      <w:rFonts w:ascii="Arial" w:cs="Arial" w:eastAsia="Arial" w:hAnsi="Arial"/>
      <w:b/>
      <w:bCs/>
      <w:color w:val="1F3864"/>
      <w:sz w:val="24"/>
      <w:szCs w:val="24"/>
    </w:rPr>
  </w:style>
  <w:style w:type="paragraph" w:styleId="Heading2">
    <w:name w:val="Heading 2"/>
    <w:basedOn w:val="Normal"/>
    <w:next w:val="Normal"/>
    <w:qFormat/>
    <w:pPr>
      <w:spacing w:after="40" w:before="100"/>
      <w:outlineLvl w:val="1"/>
    </w:pPr>
    <w:rPr>
      <w:rFonts w:ascii="Arial" w:cs="Arial" w:eastAsia="Arial" w:hAnsi="Arial"/>
      <w:b/>
      <w:bCs/>
      <w:color w:val="2E75B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CompIQ Functional Status</dc:title>
  <dc:creator>CompIQ Engineering</dc:creator>
  <cp:lastModifiedBy>Un-named</cp:lastModifiedBy>
  <cp:revision>1</cp:revision>
  <dcterms:created xsi:type="dcterms:W3CDTF">2026-05-21T16:00:48.811Z</dcterms:created>
  <dcterms:modified xsi:type="dcterms:W3CDTF">2026-05-21T16:00:48.811Z</dcterms:modified>
</cp:coreProperties>
</file>

<file path=docProps/custom.xml><?xml version="1.0" encoding="utf-8"?>
<Properties xmlns="http://schemas.openxmlformats.org/officeDocument/2006/custom-properties" xmlns:vt="http://schemas.openxmlformats.org/officeDocument/2006/docPropsVTypes"/>
</file>