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Case Study — Customer Support Email Triage Agent</w:t>
      </w:r>
    </w:p>
    <w:p>
      <w:r>
        <w:t xml:space="preserve"/>
      </w:r>
    </w:p>
    <w:p>
      <w:r>
        <w:t xml:space="preserve">Client: Northwind Trading Co. (used with permission). This case study uses verified, client-approved facts. Measured outcomes are drawn from the pilot evaluation set; qualitative notes are labeled as such.</w:t>
      </w:r>
    </w:p>
    <w:p>
      <w:r>
        <w:t xml:space="preserve"/>
      </w:r>
    </w:p>
    <w:p>
      <w:pPr>
        <w:pStyle w:val="Heading1"/>
      </w:pPr>
      <w:r>
        <w:t xml:space="preserve">1. At a Glance</w:t>
      </w:r>
    </w:p>
    <w:p>
      <w:r>
        <w:t xml:space="preserve"/>
      </w:r>
    </w:p>
    <w:p>
      <w:r>
        <w:t xml:space="preserve">Field | Detail</w:t>
      </w:r>
    </w:p>
    <w:p>
      <w:r>
        <w:t xml:space="preserve">Client | Northwind Trading Co. (wholesale distribution)</w:t>
      </w:r>
    </w:p>
    <w:p>
      <w:r>
        <w:t xml:space="preserve">Workflow | Inbound customer support email triage</w:t>
      </w:r>
    </w:p>
    <w:p>
      <w:r>
        <w:t xml:space="preserve">Engagement | 8-week bounded, evaluation-first pilot</w:t>
      </w:r>
    </w:p>
    <w:p>
      <w:r>
        <w:t xml:space="preserve">Governance | Human approval before every customer-facing send</w:t>
      </w:r>
    </w:p>
    <w:p>
      <w:r>
        <w:t xml:space="preserve">Attribution | Named use approved by VP Customer Operations</w:t>
      </w:r>
    </w:p>
    <w:p>
      <w:r>
        <w:t xml:space="preserve"/>
      </w:r>
    </w:p>
    <w:p>
      <w:pPr>
        <w:pStyle w:val="Heading1"/>
      </w:pPr>
      <w:r>
        <w:t xml:space="preserve">2. The Challenge</w:t>
      </w:r>
    </w:p>
    <w:p>
      <w:r>
        <w:t xml:space="preserve"/>
      </w:r>
    </w:p>
    <w:p>
      <w:r>
        <w:t xml:space="preserve">Northwind's support team hand-triaged roughly 850 emails per day. Two senior agents read, labeled, and routed every message before specialists could reply, producing a 6–9 hour first-response lag during peak weeks and inconsistent routing across five queues.</w:t>
      </w:r>
    </w:p>
    <w:p>
      <w:r>
        <w:t xml:space="preserve"/>
      </w:r>
    </w:p>
    <w:p>
      <w:pPr>
        <w:pStyle w:val="Heading1"/>
      </w:pPr>
      <w:r>
        <w:t xml:space="preserve">3. What We Built</w:t>
      </w:r>
    </w:p>
    <w:p>
      <w:r>
        <w:t xml:space="preserve"/>
      </w:r>
    </w:p>
    <w:p>
      <w:r>
        <w:t xml:space="preserve">• An agent that classifies each inbound email, drafts a reply grounded in approved help-center content, and recommends a routing queue.</w:t>
      </w:r>
    </w:p>
    <w:p>
      <w:r>
        <w:t xml:space="preserve">• A mandatory human approval gate before any reply is sent or any case is escalated.</w:t>
      </w:r>
    </w:p>
    <w:p>
      <w:r>
        <w:t xml:space="preserve">• Full logging of classifications, drafts, and reviewer overrides for evaluation and monitoring.</w:t>
      </w:r>
    </w:p>
    <w:p>
      <w:r>
        <w:t xml:space="preserve"/>
      </w:r>
    </w:p>
    <w:p>
      <w:pPr>
        <w:pStyle w:val="Heading1"/>
      </w:pPr>
      <w:r>
        <w:t xml:space="preserve">4. Measured Outcomes (pilot evaluation set)</w:t>
      </w:r>
    </w:p>
    <w:p>
      <w:r>
        <w:t xml:space="preserve"/>
      </w:r>
    </w:p>
    <w:p>
      <w:r>
        <w:t xml:space="preserve">Metric | Result</w:t>
      </w:r>
    </w:p>
    <w:p>
      <w:r>
        <w:t xml:space="preserve">Routing accuracy (held-out labeled set) | 93.4%</w:t>
      </w:r>
    </w:p>
    <w:p>
      <w:r>
        <w:t xml:space="preserve">Reply-quality rubric average | 4.3 / 5</w:t>
      </w:r>
    </w:p>
    <w:p>
      <w:r>
        <w:t xml:space="preserve">Prompt-injection attempts triggering tool actions | 0 of 42</w:t>
      </w:r>
    </w:p>
    <w:p>
      <w:r>
        <w:t xml:space="preserve">Customer-facing replies sent without approval | 0</w:t>
      </w:r>
    </w:p>
    <w:p>
      <w:r>
        <w:t xml:space="preserve"/>
      </w:r>
    </w:p>
    <w:p>
      <w:pPr>
        <w:pStyle w:val="Heading1"/>
      </w:pPr>
      <w:r>
        <w:t xml:space="preserve">5. Qualitative Observations</w:t>
      </w:r>
    </w:p>
    <w:p>
      <w:r>
        <w:t xml:space="preserve"/>
      </w:r>
    </w:p>
    <w:p>
      <w:r>
        <w:t xml:space="preserve">&gt; "Triage stopped being the first bottleneck of the morning. The team reviews and sends instead of sorting." — VP Customer Operations, Northwind Trading Co. (approved for use)</w:t>
      </w:r>
    </w:p>
    <w:p>
      <w:r>
        <w:t xml:space="preserve"/>
      </w:r>
    </w:p>
    <w:p>
      <w:r>
        <w:t xml:space="preserve">• Reviewers reported faster preparation of first responses (qualitative; not yet measured in production).</w:t>
      </w:r>
    </w:p>
    <w:p>
      <w:r>
        <w:t xml:space="preserve">• Routing was more consistent across shifts than the prior manual process.</w:t>
      </w:r>
    </w:p>
    <w:p>
      <w:r>
        <w:t xml:space="preserve"/>
      </w:r>
    </w:p>
    <w:p>
      <w:pPr>
        <w:pStyle w:val="Heading1"/>
      </w:pPr>
      <w:r>
        <w:t xml:space="preserve">6. How It Stayed Safe</w:t>
      </w:r>
    </w:p>
    <w:p>
      <w:r>
        <w:t xml:space="preserve"/>
      </w:r>
    </w:p>
    <w:p>
      <w:r>
        <w:t xml:space="preserve">• Sandbox mailbox only; no production sending during the pilot.</w:t>
      </w:r>
    </w:p>
    <w:p>
      <w:r>
        <w:t xml:space="preserve">• Excluded uses: autonomous sending, payment-card data, full credentials.</w:t>
      </w:r>
    </w:p>
    <w:p>
      <w:r>
        <w:t xml:space="preserve">• Independent security review and signoff before the acceptance demonstration.</w:t>
      </w:r>
    </w:p>
    <w:p>
      <w:r>
        <w:t xml:space="preserve"/>
      </w:r>
    </w:p>
    <w:p>
      <w:pPr>
        <w:pStyle w:val="Heading1"/>
      </w:pPr>
      <w:r>
        <w:t xml:space="preserve">7. What's Next</w:t>
      </w:r>
    </w:p>
    <w:p>
      <w:r>
        <w:t xml:space="preserve"/>
      </w:r>
    </w:p>
    <w:p>
      <w:r>
        <w:t xml:space="preserve">Northwind is evaluating a production rollout under a separate change order and a possible second workflow for returns processing.</w:t>
      </w:r>
    </w:p>
    <w:sectPr>
      <w:pgSz w:w="12240" w:h="15840"/>
      <w:pgMar w:top="1008" w:right="1008" w:bottom="1008" w:left="10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52"/>
    </w:rPr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28"/>
    </w:rPr>
  </w:style>
</w:styles>
</file>