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Client Health Scorecard &amp; QBR Summary</w:t>
      </w:r>
    </w:p>
    <w:p>
      <w:r>
        <w:t xml:space="preserve"/>
      </w:r>
    </w:p>
    <w:p>
      <w:r>
        <w:t xml:space="preserve">Account: Northwind Trading Co. Engagement: Customer Support Email Triage Agent (Pilot). This is an internal account artifact, not public proof. Sentiment and renewal intent below are recorded only where verified.</w:t>
      </w:r>
    </w:p>
    <w:p>
      <w:r>
        <w:t xml:space="preserve"/>
      </w:r>
    </w:p>
    <w:p>
      <w:pPr>
        <w:pStyle w:val="Heading1"/>
      </w:pPr>
      <w:r>
        <w:t xml:space="preserve">1. Account Snapshot</w:t>
      </w:r>
    </w:p>
    <w:p>
      <w:r>
        <w:t xml:space="preserve"/>
      </w:r>
    </w:p>
    <w:p>
      <w:r>
        <w:t xml:space="preserve">Field | Value</w:t>
      </w:r>
    </w:p>
    <w:p>
      <w:r>
        <w:t xml:space="preserve">Client | Northwind Trading Co.</w:t>
      </w:r>
    </w:p>
    <w:p>
      <w:r>
        <w:t xml:space="preserve">Lifecycle stage | Active delivery → pilot acceptance</w:t>
      </w:r>
    </w:p>
    <w:p>
      <w:r>
        <w:t xml:space="preserve">Executive sponsor | Dana Whitfield, VP Customer Operations</w:t>
      </w:r>
    </w:p>
    <w:p>
      <w:r>
        <w:t xml:space="preserve">Delivery owner | CompleteTech LLC</w:t>
      </w:r>
    </w:p>
    <w:p>
      <w:r>
        <w:t xml:space="preserve">Contract | ADSA-2026-0142 (8-week fixed-fee pilot)</w:t>
      </w:r>
    </w:p>
    <w:p>
      <w:r>
        <w:t xml:space="preserve">Renewal / expansion date | TBD (decision at pilot closeout)</w:t>
      </w:r>
    </w:p>
    <w:p>
      <w:r>
        <w:t xml:space="preserve"/>
      </w:r>
    </w:p>
    <w:p>
      <w:pPr>
        <w:pStyle w:val="Heading1"/>
      </w:pPr>
      <w:r>
        <w:t xml:space="preserve">2. Health Scorecard</w:t>
      </w:r>
    </w:p>
    <w:p>
      <w:r>
        <w:t xml:space="preserve"/>
      </w:r>
    </w:p>
    <w:p>
      <w:r>
        <w:t xml:space="preserve">Dimension | Score | Trend | Basis</w:t>
      </w:r>
    </w:p>
    <w:p>
      <w:r>
        <w:t xml:space="preserve">Engagement | Green | Steady | Sponsor attends weekly reviews</w:t>
      </w:r>
    </w:p>
    <w:p>
      <w:r>
        <w:t xml:space="preserve">Product fit | Green | Up | 93% routing accuracy in evaluation</w:t>
      </w:r>
    </w:p>
    <w:p>
      <w:r>
        <w:t xml:space="preserve">Adoption | Yellow | New | Reviewer roster not yet finalized</w:t>
      </w:r>
    </w:p>
    <w:p>
      <w:r>
        <w:t xml:space="preserve">Commercial | Green | Steady | Deposit paid; net-15 terms current</w:t>
      </w:r>
    </w:p>
    <w:p>
      <w:r>
        <w:t xml:space="preserve">Risk | Yellow | Watch | Security signoff memo pending</w:t>
      </w:r>
    </w:p>
    <w:p>
      <w:r>
        <w:t xml:space="preserve"/>
      </w:r>
    </w:p>
    <w:p>
      <w:pPr>
        <w:pStyle w:val="Heading1"/>
      </w:pPr>
      <w:r>
        <w:t xml:space="preserve">3. Verified Contacts &amp; Routing</w:t>
      </w:r>
    </w:p>
    <w:p>
      <w:r>
        <w:t xml:space="preserve"/>
      </w:r>
    </w:p>
    <w:p>
      <w:r>
        <w:t xml:space="preserve">Role | Contact | Notes</w:t>
      </w:r>
    </w:p>
    <w:p>
      <w:r>
        <w:t xml:space="preserve">Executive sponsor | Dana Whitfield | Go/no-go on launch</w:t>
      </w:r>
    </w:p>
    <w:p>
      <w:r>
        <w:t xml:space="preserve">Legal / contract | Morgan Reyes, General Counsel | Signature authority</w:t>
      </w:r>
    </w:p>
    <w:p>
      <w:r>
        <w:t xml:space="preserve">Billing | accounts@northwindtrading.example | Net-15</w:t>
      </w:r>
    </w:p>
    <w:p>
      <w:r>
        <w:t xml:space="preserve">Security contact | TBD | Needed before launch signoff</w:t>
      </w:r>
    </w:p>
    <w:p>
      <w:r>
        <w:t xml:space="preserve"/>
      </w:r>
    </w:p>
    <w:p>
      <w:pPr>
        <w:pStyle w:val="Heading1"/>
      </w:pPr>
      <w:r>
        <w:t xml:space="preserve">4. Open Commitments &amp; Follow-ups</w:t>
      </w:r>
    </w:p>
    <w:p>
      <w:r>
        <w:t xml:space="preserve"/>
      </w:r>
    </w:p>
    <w:p>
      <w:r>
        <w:t xml:space="preserve">• [ ] Share evaluation results pack with sponsor before acceptance demo.</w:t>
      </w:r>
    </w:p>
    <w:p>
      <w:r>
        <w:t xml:space="preserve">• [ ] Confirm reviewer coverage for Monday peak volume.</w:t>
      </w:r>
    </w:p>
    <w:p>
      <w:r>
        <w:t xml:space="preserve">• [ ] Obtain security contact for signoff routing.</w:t>
      </w:r>
    </w:p>
    <w:p>
      <w:r>
        <w:t xml:space="preserve"/>
      </w:r>
    </w:p>
    <w:p>
      <w:pPr>
        <w:pStyle w:val="Heading1"/>
      </w:pPr>
      <w:r>
        <w:t xml:space="preserve">5. Risks &amp; Recommended Actions</w:t>
      </w:r>
    </w:p>
    <w:p>
      <w:r>
        <w:t xml:space="preserve"/>
      </w:r>
    </w:p>
    <w:p>
      <w:r>
        <w:t xml:space="preserve">&gt; Recommend escalation if the security contact is not identified before the acceptance demo; signoff is a launch blocker.</w:t>
      </w:r>
    </w:p>
    <w:p>
      <w:r>
        <w:t xml:space="preserve"/>
      </w:r>
    </w:p>
    <w:p>
      <w:r>
        <w:t xml:space="preserve">• Adoption risk: reviewer roster undefined — mitigate with a short enablement session.</w:t>
      </w:r>
    </w:p>
    <w:p>
      <w:r>
        <w:t xml:space="preserve">• Expansion signal: sponsor mentioned a returns-processing workflow as a possible second pilot (not yet qualified).</w:t>
      </w:r>
    </w:p>
    <w:p>
      <w:r>
        <w:t xml:space="preserve"/>
      </w:r>
    </w:p>
    <w:p>
      <w:pPr>
        <w:pStyle w:val="Heading1"/>
      </w:pPr>
      <w:r>
        <w:t xml:space="preserve">6. QBR Talking Points</w:t>
      </w:r>
    </w:p>
    <w:p>
      <w:r>
        <w:t xml:space="preserve"/>
      </w:r>
    </w:p>
    <w:p>
      <w:r>
        <w:t xml:space="preserve">• Pilot is on schedule with strong evaluation results.</w:t>
      </w:r>
    </w:p>
    <w:p>
      <w:r>
        <w:t xml:space="preserve">• Decision needed on production rollout scope (separate change order).</w:t>
      </w:r>
    </w:p>
    <w:p>
      <w:r>
        <w:t xml:space="preserve">• Candidate next workflow: returns processing — route to discovery if pursued.</w:t>
      </w:r>
    </w:p>
    <w:sectPr>
      <w:pgSz w:w="12240" w:h="15840"/>
      <w:pgMar w:top="1008" w:right="1008" w:bottom="1008" w:left="10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52"/>
    </w:rPr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28"/>
    </w:rPr>
  </w:style>
</w:styles>
</file>