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Support Email Triage Agent — Pilot Proposal</w:t>
      </w:r>
    </w:p>
    <w:p>
      <w:r>
        <w:t xml:space="preserve"/>
      </w:r>
    </w:p>
    <w:p>
      <w:r>
        <w:t xml:space="preserve">Prepared for Northwind Trading Co. by CompleteTech LLC. This proposal scopes a bounded, evaluation-first pilot. It becomes a contract or invoice input only after written approval.</w:t>
      </w:r>
    </w:p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/>
      </w:r>
    </w:p>
    <w:p>
      <w:r>
        <w:t xml:space="preserve">Northwind's support team hand-triages ~850 emails per day, producing a 6–9 hour first-response lag. We propose an 8-week pilot that builds an agent to classify inbound email, draft grounded replies, and recommend routing — with a human approving every customer-facing send. Success is measured against a labeled test set before any production use.</w:t>
      </w:r>
    </w:p>
    <w:p>
      <w:r>
        <w:t xml:space="preserve"/>
      </w:r>
    </w:p>
    <w:p>
      <w:pPr>
        <w:pStyle w:val="Heading1"/>
      </w:pPr>
      <w:r>
        <w:t xml:space="preserve">2. Objectives</w:t>
      </w:r>
    </w:p>
    <w:p>
      <w:r>
        <w:t xml:space="preserve"/>
      </w:r>
    </w:p>
    <w:p>
      <w:r>
        <w:t xml:space="preserve">• Reduce first-response preparation time from hours to minutes.</w:t>
      </w:r>
    </w:p>
    <w:p>
      <w:r>
        <w:t xml:space="preserve">• Increase routing consistency across the five support queues.</w:t>
      </w:r>
    </w:p>
    <w:p>
      <w:r>
        <w:t xml:space="preserve">• Prove control and safety with human approval gates and logged evaluation.</w:t>
      </w:r>
    </w:p>
    <w:p>
      <w:r>
        <w:t xml:space="preserve"/>
      </w:r>
    </w:p>
    <w:p>
      <w:pPr>
        <w:pStyle w:val="Heading1"/>
      </w:pPr>
      <w:r>
        <w:t xml:space="preserve">3. Scope of Work</w:t>
      </w:r>
    </w:p>
    <w:p>
      <w:r>
        <w:t xml:space="preserve"/>
      </w:r>
    </w:p>
    <w:p>
      <w:r>
        <w:t xml:space="preserve">• Discovery confirmation: queue taxonomy, approved help-center subset, data boundaries.</w:t>
      </w:r>
    </w:p>
    <w:p>
      <w:r>
        <w:t xml:space="preserve">• Build: classification, retrieval-grounded reply drafting, and routing recommendation.</w:t>
      </w:r>
    </w:p>
    <w:p>
      <w:r>
        <w:t xml:space="preserve">• Human-in-the-loop approval workflow before any send or escalation.</w:t>
      </w:r>
    </w:p>
    <w:p>
      <w:r>
        <w:t xml:space="preserve">• Evaluation: labeled test set, reply-quality rubric, and prompt-injection checks.</w:t>
      </w:r>
    </w:p>
    <w:p>
      <w:r>
        <w:t xml:space="preserve">• Documentation, operator runbook, and handoff.</w:t>
      </w:r>
    </w:p>
    <w:p>
      <w:r>
        <w:t xml:space="preserve"/>
      </w:r>
    </w:p>
    <w:p>
      <w:pPr>
        <w:pStyle w:val="Heading1"/>
      </w:pPr>
      <w:r>
        <w:t xml:space="preserve">4. Out of Scope (this pilot)</w:t>
      </w:r>
    </w:p>
    <w:p>
      <w:r>
        <w:t xml:space="preserve"/>
      </w:r>
    </w:p>
    <w:p>
      <w:r>
        <w:t xml:space="preserve">• Autonomous sending without human review.</w:t>
      </w:r>
    </w:p>
    <w:p>
      <w:r>
        <w:t xml:space="preserve">• Production deployment beyond the sandbox mailbox (separate change order).</w:t>
      </w:r>
    </w:p>
    <w:p>
      <w:r>
        <w:t xml:space="preserve">• Payment-card or full-credential data handling.</w:t>
      </w:r>
    </w:p>
    <w:p>
      <w:r>
        <w:t xml:space="preserve"/>
      </w:r>
    </w:p>
    <w:p>
      <w:pPr>
        <w:pStyle w:val="Heading1"/>
      </w:pPr>
      <w:r>
        <w:t xml:space="preserve">5. Approach &amp; Timeline</w:t>
      </w:r>
    </w:p>
    <w:p>
      <w:r>
        <w:t xml:space="preserve"/>
      </w:r>
    </w:p>
    <w:p>
      <w:r>
        <w:t xml:space="preserve">Phase | Weeks | Outcome</w:t>
      </w:r>
    </w:p>
    <w:p>
      <w:r>
        <w:t xml:space="preserve">Discovery confirmation | 1 | Locked taxonomy, data boundaries, test-set plan</w:t>
      </w:r>
    </w:p>
    <w:p>
      <w:r>
        <w:t xml:space="preserve">Prototype | 2–4 | Working classify/draft/route on sandbox mailbox</w:t>
      </w:r>
    </w:p>
    <w:p>
      <w:r>
        <w:t xml:space="preserve">Evaluation | 5–6 | Accuracy + safety results on held-out cases</w:t>
      </w:r>
    </w:p>
    <w:p>
      <w:r>
        <w:t xml:space="preserve">Documentation &amp; handoff | 7 | Runbook, operator quickstart, monitoring plan</w:t>
      </w:r>
    </w:p>
    <w:p>
      <w:r>
        <w:t xml:space="preserve">Buffer | 8 | Fixes from acceptance review</w:t>
      </w:r>
    </w:p>
    <w:p>
      <w:r>
        <w:t xml:space="preserve"/>
      </w:r>
    </w:p>
    <w:p>
      <w:pPr>
        <w:pStyle w:val="Heading1"/>
      </w:pPr>
      <w:r>
        <w:t xml:space="preserve">6. Commercials</w:t>
      </w:r>
    </w:p>
    <w:p>
      <w:r>
        <w:t xml:space="preserve"/>
      </w:r>
    </w:p>
    <w:p>
      <w:r>
        <w:t xml:space="preserve">Term | Value</w:t>
      </w:r>
    </w:p>
    <w:p>
      <w:r>
        <w:t xml:space="preserve">Engagement type | Fixed-fee pilot</w:t>
      </w:r>
    </w:p>
    <w:p>
      <w:r>
        <w:t xml:space="preserve">Fee | USD 28,000</w:t>
      </w:r>
    </w:p>
    <w:p>
      <w:r>
        <w:t xml:space="preserve">Deposit | USD 8,400 at signing</w:t>
      </w:r>
    </w:p>
    <w:p>
      <w:r>
        <w:t xml:space="preserve">Payment terms | Net 15 from invoice date</w:t>
      </w:r>
    </w:p>
    <w:p>
      <w:r>
        <w:t xml:space="preserve">Included revisions | Two review rounds per major deliverable</w:t>
      </w:r>
    </w:p>
    <w:p>
      <w:r>
        <w:t xml:space="preserve"/>
      </w:r>
    </w:p>
    <w:p>
      <w:pPr>
        <w:pStyle w:val="Heading1"/>
      </w:pPr>
      <w:r>
        <w:t xml:space="preserve">7. Acceptance Criteria</w:t>
      </w:r>
    </w:p>
    <w:p>
      <w:r>
        <w:t xml:space="preserve"/>
      </w:r>
    </w:p>
    <w:p>
      <w:r>
        <w:t xml:space="preserve">• Routing accuracy at or above 90% on the held-out labeled test set.</w:t>
      </w:r>
    </w:p>
    <w:p>
      <w:r>
        <w:t xml:space="preserve">• Reply-quality rubric average at or above 4 of 5 across sampled drafts.</w:t>
      </w:r>
    </w:p>
    <w:p>
      <w:r>
        <w:t xml:space="preserve">• Zero customer-facing replies sent without human approval.</w:t>
      </w:r>
    </w:p>
    <w:p>
      <w:r>
        <w:t xml:space="preserve"/>
      </w:r>
    </w:p>
    <w:p>
      <w:pPr>
        <w:pStyle w:val="Heading1"/>
      </w:pPr>
      <w:r>
        <w:t xml:space="preserve">8. Assumptions &amp; Exclusions</w:t>
      </w:r>
    </w:p>
    <w:p>
      <w:r>
        <w:t xml:space="preserve"/>
      </w:r>
    </w:p>
    <w:p>
      <w:r>
        <w:t xml:space="preserve">&gt; Pricing assumes a sandbox mailbox, access to ~90 current help-center articles, and legal approval to use de-identified historical email for the test set.</w:t>
      </w:r>
    </w:p>
    <w:p>
      <w:r>
        <w:t xml:space="preserve"/>
      </w:r>
    </w:p>
    <w:p>
      <w:r>
        <w:t xml:space="preserve">• New queues, channels, or languages are handled by written change order.</w:t>
      </w:r>
    </w:p>
    <w:p>
      <w:r>
        <w:t xml:space="preserve">• Northwind owns model/provider account configuration and production authorization.</w:t>
      </w:r>
    </w:p>
    <w:p>
      <w:r>
        <w:t xml:space="preserve"/>
      </w:r>
    </w:p>
    <w:p>
      <w:pPr>
        <w:pStyle w:val="Heading1"/>
      </w:pPr>
      <w:r>
        <w:t xml:space="preserve">9. Recommended Next Step</w:t>
      </w:r>
    </w:p>
    <w:p>
      <w:r>
        <w:t xml:space="preserve"/>
      </w:r>
    </w:p>
    <w:p>
      <w:r>
        <w:t xml:space="preserve">Approve this pilot direction so we can issue the Agentic Development Services Agreement and a deposit invoice, then schedule kickoff.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