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0"/>
          <w:szCs w:val="40"/>
        </w:rPr>
        <w:t xml:space="preserve">Is ISO/IEC 27001:2022 Fit for Purpose?</w:t>
      </w:r>
    </w:p>
    <w:p>
      <w:pPr>
        <w:spacing w:after="40"/>
      </w:pPr>
      <w:r>
        <w:rPr>
          <w:i/>
          <w:iCs/>
          <w:color w:val="444444"/>
          <w:sz w:val="24"/>
          <w:szCs w:val="24"/>
        </w:rPr>
        <w:t xml:space="preserve">A non-specialist assurance-review analysis — what the standard surfaces, what it hides, and the confidence a board should place in it</w:t>
      </w:r>
    </w:p>
    <w:p>
      <w:pPr>
        <w:spacing w:after="30"/>
      </w:pPr>
      <w:r>
        <w:rPr>
          <w:color w:val="666666"/>
          <w:sz w:val="18"/>
          <w:szCs w:val="18"/>
        </w:rPr>
        <w:t xml:space="preserve">Method: Insight Engine (grade-locked) · 30 June 2026 · Object of analysis: ISO/IEC 27001:2022(E), Third edition</w:t>
      </w:r>
    </w:p>
    <w:p>
      <w:pPr>
        <w:pBdr>
          <w:bottom w:val="single" w:color="1F4E79" w:sz="6" w:space="1"/>
        </w:pBdr>
        <w:spacing w:after="120" w:before="60"/>
      </w:pPr>
      <w:r>
        <w:t xml:space="preserve"/>
      </w:r>
    </w:p>
    <w:p>
      <w:pPr>
        <w:spacing w:after="60"/>
      </w:pPr>
      <w:r>
        <w:rPr>
          <w:b/>
          <w:bCs/>
          <w:sz w:val="18"/>
          <w:szCs w:val="18"/>
        </w:rPr>
        <w:t xml:space="preserve">Grade key:  </w:t>
      </w:r>
      <w:r>
        <w:rPr>
          <w:rFonts w:ascii="Consolas" w:cs="Consolas" w:eastAsia="Consolas" w:hAnsi="Consolas"/>
          <w:b/>
          <w:bCs/>
          <w:color w:val="1B7F4B"/>
          <w:sz w:val="19"/>
          <w:szCs w:val="19"/>
        </w:rPr>
        <w:t xml:space="preserve">[V1]</w:t>
      </w:r>
      <w:r>
        <w:rPr>
          <w:sz w:val="18"/>
          <w:szCs w:val="18"/>
        </w:rPr>
        <w:t xml:space="preserve"> primary source   </w:t>
      </w:r>
      <w:r>
        <w:rPr>
          <w:rFonts w:ascii="Consolas" w:cs="Consolas" w:eastAsia="Consolas" w:hAnsi="Consolas"/>
          <w:b/>
          <w:bCs/>
          <w:color w:val="1F6FB2"/>
          <w:sz w:val="19"/>
          <w:szCs w:val="19"/>
        </w:rPr>
        <w:t xml:space="preserve">[V2]</w:t>
      </w:r>
      <w:r>
        <w:rPr>
          <w:sz w:val="18"/>
          <w:szCs w:val="18"/>
        </w:rPr>
        <w:t xml:space="preserve"> reputable secondary   </w:t>
      </w:r>
      <w:r>
        <w:rPr>
          <w:rFonts w:ascii="Consolas" w:cs="Consolas" w:eastAsia="Consolas" w:hAnsi="Consolas"/>
          <w:b/>
          <w:bCs/>
          <w:color w:val="B26B00"/>
          <w:sz w:val="19"/>
          <w:szCs w:val="19"/>
        </w:rPr>
        <w:t xml:space="preserve">[V3]</w:t>
      </w:r>
      <w:r>
        <w:rPr>
          <w:sz w:val="18"/>
          <w:szCs w:val="18"/>
        </w:rPr>
        <w:t xml:space="preserve"> contested / weak   </w:t>
      </w:r>
      <w:r>
        <w:rPr>
          <w:rFonts w:ascii="Consolas" w:cs="Consolas" w:eastAsia="Consolas" w:hAnsi="Consolas"/>
          <w:b/>
          <w:bCs/>
          <w:color w:val="6E6E6E"/>
          <w:sz w:val="19"/>
          <w:szCs w:val="19"/>
        </w:rPr>
        <w:t xml:space="preserve">[N]</w:t>
      </w:r>
      <w:r>
        <w:rPr>
          <w:sz w:val="18"/>
          <w:szCs w:val="18"/>
        </w:rPr>
        <w:t xml:space="preserve"> reasoned inference, not externally verified</w:t>
      </w:r>
    </w:p>
    <w:p>
      <w:pPr>
        <w:spacing w:after="40"/>
      </w:pPr>
      <w:r>
        <w:t xml:space="preserve"/>
      </w:r>
    </w:p>
    <w:p>
      <w:pPr>
        <w:pStyle w:val="Heading1"/>
        <w:spacing w:after="140" w:before="280"/>
      </w:pPr>
      <w:r>
        <w:t xml:space="preserve">Executive answer</w:t>
      </w:r>
    </w:p>
    <w:p>
      <w:pPr>
        <w:spacing w:after="140" w:before="0" w:line="276"/>
      </w:pPr>
      <w:r>
        <w:rPr>
          <w:b/>
          <w:bCs/>
        </w:rPr>
        <w:t xml:space="preserve">ISO/IEC 27001:2022 is fit for its own purpose, and not fit for the purpose named in this brief. </w:t>
      </w:r>
      <w:r>
        <w:t xml:space="preserve">Read against what it sets out to do, the standard is a sound specification: it defines a certifiable </w:t>
      </w:r>
      <w:r>
        <w:rPr>
          <w:i/>
          <w:iCs/>
        </w:rPr>
        <w:t xml:space="preserve">management system</w:t>
      </w:r>
      <w:r>
        <w:t xml:space="preserve"> that gives interested parties confidence that information-security risks are </w:t>
      </w:r>
      <w:r>
        <w:rPr>
          <w:i/>
          <w:iCs/>
        </w:rPr>
        <w:t xml:space="preserve">being managed to the organisation's own declared bar. </w:t>
      </w:r>
      <w:r>
        <w:t xml:space="preserve">Read against the purpose you named — enabling an </w:t>
      </w:r>
      <w:r>
        <w:rPr>
          <w:i/>
          <w:iCs/>
        </w:rPr>
        <w:t xml:space="preserve">average non-specialist</w:t>
      </w:r>
      <w:r>
        <w:t xml:space="preserve"> analyst to </w:t>
      </w:r>
      <w:r>
        <w:rPr>
          <w:i/>
          <w:iCs/>
        </w:rPr>
        <w:t xml:space="preserve">discover, uncover and understand</w:t>
      </w:r>
      <w:r>
        <w:t xml:space="preserve"> the security issues and vulnerabilities actually present — it falls short, and was never built to do it.</w:t>
      </w:r>
    </w:p>
    <w:p>
      <w:pPr>
        <w:spacing w:after="140" w:before="0" w:line="276"/>
      </w:pPr>
      <w:r>
        <w:t xml:space="preserve">The reason is a single structural fact, grounded in the standard's own text: it certifies the </w:t>
      </w:r>
      <w:r>
        <w:rPr>
          <w:b/>
          <w:bCs/>
        </w:rPr>
        <w:t xml:space="preserve">machine that manages risk, not the security state of the environment. </w:t>
      </w:r>
      <w:r>
        <w:t xml:space="preserve">It verifies that documented processes </w:t>
      </w:r>
      <w:r>
        <w:rPr>
          <w:i/>
          <w:iCs/>
        </w:rPr>
        <w:t xml:space="preserve">exist</w:t>
      </w:r>
      <w:r>
        <w:t xml:space="preserve"> and conform; it does not test whether controls </w:t>
      </w:r>
      <w:r>
        <w:rPr>
          <w:i/>
          <w:iCs/>
        </w:rPr>
        <w:t xml:space="preserve">work</w:t>
      </w:r>
      <w:r>
        <w:t xml:space="preserve"> against a real adversary, and its conformity yardstick is the organisation's </w:t>
      </w:r>
      <w:r>
        <w:rPr>
          <w:i/>
          <w:iCs/>
        </w:rPr>
        <w:t xml:space="preserve">own</w:t>
      </w:r>
      <w:r>
        <w:t xml:space="preserve"> requirements — a bar the organisation largely sets and can narrow. The gap between those two purposes is exactly where </w:t>
      </w:r>
      <w:r>
        <w:rPr>
          <w:b/>
          <w:bCs/>
        </w:rPr>
        <w:t xml:space="preserve">“assurance theatre”</w:t>
      </w:r>
      <w:r>
        <w:t xml:space="preserve"> breeds. On your judgement, it breeds not mainly in the text but in a board and an auditor who </w:t>
      </w:r>
      <w:r>
        <w:rPr>
          <w:i/>
          <w:iCs/>
        </w:rPr>
        <w:t xml:space="preserve">perform</w:t>
      </w:r>
      <w:r>
        <w:t xml:space="preserve"> the review without understanding how to </w:t>
      </w:r>
      <w:r>
        <w:rPr>
          <w:i/>
          <w:iCs/>
        </w:rPr>
        <w:t xml:space="preserve">leverage</w:t>
      </w:r>
      <w:r>
        <w:t xml:space="preserve"> it.</w:t>
      </w:r>
    </w:p>
    <w:p>
      <w:pPr>
        <w:spacing w:after="140" w:before="0" w:line="276"/>
      </w:pPr>
      <w:r>
        <w:rPr>
          <w:b/>
          <w:bCs/>
        </w:rPr>
        <w:t xml:space="preserve">Confidence a board should place (you delegated this call to me): necessary, but not sufficient. </w:t>
      </w:r>
      <w:r>
        <w:t xml:space="preserve">A certificate is credible evidence that an audited risk-management discipline exists. It is </w:t>
      </w:r>
      <w:r>
        <w:rPr>
          <w:b/>
          <w:bCs/>
        </w:rPr>
        <w:t xml:space="preserve">not</w:t>
      </w:r>
      <w:r>
        <w:t xml:space="preserve"> evidence that the information environment is secure, that it would withstand a competent attack, or that material vulnerabilities have been found. That confidence is conditional on three things the certificate does not show on its face — the </w:t>
      </w:r>
      <w:r>
        <w:rPr>
          <w:i/>
          <w:iCs/>
        </w:rPr>
        <w:t xml:space="preserve">scope boundary, the excluded controls and their justification, and the independence of the assessor</w:t>
      </w:r>
      <w:r>
        <w:t xml:space="preserve"> — and where those are unseen, the appropriate confidence is low, not moderate.</w:t>
      </w:r>
    </w:p>
    <w:p>
      <w:pPr>
        <w:spacing w:after="40"/>
      </w:pPr>
      <w:r>
        <w:t xml:space="preserve"/>
      </w:r>
    </w:p>
    <w:p>
      <w:pPr>
        <w:pStyle w:val="Heading2"/>
        <w:spacing w:after="120" w:before="24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t xml:space="preserve">1.  The deep-core questions, and your recorded positions</w:t>
      </w:r>
    </w:p>
    <w:p>
      <w:pPr>
        <w:spacing w:after="140" w:before="0" w:line="276"/>
      </w:pPr>
      <w:r>
        <w:t xml:space="preserve">The Insight Engine forces a judgement gate before the analysis is written: the value and framing calls that are the operator's, not the analyst's, are put on the record so the conclusion is built on them rather than around them. They are reproduced here, cleared.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3300"/>
        <w:gridCol w:w="3910"/>
      </w:tblGrid>
      <w:tr>
        <w:trPr>
          <w:tblHeader/>
        </w:trPr>
        <w:tc>
          <w:tcPr>
            <w:tcW w:type="dxa" w:w="2150"/>
            <w:tcBorders>
              <w:top w:val="single" w:color="BBBBBB" w:sz="1"/>
              <w:left w:val="single" w:color="BBBBBB" w:sz="1"/>
              <w:bottom w:val="single" w:color="BBBBBB" w:sz="1"/>
              <w:right w:val="single" w:color="BBBBBB" w:sz="1"/>
            </w:tcBorders>
            <w:shd w:fill="D9E6F2" w:val="clear"/>
            <w:tcMar>
              <w:top w:type="dxa" w:w="70"/>
              <w:left w:type="dxa" w:w="110"/>
              <w:bottom w:type="dxa" w:w="70"/>
              <w:right w:type="dxa" w:w="110"/>
            </w:tcMar>
          </w:tcPr>
          <w:p>
            <w:pPr>
              <w:spacing w:after="0"/>
            </w:pPr>
            <w:r>
              <w:rPr>
                <w:b/>
                <w:bCs/>
                <w:color w:val="1A1A1A"/>
              </w:rPr>
              <w:t xml:space="preserve">Deep-core question</w:t>
            </w:r>
          </w:p>
        </w:tc>
        <w:tc>
          <w:tcPr>
            <w:tcW w:type="dxa" w:w="3300"/>
            <w:tcBorders>
              <w:top w:val="single" w:color="BBBBBB" w:sz="1"/>
              <w:left w:val="single" w:color="BBBBBB" w:sz="1"/>
              <w:bottom w:val="single" w:color="BBBBBB" w:sz="1"/>
              <w:right w:val="single" w:color="BBBBBB" w:sz="1"/>
            </w:tcBorders>
            <w:shd w:fill="D9E6F2" w:val="clear"/>
            <w:tcMar>
              <w:top w:type="dxa" w:w="70"/>
              <w:left w:type="dxa" w:w="110"/>
              <w:bottom w:type="dxa" w:w="70"/>
              <w:right w:type="dxa" w:w="110"/>
            </w:tcMar>
          </w:tcPr>
          <w:p>
            <w:pPr>
              <w:spacing w:after="0"/>
            </w:pPr>
            <w:r>
              <w:rPr>
                <w:b/>
                <w:bCs/>
                <w:color w:val="1A1A1A"/>
              </w:rPr>
              <w:t xml:space="preserve">Your recorded position</w:t>
            </w:r>
          </w:p>
        </w:tc>
        <w:tc>
          <w:tcPr>
            <w:tcW w:type="dxa" w:w="3910"/>
            <w:tcBorders>
              <w:top w:val="single" w:color="BBBBBB" w:sz="1"/>
              <w:left w:val="single" w:color="BBBBBB" w:sz="1"/>
              <w:bottom w:val="single" w:color="BBBBBB" w:sz="1"/>
              <w:right w:val="single" w:color="BBBBBB" w:sz="1"/>
            </w:tcBorders>
            <w:shd w:fill="D9E6F2" w:val="clear"/>
            <w:tcMar>
              <w:top w:type="dxa" w:w="70"/>
              <w:left w:type="dxa" w:w="110"/>
              <w:bottom w:type="dxa" w:w="70"/>
              <w:right w:type="dxa" w:w="110"/>
            </w:tcMar>
          </w:tcPr>
          <w:p>
            <w:pPr>
              <w:spacing w:after="0"/>
            </w:pPr>
            <w:r>
              <w:rPr>
                <w:b/>
                <w:bCs/>
                <w:color w:val="1A1A1A"/>
              </w:rPr>
              <w:t xml:space="preserve">How it shapes the analysis</w:t>
            </w:r>
          </w:p>
        </w:tc>
      </w:tr>
      <w:tr>
        <w:tc>
          <w:tcPr>
            <w:tcW w:type="dxa" w:w="21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rPr>
                <w:b/>
                <w:bCs/>
              </w:rPr>
              <w:t xml:space="preserve">Yardstick</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Both — </w:t>
            </w:r>
            <w:r>
              <w:rPr>
                <w:i/>
                <w:iCs/>
              </w:rPr>
              <w:t xml:space="preserve">gap analysis</w:t>
            </w:r>
            <w:r>
              <w:t xml:space="preserve">: derive the standard's own purpose, then test it against the named purpose and attribute the shortfall precisely.</w:t>
            </w:r>
          </w:p>
        </w:tc>
        <w:tc>
          <w:tcPr>
            <w:tcW w:type="dxa" w:w="391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The analysis credits the standard for what it is </w:t>
            </w:r>
            <w:r>
              <w:rPr>
                <w:i/>
                <w:iCs/>
              </w:rPr>
              <w:t xml:space="preserve">for</w:t>
            </w:r>
            <w:r>
              <w:t xml:space="preserve"> and is explicit about where the discovery expectation is a category error versus a genuine gap.</w:t>
            </w:r>
          </w:p>
        </w:tc>
      </w:tr>
      <w:tr>
        <w:tc>
          <w:tcPr>
            <w:tcW w:type="dxa" w:w="215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rPr>
                <w:b/>
                <w:bCs/>
              </w:rPr>
              <w:t xml:space="preserve">Board confidence</w:t>
            </w:r>
          </w:p>
        </w:tc>
        <w:tc>
          <w:tcPr>
            <w:tcW w:type="dxa" w:w="33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t xml:space="preserve">Delegated to the analyst's assessment.</w:t>
            </w:r>
          </w:p>
        </w:tc>
        <w:tc>
          <w:tcPr>
            <w:tcW w:type="dxa" w:w="391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t xml:space="preserve">Answered in the Executive answer and §6/§8: </w:t>
            </w:r>
            <w:r>
              <w:rPr>
                <w:i/>
                <w:iCs/>
              </w:rPr>
              <w:t xml:space="preserve">necessary-but-not-sufficient, conditional, epistemically bounded, time-decayed.</w:t>
            </w:r>
          </w:p>
        </w:tc>
      </w:tr>
      <w:tr>
        <w:tc>
          <w:tcPr>
            <w:tcW w:type="dxa" w:w="21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rPr>
                <w:b/>
                <w:bCs/>
              </w:rPr>
              <w:t xml:space="preserve">Where the theatre originates</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Your position: it arises through the </w:t>
            </w:r>
            <w:r>
              <w:rPr>
                <w:b/>
                <w:bCs/>
              </w:rPr>
              <w:t xml:space="preserve">board and the auditor not understanding how to use the standard effectively</w:t>
            </w:r>
            <w:r>
              <w:t xml:space="preserve"> — performing/expediting the review rather than leveraging its benefits.</w:t>
            </w:r>
          </w:p>
        </w:tc>
        <w:tc>
          <w:tcPr>
            <w:tcW w:type="dxa" w:w="391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The recommendation therefore targets </w:t>
            </w:r>
            <w:r>
              <w:rPr>
                <w:b/>
                <w:bCs/>
              </w:rPr>
              <w:t xml:space="preserve">understanding and competence</w:t>
            </w:r>
            <w:r>
              <w:t xml:space="preserve"> at both the governance and assurance ends, not a rewrite of the text.</w:t>
            </w:r>
          </w:p>
        </w:tc>
      </w:tr>
      <w:tr>
        <w:tc>
          <w:tcPr>
            <w:tcW w:type="dxa" w:w="215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rPr>
                <w:b/>
                <w:bCs/>
              </w:rPr>
              <w:t xml:space="preserve">Your use</w:t>
            </w:r>
          </w:p>
        </w:tc>
        <w:tc>
          <w:tcPr>
            <w:tcW w:type="dxa" w:w="33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t xml:space="preserve">Build better assurance.</w:t>
            </w:r>
          </w:p>
        </w:tc>
        <w:tc>
          <w:tcPr>
            <w:tcW w:type="dxa" w:w="391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t xml:space="preserve">Emphasis falls on the blind-spot map (§4–§5) and the compensating layer a real review needs (§7).</w:t>
            </w:r>
          </w:p>
        </w:tc>
      </w:tr>
    </w:tbl>
    <w:p>
      <w:pPr>
        <w:spacing w:after="60"/>
      </w:pPr>
      <w:r>
        <w:t xml:space="preserve"/>
      </w:r>
    </w:p>
    <w:p>
      <w:pPr>
        <w:pStyle w:val="Heading1"/>
        <w:spacing w:after="140" w:before="280"/>
      </w:pPr>
      <w:r>
        <w:t xml:space="preserve">2.  The purpose of ISO 27001, derived from the standard itself</w:t>
      </w:r>
    </w:p>
    <w:p>
      <w:pPr>
        <w:spacing w:after="140" w:before="0" w:line="276"/>
      </w:pPr>
      <w:r>
        <w:t xml:space="preserve">You asked that the purpose be derived from the document rather than assumed. The standard states it plainly, and the wording is load-bearing for everything that follows.</w:t>
      </w:r>
    </w:p>
    <w:p>
      <w:pPr>
        <w:spacing w:after="140" w:before="0" w:line="276"/>
      </w:pPr>
      <w:r>
        <w:rPr>
          <w:b/>
          <w:bCs/>
        </w:rPr>
        <w:t xml:space="preserve">From the Introduction (0.1): </w:t>
      </w:r>
      <w:r>
        <w:t xml:space="preserve">the document provides “requirements for establishing, implementing, maintaining and continually improving an information security management system,” which “preserves the confidentiality, integrity and availability of information by applying a </w:t>
      </w:r>
      <w:r>
        <w:rPr>
          <w:i/>
          <w:iCs/>
        </w:rPr>
        <w:t xml:space="preserve">risk management process</w:t>
      </w:r>
      <w:r>
        <w:t xml:space="preserve"> and gives confidence to interested parties that risks are </w:t>
      </w:r>
      <w:r>
        <w:rPr>
          <w:i/>
          <w:iCs/>
        </w:rPr>
        <w:t xml:space="preserve">adequately managed.</w:t>
      </w:r>
      <w:r>
        <w:t xml:space="preserve">” It adds that it “can be used … to assess the organization's ability to meet the organization's </w:t>
      </w:r>
      <w:r>
        <w:rPr>
          <w:i/>
          <w:iCs/>
        </w:rPr>
        <w:t xml:space="preserve">own</w:t>
      </w:r>
      <w:r>
        <w:t xml:space="preserve"> information security requirements.”  </w:t>
      </w:r>
      <w:r>
        <w:rPr>
          <w:rFonts w:ascii="Consolas" w:cs="Consolas" w:eastAsia="Consolas" w:hAnsi="Consolas"/>
          <w:b/>
          <w:bCs/>
          <w:color w:val="1B7F4B"/>
          <w:sz w:val="19"/>
          <w:szCs w:val="19"/>
        </w:rPr>
        <w:t xml:space="preserve">[V1]</w:t>
      </w:r>
    </w:p>
    <w:p>
      <w:pPr>
        <w:spacing w:after="140" w:before="0" w:line="276"/>
      </w:pPr>
      <w:r>
        <w:rPr>
          <w:b/>
          <w:bCs/>
        </w:rPr>
        <w:t xml:space="preserve">From the Scope (Clause 1): </w:t>
      </w:r>
      <w:r>
        <w:t xml:space="preserve">conformity is to the requirements in Clauses 4–10, which are “generic … applicable to all organizations.”  </w:t>
      </w:r>
      <w:r>
        <w:rPr>
          <w:rFonts w:ascii="Consolas" w:cs="Consolas" w:eastAsia="Consolas" w:hAnsi="Consolas"/>
          <w:b/>
          <w:bCs/>
          <w:color w:val="1B7F4B"/>
          <w:sz w:val="19"/>
          <w:szCs w:val="19"/>
        </w:rPr>
        <w:t xml:space="preserve">[V1]</w:t>
      </w:r>
    </w:p>
    <w:p>
      <w:pPr>
        <w:spacing w:after="140" w:before="0" w:line="276"/>
      </w:pPr>
      <w:r>
        <w:rPr>
          <w:b/>
          <w:bCs/>
        </w:rPr>
        <w:t xml:space="preserve">From the risk-treatment clause (6.1.3, Notes 2–3): </w:t>
      </w:r>
      <w:r>
        <w:t xml:space="preserve">Annex A is “a list of </w:t>
      </w:r>
      <w:r>
        <w:rPr>
          <w:i/>
          <w:iCs/>
        </w:rPr>
        <w:t xml:space="preserve">possible</w:t>
      </w:r>
      <w:r>
        <w:t xml:space="preserve"> information security controls” used to check “that no necessary controls have been overlooked,” and is “not exhaustive.” Controls may be drawn from any source, and Annex A controls may be </w:t>
      </w:r>
      <w:r>
        <w:rPr>
          <w:i/>
          <w:iCs/>
        </w:rPr>
        <w:t xml:space="preserve">excluded</w:t>
      </w:r>
      <w:r>
        <w:t xml:space="preserve"> with a documented justification in the Statement of Applicability.  </w:t>
      </w:r>
      <w:r>
        <w:rPr>
          <w:rFonts w:ascii="Consolas" w:cs="Consolas" w:eastAsia="Consolas" w:hAnsi="Consolas"/>
          <w:b/>
          <w:bCs/>
          <w:color w:val="1B7F4B"/>
          <w:sz w:val="19"/>
          <w:szCs w:val="19"/>
        </w:rPr>
        <w:t xml:space="preserve">[V1]</w:t>
      </w:r>
    </w:p>
    <w:p>
      <w:pPr>
        <w:spacing w:after="140" w:before="0" w:line="276"/>
      </w:pPr>
      <w:r>
        <w:rPr>
          <w:b/>
          <w:bCs/>
        </w:rPr>
        <w:t xml:space="preserve">Derived purpose. </w:t>
      </w:r>
      <w:r>
        <w:t xml:space="preserve">ISO 27001 specifies the requirements for a </w:t>
      </w:r>
      <w:r>
        <w:rPr>
          <w:b/>
          <w:bCs/>
        </w:rPr>
        <w:t xml:space="preserve">management system</w:t>
      </w:r>
      <w:r>
        <w:t xml:space="preserve"> — a governance-and-process apparatus — by which an organisation </w:t>
      </w:r>
      <w:r>
        <w:rPr>
          <w:i/>
          <w:iCs/>
        </w:rPr>
        <w:t xml:space="preserve">systematically manages</w:t>
      </w:r>
      <w:r>
        <w:t xml:space="preserve"> information-security risk </w:t>
      </w:r>
      <w:r>
        <w:rPr>
          <w:i/>
          <w:iCs/>
        </w:rPr>
        <w:t xml:space="preserve">to its own declared criteria</w:t>
      </w:r>
      <w:r>
        <w:t xml:space="preserve">, and through which it can give interested parties </w:t>
      </w:r>
      <w:r>
        <w:rPr>
          <w:i/>
          <w:iCs/>
        </w:rPr>
        <w:t xml:space="preserve">confidence that those risks are being managed.</w:t>
      </w:r>
      <w:r>
        <w:t xml:space="preserve"> The object certified is the management system; the yardstick is conformance to the clauses and to the organisation's own requirements; Annex A is a completeness checklist, not a mandatory security baseline.</w:t>
      </w:r>
    </w:p>
    <w:p>
      <w:pPr>
        <w:spacing w:after="140" w:before="0" w:line="276"/>
      </w:pPr>
      <w:r>
        <w:t xml:space="preserve">Three consequences flow directly, and drive the rest of the analysis: </w:t>
      </w:r>
      <w:r>
        <w:rPr>
          <w:b/>
          <w:bCs/>
        </w:rPr>
        <w:t xml:space="preserve">(1)</w:t>
      </w:r>
      <w:r>
        <w:t xml:space="preserve"> it assures </w:t>
      </w:r>
      <w:r>
        <w:rPr>
          <w:i/>
          <w:iCs/>
        </w:rPr>
        <w:t xml:space="preserve">process</w:t>
      </w:r>
      <w:r>
        <w:t xml:space="preserve">, not </w:t>
      </w:r>
      <w:r>
        <w:rPr>
          <w:i/>
          <w:iCs/>
        </w:rPr>
        <w:t xml:space="preserve">security state</w:t>
      </w:r>
      <w:r>
        <w:t xml:space="preserve">; </w:t>
      </w:r>
      <w:r>
        <w:rPr>
          <w:b/>
          <w:bCs/>
        </w:rPr>
        <w:t xml:space="preserve">(2)</w:t>
      </w:r>
      <w:r>
        <w:t xml:space="preserve"> the bar is substantially </w:t>
      </w:r>
      <w:r>
        <w:rPr>
          <w:i/>
          <w:iCs/>
        </w:rPr>
        <w:t xml:space="preserve">self-set</w:t>
      </w:r>
      <w:r>
        <w:t xml:space="preserve">; and </w:t>
      </w:r>
      <w:r>
        <w:rPr>
          <w:b/>
          <w:bCs/>
        </w:rPr>
        <w:t xml:space="preserve">(3)</w:t>
      </w:r>
      <w:r>
        <w:t xml:space="preserve"> it </w:t>
      </w:r>
      <w:r>
        <w:rPr>
          <w:i/>
          <w:iCs/>
        </w:rPr>
        <w:t xml:space="preserve">presumes</w:t>
      </w:r>
      <w:r>
        <w:t xml:space="preserve"> the competence it does not supply (Clause 7.2 lists competence as an input the organisation must already provide).  </w:t>
      </w:r>
      <w:r>
        <w:rPr>
          <w:rFonts w:ascii="Consolas" w:cs="Consolas" w:eastAsia="Consolas" w:hAnsi="Consolas"/>
          <w:b/>
          <w:bCs/>
          <w:color w:val="1B7F4B"/>
          <w:sz w:val="19"/>
          <w:szCs w:val="19"/>
        </w:rPr>
        <w:t xml:space="preserve">[V1]</w:t>
      </w:r>
    </w:p>
    <w:p>
      <w:pPr>
        <w:spacing w:after="40"/>
      </w:pPr>
      <w:r>
        <w:t xml:space="preserve"/>
      </w:r>
    </w:p>
    <w:p>
      <w:pPr>
        <w:pStyle w:val="Heading1"/>
        <w:spacing w:after="140" w:before="280"/>
      </w:pPr>
      <w:r>
        <w:t xml:space="preserve">3.  Fitness for the named purpose: strengths first, then the gap</w:t>
      </w:r>
    </w:p>
    <w:p>
      <w:pPr>
        <w:spacing w:after="140" w:before="0" w:line="276"/>
      </w:pPr>
      <w:r>
        <w:t xml:space="preserve">Per your gap-analysis framing, the honest account begins with what the standard genuinely gives an average non-specialist — which is real — before naming why it does not enable discovery.</w:t>
      </w:r>
    </w:p>
    <w:p>
      <w:pPr>
        <w:pStyle w:val="Heading2"/>
        <w:spacing w:after="120" w:before="240"/>
      </w:pPr>
      <w:r>
        <w:t xml:space="preserve">3.1  Genuine strengths for a non-specialist analyst</w:t>
      </w:r>
    </w:p>
    <w:p>
      <w:pPr>
        <w:pStyle w:val="ListParagraph"/>
        <w:numPr>
          <w:ilvl w:val="0"/>
          <w:numId w:val="2"/>
        </w:numPr>
        <w:spacing w:after="90" w:line="272"/>
      </w:pPr>
      <w:r>
        <w:rPr>
          <w:b/>
          <w:bCs/>
        </w:rPr>
        <w:t xml:space="preserve">A coverage scaffold. </w:t>
      </w:r>
      <w:r>
        <w:t xml:space="preserve">The 93 Annex A controls across four themes — Organizational (37), People (8), Physical (14), Technological (34) — give a broad, structured surface so a novice at least </w:t>
      </w:r>
      <w:r>
        <w:rPr>
          <w:i/>
          <w:iCs/>
        </w:rPr>
        <w:t xml:space="preserve">asks about</w:t>
      </w:r>
      <w:r>
        <w:t xml:space="preserve"> the right domains (threat intelligence, supplier and ICT-supply-chain risk, cryptography, logging and monitoring, access, physical, HR, incident, continuity).  </w:t>
      </w:r>
      <w:r>
        <w:rPr>
          <w:rFonts w:ascii="Consolas" w:cs="Consolas" w:eastAsia="Consolas" w:hAnsi="Consolas"/>
          <w:b/>
          <w:bCs/>
          <w:color w:val="1B7F4B"/>
          <w:sz w:val="19"/>
          <w:szCs w:val="19"/>
        </w:rPr>
        <w:t xml:space="preserve">[V1]</w:t>
      </w:r>
    </w:p>
    <w:p>
      <w:pPr>
        <w:pStyle w:val="ListParagraph"/>
        <w:numPr>
          <w:ilvl w:val="0"/>
          <w:numId w:val="2"/>
        </w:numPr>
        <w:spacing w:after="90" w:line="272"/>
      </w:pPr>
      <w:r>
        <w:rPr>
          <w:b/>
          <w:bCs/>
        </w:rPr>
        <w:t xml:space="preserve">A mandated artefact trail. </w:t>
      </w:r>
      <w:r>
        <w:t xml:space="preserve">The standard </w:t>
      </w:r>
      <w:r>
        <w:rPr>
          <w:i/>
          <w:iCs/>
        </w:rPr>
        <w:t xml:space="preserve">requires</w:t>
      </w:r>
      <w:r>
        <w:t xml:space="preserve"> documents an investigator can demand and read: risk-assessment results (6.1.2 / 8.2), the Statement of Applicability (6.1.3 d), the risk-treatment plan, internal-audit results (9.2), management-review minutes (9.3), and nonconformity / corrective-action records (10.2). A paper trail is a real starting map.  </w:t>
      </w:r>
      <w:r>
        <w:rPr>
          <w:rFonts w:ascii="Consolas" w:cs="Consolas" w:eastAsia="Consolas" w:hAnsi="Consolas"/>
          <w:b/>
          <w:bCs/>
          <w:color w:val="1B7F4B"/>
          <w:sz w:val="19"/>
          <w:szCs w:val="19"/>
        </w:rPr>
        <w:t xml:space="preserve">[V1]</w:t>
      </w:r>
    </w:p>
    <w:p>
      <w:pPr>
        <w:pStyle w:val="ListParagraph"/>
        <w:numPr>
          <w:ilvl w:val="0"/>
          <w:numId w:val="2"/>
        </w:numPr>
        <w:spacing w:after="90" w:line="272"/>
      </w:pPr>
      <w:r>
        <w:rPr>
          <w:b/>
          <w:bCs/>
        </w:rPr>
        <w:t xml:space="preserve">Two investigative goldmines. </w:t>
      </w:r>
      <w:r>
        <w:t xml:space="preserve">The </w:t>
      </w:r>
      <w:r>
        <w:rPr>
          <w:b/>
          <w:bCs/>
        </w:rPr>
        <w:t xml:space="preserve">scope statement</w:t>
      </w:r>
      <w:r>
        <w:t xml:space="preserve"> (4.3 — what is </w:t>
      </w:r>
      <w:r>
        <w:rPr>
          <w:i/>
          <w:iCs/>
        </w:rPr>
        <w:t xml:space="preserve">outside</w:t>
      </w:r>
      <w:r>
        <w:t xml:space="preserve"> the boundary) and the </w:t>
      </w:r>
      <w:r>
        <w:rPr>
          <w:b/>
          <w:bCs/>
        </w:rPr>
        <w:t xml:space="preserve">Statement of Applicability</w:t>
      </w:r>
      <w:r>
        <w:t xml:space="preserve"> (6.1.3 d — which controls were </w:t>
      </w:r>
      <w:r>
        <w:rPr>
          <w:i/>
          <w:iCs/>
        </w:rPr>
        <w:t xml:space="preserve">excluded</w:t>
      </w:r>
      <w:r>
        <w:t xml:space="preserve">, and the justification) are the highest-yield documents in the whole system: they show what the organisation decided </w:t>
      </w:r>
      <w:r>
        <w:rPr>
          <w:i/>
          <w:iCs/>
        </w:rPr>
        <w:t xml:space="preserve">not</w:t>
      </w:r>
      <w:r>
        <w:t xml:space="preserve"> to do, and why. For an investigator, start here.  </w:t>
      </w:r>
      <w:r>
        <w:rPr>
          <w:rFonts w:ascii="Consolas" w:cs="Consolas" w:eastAsia="Consolas" w:hAnsi="Consolas"/>
          <w:b/>
          <w:bCs/>
          <w:color w:val="1B7F4B"/>
          <w:sz w:val="19"/>
          <w:szCs w:val="19"/>
        </w:rPr>
        <w:t xml:space="preserve">[V1]</w:t>
      </w:r>
    </w:p>
    <w:p>
      <w:pPr>
        <w:pStyle w:val="ListParagraph"/>
        <w:numPr>
          <w:ilvl w:val="0"/>
          <w:numId w:val="2"/>
        </w:numPr>
        <w:spacing w:after="90" w:line="272"/>
      </w:pPr>
      <w:r>
        <w:rPr>
          <w:b/>
          <w:bCs/>
        </w:rPr>
        <w:t xml:space="preserve">Forced residual-risk sign-off. </w:t>
      </w:r>
      <w:r>
        <w:t xml:space="preserve">Clause 6.1.3 f makes risk owners </w:t>
      </w:r>
      <w:r>
        <w:rPr>
          <w:i/>
          <w:iCs/>
        </w:rPr>
        <w:t xml:space="preserve">approve</w:t>
      </w:r>
      <w:r>
        <w:t xml:space="preserve"> the treatment plan and </w:t>
      </w:r>
      <w:r>
        <w:rPr>
          <w:i/>
          <w:iCs/>
        </w:rPr>
        <w:t xml:space="preserve">accept the residual risks</w:t>
      </w:r>
      <w:r>
        <w:t xml:space="preserve"> — explicit, named ownership of what is left unprotected. Genuinely valuable, and rare in practice without it.  </w:t>
      </w:r>
      <w:r>
        <w:rPr>
          <w:rFonts w:ascii="Consolas" w:cs="Consolas" w:eastAsia="Consolas" w:hAnsi="Consolas"/>
          <w:b/>
          <w:bCs/>
          <w:color w:val="1B7F4B"/>
          <w:sz w:val="19"/>
          <w:szCs w:val="19"/>
        </w:rPr>
        <w:t xml:space="preserve">[V1]</w:t>
      </w:r>
    </w:p>
    <w:p>
      <w:pPr>
        <w:pStyle w:val="ListParagraph"/>
        <w:numPr>
          <w:ilvl w:val="0"/>
          <w:numId w:val="2"/>
        </w:numPr>
        <w:spacing w:after="90" w:line="272"/>
      </w:pPr>
      <w:r>
        <w:rPr>
          <w:b/>
          <w:bCs/>
        </w:rPr>
        <w:t xml:space="preserve">Effectiveness is named, not just existence. </w:t>
      </w:r>
      <w:r>
        <w:t xml:space="preserve">Clauses 9.1 and 6.1.1 e)2) require evaluating the </w:t>
      </w:r>
      <w:r>
        <w:rPr>
          <w:i/>
          <w:iCs/>
        </w:rPr>
        <w:t xml:space="preserve">effectiveness</w:t>
      </w:r>
      <w:r>
        <w:t xml:space="preserve"> of controls and actions, not merely their presence — the standard points at the right target.  </w:t>
      </w:r>
      <w:r>
        <w:rPr>
          <w:rFonts w:ascii="Consolas" w:cs="Consolas" w:eastAsia="Consolas" w:hAnsi="Consolas"/>
          <w:b/>
          <w:bCs/>
          <w:color w:val="1B7F4B"/>
          <w:sz w:val="19"/>
          <w:szCs w:val="19"/>
        </w:rPr>
        <w:t xml:space="preserve">[V1]</w:t>
      </w:r>
    </w:p>
    <w:p>
      <w:pPr>
        <w:pStyle w:val="Heading2"/>
        <w:spacing w:after="120" w:before="240"/>
      </w:pPr>
      <w:r>
        <w:t xml:space="preserve">3.2  Why it does not enable discovery by a non-specialist</w:t>
      </w:r>
    </w:p>
    <w:p>
      <w:pPr>
        <w:pStyle w:val="ListParagraph"/>
        <w:numPr>
          <w:ilvl w:val="0"/>
          <w:numId w:val="2"/>
        </w:numPr>
        <w:spacing w:after="90" w:line="272"/>
      </w:pPr>
      <w:r>
        <w:rPr>
          <w:b/>
          <w:bCs/>
        </w:rPr>
        <w:t xml:space="preserve">It is a conformance specification, not an investigation method. </w:t>
      </w:r>
      <w:r>
        <w:t xml:space="preserve">It states </w:t>
      </w:r>
      <w:r>
        <w:rPr>
          <w:i/>
          <w:iCs/>
        </w:rPr>
        <w:t xml:space="preserve">what an ISMS must contain</w:t>
      </w:r>
      <w:r>
        <w:t xml:space="preserve"> (the “shalls”); it supplies </w:t>
      </w:r>
      <w:r>
        <w:rPr>
          <w:i/>
          <w:iCs/>
        </w:rPr>
        <w:t xml:space="preserve">no technique of inquiry</w:t>
      </w:r>
      <w:r>
        <w:t xml:space="preserve"> — no sampling, corroboration, “show-me-don't-tell-me,” walkthrough, attack-path tracing, or professional-scepticism discipline. Those live in the </w:t>
      </w:r>
      <w:r>
        <w:rPr>
          <w:i/>
          <w:iCs/>
        </w:rPr>
        <w:t xml:space="preserve">auditing</w:t>
      </w:r>
      <w:r>
        <w:t xml:space="preserve"> disciplines, not here.  </w:t>
      </w:r>
      <w:r>
        <w:rPr>
          <w:rFonts w:ascii="Consolas" w:cs="Consolas" w:eastAsia="Consolas" w:hAnsi="Consolas"/>
          <w:b/>
          <w:bCs/>
          <w:color w:val="1B7F4B"/>
          <w:sz w:val="19"/>
          <w:szCs w:val="19"/>
        </w:rPr>
        <w:t xml:space="preserve">[V1]</w:t>
      </w:r>
      <w:r>
        <w:t xml:space="preserve"> (absence)</w:t>
      </w:r>
    </w:p>
    <w:p>
      <w:pPr>
        <w:pStyle w:val="ListParagraph"/>
        <w:numPr>
          <w:ilvl w:val="0"/>
          <w:numId w:val="2"/>
        </w:numPr>
        <w:spacing w:after="90" w:line="272"/>
      </w:pPr>
      <w:r>
        <w:rPr>
          <w:b/>
          <w:bCs/>
        </w:rPr>
        <w:t xml:space="preserve">Document-existence bias. </w:t>
      </w:r>
      <w:r>
        <w:t xml:space="preserve">Almost every clause closes with “documented information shall be available.” Followed literally — as a non-specialist will — the activity becomes </w:t>
      </w:r>
      <w:r>
        <w:rPr>
          <w:i/>
          <w:iCs/>
        </w:rPr>
        <w:t xml:space="preserve">verifying that artefacts exist</w:t>
      </w:r>
      <w:r>
        <w:t xml:space="preserve">, not </w:t>
      </w:r>
      <w:r>
        <w:rPr>
          <w:i/>
          <w:iCs/>
        </w:rPr>
        <w:t xml:space="preserve">testing whether controls work.</w:t>
      </w:r>
      <w:r>
        <w:t xml:space="preserve"> The operative verb is </w:t>
      </w:r>
      <w:r>
        <w:rPr>
          <w:i/>
          <w:iCs/>
        </w:rPr>
        <w:t xml:space="preserve">availability of evidence of process</w:t>
      </w:r>
      <w:r>
        <w:t xml:space="preserve">, not </w:t>
      </w:r>
      <w:r>
        <w:rPr>
          <w:i/>
          <w:iCs/>
        </w:rPr>
        <w:t xml:space="preserve">demonstration of a security outcome.</w:t>
      </w:r>
      <w:r>
        <w:t xml:space="preserve">  </w:t>
      </w:r>
      <w:r>
        <w:rPr>
          <w:rFonts w:ascii="Consolas" w:cs="Consolas" w:eastAsia="Consolas" w:hAnsi="Consolas"/>
          <w:b/>
          <w:bCs/>
          <w:color w:val="1B7F4B"/>
          <w:sz w:val="19"/>
          <w:szCs w:val="19"/>
        </w:rPr>
        <w:t xml:space="preserve">[V1]</w:t>
      </w:r>
    </w:p>
    <w:p>
      <w:pPr>
        <w:pStyle w:val="ListParagraph"/>
        <w:numPr>
          <w:ilvl w:val="0"/>
          <w:numId w:val="2"/>
        </w:numPr>
        <w:spacing w:after="90" w:line="272"/>
      </w:pPr>
      <w:r>
        <w:rPr>
          <w:b/>
          <w:bCs/>
        </w:rPr>
        <w:t xml:space="preserve">Effectiveness is required but under-powered. </w:t>
      </w:r>
      <w:r>
        <w:t xml:space="preserve">Clause 9.1 demands effectiveness evaluation but leaves the </w:t>
      </w:r>
      <w:r>
        <w:rPr>
          <w:i/>
          <w:iCs/>
        </w:rPr>
        <w:t xml:space="preserve">method</w:t>
      </w:r>
      <w:r>
        <w:t xml:space="preserve"> to the organisation and sets a low validity bar (“comparable and reproducible”). Nothing mandates penetration testing, red-teaming, control-efficacy validation, or breach simulation. The standard names the right thing and then permits it to be satisfied by documentary metrics that never touch a real adversary.  </w:t>
      </w:r>
      <w:r>
        <w:rPr>
          <w:rFonts w:ascii="Consolas" w:cs="Consolas" w:eastAsia="Consolas" w:hAnsi="Consolas"/>
          <w:b/>
          <w:bCs/>
          <w:color w:val="1B7F4B"/>
          <w:sz w:val="19"/>
          <w:szCs w:val="19"/>
        </w:rPr>
        <w:t xml:space="preserve">[V1]</w:t>
      </w:r>
    </w:p>
    <w:p>
      <w:pPr>
        <w:pStyle w:val="ListParagraph"/>
        <w:numPr>
          <w:ilvl w:val="0"/>
          <w:numId w:val="2"/>
        </w:numPr>
        <w:spacing w:after="90" w:line="272"/>
      </w:pPr>
      <w:r>
        <w:rPr>
          <w:b/>
          <w:bCs/>
        </w:rPr>
        <w:t xml:space="preserve">It presumes the competence it does not supply. </w:t>
      </w:r>
      <w:r>
        <w:t xml:space="preserve">Clause 7.2 treats competence as an input. For an </w:t>
      </w:r>
      <w:r>
        <w:rPr>
          <w:i/>
          <w:iCs/>
        </w:rPr>
        <w:t xml:space="preserve">average non-specialist</w:t>
      </w:r>
      <w:r>
        <w:t xml:space="preserve"> this is the crux: the standard assumes the analyst already brings the security judgement, threat knowledge and investigative skill needed to interpret the artefacts. Hand it to a novice and it functions as a checklist of what should exist — the raw material of theatre.  </w:t>
      </w:r>
      <w:r>
        <w:rPr>
          <w:rFonts w:ascii="Consolas" w:cs="Consolas" w:eastAsia="Consolas" w:hAnsi="Consolas"/>
          <w:b/>
          <w:bCs/>
          <w:color w:val="1B7F4B"/>
          <w:sz w:val="19"/>
          <w:szCs w:val="19"/>
        </w:rPr>
        <w:t xml:space="preserve">[V1]</w:t>
      </w:r>
    </w:p>
    <w:p>
      <w:pPr>
        <w:pStyle w:val="ListParagraph"/>
        <w:numPr>
          <w:ilvl w:val="0"/>
          <w:numId w:val="2"/>
        </w:numPr>
        <w:spacing w:after="90" w:line="272"/>
      </w:pPr>
      <w:r>
        <w:rPr>
          <w:b/>
          <w:bCs/>
        </w:rPr>
        <w:t xml:space="preserve">Almost no adversary. </w:t>
      </w:r>
      <w:r>
        <w:t xml:space="preserve">The standard manages “risks to confidentiality, integrity, availability” in the abstract; there is no threat actor, capability, or kill-chain. Security is adversarial — a framework with no opponent has a structural blind spot to attack. Threat Intelligence (A.5.7, new in 2022) is the lone, thin nod.  </w:t>
      </w:r>
      <w:r>
        <w:rPr>
          <w:rFonts w:ascii="Consolas" w:cs="Consolas" w:eastAsia="Consolas" w:hAnsi="Consolas"/>
          <w:b/>
          <w:bCs/>
          <w:color w:val="1B7F4B"/>
          <w:sz w:val="19"/>
          <w:szCs w:val="19"/>
        </w:rPr>
        <w:t xml:space="preserve">[V1]</w:t>
      </w:r>
    </w:p>
    <w:p>
      <w:pPr>
        <w:spacing w:after="40"/>
      </w:pPr>
      <w:r>
        <w:t xml:space="preserve"/>
      </w:r>
    </w:p>
    <w:p>
      <w:pPr>
        <w:pStyle w:val="Heading1"/>
        <w:spacing w:after="140" w:before="280"/>
      </w:pPr>
      <w:r>
        <w:t xml:space="preserve">4.  The epistemic continuum: what the standard can and cannot surface</w:t>
      </w:r>
    </w:p>
    <w:p>
      <w:pPr>
        <w:spacing w:after="140" w:before="0" w:line="276"/>
      </w:pPr>
      <w:r>
        <w:t xml:space="preserve">You asked for the full continuum, from known-knowns to unknown-unknowns and beyond. Mapping the standard onto it shows a clean pattern: ISO 27001 is strong at the bottom, weakens sharply moving up, and is structurally blind at the top — while emitting a </w:t>
      </w:r>
      <w:r>
        <w:rPr>
          <w:b/>
          <w:bCs/>
        </w:rPr>
        <w:t xml:space="preserve">single, uniform confidence signal</w:t>
      </w:r>
      <w:r>
        <w:t xml:space="preserve"> (the certificate) that does not distinguish the bands. That undifferentiated signal is the epistemic engine of assurance theatre.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3050"/>
        <w:gridCol w:w="3260"/>
        <w:gridCol w:w="1300"/>
      </w:tblGrid>
      <w:tr>
        <w:trPr>
          <w:tblHeader/>
        </w:trPr>
        <w:tc>
          <w:tcPr>
            <w:tcW w:type="dxa" w:w="1750"/>
            <w:tcBorders>
              <w:top w:val="single" w:color="BBBBBB" w:sz="1"/>
              <w:left w:val="single" w:color="BBBBBB" w:sz="1"/>
              <w:bottom w:val="single" w:color="BBBBBB" w:sz="1"/>
              <w:right w:val="single" w:color="BBBBBB" w:sz="1"/>
            </w:tcBorders>
            <w:shd w:fill="D9E6F2" w:val="clear"/>
            <w:tcMar>
              <w:top w:type="dxa" w:w="70"/>
              <w:left w:type="dxa" w:w="110"/>
              <w:bottom w:type="dxa" w:w="70"/>
              <w:right w:type="dxa" w:w="110"/>
            </w:tcMar>
          </w:tcPr>
          <w:p>
            <w:pPr>
              <w:spacing w:after="0"/>
            </w:pPr>
            <w:r>
              <w:rPr>
                <w:b/>
                <w:bCs/>
                <w:color w:val="1A1A1A"/>
              </w:rPr>
              <w:t xml:space="preserve">Epistemic band</w:t>
            </w:r>
          </w:p>
        </w:tc>
        <w:tc>
          <w:tcPr>
            <w:tcW w:type="dxa" w:w="3050"/>
            <w:tcBorders>
              <w:top w:val="single" w:color="BBBBBB" w:sz="1"/>
              <w:left w:val="single" w:color="BBBBBB" w:sz="1"/>
              <w:bottom w:val="single" w:color="BBBBBB" w:sz="1"/>
              <w:right w:val="single" w:color="BBBBBB" w:sz="1"/>
            </w:tcBorders>
            <w:shd w:fill="D9E6F2" w:val="clear"/>
            <w:tcMar>
              <w:top w:type="dxa" w:w="70"/>
              <w:left w:type="dxa" w:w="110"/>
              <w:bottom w:type="dxa" w:w="70"/>
              <w:right w:type="dxa" w:w="110"/>
            </w:tcMar>
          </w:tcPr>
          <w:p>
            <w:pPr>
              <w:spacing w:after="0"/>
            </w:pPr>
            <w:r>
              <w:rPr>
                <w:b/>
                <w:bCs/>
                <w:color w:val="1A1A1A"/>
              </w:rPr>
              <w:t xml:space="preserve">How ISO 27001 engages it</w:t>
            </w:r>
          </w:p>
        </w:tc>
        <w:tc>
          <w:tcPr>
            <w:tcW w:type="dxa" w:w="3260"/>
            <w:tcBorders>
              <w:top w:val="single" w:color="BBBBBB" w:sz="1"/>
              <w:left w:val="single" w:color="BBBBBB" w:sz="1"/>
              <w:bottom w:val="single" w:color="BBBBBB" w:sz="1"/>
              <w:right w:val="single" w:color="BBBBBB" w:sz="1"/>
            </w:tcBorders>
            <w:shd w:fill="D9E6F2" w:val="clear"/>
            <w:tcMar>
              <w:top w:type="dxa" w:w="70"/>
              <w:left w:type="dxa" w:w="110"/>
              <w:bottom w:type="dxa" w:w="70"/>
              <w:right w:type="dxa" w:w="110"/>
            </w:tcMar>
          </w:tcPr>
          <w:p>
            <w:pPr>
              <w:spacing w:after="0"/>
            </w:pPr>
            <w:r>
              <w:rPr>
                <w:b/>
                <w:bCs/>
                <w:color w:val="1A1A1A"/>
              </w:rPr>
              <w:t xml:space="preserve">What stays hidden from the analyst</w:t>
            </w:r>
          </w:p>
        </w:tc>
        <w:tc>
          <w:tcPr>
            <w:tcW w:type="dxa" w:w="1300"/>
            <w:tcBorders>
              <w:top w:val="single" w:color="BBBBBB" w:sz="1"/>
              <w:left w:val="single" w:color="BBBBBB" w:sz="1"/>
              <w:bottom w:val="single" w:color="BBBBBB" w:sz="1"/>
              <w:right w:val="single" w:color="BBBBBB" w:sz="1"/>
            </w:tcBorders>
            <w:shd w:fill="D9E6F2" w:val="clear"/>
            <w:tcMar>
              <w:top w:type="dxa" w:w="70"/>
              <w:left w:type="dxa" w:w="110"/>
              <w:bottom w:type="dxa" w:w="70"/>
              <w:right w:type="dxa" w:w="110"/>
            </w:tcMar>
          </w:tcPr>
          <w:p>
            <w:pPr>
              <w:spacing w:after="0"/>
            </w:pPr>
            <w:r>
              <w:rPr>
                <w:b/>
                <w:bCs/>
                <w:color w:val="1A1A1A"/>
              </w:rPr>
              <w:t xml:space="preserve">Grade</w:t>
            </w:r>
          </w:p>
        </w:tc>
      </w:tr>
      <w:tr>
        <w:tc>
          <w:tcPr>
            <w:tcW w:type="dxa" w:w="17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rPr>
                <w:b/>
                <w:bCs/>
              </w:rPr>
              <w:t xml:space="preserve">Known knowns</w:t>
            </w:r>
            <w:r>
              <w:t xml:space="preserve">  (documented; in the register / SoA)</w:t>
            </w:r>
          </w:p>
        </w:tc>
        <w:tc>
          <w:tcPr>
            <w:tcW w:type="dxa" w:w="3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Engaged well </w:t>
            </w:r>
            <w:r>
              <w:rPr>
                <w:i/>
                <w:iCs/>
              </w:rPr>
              <w:t xml:space="preserve">at the level of existence</w:t>
            </w:r>
            <w:r>
              <w:t xml:space="preserve"> — SoA, asset inventory (A.5.9), documented procedures surface them.</w:t>
            </w:r>
          </w:p>
        </w:tc>
        <w:tc>
          <w:tcPr>
            <w:tcW w:type="dxa" w:w="3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Verifies they are </w:t>
            </w:r>
            <w:r>
              <w:rPr>
                <w:i/>
                <w:iCs/>
              </w:rPr>
              <w:t xml:space="preserve">documented and managed</w:t>
            </w:r>
            <w:r>
              <w:t xml:space="preserve">, not that they are </w:t>
            </w:r>
            <w:r>
              <w:rPr>
                <w:i/>
                <w:iCs/>
              </w:rPr>
              <w:t xml:space="preserve">true or complete</w:t>
            </w:r>
            <w:r>
              <w:t xml:space="preserve">. Surfaces “the organisation </w:t>
            </w:r>
            <w:r>
              <w:rPr>
                <w:i/>
                <w:iCs/>
              </w:rPr>
              <w:t xml:space="preserve">claims</w:t>
            </w:r>
            <w:r>
              <w:t xml:space="preserve"> to know X,” not “X is correct.”</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rPr>
                <w:rFonts w:ascii="Consolas" w:cs="Consolas" w:eastAsia="Consolas" w:hAnsi="Consolas"/>
                <w:b/>
                <w:bCs/>
                <w:color w:val="1B7F4B"/>
                <w:sz w:val="19"/>
                <w:szCs w:val="19"/>
              </w:rPr>
              <w:t xml:space="preserve">[V1]</w:t>
            </w:r>
          </w:p>
        </w:tc>
      </w:tr>
      <w:tr>
        <w:tc>
          <w:tcPr>
            <w:tcW w:type="dxa" w:w="175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rPr>
                <w:b/>
                <w:bCs/>
              </w:rPr>
              <w:t xml:space="preserve">Known unknowns</w:t>
            </w:r>
            <w:r>
              <w:t xml:space="preserve">  (recognised / residual / accepted risk)</w:t>
            </w:r>
          </w:p>
        </w:tc>
        <w:tc>
          <w:tcPr>
            <w:tcW w:type="dxa" w:w="305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t xml:space="preserve">Engaged </w:t>
            </w:r>
            <w:r>
              <w:rPr>
                <w:i/>
                <w:iCs/>
              </w:rPr>
              <w:t xml:space="preserve">structurally and rather well</w:t>
            </w:r>
            <w:r>
              <w:t xml:space="preserve"> — risk-acceptance criteria (6.1.2 a), residual-risk sign-off (6.1.3 f), SoA exclusion justifications force the organisation to </w:t>
            </w:r>
            <w:r>
              <w:rPr>
                <w:i/>
                <w:iCs/>
              </w:rPr>
              <w:t xml:space="preserve">write down what it is not doing</w:t>
            </w:r>
            <w:r>
              <w:t xml:space="preserve">.</w:t>
            </w:r>
          </w:p>
        </w:tc>
        <w:tc>
          <w:tcPr>
            <w:tcW w:type="dxa" w:w="32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t xml:space="preserve">Whether the </w:t>
            </w:r>
            <w:r>
              <w:rPr>
                <w:i/>
                <w:iCs/>
              </w:rPr>
              <w:t xml:space="preserve">risk criteria themselves</w:t>
            </w:r>
            <w:r>
              <w:t xml:space="preserve"> are adequate — no independent challenge is required. A low bar, met, still passes.</w:t>
            </w:r>
          </w:p>
        </w:tc>
        <w:tc>
          <w:tcPr>
            <w:tcW w:type="dxa" w:w="13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rPr>
                <w:rFonts w:ascii="Consolas" w:cs="Consolas" w:eastAsia="Consolas" w:hAnsi="Consolas"/>
                <w:b/>
                <w:bCs/>
                <w:color w:val="1B7F4B"/>
                <w:sz w:val="19"/>
                <w:szCs w:val="19"/>
              </w:rPr>
              <w:t xml:space="preserve">[V1]</w:t>
            </w:r>
          </w:p>
        </w:tc>
      </w:tr>
      <w:tr>
        <w:tc>
          <w:tcPr>
            <w:tcW w:type="dxa" w:w="17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rPr>
                <w:b/>
                <w:bCs/>
              </w:rPr>
              <w:t xml:space="preserve">Unknown knowns</w:t>
            </w:r>
            <w:r>
              <w:t xml:space="preserve">  (tacit; normalised insecure practice; doc-vs-reality gap)</w:t>
            </w:r>
          </w:p>
        </w:tc>
        <w:tc>
          <w:tcPr>
            <w:tcW w:type="dxa" w:w="3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Weak. The standard runs on documented information and defined process; tacit knowledge and normalised deviance escape a conformance check.</w:t>
            </w:r>
          </w:p>
        </w:tc>
        <w:tc>
          <w:tcPr>
            <w:tcW w:type="dxa" w:w="3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The gap between the ISMS-as-documented and the ISMS-as-practised — workarounds, culture, “the way things really work.” Largely invisible to an auditor reading artefacts.</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rPr>
                <w:rFonts w:ascii="Consolas" w:cs="Consolas" w:eastAsia="Consolas" w:hAnsi="Consolas"/>
                <w:b/>
                <w:bCs/>
                <w:color w:val="6E6E6E"/>
                <w:sz w:val="19"/>
                <w:szCs w:val="19"/>
              </w:rPr>
              <w:t xml:space="preserve">[N]</w:t>
            </w:r>
          </w:p>
        </w:tc>
      </w:tr>
      <w:tr>
        <w:tc>
          <w:tcPr>
            <w:tcW w:type="dxa" w:w="175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rPr>
                <w:b/>
                <w:bCs/>
              </w:rPr>
              <w:t xml:space="preserve">Unknown unknowns</w:t>
            </w:r>
            <w:r>
              <w:t xml:space="preserve">  (novel threats; latent paths; the zero-day)</w:t>
            </w:r>
          </w:p>
        </w:tc>
        <w:tc>
          <w:tcPr>
            <w:tcW w:type="dxa" w:w="305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t xml:space="preserve">Out of reach — </w:t>
            </w:r>
            <w:r>
              <w:rPr>
                <w:i/>
                <w:iCs/>
              </w:rPr>
              <w:t xml:space="preserve">and the standard does not claim otherwise</w:t>
            </w:r>
            <w:r>
              <w:t xml:space="preserve">. Risk assessment (6.1.2) can only treat risks the organisation can </w:t>
            </w:r>
            <w:r>
              <w:rPr>
                <w:i/>
                <w:iCs/>
              </w:rPr>
              <w:t xml:space="preserve">identify</w:t>
            </w:r>
            <w:r>
              <w:t xml:space="preserve">.</w:t>
            </w:r>
          </w:p>
        </w:tc>
        <w:tc>
          <w:tcPr>
            <w:tcW w:type="dxa" w:w="32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t xml:space="preserve">Everything unimagined. Continual improvement (10.1) and threat intel (A.5.7) shrink the space, but identification is bounded by the organisation's knowledge. Most dangerous to the non-specialist, who reads a clean certificate as “we covered everything.”</w:t>
            </w:r>
          </w:p>
        </w:tc>
        <w:tc>
          <w:tcPr>
            <w:tcW w:type="dxa" w:w="13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rPr>
                <w:rFonts w:ascii="Consolas" w:cs="Consolas" w:eastAsia="Consolas" w:hAnsi="Consolas"/>
                <w:b/>
                <w:bCs/>
                <w:color w:val="1B7F4B"/>
                <w:sz w:val="19"/>
                <w:szCs w:val="19"/>
              </w:rPr>
              <w:t xml:space="preserve">[V1]</w:t>
            </w:r>
          </w:p>
        </w:tc>
      </w:tr>
      <w:tr>
        <w:tc>
          <w:tcPr>
            <w:tcW w:type="dxa" w:w="17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rPr>
                <w:b/>
                <w:bCs/>
              </w:rPr>
              <w:t xml:space="preserve">The ineffable / beyond</w:t>
            </w:r>
            <w:r>
              <w:t xml:space="preserve">  (Knightian uncertainty; unmodelable adversary; emergent failure)</w:t>
            </w:r>
          </w:p>
        </w:tc>
        <w:tc>
          <w:tcPr>
            <w:tcW w:type="dxa" w:w="3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No apparatus, and none claimed. ISO 27001 is a rationalist, documentary, risk-management paradigm that presumes risk can be identified, analysed, evaluated and treated.</w:t>
            </w:r>
          </w:p>
        </w:tc>
        <w:tc>
          <w:tcPr>
            <w:tcW w:type="dxa" w:w="3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The genuinely unquantifiable. The danger is </w:t>
            </w:r>
            <w:r>
              <w:rPr>
                <w:i/>
                <w:iCs/>
              </w:rPr>
              <w:t xml:space="preserve">false closure</w:t>
            </w:r>
            <w:r>
              <w:t xml:space="preserve">: the rigour of a well-documented ISMS manufactures an impression that the unmodelable has been handled.</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rPr>
                <w:rFonts w:ascii="Consolas" w:cs="Consolas" w:eastAsia="Consolas" w:hAnsi="Consolas"/>
                <w:b/>
                <w:bCs/>
                <w:color w:val="6E6E6E"/>
                <w:sz w:val="19"/>
                <w:szCs w:val="19"/>
              </w:rPr>
              <w:t xml:space="preserve">[N]</w:t>
            </w:r>
          </w:p>
        </w:tc>
      </w:tr>
    </w:tbl>
    <w:p>
      <w:pPr>
        <w:spacing w:after="140" w:before="120" w:line="276"/>
      </w:pPr>
      <w:r>
        <w:rPr>
          <w:b/>
          <w:bCs/>
        </w:rPr>
        <w:t xml:space="preserve">The map is not the territory; the register is not the risk. </w:t>
      </w:r>
      <w:r>
        <w:t xml:space="preserve">The standard's competence falls away precisely as the stakes of the unknown rise — and it is the upper bands, not the lower, that produce the breaches a board fears.</w:t>
      </w:r>
    </w:p>
    <w:p>
      <w:pPr>
        <w:spacing w:after="40"/>
      </w:pPr>
      <w:r>
        <w:t xml:space="preserve"/>
      </w:r>
    </w:p>
    <w:p>
      <w:pPr>
        <w:pStyle w:val="Heading1"/>
        <w:spacing w:after="140" w:before="280"/>
      </w:pPr>
      <w:r>
        <w:t xml:space="preserve">5.  Blind-spot register</w:t>
      </w:r>
    </w:p>
    <w:p>
      <w:pPr>
        <w:spacing w:after="140" w:before="0" w:line="276"/>
      </w:pPr>
      <w:r>
        <w:t xml:space="preserve">The structural blind spots — the things “hidden from the analyst” in the way the standard is built. The first four are the load-bearing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5360"/>
        <w:gridCol w:w="1300"/>
      </w:tblGrid>
      <w:tr>
        <w:trPr>
          <w:tblHeader/>
        </w:trPr>
        <w:tc>
          <w:tcPr>
            <w:tcW w:type="dxa" w:w="2700"/>
            <w:tcBorders>
              <w:top w:val="single" w:color="BBBBBB" w:sz="1"/>
              <w:left w:val="single" w:color="BBBBBB" w:sz="1"/>
              <w:bottom w:val="single" w:color="BBBBBB" w:sz="1"/>
              <w:right w:val="single" w:color="BBBBBB" w:sz="1"/>
            </w:tcBorders>
            <w:shd w:fill="D9E6F2" w:val="clear"/>
            <w:tcMar>
              <w:top w:type="dxa" w:w="70"/>
              <w:left w:type="dxa" w:w="110"/>
              <w:bottom w:type="dxa" w:w="70"/>
              <w:right w:type="dxa" w:w="110"/>
            </w:tcMar>
          </w:tcPr>
          <w:p>
            <w:pPr>
              <w:spacing w:after="0"/>
            </w:pPr>
            <w:r>
              <w:rPr>
                <w:b/>
                <w:bCs/>
                <w:color w:val="1A1A1A"/>
              </w:rPr>
              <w:t xml:space="preserve">Blind spot</w:t>
            </w:r>
          </w:p>
        </w:tc>
        <w:tc>
          <w:tcPr>
            <w:tcW w:type="dxa" w:w="5360"/>
            <w:tcBorders>
              <w:top w:val="single" w:color="BBBBBB" w:sz="1"/>
              <w:left w:val="single" w:color="BBBBBB" w:sz="1"/>
              <w:bottom w:val="single" w:color="BBBBBB" w:sz="1"/>
              <w:right w:val="single" w:color="BBBBBB" w:sz="1"/>
            </w:tcBorders>
            <w:shd w:fill="D9E6F2" w:val="clear"/>
            <w:tcMar>
              <w:top w:type="dxa" w:w="70"/>
              <w:left w:type="dxa" w:w="110"/>
              <w:bottom w:type="dxa" w:w="70"/>
              <w:right w:type="dxa" w:w="110"/>
            </w:tcMar>
          </w:tcPr>
          <w:p>
            <w:pPr>
              <w:spacing w:after="0"/>
            </w:pPr>
            <w:r>
              <w:rPr>
                <w:b/>
                <w:bCs/>
                <w:color w:val="1A1A1A"/>
              </w:rPr>
              <w:t xml:space="preserve">Mechanism — what makes it invisible</w:t>
            </w:r>
          </w:p>
        </w:tc>
        <w:tc>
          <w:tcPr>
            <w:tcW w:type="dxa" w:w="1300"/>
            <w:tcBorders>
              <w:top w:val="single" w:color="BBBBBB" w:sz="1"/>
              <w:left w:val="single" w:color="BBBBBB" w:sz="1"/>
              <w:bottom w:val="single" w:color="BBBBBB" w:sz="1"/>
              <w:right w:val="single" w:color="BBBBBB" w:sz="1"/>
            </w:tcBorders>
            <w:shd w:fill="D9E6F2" w:val="clear"/>
            <w:tcMar>
              <w:top w:type="dxa" w:w="70"/>
              <w:left w:type="dxa" w:w="110"/>
              <w:bottom w:type="dxa" w:w="70"/>
              <w:right w:type="dxa" w:w="110"/>
            </w:tcMar>
          </w:tcPr>
          <w:p>
            <w:pPr>
              <w:spacing w:after="0"/>
            </w:pPr>
            <w:r>
              <w:rPr>
                <w:b/>
                <w:bCs/>
                <w:color w:val="1A1A1A"/>
              </w:rPr>
              <w:t xml:space="preserve">Grade</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rPr>
                <w:b/>
                <w:bCs/>
              </w:rPr>
              <w:t xml:space="preserve">1. Conformance ≠ security</w:t>
            </w:r>
          </w:p>
        </w:tc>
        <w:tc>
          <w:tcPr>
            <w:tcW w:type="dxa" w:w="5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Process is certified, not the security state. A perfectly conformant ISMS can sit atop an insecure environment if risk identification is poor or the bar is low.</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rPr>
                <w:rFonts w:ascii="Consolas" w:cs="Consolas" w:eastAsia="Consolas" w:hAnsi="Consolas"/>
                <w:b/>
                <w:bCs/>
                <w:color w:val="1B7F4B"/>
                <w:sz w:val="19"/>
                <w:szCs w:val="19"/>
              </w:rPr>
              <w:t xml:space="preserve">[V1]</w:t>
            </w:r>
          </w:p>
        </w:tc>
      </w:tr>
      <w:tr>
        <w:tc>
          <w:tcPr>
            <w:tcW w:type="dxa" w:w="27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rPr>
                <w:b/>
                <w:bCs/>
              </w:rPr>
              <w:t xml:space="preserve">2. Self-referential yardstick</w:t>
            </w:r>
          </w:p>
        </w:tc>
        <w:tc>
          <w:tcPr>
            <w:tcW w:type="dxa" w:w="53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t xml:space="preserve">Conformity is to “the organisation's </w:t>
            </w:r>
            <w:r>
              <w:rPr>
                <w:i/>
                <w:iCs/>
              </w:rPr>
              <w:t xml:space="preserve">own</w:t>
            </w:r>
            <w:r>
              <w:t xml:space="preserve"> requirements” (0.1, Clause 1). The organisation substantially sets its own bar.</w:t>
            </w:r>
          </w:p>
        </w:tc>
        <w:tc>
          <w:tcPr>
            <w:tcW w:type="dxa" w:w="13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rPr>
                <w:rFonts w:ascii="Consolas" w:cs="Consolas" w:eastAsia="Consolas" w:hAnsi="Consolas"/>
                <w:b/>
                <w:bCs/>
                <w:color w:val="1B7F4B"/>
                <w:sz w:val="19"/>
                <w:szCs w:val="19"/>
              </w:rPr>
              <w:t xml:space="preserve">[V1]</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rPr>
                <w:b/>
                <w:bCs/>
              </w:rPr>
              <w:t xml:space="preserve">3. Document-existence bias</w:t>
            </w:r>
          </w:p>
        </w:tc>
        <w:tc>
          <w:tcPr>
            <w:tcW w:type="dxa" w:w="5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“Documented information shall be available” recurs throughout; it trains the reviewer to collect evidence-of-process, not to test efficacy.</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rPr>
                <w:rFonts w:ascii="Consolas" w:cs="Consolas" w:eastAsia="Consolas" w:hAnsi="Consolas"/>
                <w:b/>
                <w:bCs/>
                <w:color w:val="1B7F4B"/>
                <w:sz w:val="19"/>
                <w:szCs w:val="19"/>
              </w:rPr>
              <w:t xml:space="preserve">[V1]</w:t>
            </w:r>
          </w:p>
        </w:tc>
      </w:tr>
      <w:tr>
        <w:tc>
          <w:tcPr>
            <w:tcW w:type="dxa" w:w="27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rPr>
                <w:b/>
                <w:bCs/>
              </w:rPr>
              <w:t xml:space="preserve">4. Effectiveness under-specified</w:t>
            </w:r>
          </w:p>
        </w:tc>
        <w:tc>
          <w:tcPr>
            <w:tcW w:type="dxa" w:w="53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t xml:space="preserve">9.1 requires effectiveness evaluation but mandates no efficacy testing (pen-test, red-team, control validation). The right target, under-powered verification.</w:t>
            </w:r>
          </w:p>
        </w:tc>
        <w:tc>
          <w:tcPr>
            <w:tcW w:type="dxa" w:w="13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rPr>
                <w:rFonts w:ascii="Consolas" w:cs="Consolas" w:eastAsia="Consolas" w:hAnsi="Consolas"/>
                <w:b/>
                <w:bCs/>
                <w:color w:val="1B7F4B"/>
                <w:sz w:val="19"/>
                <w:szCs w:val="19"/>
              </w:rPr>
              <w:t xml:space="preserve">[V1]</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rPr>
                <w:b/>
                <w:bCs/>
              </w:rPr>
              <w:t xml:space="preserve">5. Scope-boundary gaming</w:t>
            </w:r>
          </w:p>
        </w:tc>
        <w:tc>
          <w:tcPr>
            <w:tcW w:type="dxa" w:w="5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4.3 lets the organisation set the ISMS scope. A narrow scope yields a certificate that interested parties over-read. What is </w:t>
            </w:r>
            <w:r>
              <w:rPr>
                <w:i/>
                <w:iCs/>
              </w:rPr>
              <w:t xml:space="preserve">outside</w:t>
            </w:r>
            <w:r>
              <w:t xml:space="preserve"> is hidden in plain sight.</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rPr>
                <w:rFonts w:ascii="Consolas" w:cs="Consolas" w:eastAsia="Consolas" w:hAnsi="Consolas"/>
                <w:b/>
                <w:bCs/>
                <w:color w:val="1B7F4B"/>
                <w:sz w:val="19"/>
                <w:szCs w:val="19"/>
              </w:rPr>
              <w:t xml:space="preserve">[V1]</w:t>
            </w:r>
          </w:p>
        </w:tc>
      </w:tr>
      <w:tr>
        <w:tc>
          <w:tcPr>
            <w:tcW w:type="dxa" w:w="27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rPr>
                <w:b/>
                <w:bCs/>
              </w:rPr>
              <w:t xml:space="preserve">6. SoA as rationalisation</w:t>
            </w:r>
          </w:p>
        </w:tc>
        <w:tc>
          <w:tcPr>
            <w:tcW w:type="dxa" w:w="53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t xml:space="preserve">The exclusion justification need only </w:t>
            </w:r>
            <w:r>
              <w:rPr>
                <w:i/>
                <w:iCs/>
              </w:rPr>
              <w:t xml:space="preserve">exist</w:t>
            </w:r>
            <w:r>
              <w:t xml:space="preserve">, not be </w:t>
            </w:r>
            <w:r>
              <w:rPr>
                <w:i/>
                <w:iCs/>
              </w:rPr>
              <w:t xml:space="preserve">adequate</w:t>
            </w:r>
            <w:r>
              <w:t xml:space="preserve">. In self-assessment it becomes a document that explains away gaps.</w:t>
            </w:r>
          </w:p>
        </w:tc>
        <w:tc>
          <w:tcPr>
            <w:tcW w:type="dxa" w:w="13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rPr>
                <w:rFonts w:ascii="Consolas" w:cs="Consolas" w:eastAsia="Consolas" w:hAnsi="Consolas"/>
                <w:b/>
                <w:bCs/>
                <w:color w:val="1B7F4B"/>
                <w:sz w:val="19"/>
                <w:szCs w:val="19"/>
              </w:rPr>
              <w:t xml:space="preserve">[V1]</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rPr>
                <w:b/>
                <w:bCs/>
              </w:rPr>
              <w:t xml:space="preserve">7. No / thin adversary model</w:t>
            </w:r>
          </w:p>
        </w:tc>
        <w:tc>
          <w:tcPr>
            <w:tcW w:type="dxa" w:w="5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No threat actor, capability, or attack chain in the management clauses. Security is adversarial; the frame is not. A.5.7 is the only nod.</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rPr>
                <w:rFonts w:ascii="Consolas" w:cs="Consolas" w:eastAsia="Consolas" w:hAnsi="Consolas"/>
                <w:b/>
                <w:bCs/>
                <w:color w:val="1B7F4B"/>
                <w:sz w:val="19"/>
                <w:szCs w:val="19"/>
              </w:rPr>
              <w:t xml:space="preserve">[V1]</w:t>
            </w:r>
          </w:p>
        </w:tc>
      </w:tr>
      <w:tr>
        <w:tc>
          <w:tcPr>
            <w:tcW w:type="dxa" w:w="27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rPr>
                <w:b/>
                <w:bCs/>
              </w:rPr>
              <w:t xml:space="preserve">8. Point-in-time vs continuous</w:t>
            </w:r>
          </w:p>
        </w:tc>
        <w:tc>
          <w:tcPr>
            <w:tcW w:type="dxa" w:w="53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t xml:space="preserve">A snapshot on a multi-year cycle (Stage 1/2 + brief annual surveillance + 3-year recert) against a continuous, adaptive adversary.</w:t>
            </w:r>
          </w:p>
        </w:tc>
        <w:tc>
          <w:tcPr>
            <w:tcW w:type="dxa" w:w="13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rPr>
                <w:rFonts w:ascii="Consolas" w:cs="Consolas" w:eastAsia="Consolas" w:hAnsi="Consolas"/>
                <w:b/>
                <w:bCs/>
                <w:color w:val="1F6FB2"/>
                <w:sz w:val="19"/>
                <w:szCs w:val="19"/>
              </w:rPr>
              <w:t xml:space="preserve">[V2]</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rPr>
                <w:b/>
                <w:bCs/>
              </w:rPr>
              <w:t xml:space="preserve">9. Good-faith-leadership assumption</w:t>
            </w:r>
          </w:p>
        </w:tc>
        <w:tc>
          <w:tcPr>
            <w:tcW w:type="dxa" w:w="5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The model assumes top management acts in good faith and owns the ISMS; internal audit and “independent” review (A.5.35) can be captured by the same management.</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rPr>
                <w:rFonts w:ascii="Consolas" w:cs="Consolas" w:eastAsia="Consolas" w:hAnsi="Consolas"/>
                <w:b/>
                <w:bCs/>
                <w:color w:val="6E6E6E"/>
                <w:sz w:val="19"/>
                <w:szCs w:val="19"/>
              </w:rPr>
              <w:t xml:space="preserve">[N]</w:t>
            </w:r>
          </w:p>
        </w:tc>
      </w:tr>
      <w:tr>
        <w:tc>
          <w:tcPr>
            <w:tcW w:type="dxa" w:w="27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rPr>
                <w:b/>
                <w:bCs/>
              </w:rPr>
              <w:t xml:space="preserve">10. Systemic / fourth-party risk</w:t>
            </w:r>
          </w:p>
        </w:tc>
        <w:tc>
          <w:tcPr>
            <w:tcW w:type="dxa" w:w="53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t xml:space="preserve">Supplier controls (A.5.19–5.23) manage </w:t>
            </w:r>
            <w:r>
              <w:rPr>
                <w:i/>
                <w:iCs/>
              </w:rPr>
              <w:t xml:space="preserve">your</w:t>
            </w:r>
            <w:r>
              <w:t xml:space="preserve"> relationships; concentration risk and your suppliers' suppliers are invisible to an organisation-scoped system.</w:t>
            </w:r>
          </w:p>
        </w:tc>
        <w:tc>
          <w:tcPr>
            <w:tcW w:type="dxa" w:w="13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rPr>
                <w:rFonts w:ascii="Consolas" w:cs="Consolas" w:eastAsia="Consolas" w:hAnsi="Consolas"/>
                <w:b/>
                <w:bCs/>
                <w:color w:val="6E6E6E"/>
                <w:sz w:val="19"/>
                <w:szCs w:val="19"/>
              </w:rPr>
              <w:t xml:space="preserve">[N]</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rPr>
                <w:b/>
                <w:bCs/>
              </w:rPr>
              <w:t xml:space="preserve">11. Gameable measurement</w:t>
            </w:r>
          </w:p>
        </w:tc>
        <w:tc>
          <w:tcPr>
            <w:tcW w:type="dxa" w:w="5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9.1 metrics are organisation-chosen; “incidents down” may mean detection down. Goodhart's law is unguarded.</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rPr>
                <w:rFonts w:ascii="Consolas" w:cs="Consolas" w:eastAsia="Consolas" w:hAnsi="Consolas"/>
                <w:b/>
                <w:bCs/>
                <w:color w:val="6E6E6E"/>
                <w:sz w:val="19"/>
                <w:szCs w:val="19"/>
              </w:rPr>
              <w:t xml:space="preserve">[N]</w:t>
            </w:r>
          </w:p>
        </w:tc>
      </w:tr>
      <w:tr>
        <w:tc>
          <w:tcPr>
            <w:tcW w:type="dxa" w:w="27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rPr>
                <w:b/>
                <w:bCs/>
              </w:rPr>
              <w:t xml:space="preserve">12. No calibration for the reader</w:t>
            </w:r>
          </w:p>
        </w:tc>
        <w:tc>
          <w:tcPr>
            <w:tcW w:type="dxa" w:w="53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t xml:space="preserve">The certificate carries no statement of what it does and does not mean. It travels into a boardroom heavier than it earns — the direct source of your board-confidence concern.</w:t>
            </w:r>
          </w:p>
        </w:tc>
        <w:tc>
          <w:tcPr>
            <w:tcW w:type="dxa" w:w="13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rPr>
                <w:rFonts w:ascii="Consolas" w:cs="Consolas" w:eastAsia="Consolas" w:hAnsi="Consolas"/>
                <w:b/>
                <w:bCs/>
                <w:color w:val="1B7F4B"/>
                <w:sz w:val="19"/>
                <w:szCs w:val="19"/>
              </w:rPr>
              <w:t xml:space="preserve">[V1]</w:t>
            </w:r>
          </w:p>
        </w:tc>
      </w:tr>
    </w:tbl>
    <w:p>
      <w:pPr>
        <w:spacing w:after="140" w:before="120" w:line="276"/>
      </w:pPr>
      <w:r>
        <w:rPr>
          <w:i/>
          <w:iCs/>
        </w:rPr>
        <w:t xml:space="preserve">Caution, clearly tiered: </w:t>
      </w:r>
      <w:r>
        <w:t xml:space="preserve">the often-cited “paid-by-the-auditee” systemic conflict of interest in the certification market is plausible by analogy to issuer-pays ratings, but a disconfirmation search found the documented evidence is the </w:t>
      </w:r>
      <w:r>
        <w:rPr>
          <w:i/>
          <w:iCs/>
        </w:rPr>
        <w:t xml:space="preserve">within-engagement</w:t>
      </w:r>
      <w:r>
        <w:t xml:space="preserve"> independence firewall (an auditor may not also consult/implement), not a substantiated systemic-capture finding for ISO 27001 specifically. It is held at </w:t>
      </w:r>
      <w:r>
        <w:rPr>
          <w:rFonts w:ascii="Consolas" w:cs="Consolas" w:eastAsia="Consolas" w:hAnsi="Consolas"/>
          <w:b/>
          <w:bCs/>
          <w:color w:val="B26B00"/>
          <w:sz w:val="19"/>
          <w:szCs w:val="19"/>
        </w:rPr>
        <w:t xml:space="preserve">[V3]</w:t>
      </w:r>
      <w:r>
        <w:t xml:space="preserve"> and the analysis does </w:t>
      </w:r>
      <w:r>
        <w:rPr>
          <w:b/>
          <w:bCs/>
        </w:rPr>
        <w:t xml:space="preserve">not</w:t>
      </w:r>
      <w:r>
        <w:t xml:space="preserve"> lean on it.</w:t>
      </w:r>
    </w:p>
    <w:p>
      <w:pPr>
        <w:spacing w:after="40"/>
      </w:pPr>
      <w:r>
        <w:t xml:space="preserve"/>
      </w:r>
    </w:p>
    <w:p>
      <w:pPr>
        <w:pStyle w:val="Heading1"/>
        <w:spacing w:after="140" w:before="280"/>
      </w:pPr>
      <w:r>
        <w:t xml:space="preserve">6.  Why miscalibrated confidence is dangerous, not merely wrong</w:t>
      </w:r>
    </w:p>
    <w:p>
      <w:pPr>
        <w:spacing w:after="140" w:before="0" w:line="276"/>
      </w:pPr>
      <w:r>
        <w:t xml:space="preserve">This problem carries genuine feedback structure, so a disciplined systems pass is warranted. The rule is </w:t>
      </w:r>
      <w:r>
        <w:rPr>
          <w:b/>
          <w:bCs/>
        </w:rPr>
        <w:t xml:space="preserve">investigate, do not predict</w:t>
      </w:r>
      <w:r>
        <w:t xml:space="preserve">: the structure can be named; whether or when any given organisation tips cannot, and is routed to human judgement.</w:t>
      </w:r>
    </w:p>
    <w:p>
      <w:pPr>
        <w:pStyle w:val="Heading3"/>
        <w:spacing w:after="90" w:before="180"/>
      </w:pPr>
      <w:r>
        <w:t xml:space="preserve">Two reinforcing loops</w:t>
      </w:r>
    </w:p>
    <w:p>
      <w:pPr>
        <w:spacing w:after="140" w:before="0" w:line="276"/>
      </w:pPr>
      <w:r>
        <w:rPr>
          <w:b/>
          <w:bCs/>
        </w:rPr>
        <w:t xml:space="preserve">R1 — the assurance-theatre / false-confidence loop. </w:t>
      </w:r>
      <w:r>
        <w:t xml:space="preserve">Certificate issued → board and interested-party confidence rises → scrutiny and security investment ease → latent, unaddressed risk </w:t>
      </w:r>
      <w:r>
        <w:rPr>
          <w:i/>
          <w:iCs/>
        </w:rPr>
        <w:t xml:space="preserve">accumulates</w:t>
      </w:r>
      <w:r>
        <w:t xml:space="preserve"> behind a conformant front → (long delay) → confidence persists </w:t>
      </w:r>
      <w:r>
        <w:rPr>
          <w:i/>
          <w:iCs/>
        </w:rPr>
        <w:t xml:space="preserve">because the certificate persists</w:t>
      </w:r>
      <w:r>
        <w:t xml:space="preserve"> → until an incident. The </w:t>
      </w:r>
      <w:r>
        <w:rPr>
          <w:b/>
          <w:bCs/>
        </w:rPr>
        <w:t xml:space="preserve">delay</w:t>
      </w:r>
      <w:r>
        <w:t xml:space="preserve"> is the hazard: the system feels fine precisely while risk builds.  </w:t>
      </w:r>
      <w:r>
        <w:rPr>
          <w:rFonts w:ascii="Consolas" w:cs="Consolas" w:eastAsia="Consolas" w:hAnsi="Consolas"/>
          <w:b/>
          <w:bCs/>
          <w:color w:val="6E6E6E"/>
          <w:sz w:val="19"/>
          <w:szCs w:val="19"/>
        </w:rPr>
        <w:t xml:space="preserve">[N]</w:t>
      </w:r>
      <w:r>
        <w:t xml:space="preserve"> (structure reasoned)</w:t>
      </w:r>
    </w:p>
    <w:p>
      <w:pPr>
        <w:spacing w:after="140" w:before="0" w:line="276"/>
      </w:pPr>
      <w:r>
        <w:rPr>
          <w:b/>
          <w:bCs/>
        </w:rPr>
        <w:t xml:space="preserve">R2 — the compliance-crowds-out-security loop. </w:t>
      </w:r>
      <w:r>
        <w:t xml:space="preserve">Finite security budget and attention flow to audit-passing artefacts (because that is what is measured and rewarded) → less flows to real defence → measured conformance rises while real security stays flat or falls → the next audit still passes → the allocation is reinforced. A displacement / Goodhart structure.  </w:t>
      </w:r>
      <w:r>
        <w:rPr>
          <w:rFonts w:ascii="Consolas" w:cs="Consolas" w:eastAsia="Consolas" w:hAnsi="Consolas"/>
          <w:b/>
          <w:bCs/>
          <w:color w:val="6E6E6E"/>
          <w:sz w:val="19"/>
          <w:szCs w:val="19"/>
        </w:rPr>
        <w:t xml:space="preserve">[N]</w:t>
      </w:r>
    </w:p>
    <w:p>
      <w:pPr>
        <w:spacing w:after="140" w:before="0" w:line="276"/>
      </w:pPr>
      <w:r>
        <w:rPr>
          <w:b/>
          <w:bCs/>
        </w:rPr>
        <w:t xml:space="preserve">This is the precise mechanism behind your diagnosis. </w:t>
      </w:r>
      <w:r>
        <w:t xml:space="preserve">A board that </w:t>
      </w:r>
      <w:r>
        <w:rPr>
          <w:i/>
          <w:iCs/>
        </w:rPr>
        <w:t xml:space="preserve">performs</w:t>
      </w:r>
      <w:r>
        <w:t xml:space="preserve"> the review and an auditor who </w:t>
      </w:r>
      <w:r>
        <w:rPr>
          <w:i/>
          <w:iCs/>
        </w:rPr>
        <w:t xml:space="preserve">expedites</w:t>
      </w:r>
      <w:r>
        <w:t xml:space="preserve"> it are R1's confidence node being fed while R2 is never checked. The theatre is not a moral failing; it is a feedback structure that competent understanding at both ends would interrupt.</w:t>
      </w:r>
    </w:p>
    <w:p>
      <w:pPr>
        <w:pStyle w:val="Heading3"/>
        <w:spacing w:after="90" w:before="180"/>
      </w:pPr>
      <w:r>
        <w:t xml:space="preserve">Tipping condition and leverage</w:t>
      </w:r>
    </w:p>
    <w:p>
      <w:pPr>
        <w:spacing w:after="140" w:before="0" w:line="276"/>
      </w:pPr>
      <w:r>
        <w:rPr>
          <w:b/>
          <w:bCs/>
        </w:rPr>
        <w:t xml:space="preserve">Tipping condition (named to watch, not predicted): </w:t>
      </w:r>
      <w:r>
        <w:t xml:space="preserve">a breach or material control failure flips “assured” to “crisis”; reversibility is </w:t>
      </w:r>
      <w:r>
        <w:rPr>
          <w:i/>
          <w:iCs/>
        </w:rPr>
        <w:t xml:space="preserve">hard</w:t>
      </w:r>
      <w:r>
        <w:t xml:space="preserve"> (reputational and regulatory). Whether or when this happens for a given organisation is </w:t>
      </w:r>
      <w:r>
        <w:rPr>
          <w:rFonts w:ascii="Consolas" w:cs="Consolas" w:eastAsia="Consolas" w:hAnsi="Consolas"/>
          <w:b/>
          <w:bCs/>
          <w:color w:val="6E6E6E"/>
          <w:sz w:val="19"/>
          <w:szCs w:val="19"/>
        </w:rPr>
        <w:t xml:space="preserve">[N]</w:t>
      </w:r>
      <w:r>
        <w:t xml:space="preserve"> and belongs to the human, not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BBBBBB" w:sz="1"/>
              <w:left w:val="single" w:color="BBBBBB" w:sz="1"/>
              <w:bottom w:val="single" w:color="BBBBBB" w:sz="1"/>
              <w:right w:val="single" w:color="BBBBBB" w:sz="1"/>
            </w:tcBorders>
            <w:shd w:fill="D9E6F2" w:val="clear"/>
            <w:tcMar>
              <w:top w:type="dxa" w:w="70"/>
              <w:left w:type="dxa" w:w="110"/>
              <w:bottom w:type="dxa" w:w="70"/>
              <w:right w:type="dxa" w:w="110"/>
            </w:tcMar>
          </w:tcPr>
          <w:p>
            <w:pPr>
              <w:spacing w:after="0"/>
            </w:pPr>
            <w:r>
              <w:rPr>
                <w:b/>
                <w:bCs/>
                <w:color w:val="1A1A1A"/>
              </w:rPr>
              <w:t xml:space="preserve">Leverage point (ranked)</w:t>
            </w:r>
          </w:p>
        </w:tc>
        <w:tc>
          <w:tcPr>
            <w:tcW w:type="dxa" w:w="2500"/>
            <w:tcBorders>
              <w:top w:val="single" w:color="BBBBBB" w:sz="1"/>
              <w:left w:val="single" w:color="BBBBBB" w:sz="1"/>
              <w:bottom w:val="single" w:color="BBBBBB" w:sz="1"/>
              <w:right w:val="single" w:color="BBBBBB" w:sz="1"/>
            </w:tcBorders>
            <w:shd w:fill="D9E6F2" w:val="clear"/>
            <w:tcMar>
              <w:top w:type="dxa" w:w="70"/>
              <w:left w:type="dxa" w:w="110"/>
              <w:bottom w:type="dxa" w:w="70"/>
              <w:right w:type="dxa" w:w="110"/>
            </w:tcMar>
          </w:tcPr>
          <w:p>
            <w:pPr>
              <w:spacing w:after="0"/>
            </w:pPr>
            <w:r>
              <w:rPr>
                <w:b/>
                <w:bCs/>
                <w:color w:val="1A1A1A"/>
              </w:rPr>
              <w:t xml:space="preserve">Why high-leverage</w:t>
            </w:r>
          </w:p>
        </w:tc>
        <w:tc>
          <w:tcPr>
            <w:tcW w:type="dxa" w:w="2500"/>
            <w:tcBorders>
              <w:top w:val="single" w:color="BBBBBB" w:sz="1"/>
              <w:left w:val="single" w:color="BBBBBB" w:sz="1"/>
              <w:bottom w:val="single" w:color="BBBBBB" w:sz="1"/>
              <w:right w:val="single" w:color="BBBBBB" w:sz="1"/>
            </w:tcBorders>
            <w:shd w:fill="D9E6F2" w:val="clear"/>
            <w:tcMar>
              <w:top w:type="dxa" w:w="70"/>
              <w:left w:type="dxa" w:w="110"/>
              <w:bottom w:type="dxa" w:w="70"/>
              <w:right w:type="dxa" w:w="110"/>
            </w:tcMar>
          </w:tcPr>
          <w:p>
            <w:pPr>
              <w:spacing w:after="0"/>
            </w:pPr>
            <w:r>
              <w:rPr>
                <w:b/>
                <w:bCs/>
                <w:color w:val="1A1A1A"/>
              </w:rPr>
              <w:t xml:space="preserve">Will acting there work?</w:t>
            </w:r>
          </w:p>
        </w:tc>
      </w:tr>
      <w:tr>
        <w:tc>
          <w:tcPr>
            <w:tcW w:type="dxa" w:w="4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Recalibrate what confidence the certificate earns (a reader-facing “means X, not Y” statement)</w:t>
            </w:r>
          </w:p>
        </w:tc>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Mechanism </w:t>
            </w:r>
            <w:r>
              <w:rPr>
                <w:rFonts w:ascii="Consolas" w:cs="Consolas" w:eastAsia="Consolas" w:hAnsi="Consolas"/>
                <w:b/>
                <w:bCs/>
                <w:color w:val="1B7F4B"/>
                <w:sz w:val="19"/>
                <w:szCs w:val="19"/>
              </w:rPr>
              <w:t xml:space="preserve">[V1]</w:t>
            </w:r>
          </w:p>
        </w:tc>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Effectiveness </w:t>
            </w:r>
            <w:r>
              <w:rPr>
                <w:rFonts w:ascii="Consolas" w:cs="Consolas" w:eastAsia="Consolas" w:hAnsi="Consolas"/>
                <w:b/>
                <w:bCs/>
                <w:color w:val="6E6E6E"/>
                <w:sz w:val="19"/>
                <w:szCs w:val="19"/>
              </w:rPr>
              <w:t xml:space="preserve">[N]</w:t>
            </w:r>
          </w:p>
        </w:tc>
      </w:tr>
      <w:tr>
        <w:tc>
          <w:tcPr>
            <w:tcW w:type="dxa" w:w="43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t xml:space="preserve">Mandate control-efficacy testing as a condition of internal assurance — break the document-existence node</w:t>
            </w:r>
          </w:p>
        </w:tc>
        <w:tc>
          <w:tcPr>
            <w:tcW w:type="dxa" w:w="25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t xml:space="preserve">Mechanism </w:t>
            </w:r>
            <w:r>
              <w:rPr>
                <w:rFonts w:ascii="Consolas" w:cs="Consolas" w:eastAsia="Consolas" w:hAnsi="Consolas"/>
                <w:b/>
                <w:bCs/>
                <w:color w:val="1B7F4B"/>
                <w:sz w:val="19"/>
                <w:szCs w:val="19"/>
              </w:rPr>
              <w:t xml:space="preserve">[V1]</w:t>
            </w:r>
          </w:p>
        </w:tc>
        <w:tc>
          <w:tcPr>
            <w:tcW w:type="dxa" w:w="25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spacing w:after="0" w:line="264"/>
            </w:pPr>
            <w:r>
              <w:t xml:space="preserve">Effectiveness </w:t>
            </w:r>
            <w:r>
              <w:rPr>
                <w:rFonts w:ascii="Consolas" w:cs="Consolas" w:eastAsia="Consolas" w:hAnsi="Consolas"/>
                <w:b/>
                <w:bCs/>
                <w:color w:val="6E6E6E"/>
                <w:sz w:val="19"/>
                <w:szCs w:val="19"/>
              </w:rPr>
              <w:t xml:space="preserve">[N]</w:t>
            </w:r>
          </w:p>
        </w:tc>
      </w:tr>
      <w:tr>
        <w:tc>
          <w:tcPr>
            <w:tcW w:type="dxa" w:w="4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Independent, adversarial assurance over self-assessment / paid renewal</w:t>
            </w:r>
          </w:p>
        </w:tc>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Mechanism </w:t>
            </w:r>
            <w:r>
              <w:rPr>
                <w:rFonts w:ascii="Consolas" w:cs="Consolas" w:eastAsia="Consolas" w:hAnsi="Consolas"/>
                <w:b/>
                <w:bCs/>
                <w:color w:val="1F6FB2"/>
                <w:sz w:val="19"/>
                <w:szCs w:val="19"/>
              </w:rPr>
              <w:t xml:space="preserve">[V2]</w:t>
            </w:r>
          </w:p>
        </w:tc>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Effectiveness </w:t>
            </w:r>
            <w:r>
              <w:rPr>
                <w:rFonts w:ascii="Consolas" w:cs="Consolas" w:eastAsia="Consolas" w:hAnsi="Consolas"/>
                <w:b/>
                <w:bCs/>
                <w:color w:val="6E6E6E"/>
                <w:sz w:val="19"/>
                <w:szCs w:val="19"/>
              </w:rPr>
              <w:t xml:space="preserve">[N]</w:t>
            </w:r>
          </w:p>
        </w:tc>
      </w:tr>
    </w:tbl>
    <w:p>
      <w:pPr>
        <w:spacing w:after="140" w:before="100" w:line="276"/>
      </w:pPr>
      <w:r>
        <w:rPr>
          <w:i/>
          <w:iCs/>
        </w:rPr>
        <w:t xml:space="preserve">Effectiveness is graded </w:t>
      </w:r>
      <w:r>
        <w:rPr>
          <w:rFonts w:ascii="Consolas" w:cs="Consolas" w:eastAsia="Consolas" w:hAnsi="Consolas"/>
          <w:b/>
          <w:bCs/>
          <w:color w:val="6E6E6E"/>
          <w:sz w:val="19"/>
          <w:szCs w:val="19"/>
        </w:rPr>
        <w:t xml:space="preserve">[N]</w:t>
      </w:r>
      <w:r>
        <w:rPr>
          <w:i/>
          <w:iCs/>
        </w:rPr>
        <w:t xml:space="preserve"> throughout: the structure tells us where to push, not that pushing will succeed in a given organisation.</w:t>
      </w:r>
    </w:p>
    <w:p>
      <w:pPr>
        <w:spacing w:after="40"/>
      </w:pPr>
      <w:r>
        <w:t xml:space="preserve"/>
      </w:r>
    </w:p>
    <w:p>
      <w:pPr>
        <w:pStyle w:val="Heading1"/>
        <w:spacing w:after="140" w:before="280"/>
      </w:pPr>
      <w:r>
        <w:t xml:space="preserve">7.  What a fit-for-purpose assurance review needs that ISO 27001 does not supply</w:t>
      </w:r>
    </w:p>
    <w:p>
      <w:pPr>
        <w:spacing w:after="140" w:before="0" w:line="276"/>
      </w:pPr>
      <w:r>
        <w:t xml:space="preserve">Because your use is to </w:t>
      </w:r>
      <w:r>
        <w:rPr>
          <w:b/>
          <w:bCs/>
        </w:rPr>
        <w:t xml:space="preserve">build better assurance</w:t>
      </w:r>
      <w:r>
        <w:t xml:space="preserve">, this is the operative section. ISO 27001 is a sound </w:t>
      </w:r>
      <w:r>
        <w:rPr>
          <w:i/>
          <w:iCs/>
        </w:rPr>
        <w:t xml:space="preserve">floor</w:t>
      </w:r>
      <w:r>
        <w:t xml:space="preserve"> — keep it for coverage and the documented-process spine — and bolt on the layer that produces discovery and a calibrated signal.</w:t>
      </w:r>
    </w:p>
    <w:p>
      <w:pPr>
        <w:pStyle w:val="ListParagraph"/>
        <w:numPr>
          <w:ilvl w:val="0"/>
          <w:numId w:val="2"/>
        </w:numPr>
        <w:spacing w:after="90" w:line="272"/>
      </w:pPr>
      <w:r>
        <w:rPr>
          <w:b/>
          <w:bCs/>
        </w:rPr>
        <w:t xml:space="preserve">An adversary model</w:t>
      </w:r>
      <w:r>
        <w:t xml:space="preserve"> (MITRE ATT&amp;CK, threat modelling, attack trees) to drive </w:t>
      </w:r>
      <w:r>
        <w:rPr>
          <w:i/>
          <w:iCs/>
        </w:rPr>
        <w:t xml:space="preserve">discovery</w:t>
      </w:r>
      <w:r>
        <w:t xml:space="preserve"> rather than </w:t>
      </w:r>
      <w:r>
        <w:rPr>
          <w:i/>
          <w:iCs/>
        </w:rPr>
        <w:t xml:space="preserve">coverage</w:t>
      </w:r>
      <w:r>
        <w:t xml:space="preserve">.  </w:t>
      </w:r>
      <w:r>
        <w:rPr>
          <w:rFonts w:ascii="Consolas" w:cs="Consolas" w:eastAsia="Consolas" w:hAnsi="Consolas"/>
          <w:b/>
          <w:bCs/>
          <w:color w:val="1F6FB2"/>
          <w:sz w:val="19"/>
          <w:szCs w:val="19"/>
        </w:rPr>
        <w:t xml:space="preserve">[V2]</w:t>
      </w:r>
    </w:p>
    <w:p>
      <w:pPr>
        <w:pStyle w:val="ListParagraph"/>
        <w:numPr>
          <w:ilvl w:val="0"/>
          <w:numId w:val="2"/>
        </w:numPr>
        <w:spacing w:after="90" w:line="272"/>
      </w:pPr>
      <w:r>
        <w:rPr>
          <w:b/>
          <w:bCs/>
        </w:rPr>
        <w:t xml:space="preserve">Control-efficacy testing</w:t>
      </w:r>
      <w:r>
        <w:t xml:space="preserve"> (penetration testing, red / purple teaming, breach-and-attack simulation, configuration and vulnerability validation; NIST SP 800-115) — test that controls </w:t>
      </w:r>
      <w:r>
        <w:rPr>
          <w:i/>
          <w:iCs/>
        </w:rPr>
        <w:t xml:space="preserve">work</w:t>
      </w:r>
      <w:r>
        <w:t xml:space="preserve">, not that they are documented.  </w:t>
      </w:r>
      <w:r>
        <w:rPr>
          <w:rFonts w:ascii="Consolas" w:cs="Consolas" w:eastAsia="Consolas" w:hAnsi="Consolas"/>
          <w:b/>
          <w:bCs/>
          <w:color w:val="1F6FB2"/>
          <w:sz w:val="19"/>
          <w:szCs w:val="19"/>
        </w:rPr>
        <w:t xml:space="preserve">[V2]</w:t>
      </w:r>
    </w:p>
    <w:p>
      <w:pPr>
        <w:pStyle w:val="ListParagraph"/>
        <w:numPr>
          <w:ilvl w:val="0"/>
          <w:numId w:val="2"/>
        </w:numPr>
        <w:spacing w:after="90" w:line="272"/>
      </w:pPr>
      <w:r>
        <w:rPr>
          <w:b/>
          <w:bCs/>
        </w:rPr>
        <w:t xml:space="preserve">Investigative method</w:t>
      </w:r>
      <w:r>
        <w:t xml:space="preserve"> (sampling, corroboration, walkthroughs, “show-me,” transaction tracing, professional scepticism) drawn from the auditing disciplines — the IIA standards, ISO/IEC 27007 (ISMS auditing), and ISO/IEC TS 27008 (assessment of technical controls).  </w:t>
      </w:r>
      <w:r>
        <w:rPr>
          <w:rFonts w:ascii="Consolas" w:cs="Consolas" w:eastAsia="Consolas" w:hAnsi="Consolas"/>
          <w:b/>
          <w:bCs/>
          <w:color w:val="1F6FB2"/>
          <w:sz w:val="19"/>
          <w:szCs w:val="19"/>
        </w:rPr>
        <w:t xml:space="preserve">[V2]</w:t>
      </w:r>
    </w:p>
    <w:p>
      <w:pPr>
        <w:pStyle w:val="ListParagraph"/>
        <w:numPr>
          <w:ilvl w:val="0"/>
          <w:numId w:val="2"/>
        </w:numPr>
        <w:spacing w:after="90" w:line="272"/>
      </w:pPr>
      <w:r>
        <w:rPr>
          <w:b/>
          <w:bCs/>
        </w:rPr>
        <w:t xml:space="preserve">A maturity lens</w:t>
      </w:r>
      <w:r>
        <w:t xml:space="preserve"> (NIST CSF tiers, C2M2, CMMI) to replace binary pass/fail with graded capability — so “conformant” does not read as “mature.”  </w:t>
      </w:r>
      <w:r>
        <w:rPr>
          <w:rFonts w:ascii="Consolas" w:cs="Consolas" w:eastAsia="Consolas" w:hAnsi="Consolas"/>
          <w:b/>
          <w:bCs/>
          <w:color w:val="1F6FB2"/>
          <w:sz w:val="19"/>
          <w:szCs w:val="19"/>
        </w:rPr>
        <w:t xml:space="preserve">[V2]</w:t>
      </w:r>
    </w:p>
    <w:p>
      <w:pPr>
        <w:pStyle w:val="ListParagraph"/>
        <w:numPr>
          <w:ilvl w:val="0"/>
          <w:numId w:val="2"/>
        </w:numPr>
        <w:spacing w:after="90" w:line="272"/>
      </w:pPr>
      <w:r>
        <w:rPr>
          <w:b/>
          <w:bCs/>
        </w:rPr>
        <w:t xml:space="preserve">Independent, adversarial assurance</w:t>
      </w:r>
      <w:r>
        <w:t xml:space="preserve"> rather than self-assessment or paid-renewal certification, with the assessor incentivised to find problems, not to renew a badge.  </w:t>
      </w:r>
      <w:r>
        <w:rPr>
          <w:rFonts w:ascii="Consolas" w:cs="Consolas" w:eastAsia="Consolas" w:hAnsi="Consolas"/>
          <w:b/>
          <w:bCs/>
          <w:color w:val="6E6E6E"/>
          <w:sz w:val="19"/>
          <w:szCs w:val="19"/>
        </w:rPr>
        <w:t xml:space="preserve">[N]</w:t>
      </w:r>
    </w:p>
    <w:p>
      <w:pPr>
        <w:pStyle w:val="ListParagraph"/>
        <w:numPr>
          <w:ilvl w:val="0"/>
          <w:numId w:val="2"/>
        </w:numPr>
        <w:spacing w:after="90" w:line="272"/>
      </w:pPr>
      <w:r>
        <w:rPr>
          <w:b/>
          <w:bCs/>
        </w:rPr>
        <w:t xml:space="preserve">A calibration statement for the board</w:t>
      </w:r>
      <w:r>
        <w:t xml:space="preserve"> — explicitly what the assurance means and does not mean, banded to the epistemic ladder in §4. This is the direct antidote to your fault-origin diagnosis: it makes the board read the certificate correctly instead of over-reading it.  </w:t>
      </w:r>
      <w:r>
        <w:rPr>
          <w:rFonts w:ascii="Consolas" w:cs="Consolas" w:eastAsia="Consolas" w:hAnsi="Consolas"/>
          <w:b/>
          <w:bCs/>
          <w:color w:val="6E6E6E"/>
          <w:sz w:val="19"/>
          <w:szCs w:val="19"/>
        </w:rPr>
        <w:t xml:space="preserve">[N]</w:t>
      </w:r>
    </w:p>
    <w:p>
      <w:pPr>
        <w:pStyle w:val="ListParagraph"/>
        <w:numPr>
          <w:ilvl w:val="0"/>
          <w:numId w:val="2"/>
        </w:numPr>
        <w:spacing w:after="90" w:line="272"/>
      </w:pPr>
      <w:r>
        <w:rPr>
          <w:b/>
          <w:bCs/>
        </w:rPr>
        <w:t xml:space="preserve">A supplied competence floor</w:t>
      </w:r>
      <w:r>
        <w:t xml:space="preserve"> — the standard presumes competence; a real review must </w:t>
      </w:r>
      <w:r>
        <w:rPr>
          <w:i/>
          <w:iCs/>
        </w:rPr>
        <w:t xml:space="preserve">supply</w:t>
      </w:r>
      <w:r>
        <w:t xml:space="preserve"> it. For the non-specialist specifically: pair the ISO 27001 artefact-map with a structured discovery method and an expert (or a sufficiently capable analytical engine) in the loop.  </w:t>
      </w:r>
      <w:r>
        <w:rPr>
          <w:rFonts w:ascii="Consolas" w:cs="Consolas" w:eastAsia="Consolas" w:hAnsi="Consolas"/>
          <w:b/>
          <w:bCs/>
          <w:color w:val="6E6E6E"/>
          <w:sz w:val="19"/>
          <w:szCs w:val="19"/>
        </w:rPr>
        <w:t xml:space="preserve">[N]</w:t>
      </w:r>
    </w:p>
    <w:p>
      <w:pPr>
        <w:spacing w:after="40"/>
      </w:pPr>
      <w:r>
        <w:t xml:space="preserve"/>
      </w:r>
    </w:p>
    <w:p>
      <w:pPr>
        <w:pStyle w:val="Heading1"/>
        <w:spacing w:after="140" w:before="280"/>
      </w:pPr>
      <w:r>
        <w:t xml:space="preserve">8.  Decision brief</w:t>
      </w:r>
    </w:p>
    <w:p>
      <w:pPr>
        <w:spacing w:after="140" w:before="0" w:line="276"/>
      </w:pPr>
      <w:r>
        <w:rPr>
          <w:b/>
          <w:bCs/>
        </w:rPr>
        <w:t xml:space="preserve">(a) The call — a provisional stance, not a verdict (this is a wicked, value-laden judgement, and re-openable). </w:t>
      </w:r>
      <w:r>
        <w:t xml:space="preserve">Treat ISO 27001 as a </w:t>
      </w:r>
      <w:r>
        <w:rPr>
          <w:b/>
          <w:bCs/>
        </w:rPr>
        <w:t xml:space="preserve">necessary-but-not-sufficient hygiene scaffold and evidence map — never as an assurance of security</w:t>
      </w:r>
      <w:r>
        <w:t xml:space="preserve">, and never as a stand-alone instrument for a non-specialist to discover vulnerabilities. Use it for what it is (a coverage checklist and a documented-process spine) and add the compensating layer in §7 to get actual discovery and a calibrated confidence signal. </w:t>
      </w:r>
      <w:r>
        <w:rPr>
          <w:i/>
          <w:iCs/>
        </w:rPr>
        <w:t xml:space="preserve">This prioritises truthful calibration of confidence over the convenience and marketability of a single certificate</w:t>
      </w:r>
      <w:r>
        <w:t xml:space="preserve"> — that is the value traded. It re-opens if the review's purpose is narrowly contractual (“demonstrate conformance”), or if an independent, efficacy-testing assessor is already in place.</w:t>
      </w:r>
    </w:p>
    <w:p>
      <w:pPr>
        <w:spacing w:after="140" w:before="0" w:line="276"/>
      </w:pPr>
      <w:r>
        <w:rPr>
          <w:b/>
          <w:bCs/>
        </w:rPr>
        <w:t xml:space="preserve">(b) Calibration. </w:t>
      </w:r>
      <w:r>
        <w:t xml:space="preserve">High confidence in the </w:t>
      </w:r>
      <w:r>
        <w:rPr>
          <w:i/>
          <w:iCs/>
        </w:rPr>
        <w:t xml:space="preserve">structural</w:t>
      </w:r>
      <w:r>
        <w:t xml:space="preserve"> findings — they rest on </w:t>
      </w:r>
      <w:r>
        <w:rPr>
          <w:rFonts w:ascii="Consolas" w:cs="Consolas" w:eastAsia="Consolas" w:hAnsi="Consolas"/>
          <w:b/>
          <w:bCs/>
          <w:color w:val="1B7F4B"/>
          <w:sz w:val="19"/>
          <w:szCs w:val="19"/>
        </w:rPr>
        <w:t xml:space="preserve">[V1]</w:t>
      </w:r>
      <w:r>
        <w:t xml:space="preserve"> readings of the standard's own text, corroborated </w:t>
      </w:r>
      <w:r>
        <w:rPr>
          <w:rFonts w:ascii="Consolas" w:cs="Consolas" w:eastAsia="Consolas" w:hAnsi="Consolas"/>
          <w:b/>
          <w:bCs/>
          <w:color w:val="1F6FB2"/>
          <w:sz w:val="19"/>
          <w:szCs w:val="19"/>
        </w:rPr>
        <w:t xml:space="preserve">[V2]</w:t>
      </w:r>
      <w:r>
        <w:t xml:space="preserve">. The weakest element anywhere near the call is the systemic certification-market critique, held at </w:t>
      </w:r>
      <w:r>
        <w:rPr>
          <w:rFonts w:ascii="Consolas" w:cs="Consolas" w:eastAsia="Consolas" w:hAnsi="Consolas"/>
          <w:b/>
          <w:bCs/>
          <w:color w:val="B26B00"/>
          <w:sz w:val="19"/>
          <w:szCs w:val="19"/>
        </w:rPr>
        <w:t xml:space="preserve">[V3]</w:t>
      </w:r>
      <w:r>
        <w:t xml:space="preserve"> and </w:t>
      </w:r>
      <w:r>
        <w:rPr>
          <w:b/>
          <w:bCs/>
        </w:rPr>
        <w:t xml:space="preserve">not</w:t>
      </w:r>
      <w:r>
        <w:t xml:space="preserve"> relied on. The upper-band findings (unknown-knowns, ineffable) are </w:t>
      </w:r>
      <w:r>
        <w:rPr>
          <w:rFonts w:ascii="Consolas" w:cs="Consolas" w:eastAsia="Consolas" w:hAnsi="Consolas"/>
          <w:b/>
          <w:bCs/>
          <w:color w:val="6E6E6E"/>
          <w:sz w:val="19"/>
          <w:szCs w:val="19"/>
        </w:rPr>
        <w:t xml:space="preserve">[N]</w:t>
      </w:r>
      <w:r>
        <w:t xml:space="preserve"> reasoned inferences, argued not measured. Confidence falls if your context is a competent specialist doing a contractual conformance check — then the “not fit” softens (see e).</w:t>
      </w:r>
    </w:p>
    <w:p>
      <w:pPr>
        <w:spacing w:after="140" w:before="0" w:line="276"/>
      </w:pPr>
      <w:r>
        <w:rPr>
          <w:b/>
          <w:bCs/>
        </w:rPr>
        <w:t xml:space="preserve">(c) The dominant unknown. </w:t>
      </w:r>
      <w:r>
        <w:t xml:space="preserve">Not in the text but in the </w:t>
      </w:r>
      <w:r>
        <w:rPr>
          <w:i/>
          <w:iCs/>
        </w:rPr>
        <w:t xml:space="preserve">using</w:t>
      </w:r>
      <w:r>
        <w:t xml:space="preserve">: whether the specific board and auditor understand the standard's purpose and limits well enough to leverage rather than perform it — your own fault-origin judgement. The same certificate is strong assurance in competent hands and theatre in incompetent ones.</w:t>
      </w:r>
    </w:p>
    <w:p>
      <w:pPr>
        <w:spacing w:after="140" w:before="0" w:line="276"/>
      </w:pPr>
      <w:r>
        <w:rPr>
          <w:b/>
          <w:bCs/>
        </w:rPr>
        <w:t xml:space="preserve">(d) What to verify first (cheapest risk-reducer). </w:t>
      </w:r>
      <w:r>
        <w:t xml:space="preserve">For any ISMS under review, pull and challenge the two highest-yield artefacts before anything else — the </w:t>
      </w:r>
      <w:r>
        <w:rPr>
          <w:b/>
          <w:bCs/>
        </w:rPr>
        <w:t xml:space="preserve">scope statement</w:t>
      </w:r>
      <w:r>
        <w:t xml:space="preserve"> (what is outside) and the </w:t>
      </w:r>
      <w:r>
        <w:rPr>
          <w:b/>
          <w:bCs/>
        </w:rPr>
        <w:t xml:space="preserve">Statement of Applicability</w:t>
      </w:r>
      <w:r>
        <w:t xml:space="preserve"> (what is excluded, and the justification). Then ask the one question the standard never forces: </w:t>
      </w:r>
      <w:r>
        <w:rPr>
          <w:i/>
          <w:iCs/>
        </w:rPr>
        <w:t xml:space="preserve">“show me evidence a control was tested against a real attack, not merely documented.”</w:t>
      </w:r>
      <w:r>
        <w:t xml:space="preserve"> If that evidence is absent, you are looking at conformance, not security.</w:t>
      </w:r>
    </w:p>
    <w:p>
      <w:pPr>
        <w:spacing w:after="140" w:before="0" w:line="276"/>
      </w:pPr>
      <w:r>
        <w:rPr>
          <w:b/>
          <w:bCs/>
        </w:rPr>
        <w:t xml:space="preserve">(e) What would flip the call. </w:t>
      </w:r>
      <w:r>
        <w:t xml:space="preserve">If the standard mandated control-efficacy testing and a reader-calibration statement, much of the critique would fall. If your purpose is purely contractual conformance, “not fit” becomes “fit for that narrow purpose.” If independent adversarial assurance already wraps the ISO process, the theatre risk largely closes. </w:t>
      </w:r>
      <w:r>
        <w:rPr>
          <w:i/>
          <w:iCs/>
        </w:rPr>
        <w:t xml:space="preserve">Resilience check (assumptions moved jointly): </w:t>
      </w:r>
      <w:r>
        <w:t xml:space="preserve">the call rests on (i) a </w:t>
      </w:r>
      <w:r>
        <w:rPr>
          <w:i/>
          <w:iCs/>
        </w:rPr>
        <w:t xml:space="preserve">non-specialist</w:t>
      </w:r>
      <w:r>
        <w:t xml:space="preserve"> analyst and (ii) a </w:t>
      </w:r>
      <w:r>
        <w:rPr>
          <w:i/>
          <w:iCs/>
        </w:rPr>
        <w:t xml:space="preserve">real-security-discovery</w:t>
      </w:r>
      <w:r>
        <w:t xml:space="preserve"> purpose. Move </w:t>
      </w:r>
      <w:r>
        <w:rPr>
          <w:b/>
          <w:bCs/>
        </w:rPr>
        <w:t xml:space="preserve">both</w:t>
      </w:r>
      <w:r>
        <w:t xml:space="preserve"> — a competent analyst doing a contractual conformance review — and the call inverts to “fit for purpose.” Move only one and it holds.</w:t>
      </w:r>
    </w:p>
    <w:p>
      <w:pPr>
        <w:spacing w:after="30"/>
      </w:pPr>
      <w:r>
        <w:t xml:space="preserve"/>
      </w:r>
    </w:p>
    <w:p>
      <w:pPr>
        <w:pStyle w:val="Heading1"/>
        <w:spacing w:after="140" w:before="280"/>
      </w:pPr>
      <w:r>
        <w:t xml:space="preserve">9.  Reliability caveat</w:t>
      </w:r>
    </w:p>
    <w:p>
      <w:pPr>
        <w:spacing w:after="140" w:before="0" w:line="276"/>
      </w:pPr>
      <w:r>
        <w:t xml:space="preserve">This analysis rests primarily on a close reading of the standard's own text (</w:t>
      </w:r>
      <w:r>
        <w:rPr>
          <w:rFonts w:ascii="Consolas" w:cs="Consolas" w:eastAsia="Consolas" w:hAnsi="Consolas"/>
          <w:b/>
          <w:bCs/>
          <w:color w:val="1B7F4B"/>
          <w:sz w:val="19"/>
          <w:szCs w:val="19"/>
        </w:rPr>
        <w:t xml:space="preserve">[V1]</w:t>
      </w:r>
      <w:r>
        <w:t xml:space="preserve">) and corroborating reputable secondary sources (</w:t>
      </w:r>
      <w:r>
        <w:rPr>
          <w:rFonts w:ascii="Consolas" w:cs="Consolas" w:eastAsia="Consolas" w:hAnsi="Consolas"/>
          <w:b/>
          <w:bCs/>
          <w:color w:val="1F6FB2"/>
          <w:sz w:val="19"/>
          <w:szCs w:val="19"/>
        </w:rPr>
        <w:t xml:space="preserve">[V2]</w:t>
      </w:r>
      <w:r>
        <w:t xml:space="preserve">). The systemic certification-market critique is </w:t>
      </w:r>
      <w:r>
        <w:rPr>
          <w:rFonts w:ascii="Consolas" w:cs="Consolas" w:eastAsia="Consolas" w:hAnsi="Consolas"/>
          <w:b/>
          <w:bCs/>
          <w:color w:val="B26B00"/>
          <w:sz w:val="19"/>
          <w:szCs w:val="19"/>
        </w:rPr>
        <w:t xml:space="preserve">[V3]</w:t>
      </w:r>
      <w:r>
        <w:t xml:space="preserve"> and is flagged, not relied upon. The upper-epistemic-band findings and the systems-loop structures are reasoned </w:t>
      </w:r>
      <w:r>
        <w:rPr>
          <w:rFonts w:ascii="Consolas" w:cs="Consolas" w:eastAsia="Consolas" w:hAnsi="Consolas"/>
          <w:b/>
          <w:bCs/>
          <w:color w:val="6E6E6E"/>
          <w:sz w:val="19"/>
          <w:szCs w:val="19"/>
        </w:rPr>
        <w:t xml:space="preserve">[N]</w:t>
      </w:r>
      <w:r>
        <w:t xml:space="preserve"> inferences, not empirical measurements. No grade was changed after it was set. The certification-cycle facts rest on the accreditation regime (ISO/IEC 17021) as reported by multiple consultancy sources rather than a single primary read, and are graded accordingly.</w:t>
      </w:r>
    </w:p>
    <w:p>
      <w:pPr>
        <w:spacing w:after="30"/>
      </w:pPr>
      <w:r>
        <w:t xml:space="preserve"/>
      </w:r>
    </w:p>
    <w:p>
      <w:pPr>
        <w:pStyle w:val="Heading1"/>
        <w:spacing w:after="140" w:before="280"/>
      </w:pPr>
      <w:r>
        <w:t xml:space="preserve">10.  Sources</w:t>
      </w:r>
    </w:p>
    <w:p>
      <w:pPr>
        <w:spacing w:after="140" w:before="0" w:line="276"/>
      </w:pPr>
      <w:r>
        <w:rPr>
          <w:b/>
          <w:bCs/>
        </w:rPr>
        <w:t xml:space="preserve">Primary </w:t>
      </w:r>
      <w:r>
        <w:rPr>
          <w:rFonts w:ascii="Consolas" w:cs="Consolas" w:eastAsia="Consolas" w:hAnsi="Consolas"/>
          <w:b/>
          <w:bCs/>
          <w:color w:val="1B7F4B"/>
          <w:sz w:val="19"/>
          <w:szCs w:val="19"/>
        </w:rPr>
        <w:t xml:space="preserve">[V1]</w:t>
      </w:r>
      <w:r>
        <w:t xml:space="preserve">:</w:t>
      </w:r>
    </w:p>
    <w:p>
      <w:pPr>
        <w:pStyle w:val="ListParagraph"/>
        <w:numPr>
          <w:ilvl w:val="0"/>
          <w:numId w:val="2"/>
        </w:numPr>
        <w:spacing w:after="90" w:line="272"/>
      </w:pPr>
      <w:r>
        <w:t xml:space="preserve">ISO/IEC 27001:2022(E), Third edition — Introduction (0.1), Scope (Cl. 1), Clauses 4–10, Clause 6.1.3 &amp; Notes, Annex A, Bibliography. (The document analysed; uploaded.)</w:t>
      </w:r>
    </w:p>
    <w:p>
      <w:pPr>
        <w:spacing w:after="140" w:before="0" w:line="276"/>
      </w:pPr>
      <w:r>
        <w:rPr>
          <w:b/>
          <w:bCs/>
        </w:rPr>
        <w:t xml:space="preserve">Secondary </w:t>
      </w:r>
      <w:r>
        <w:rPr>
          <w:rFonts w:ascii="Consolas" w:cs="Consolas" w:eastAsia="Consolas" w:hAnsi="Consolas"/>
          <w:b/>
          <w:bCs/>
          <w:color w:val="1F6FB2"/>
          <w:sz w:val="19"/>
          <w:szCs w:val="19"/>
        </w:rPr>
        <w:t xml:space="preserve">[V2]</w:t>
      </w:r>
      <w:r>
        <w:t xml:space="preserve">:</w:t>
      </w:r>
    </w:p>
    <w:p>
      <w:pPr>
        <w:pStyle w:val="ListParagraph"/>
        <w:numPr>
          <w:ilvl w:val="0"/>
          <w:numId w:val="2"/>
        </w:numPr>
        <w:spacing w:after="80" w:line="268"/>
      </w:pPr>
      <w:r>
        <w:t xml:space="preserve">ISO — ISO/IEC 27001 standard page:  </w:t>
      </w:r>
      <w:hyperlink w:history="1" r:id="rIdxwcaqopwz3xz4xaw0-rnh">
        <w:r>
          <w:rPr>
            <w:rStyle w:val="Hyperlink"/>
          </w:rPr>
          <w:t xml:space="preserve">https://www.iso.org/standard/27001</w:t>
        </w:r>
      </w:hyperlink>
    </w:p>
    <w:p>
      <w:pPr>
        <w:pStyle w:val="ListParagraph"/>
        <w:numPr>
          <w:ilvl w:val="0"/>
          <w:numId w:val="2"/>
        </w:numPr>
        <w:spacing w:after="80" w:line="268"/>
      </w:pPr>
      <w:r>
        <w:t xml:space="preserve">Wikipedia — ISO/IEC 27001 (scope-limitation &amp; “management system, not a guarantee” framing; 2021 academic-review summary):  </w:t>
      </w:r>
      <w:hyperlink w:history="1" r:id="rIdombffzppqiyze5sjpaurc">
        <w:r>
          <w:rPr>
            <w:rStyle w:val="Hyperlink"/>
          </w:rPr>
          <w:t xml:space="preserve">https://en.wikipedia.org/wiki/ISO/IEC_27001</w:t>
        </w:r>
      </w:hyperlink>
    </w:p>
    <w:p>
      <w:pPr>
        <w:pStyle w:val="ListParagraph"/>
        <w:numPr>
          <w:ilvl w:val="0"/>
          <w:numId w:val="2"/>
        </w:numPr>
        <w:spacing w:after="80" w:line="268"/>
      </w:pPr>
      <w:r>
        <w:t xml:space="preserve">ISMS.online — ISO 27001:2022 Annex A explained (93 controls / 4 themes / 11 new):  </w:t>
      </w:r>
      <w:hyperlink w:history="1" r:id="rIdpumsu_dvr5nxlhfueol00">
        <w:r>
          <w:rPr>
            <w:rStyle w:val="Hyperlink"/>
          </w:rPr>
          <w:t xml:space="preserve">https://www.isms.online/iso-27001/annex-a-2022/</w:t>
        </w:r>
      </w:hyperlink>
    </w:p>
    <w:p>
      <w:pPr>
        <w:pStyle w:val="ListParagraph"/>
        <w:numPr>
          <w:ilvl w:val="0"/>
          <w:numId w:val="2"/>
        </w:numPr>
        <w:spacing w:after="80" w:line="268"/>
      </w:pPr>
      <w:r>
        <w:t xml:space="preserve">Hightable — ISO 27001 Annex A 2022 reference (37 / 8 / 14 / 34 distribution):  </w:t>
      </w:r>
      <w:hyperlink w:history="1" r:id="rIdtj3oupgmibsjocdvsyqrq">
        <w:r>
          <w:rPr>
            <w:rStyle w:val="Hyperlink"/>
          </w:rPr>
          <w:t xml:space="preserve">https://hightable.io/iso-27001-annex-a-controls-reference-guide/</w:t>
        </w:r>
      </w:hyperlink>
    </w:p>
    <w:p>
      <w:pPr>
        <w:pStyle w:val="ListParagraph"/>
        <w:numPr>
          <w:ilvl w:val="0"/>
          <w:numId w:val="2"/>
        </w:numPr>
        <w:spacing w:after="80" w:line="268"/>
      </w:pPr>
      <w:r>
        <w:t xml:space="preserve">ISEOBlue — ISO 27001 certification process &amp; 3-year recertification cycle:  </w:t>
      </w:r>
      <w:hyperlink w:history="1" r:id="rIdf5aprlszyx4le2guyujeh">
        <w:r>
          <w:rPr>
            <w:rStyle w:val="Hyperlink"/>
          </w:rPr>
          <w:t xml:space="preserve">https://iseoblue.com/iso-27001/certification-guides/certification-process/</w:t>
        </w:r>
      </w:hyperlink>
    </w:p>
    <w:p>
      <w:pPr>
        <w:pStyle w:val="ListParagraph"/>
        <w:numPr>
          <w:ilvl w:val="0"/>
          <w:numId w:val="2"/>
        </w:numPr>
        <w:spacing w:after="80" w:line="268"/>
      </w:pPr>
      <w:r>
        <w:t xml:space="preserve">KirkpatrickPrice — auditor independence / conflict-of-interest practice (the [V3] caution):  </w:t>
      </w:r>
      <w:hyperlink w:history="1" r:id="rId0z8u5wmcvoahjj0nz9vwk">
        <w:r>
          <w:rPr>
            <w:rStyle w:val="Hyperlink"/>
          </w:rPr>
          <w:t xml:space="preserve">https://kirkpatrickprice.com/blog/iso-27001-certification-vs-audit-process/</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6"/>
      </w:pBdr>
      <w:spacing w:before="60"/>
      <w:jc w:val="center"/>
    </w:pPr>
    <w:r>
      <w:rPr>
        <w:color w:val="888888"/>
        <w:sz w:val="16"/>
        <w:szCs w:val="16"/>
      </w:rPr>
      <w:t xml:space="preserve">ISO/IEC 27001:2022 fitness analysis · Insight Engine (grade-locked) · </w:t>
    </w: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10" w:before="220"/>
      <w:outlineLvl w:val="1"/>
    </w:pPr>
    <w:rPr>
      <w:rFonts w:ascii="Arial" w:cs="Arial" w:eastAsia="Arial" w:hAnsi="Arial"/>
      <w:b/>
      <w:bCs/>
      <w:color w:val="2E5C8A"/>
      <w:sz w:val="24"/>
      <w:szCs w:val="24"/>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wcaqopwz3xz4xaw0-rnh" Type="http://schemas.openxmlformats.org/officeDocument/2006/relationships/hyperlink" Target="https://www.iso.org/standard/27001" TargetMode="External"/><Relationship Id="rIdombffzppqiyze5sjpaurc" Type="http://schemas.openxmlformats.org/officeDocument/2006/relationships/hyperlink" Target="https://en.wikipedia.org/wiki/ISO/IEC_27001" TargetMode="External"/><Relationship Id="rIdpumsu_dvr5nxlhfueol00" Type="http://schemas.openxmlformats.org/officeDocument/2006/relationships/hyperlink" Target="https://www.isms.online/iso-27001/annex-a-2022/" TargetMode="External"/><Relationship Id="rIdtj3oupgmibsjocdvsyqrq" Type="http://schemas.openxmlformats.org/officeDocument/2006/relationships/hyperlink" Target="https://hightable.io/iso-27001-annex-a-controls-reference-guide/" TargetMode="External"/><Relationship Id="rIdf5aprlszyx4le2guyujeh" Type="http://schemas.openxmlformats.org/officeDocument/2006/relationships/hyperlink" Target="https://iseoblue.com/iso-27001/certification-guides/certification-process/" TargetMode="External"/><Relationship Id="rId0z8u5wmcvoahjj0nz9vwk" Type="http://schemas.openxmlformats.org/officeDocument/2006/relationships/hyperlink" Target="https://kirkpatrickprice.com/blog/iso-27001-certification-vs-audit-proces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2026-06-30T20:31:46.831Z</dcterms:created>
  <dcterms:modified xsi:type="dcterms:W3CDTF">2026-06-30T20:31:46.831Z</dcterms:modified>
</cp:coreProperties>
</file>

<file path=docProps/custom.xml><?xml version="1.0" encoding="utf-8"?>
<Properties xmlns="http://schemas.openxmlformats.org/officeDocument/2006/custom-properties" xmlns:vt="http://schemas.openxmlformats.org/officeDocument/2006/docPropsVTypes"/>
</file>