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3864"/>
          <w:sz w:val="44"/>
          <w:szCs w:val="44"/>
        </w:rPr>
        <w:t xml:space="preserve">Is the Cyber Assessment Framework fit for purpose?</w:t>
      </w:r>
    </w:p>
    <w:p>
      <w:pPr>
        <w:spacing w:after="60"/>
        <w:jc w:val="center"/>
      </w:pPr>
      <w:r>
        <w:rPr>
          <w:color w:val="444444"/>
          <w:sz w:val="26"/>
          <w:szCs w:val="26"/>
        </w:rPr>
        <w:t xml:space="preserve">An analysis of the NCSC CAF v4.0 as a discovery aid for the non-specialist cyber assurance analyst</w:t>
      </w:r>
    </w:p>
    <w:p>
      <w:pPr>
        <w:spacing w:after="700"/>
        <w:jc w:val="center"/>
      </w:pPr>
      <w:r>
        <w:rPr>
          <w:i/>
          <w:iCs/>
          <w:color w:val="444444"/>
          <w:sz w:val="26"/>
          <w:szCs w:val="26"/>
        </w:rPr>
        <w:t xml:space="preserve">and the hidden cyber risk it does, and does not, reveal</w:t>
      </w:r>
    </w:p>
    <w:p>
      <w:pPr>
        <w:spacing w:after="40"/>
        <w:jc w:val="center"/>
      </w:pPr>
      <w:r>
        <w:rPr>
          <w:sz w:val="22"/>
          <w:szCs w:val="22"/>
        </w:rPr>
        <w:t xml:space="preserve">Prepared for the cyber assurance profession</w:t>
      </w:r>
    </w:p>
    <w:p>
      <w:pPr>
        <w:spacing w:after="40"/>
        <w:jc w:val="center"/>
      </w:pPr>
      <w:r>
        <w:rPr>
          <w:sz w:val="22"/>
          <w:szCs w:val="22"/>
        </w:rPr>
        <w:t xml:space="preserve">30 June 2026</w:t>
      </w:r>
    </w:p>
    <w:p>
      <w:pPr>
        <w:spacing w:after="40"/>
        <w:jc w:val="center"/>
      </w:pPr>
      <w:r>
        <w:rPr>
          <w:sz w:val="22"/>
          <w:szCs w:val="22"/>
        </w:rPr>
        <w:t xml:space="preserve">Subject: NCSC Cyber Assessment Framework v4.0 (Crown copyright 2025)</w:t>
      </w:r>
    </w:p>
    <w:p>
      <w:pPr>
        <w:spacing w:after="40"/>
        <w:jc w:val="center"/>
      </w:pPr>
      <w:r>
        <w:rPr>
          <w:sz w:val="22"/>
          <w:szCs w:val="22"/>
        </w:rPr>
        <w:t xml:space="preserve">Method: Insight Engine — grade-locked analysis</w:t>
      </w:r>
    </w:p>
    <w:p>
      <w:r>
        <w:br w:type="page"/>
      </w:r>
    </w:p>
    <w:p>
      <w:pPr>
        <w:pStyle w:val="Heading1"/>
      </w:pPr>
      <w:r>
        <w:t xml:space="preserve">How to read this report</w:t>
      </w:r>
    </w:p>
    <w:p>
      <w:pPr>
        <w:spacing w:after="140" w:line="276"/>
      </w:pPr>
      <w:r>
        <w:rPr>
          <w:b/>
          <w:bCs/>
          <w:sz w:val="22"/>
          <w:szCs w:val="22"/>
        </w:rPr>
        <w:t xml:space="preserve">Grades on claims. </w:t>
      </w:r>
      <w:r>
        <w:rPr>
          <w:sz w:val="22"/>
          <w:szCs w:val="22"/>
        </w:rPr>
        <w:t xml:space="preserve">Every load-bearing claim carries a grade so you can see how far to trust it.</w:t>
      </w:r>
    </w:p>
    <w:p>
      <w:pPr>
        <w:spacing w:after="140" w:line="276"/>
      </w:pPr>
      <w:r>
        <w:rPr>
          <w:b/>
          <w:bCs/>
          <w:sz w:val="22"/>
          <w:szCs w:val="22"/>
        </w:rPr>
        <w:t xml:space="preserve">[V1] </w:t>
      </w:r>
      <w:r>
        <w:rPr>
          <w:sz w:val="22"/>
          <w:szCs w:val="22"/>
        </w:rPr>
        <w:t xml:space="preserve">verified against a primary source (the framework text itself, a statute, an official statistic). </w:t>
      </w:r>
      <w:r>
        <w:rPr>
          <w:b/>
          <w:bCs/>
          <w:sz w:val="22"/>
          <w:szCs w:val="22"/>
        </w:rPr>
        <w:t xml:space="preserve">[V2] </w:t>
      </w:r>
      <w:r>
        <w:rPr>
          <w:sz w:val="22"/>
          <w:szCs w:val="22"/>
        </w:rPr>
        <w:t xml:space="preserve">verified against a reputable secondary source. </w:t>
      </w:r>
      <w:r>
        <w:rPr>
          <w:b/>
          <w:bCs/>
          <w:sz w:val="22"/>
          <w:szCs w:val="22"/>
        </w:rPr>
        <w:t xml:space="preserve">[V3] </w:t>
      </w:r>
      <w:r>
        <w:rPr>
          <w:sz w:val="22"/>
          <w:szCs w:val="22"/>
        </w:rPr>
        <w:t xml:space="preserve">contested, or supported only by weak or interested sources. </w:t>
      </w:r>
      <w:r>
        <w:rPr>
          <w:b/>
          <w:bCs/>
          <w:sz w:val="22"/>
          <w:szCs w:val="22"/>
        </w:rPr>
        <w:t xml:space="preserve">[N] </w:t>
      </w:r>
      <w:r>
        <w:rPr>
          <w:sz w:val="22"/>
          <w:szCs w:val="22"/>
        </w:rPr>
        <w:t xml:space="preserve">not externally verifiable — a judgement or a structural inference, offered for your decision rather than as established fact.</w:t>
      </w:r>
    </w:p>
    <w:p>
      <w:pPr>
        <w:spacing w:after="140" w:line="276"/>
      </w:pPr>
      <w:r>
        <w:rPr>
          <w:b/>
          <w:bCs/>
          <w:sz w:val="22"/>
          <w:szCs w:val="22"/>
        </w:rPr>
        <w:t xml:space="preserve">Survived disconfirmation </w:t>
      </w:r>
      <w:r>
        <w:rPr>
          <w:sz w:val="22"/>
          <w:szCs w:val="22"/>
        </w:rPr>
        <w:t xml:space="preserve">means I searched for evidence against the claim and found none of comparable strength.</w:t>
      </w:r>
    </w:p>
    <w:p>
      <w:pPr>
        <w:spacing w:after="140" w:line="276"/>
      </w:pPr>
      <w:r>
        <w:rPr>
          <w:b/>
          <w:bCs/>
          <w:sz w:val="22"/>
          <w:szCs w:val="22"/>
        </w:rPr>
        <w:t xml:space="preserve">RAG terms </w:t>
      </w:r>
      <w:r>
        <w:rPr>
          <w:sz w:val="22"/>
          <w:szCs w:val="22"/>
        </w:rPr>
        <w:t xml:space="preserve">are the CAF’s own scoring bands: Achieved (green), Partially achieved (amber), Not achieved (red).</w:t>
      </w:r>
    </w:p>
    <w:p>
      <w:pPr>
        <w:spacing w:after="140" w:line="276"/>
      </w:pPr>
      <w:r>
        <w:rPr>
          <w:b/>
          <w:bCs/>
          <w:sz w:val="22"/>
          <w:szCs w:val="22"/>
        </w:rPr>
        <w:t xml:space="preserve">On the verdict. </w:t>
      </w:r>
      <w:r>
        <w:rPr>
          <w:sz w:val="22"/>
          <w:szCs w:val="22"/>
        </w:rPr>
        <w:t xml:space="preserve">This is a partly wicked question: the answer depends on what “adequate” means, which is a judgement you own. Your recorded position sets the standard, so the call is a provisional, re-openable stance — not a closed verdict.</w:t>
      </w:r>
    </w:p>
    <w:p>
      <w:pPr>
        <w:pBdr>
          <w:bottom w:val="single" w:color="1F3864" w:sz="6" w:space="1"/>
        </w:pBdr>
        <w:spacing w:after="120" w:before="220"/>
      </w:pPr>
      <w:r>
        <w:rPr>
          <w:b/>
          <w:bCs/>
          <w:color w:val="1F3864"/>
          <w:sz w:val="28"/>
          <w:szCs w:val="28"/>
        </w:rPr>
        <w:t xml:space="preserve">Contents</w:t>
      </w:r>
    </w:p>
    <w:p>
      <w:pPr>
        <w:spacing w:after="60" w:line="264"/>
        <w:ind w:left="240"/>
      </w:pPr>
      <w:r>
        <w:rPr>
          <w:sz w:val="22"/>
          <w:szCs w:val="22"/>
        </w:rPr>
        <w:t xml:space="preserve">How to read this report</w:t>
      </w:r>
    </w:p>
    <w:p>
      <w:pPr>
        <w:spacing w:after="60" w:line="264"/>
        <w:ind w:left="240"/>
      </w:pPr>
      <w:r>
        <w:rPr>
          <w:sz w:val="22"/>
          <w:szCs w:val="22"/>
        </w:rPr>
        <w:t xml:space="preserve">1.  The question, reframed — and your positions on the record</w:t>
      </w:r>
    </w:p>
    <w:p>
      <w:pPr>
        <w:spacing w:after="60" w:line="264"/>
        <w:ind w:left="240"/>
      </w:pPr>
      <w:r>
        <w:rPr>
          <w:sz w:val="22"/>
          <w:szCs w:val="22"/>
        </w:rPr>
        <w:t xml:space="preserve">2.  What the CAF is for — purpose derived from the document</w:t>
      </w:r>
    </w:p>
    <w:p>
      <w:pPr>
        <w:spacing w:after="60" w:line="264"/>
        <w:ind w:left="240"/>
      </w:pPr>
      <w:r>
        <w:rPr>
          <w:sz w:val="22"/>
          <w:szCs w:val="22"/>
        </w:rPr>
        <w:t xml:space="preserve">3.  Verdict in brief</w:t>
      </w:r>
    </w:p>
    <w:p>
      <w:pPr>
        <w:spacing w:after="60" w:line="264"/>
        <w:ind w:left="240"/>
      </w:pPr>
      <w:r>
        <w:rPr>
          <w:sz w:val="22"/>
          <w:szCs w:val="22"/>
        </w:rPr>
        <w:t xml:space="preserve">4.  Where the CAF fits well</w:t>
      </w:r>
    </w:p>
    <w:p>
      <w:pPr>
        <w:spacing w:after="60" w:line="264"/>
        <w:ind w:left="240"/>
      </w:pPr>
      <w:r>
        <w:rPr>
          <w:sz w:val="22"/>
          <w:szCs w:val="22"/>
        </w:rPr>
        <w:t xml:space="preserve">5.  Where it does not fit the question as posed</w:t>
      </w:r>
    </w:p>
    <w:p>
      <w:pPr>
        <w:spacing w:after="60" w:line="264"/>
        <w:ind w:left="240"/>
      </w:pPr>
      <w:r>
        <w:rPr>
          <w:sz w:val="22"/>
          <w:szCs w:val="22"/>
        </w:rPr>
        <w:t xml:space="preserve">6.  The epistemic continuum — where the CAF reaches, and where it stops</w:t>
      </w:r>
    </w:p>
    <w:p>
      <w:pPr>
        <w:spacing w:after="60" w:line="264"/>
        <w:ind w:left="240"/>
      </w:pPr>
      <w:r>
        <w:rPr>
          <w:sz w:val="22"/>
          <w:szCs w:val="22"/>
        </w:rPr>
        <w:t xml:space="preserve">7.  The CAF’s structural blind spots</w:t>
      </w:r>
    </w:p>
    <w:p>
      <w:pPr>
        <w:spacing w:after="60" w:line="264"/>
        <w:ind w:left="240"/>
      </w:pPr>
      <w:r>
        <w:rPr>
          <w:sz w:val="22"/>
          <w:szCs w:val="22"/>
        </w:rPr>
        <w:t xml:space="preserve">8.  The false-assurance dynamic — a systems view of “assurance theatre”</w:t>
      </w:r>
    </w:p>
    <w:p>
      <w:pPr>
        <w:spacing w:after="60" w:line="264"/>
        <w:ind w:left="240"/>
      </w:pPr>
      <w:r>
        <w:rPr>
          <w:sz w:val="22"/>
          <w:szCs w:val="22"/>
        </w:rPr>
        <w:t xml:space="preserve">9.  Decision brief</w:t>
      </w:r>
    </w:p>
    <w:p>
      <w:pPr>
        <w:spacing w:after="60" w:line="264"/>
        <w:ind w:left="240"/>
      </w:pPr>
      <w:r>
        <w:rPr>
          <w:sz w:val="22"/>
          <w:szCs w:val="22"/>
        </w:rPr>
        <w:t xml:space="preserve">10.  Verified findings</w:t>
      </w:r>
    </w:p>
    <w:p>
      <w:pPr>
        <w:spacing w:after="60" w:line="264"/>
        <w:ind w:left="240"/>
      </w:pPr>
      <w:r>
        <w:rPr>
          <w:sz w:val="22"/>
          <w:szCs w:val="22"/>
        </w:rPr>
        <w:t xml:space="preserve">11.  Reliability caveat</w:t>
      </w:r>
    </w:p>
    <w:p>
      <w:pPr>
        <w:spacing w:after="60" w:line="264"/>
        <w:ind w:left="240"/>
      </w:pPr>
      <w:r>
        <w:rPr>
          <w:sz w:val="22"/>
          <w:szCs w:val="22"/>
        </w:rPr>
        <w:t xml:space="preserve">Sources</w:t>
      </w:r>
    </w:p>
    <w:p>
      <w:r>
        <w:br w:type="page"/>
      </w:r>
    </w:p>
    <w:p>
      <w:pPr>
        <w:pStyle w:val="Heading1"/>
      </w:pPr>
      <w:r>
        <w:t xml:space="preserve">1. The question, reframed — and your positions on the record</w:t>
      </w:r>
    </w:p>
    <w:p>
      <w:pPr>
        <w:spacing w:after="140" w:line="276"/>
      </w:pPr>
      <w:r>
        <w:rPr>
          <w:sz w:val="22"/>
          <w:szCs w:val="22"/>
        </w:rPr>
        <w:t xml:space="preserve">You asked whether the CAF is an adequate toolkit for an average non-specialist cyber assurance analyst to discover, uncover and understand the cybersecurity issues and vulnerabilities present in any environment, including what is hidden, across the epistemic continuum from known-knowns to unknown-unknowns and beyond into the ineffable.</w:t>
      </w:r>
    </w:p>
    <w:p>
      <w:pPr>
        <w:spacing w:after="140" w:line="276"/>
      </w:pPr>
      <w:r>
        <w:rPr>
          <w:sz w:val="22"/>
          <w:szCs w:val="22"/>
        </w:rPr>
        <w:t xml:space="preserve">Before finalising, the method required you to take a position on four judgements that are yours to make, not mine. You did. They set the standard the rest of this report is measured against, so they lead the document:</w:t>
      </w:r>
    </w:p>
    <w:p>
      <w:pPr>
        <w:spacing w:after="140" w:line="276"/>
      </w:pPr>
      <w:r>
        <w:rPr>
          <w:b/>
          <w:bCs/>
          <w:sz w:val="22"/>
          <w:szCs w:val="22"/>
        </w:rPr>
        <w:t xml:space="preserve">Meaning of “adequate”: </w:t>
      </w:r>
      <w:r>
        <w:rPr>
          <w:sz w:val="22"/>
          <w:szCs w:val="22"/>
        </w:rPr>
        <w:t xml:space="preserve">fit for purpose — where the purpose is to be derived from the CAF itself, not imposed from outside.</w:t>
      </w:r>
    </w:p>
    <w:p>
      <w:pPr>
        <w:spacing w:after="140" w:line="276"/>
      </w:pPr>
      <w:r>
        <w:rPr>
          <w:b/>
          <w:bCs/>
          <w:sz w:val="22"/>
          <w:szCs w:val="22"/>
        </w:rPr>
        <w:t xml:space="preserve">Accessibility versus reliability: </w:t>
      </w:r>
      <w:r>
        <w:rPr>
          <w:sz w:val="22"/>
          <w:szCs w:val="22"/>
        </w:rPr>
        <w:t xml:space="preserve">the tension is to be managed through clarity of purpose and honest confidence-reporting, rather than resolved by simply preferring one over the other. (Recorded as inferred from your stated view; correct me if that is not your intent.)</w:t>
      </w:r>
    </w:p>
    <w:p>
      <w:pPr>
        <w:spacing w:after="140" w:line="276"/>
      </w:pPr>
      <w:r>
        <w:rPr>
          <w:b/>
          <w:bCs/>
          <w:sz w:val="22"/>
          <w:szCs w:val="22"/>
        </w:rPr>
        <w:t xml:space="preserve">Legitimacy: </w:t>
      </w:r>
      <w:r>
        <w:rPr>
          <w:sz w:val="22"/>
          <w:szCs w:val="22"/>
        </w:rPr>
        <w:t xml:space="preserve">a self-assessment must not become “assurance theatre.” It should not carry assurance weight when the person performing it is unclear on the CAF’s objectives and purpose, and when the decision-making board is unclear about the degree of confidence it should place on a CAF review as a reflection of the organisation’s actual security. (Your words.)</w:t>
      </w:r>
    </w:p>
    <w:p>
      <w:pPr>
        <w:spacing w:after="140" w:line="276"/>
      </w:pPr>
      <w:r>
        <w:rPr>
          <w:b/>
          <w:bCs/>
          <w:sz w:val="22"/>
          <w:szCs w:val="22"/>
        </w:rPr>
        <w:t xml:space="preserve">The unknown-unknown and ineffable frontier: </w:t>
      </w:r>
      <w:r>
        <w:rPr>
          <w:sz w:val="22"/>
          <w:szCs w:val="22"/>
        </w:rPr>
        <w:t xml:space="preserve">credit the CAF for the disciplined humility it builds in, and still name the false-closure risk that its tidy output creates. (Recorded as my framing, consistent with your stated concern.)</w:t>
      </w:r>
    </w:p>
    <w:p>
      <w:pPr>
        <w:spacing w:after="140" w:line="276"/>
      </w:pPr>
      <w:r>
        <w:rPr>
          <w:b/>
          <w:bCs/>
          <w:sz w:val="22"/>
          <w:szCs w:val="22"/>
        </w:rPr>
        <w:t xml:space="preserve">The consequence is a reframe. </w:t>
      </w:r>
      <w:r>
        <w:rPr>
          <w:sz w:val="22"/>
          <w:szCs w:val="22"/>
        </w:rPr>
        <w:t xml:space="preserve">“Is the CAF adequate to discover vulnerabilities?” contains a category mismatch. The CAF is not a vulnerability-discovery instrument and does not claim to be. Judged as one, it fails. Judged as what it is — a structured, expert-judgement-based method for assessing how well an organisation manages cyber risk to its essential functions — it is well built, but it carries one specific and serious failure mode, which is the exact one you identified.</w:t>
      </w:r>
    </w:p>
    <w:p>
      <w:pPr>
        <w:pStyle w:val="Heading1"/>
      </w:pPr>
      <w:r>
        <w:t xml:space="preserve">2. What the CAF is for — purpose derived from the document</w:t>
      </w:r>
    </w:p>
    <w:p>
      <w:pPr>
        <w:spacing w:after="140" w:line="276"/>
      </w:pPr>
      <w:r>
        <w:rPr>
          <w:sz w:val="22"/>
          <w:szCs w:val="22"/>
        </w:rPr>
        <w:t xml:space="preserve">The CAF states its own purpose plainly. It is “a tool to help organisations assess and improve their cyber security and resilience, managing cyber risks and protecting essential services from cyber threats” (NCSC, CAF collection), and “a systematic and comprehensive approach to assessing the extent to which cyber risks to essential function(s) are being managed by the organisation responsible” (CAF v4.0, assessment-method section). [V1]</w:t>
      </w:r>
    </w:p>
    <w:p>
      <w:pPr>
        <w:spacing w:after="140" w:line="276"/>
      </w:pPr>
      <w:r>
        <w:rPr>
          <w:sz w:val="22"/>
          <w:szCs w:val="22"/>
        </w:rPr>
        <w:t xml:space="preserve">Four properties of that purpose are decisive for your question, and all four are stated in the document itself.</w:t>
      </w:r>
    </w:p>
    <w:p>
      <w:pPr>
        <w:pStyle w:val="Heading3"/>
      </w:pPr>
      <w:r>
        <w:t xml:space="preserve">(a) It assesses outcomes, not controls.</w:t>
      </w:r>
    </w:p>
    <w:p>
      <w:pPr>
        <w:spacing w:after="140" w:line="276"/>
      </w:pPr>
      <w:r>
        <w:rPr>
          <w:sz w:val="22"/>
          <w:szCs w:val="22"/>
        </w:rPr>
        <w:t xml:space="preserve">“The 4 high-level objectives and the 14 principles are written in terms of outcomes, i.e. specification of what needs to be achieved rather than a checklist of what needs to be done.” A stated design requirement is to “discourage assessments being carried out as tick-box exercises.” [V1]</w:t>
      </w:r>
    </w:p>
    <w:p>
      <w:pPr>
        <w:pStyle w:val="Heading3"/>
      </w:pPr>
      <w:r>
        <w:t xml:space="preserve">(b) It depends on expert judgement.</w:t>
      </w:r>
    </w:p>
    <w:p>
      <w:pPr>
        <w:spacing w:after="140" w:line="276"/>
      </w:pPr>
      <w:r>
        <w:rPr>
          <w:sz w:val="22"/>
          <w:szCs w:val="22"/>
        </w:rPr>
        <w:t xml:space="preserve">“Assessment of contributing outcomes is primarily a matter of expert judgement and the IGPs do not remove the requirement for the informed use of cyber security expertise and sector knowledge.” The Indicators of Good Practice are “intended to help inform expert judgement,” not “a checklist to be used in an inflexible assessment process,” and they are explicitly not “an exhaustive list.” [V1]</w:t>
      </w:r>
    </w:p>
    <w:p>
      <w:pPr>
        <w:pStyle w:val="Heading3"/>
      </w:pPr>
      <w:r>
        <w:t xml:space="preserve">(c) It can be self-assessed or independently assessed.</w:t>
      </w:r>
    </w:p>
    <w:p>
      <w:pPr>
        <w:spacing w:after="140" w:line="276"/>
      </w:pPr>
      <w:r>
        <w:rPr>
          <w:sz w:val="22"/>
          <w:szCs w:val="22"/>
        </w:rPr>
        <w:t xml:space="preserve">Assessments “can be carried out either by the responsible organisation itself (self-assessment) or by an independent external entity … such as an NCSC assured commercial service provider.” So a non-specialist self-assessment is permitted by the framework — a point examined below, because permission to self-assess is not the same as the ability to do it well. [V1]</w:t>
      </w:r>
    </w:p>
    <w:p>
      <w:pPr>
        <w:pStyle w:val="Heading3"/>
      </w:pPr>
      <w:r>
        <w:t xml:space="preserve">(d) Its output is a maturity judgement, not a certificate of security.</w:t>
      </w:r>
    </w:p>
    <w:p>
      <w:pPr>
        <w:spacing w:after="140" w:line="276"/>
      </w:pPr>
      <w:r>
        <w:rPr>
          <w:sz w:val="22"/>
          <w:szCs w:val="22"/>
        </w:rPr>
        <w:t xml:space="preserve">Applying the CAF produces “41 individual assessments,” and even “a result in which all 41 contributing outcomes were assessed as ‘achieved’ would indicate a level of cyber security some way beyond the bare minimum ‘basic cyber hygiene’ level” — that is, beyond a minimum, not “secure.” NCSC adds that “it is not the responsibility of the NCSC to mandate what represents appropriate and proportionate cyber security and resilience”; the target level (a “CAF profile”) is set by the relevant oversight body, not the framework. [V1]</w:t>
      </w:r>
    </w:p>
    <w:p>
      <w:pPr>
        <w:spacing w:after="140" w:line="276"/>
      </w:pPr>
      <w:r>
        <w:rPr>
          <w:b/>
          <w:bCs/>
          <w:sz w:val="22"/>
          <w:szCs w:val="22"/>
        </w:rPr>
        <w:t xml:space="preserve">Structure. </w:t>
      </w:r>
      <w:r>
        <w:rPr>
          <w:sz w:val="22"/>
          <w:szCs w:val="22"/>
        </w:rPr>
        <w:t xml:space="preserve">Four objectives (A Managing security risk; B Protecting against cyber attacks; C Detecting cyber security events; D Minimising the impact of incidents), 14 principles, and 41 contributing outcomes, each scored against an Indicators of Good Practice table as Achieved, Partially achieved, or Not achieved. The scoring rule is asymmetric and explicit: “Not achieved … At least one of the following statements is true” against “Achieved … All the following statements are true.” A single failing indicator drops the outcome. [V1]</w:t>
      </w:r>
    </w:p>
    <w:p>
      <w:pPr>
        <w:spacing w:after="140" w:line="276"/>
      </w:pPr>
      <w:r>
        <w:rPr>
          <w:b/>
          <w:bCs/>
          <w:sz w:val="22"/>
          <w:szCs w:val="22"/>
        </w:rPr>
        <w:t xml:space="preserve">The test to apply, therefore. </w:t>
      </w:r>
      <w:r>
        <w:rPr>
          <w:sz w:val="22"/>
          <w:szCs w:val="22"/>
        </w:rPr>
        <w:t xml:space="preserve">The CAF is fit for purpose to the extent that it lets a competent assessor form and defend a judgement about how well an organisation manages cyber risk to defined essential functions. Discovering specific technical vulnerabilities is a different activity, which the CAF assumes happens elsewhere and assesses only indirectly: does the organisation do it, and do it well?</w:t>
      </w:r>
    </w:p>
    <w:p>
      <w:pPr>
        <w:pStyle w:val="Heading1"/>
      </w:pPr>
      <w:r>
        <w:t xml:space="preserve">3. Verdict in brief</w:t>
      </w:r>
    </w:p>
    <w:p>
      <w:pPr>
        <w:spacing w:after="140" w:line="276"/>
      </w:pPr>
      <w:r>
        <w:rPr>
          <w:sz w:val="22"/>
          <w:szCs w:val="22"/>
        </w:rPr>
        <w:t xml:space="preserve">The answer is two-part and conditional on the standard you set.</w:t>
      </w:r>
    </w:p>
    <w:p>
      <w:pPr>
        <w:spacing w:after="140" w:line="276"/>
      </w:pPr>
      <w:r>
        <w:rPr>
          <w:b/>
          <w:bCs/>
          <w:sz w:val="22"/>
          <w:szCs w:val="22"/>
        </w:rPr>
        <w:t xml:space="preserve">Against the question as literally posed </w:t>
      </w:r>
      <w:r>
        <w:rPr>
          <w:sz w:val="22"/>
          <w:szCs w:val="22"/>
        </w:rPr>
        <w:t xml:space="preserve">— a toolkit that lets an average non-specialist discover the vulnerabilities present in any environment, including the hidden ones — the CAF is </w:t>
      </w:r>
      <w:r>
        <w:rPr>
          <w:b/>
          <w:bCs/>
          <w:sz w:val="22"/>
          <w:szCs w:val="22"/>
        </w:rPr>
        <w:t xml:space="preserve">not adequate, and was not built to be. </w:t>
      </w:r>
      <w:r>
        <w:rPr>
          <w:sz w:val="22"/>
          <w:szCs w:val="22"/>
        </w:rPr>
        <w:t xml:space="preserve">It does not find vulnerabilities; it assesses whether an organisation has the capability to find and manage its own. Discovery itself is routed to separate activities (penetration testing, vulnerability scanning, threat hunting, red teaming) that sit outside the framework. [V1] And the outcomes that come closest to hidden-threat discovery are precisely the ones that most depend on the expert judgement a non-specialist does not have. [V1]</w:t>
      </w:r>
    </w:p>
    <w:p>
      <w:pPr>
        <w:spacing w:after="140" w:line="276"/>
      </w:pPr>
      <w:r>
        <w:rPr>
          <w:b/>
          <w:bCs/>
          <w:sz w:val="22"/>
          <w:szCs w:val="22"/>
        </w:rPr>
        <w:t xml:space="preserve">Against the CAF’s own purpose </w:t>
      </w:r>
      <w:r>
        <w:rPr>
          <w:sz w:val="22"/>
          <w:szCs w:val="22"/>
        </w:rPr>
        <w:t xml:space="preserve">— a structured, expert-led assessment of cyber-risk-management maturity for essential functions — it is </w:t>
      </w:r>
      <w:r>
        <w:rPr>
          <w:b/>
          <w:bCs/>
          <w:sz w:val="22"/>
          <w:szCs w:val="22"/>
        </w:rPr>
        <w:t xml:space="preserve">well designed, </w:t>
      </w:r>
      <w:r>
        <w:rPr>
          <w:sz w:val="22"/>
          <w:szCs w:val="22"/>
        </w:rPr>
        <w:t xml:space="preserve">and for a competent generalist it is genuinely valuable as a structured guide to what to examine and to where specialists must be brought in. It improves the baseline thoroughness of an inquiry. [V1 / N]</w:t>
      </w:r>
    </w:p>
    <w:p>
      <w:pPr>
        <w:spacing w:after="140" w:line="276"/>
      </w:pPr>
      <w:r>
        <w:rPr>
          <w:b/>
          <w:bCs/>
          <w:sz w:val="22"/>
          <w:szCs w:val="22"/>
        </w:rPr>
        <w:t xml:space="preserve">The decisive risk is the one you named. </w:t>
      </w:r>
      <w:r>
        <w:rPr>
          <w:sz w:val="22"/>
          <w:szCs w:val="22"/>
        </w:rPr>
        <w:t xml:space="preserve">When a non-specialist self-assesses without being clear on this purpose, the framework’s clean Red/Amber/Green output is passed to a board that reads it as a statement about security rather than about managed-risk maturity. The output format implies more certainty than the method’s own caveats support. The CAF states the caveats that would prevent this — but it states them in front-matter the self-assessor may never read, and it does not require those caveats to be carried to the board. That is a real structural weakness, not a misuse the framework actively guards against. [N, reasoning from the document’s structure]</w:t>
      </w:r>
    </w:p>
    <w:p>
      <w:pPr>
        <w:pStyle w:val="Heading1"/>
      </w:pPr>
      <w:r>
        <w:t xml:space="preserve">4. Where the CAF fits well</w:t>
      </w:r>
    </w:p>
    <w:p>
      <w:pPr>
        <w:spacing w:after="140" w:line="276"/>
      </w:pPr>
      <w:r>
        <w:rPr>
          <w:sz w:val="22"/>
          <w:szCs w:val="22"/>
        </w:rPr>
        <w:t xml:space="preserve">Judged against its own purpose, the CAF has real strengths, and the analysis should credit them before turning to the limits.</w:t>
      </w:r>
    </w:p>
    <w:p>
      <w:pPr>
        <w:spacing w:after="140" w:line="276"/>
      </w:pPr>
      <w:r>
        <w:rPr>
          <w:b/>
          <w:bCs/>
          <w:sz w:val="22"/>
          <w:szCs w:val="22"/>
        </w:rPr>
        <w:t xml:space="preserve">Comprehensive, defensible coverage of the right topics. </w:t>
      </w:r>
      <w:r>
        <w:rPr>
          <w:sz w:val="22"/>
          <w:szCs w:val="22"/>
        </w:rPr>
        <w:t xml:space="preserve">Across Objectives A to D, the CAF directs attention to governance, risk management, asset management, supply chain, protective controls, identity and access, data, system security, resilience, people, monitoring, threat hunting, response and lessons-learned. For a competent generalist this is the single most useful thing the CAF offers: it reduces the chance of an obvious omission and tells the analyst what to ask about in areas they would not otherwise have considered. This is a genuine contribution to surfacing known-unknowns.</w:t>
      </w:r>
    </w:p>
    <w:p>
      <w:pPr>
        <w:spacing w:after="140" w:line="276"/>
      </w:pPr>
      <w:r>
        <w:rPr>
          <w:b/>
          <w:bCs/>
          <w:sz w:val="22"/>
          <w:szCs w:val="22"/>
        </w:rPr>
        <w:t xml:space="preserve">Outcome-based design resists box-ticking. </w:t>
      </w:r>
      <w:r>
        <w:rPr>
          <w:sz w:val="22"/>
          <w:szCs w:val="22"/>
        </w:rPr>
        <w:t xml:space="preserve">By specifying what must be achieved rather than what must be done, the CAF avoids the false comfort of a control list where every box is ticked while the outcome still fails. Whether an individual assessor honours this, or quietly treats the indicators as a checklist anyway, is a separate matter addressed under blind spots.</w:t>
      </w:r>
    </w:p>
    <w:p>
      <w:pPr>
        <w:spacing w:after="140" w:line="276"/>
      </w:pPr>
      <w:r>
        <w:rPr>
          <w:b/>
          <w:bCs/>
          <w:sz w:val="22"/>
          <w:szCs w:val="22"/>
        </w:rPr>
        <w:t xml:space="preserve">It is unusually literate about the epistemics of hidden threats. </w:t>
      </w:r>
      <w:r>
        <w:rPr>
          <w:sz w:val="22"/>
          <w:szCs w:val="22"/>
        </w:rPr>
        <w:t xml:space="preserve">Three parts of v4.0 directly serve your continuum concern:</w:t>
      </w:r>
    </w:p>
    <w:p>
      <w:pPr>
        <w:pStyle w:val="ListParagraph"/>
        <w:numPr>
          <w:ilvl w:val="0"/>
          <w:numId w:val="2"/>
        </w:numPr>
        <w:spacing w:after="100" w:line="276"/>
      </w:pPr>
      <w:r>
        <w:rPr>
          <w:b/>
          <w:bCs/>
          <w:sz w:val="22"/>
          <w:szCs w:val="22"/>
        </w:rPr>
        <w:t xml:space="preserve">C2 Threat Hunting </w:t>
      </w:r>
      <w:r>
        <w:rPr>
          <w:sz w:val="22"/>
          <w:szCs w:val="22"/>
        </w:rPr>
        <w:t xml:space="preserve">(expanded into its own principle in v4.0) is the CAF’s dedicated answer to threats that evade detection: “the proactive, iterative and human-centric identification of Cyber threats that have evaded existing security controls,” focused on adversary tactics, techniques and procedures “over atomic IoCs.” [V1]</w:t>
      </w:r>
    </w:p>
    <w:p>
      <w:pPr>
        <w:pStyle w:val="ListParagraph"/>
        <w:numPr>
          <w:ilvl w:val="0"/>
          <w:numId w:val="2"/>
        </w:numPr>
        <w:spacing w:after="100" w:line="276"/>
      </w:pPr>
      <w:r>
        <w:rPr>
          <w:b/>
          <w:bCs/>
          <w:sz w:val="22"/>
          <w:szCs w:val="22"/>
        </w:rPr>
        <w:t xml:space="preserve">D2 Lessons Learned </w:t>
      </w:r>
      <w:r>
        <w:rPr>
          <w:sz w:val="22"/>
          <w:szCs w:val="22"/>
        </w:rPr>
        <w:t xml:space="preserve">names analyst cognitive failure as a Not-achieved condition: “Investigators form theories early in the process and only seek evidence that affirms their belief,” and investigations “solely focused on identifying the person(s) who can be held responsible.” Its Achieved state demands counterfactual reasoning — “what could have happened under plausible, alternative circumstances (e.g. ‘what if’ / ‘if only’ scenarios).” This is confirmation-bias discipline written into a national framework. [V1]</w:t>
      </w:r>
    </w:p>
    <w:p>
      <w:pPr>
        <w:pStyle w:val="ListParagraph"/>
        <w:numPr>
          <w:ilvl w:val="0"/>
          <w:numId w:val="2"/>
        </w:numPr>
        <w:spacing w:after="100" w:line="276"/>
      </w:pPr>
      <w:r>
        <w:rPr>
          <w:b/>
          <w:bCs/>
          <w:sz w:val="22"/>
          <w:szCs w:val="22"/>
        </w:rPr>
        <w:t xml:space="preserve">A2.c Assurance </w:t>
      </w:r>
      <w:r>
        <w:rPr>
          <w:sz w:val="22"/>
          <w:szCs w:val="22"/>
        </w:rPr>
        <w:t xml:space="preserve">flags the exact trap your question is about: “Assurance is assumed because there have been no known problems to date” and “Assurance methods are applied without appreciation of their strengths and limitations” are Not-achieved conditions. The CAF contains, within itself, a warning against the over-confidence it can produce. [V1]</w:t>
      </w:r>
    </w:p>
    <w:p>
      <w:pPr>
        <w:spacing w:after="140" w:line="276"/>
      </w:pPr>
      <w:r>
        <w:rPr>
          <w:b/>
          <w:bCs/>
          <w:sz w:val="22"/>
          <w:szCs w:val="22"/>
        </w:rPr>
        <w:t xml:space="preserve">It plans for the unforeseen. </w:t>
      </w:r>
      <w:r>
        <w:rPr>
          <w:sz w:val="22"/>
          <w:szCs w:val="22"/>
        </w:rPr>
        <w:t xml:space="preserve">An Achieved incident-response plan under D1 “covers likely impacts of both known attack patterns and of possible attacks, previously unseen.” [V1] Taken together, the CAF is more thoughtful about the limits of knowledge than most frameworks of its kind, and that deserves credit.</w:t>
      </w:r>
    </w:p>
    <w:p>
      <w:pPr>
        <w:pStyle w:val="Heading1"/>
      </w:pPr>
      <w:r>
        <w:t xml:space="preserve">5. Where it does not fit the question as posed</w:t>
      </w:r>
    </w:p>
    <w:p>
      <w:pPr>
        <w:pStyle w:val="Heading3"/>
      </w:pPr>
      <w:r>
        <w:t xml:space="preserve">(a) It is not a discovery instrument.</w:t>
      </w:r>
    </w:p>
    <w:p>
      <w:pPr>
        <w:spacing w:after="140" w:line="276"/>
      </w:pPr>
      <w:r>
        <w:rPr>
          <w:sz w:val="22"/>
          <w:szCs w:val="22"/>
        </w:rPr>
        <w:t xml:space="preserve">The clearest illustration is Principle B4 (System security): the framework checks that vulnerability management happens and is verified by “third-party testing,” and marks as Not achieved an organisation that “has not recently tested to verify your understanding of the vulnerabilities.” [V1] It assesses the existence and quality of discovery; it does not perform it. The same pattern runs through A2 (understand your threat), A4 (manage supply-chain risk) and C1/C2 (monitor and hunt). The CAF assesses discovery activity; it does not carry it out.</w:t>
      </w:r>
    </w:p>
    <w:p>
      <w:pPr>
        <w:pStyle w:val="Heading3"/>
      </w:pPr>
      <w:r>
        <w:t xml:space="preserve">(b) The non-specialist is mismatched twice.</w:t>
      </w:r>
    </w:p>
    <w:p>
      <w:pPr>
        <w:spacing w:after="140" w:line="276"/>
      </w:pPr>
      <w:r>
        <w:rPr>
          <w:sz w:val="22"/>
          <w:szCs w:val="22"/>
        </w:rPr>
        <w:t xml:space="preserve">First, the tool will not find issues for them, so an analyst who expects the CAF to surface vulnerabilities will be disappointed. Second, and more seriously, the CAF assumes the assessor brings expertise the non-specialist lacks. The hardest judgements are calibration judgements: distinguishing “limited confidence” from “justified confidence” in the robustness of cryptographic protection (B3); distinguishing “common threats” from “the methods and techniques available to capable and well-resourced threat actors” (A2.b); deciding whether secure-by-design has been achieved (B4.a). These are exactly the judgements a competent generalist cannot make reliably, and the framework’s reliability rests on them. [V1]</w:t>
      </w:r>
    </w:p>
    <w:p>
      <w:pPr>
        <w:pStyle w:val="Heading3"/>
      </w:pPr>
      <w:r>
        <w:t xml:space="preserve">(c) “Any environment” is not the CAF’s scope.</w:t>
      </w:r>
    </w:p>
    <w:p>
      <w:pPr>
        <w:spacing w:after="140" w:line="276"/>
      </w:pPr>
      <w:r>
        <w:rPr>
          <w:sz w:val="22"/>
          <w:szCs w:val="22"/>
        </w:rPr>
        <w:t xml:space="preserve">The CAF is “a collection of cyber security guidance for organisations that play a vital role in the day-to-day life of the UK, with a focus on essential functions,” “designed to be generally applicable to all organisations responsible for essential functions across all key sectors.” [V1] Its unit of analysis is the essential function and the systems supporting it, with a target profile set by an oversight body. Applied to any environment with no essential-function frame and no profile, the CAF loses the reference point that makes its outcomes meaningful. It is sector-agnostic, but not purpose-agnostic.</w:t>
      </w:r>
    </w:p>
    <w:p>
      <w:pPr>
        <w:pStyle w:val="Heading3"/>
      </w:pPr>
      <w:r>
        <w:t xml:space="preserve">(d) NCSC’s own assurance architecture assumes specialists for results that carry weight.</w:t>
      </w:r>
    </w:p>
    <w:p>
      <w:pPr>
        <w:spacing w:after="140" w:line="276"/>
      </w:pPr>
      <w:r>
        <w:rPr>
          <w:sz w:val="22"/>
          <w:szCs w:val="22"/>
        </w:rPr>
        <w:t xml:space="preserve">Credible, assured CAF audits are reserved for registered specialists. The Cyber Resilience Audit (CRA) scheme assures provider “competence, quality and independence,” and from April 2026 only CRA-scheme members will be eligible to deliver GovAssure Independent Assurance Reviews. [V2] This is a strong signal that an unaided non-specialist self-assessment sits below the bar NCSC itself sets for assurance that others should rely on.</w:t>
      </w:r>
    </w:p>
    <w:p>
      <w:pPr>
        <w:pStyle w:val="Heading1"/>
      </w:pPr>
      <w:r>
        <w:t xml:space="preserve">6. The epistemic continuum — where the CAF reaches, and where it stops</w:t>
      </w:r>
    </w:p>
    <w:p>
      <w:pPr>
        <w:spacing w:after="140" w:line="276"/>
      </w:pPr>
      <w:r>
        <w:rPr>
          <w:sz w:val="22"/>
          <w:szCs w:val="22"/>
        </w:rPr>
        <w:t xml:space="preserve">Mapping the CAF onto the continuum you specified shows a consistent pattern: the framework’s power decreases as you move from the known toward the unknowable, and its dependence on expert judgement rises at the same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2200"/>
        <w:gridCol w:w="3276"/>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Epistemic band</w:t>
            </w:r>
          </w:p>
        </w:tc>
        <w:tc>
          <w:tcPr>
            <w:tcW w:type="dxa" w:w="205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What it means here</w:t>
            </w:r>
          </w:p>
        </w:tc>
        <w:tc>
          <w:tcPr>
            <w:tcW w:type="dxa" w:w="22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Where the CAF addresses it</w:t>
            </w:r>
          </w:p>
        </w:tc>
        <w:tc>
          <w:tcPr>
            <w:tcW w:type="dxa" w:w="3276"/>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How well — and the catch</w:t>
            </w:r>
          </w:p>
        </w:tc>
      </w:tr>
      <w:tr>
        <w:trPr>
          <w:tblHeader w:val="false"/>
        </w:trP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Known knowns</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Codified good practice that is widely agreed</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The IGP tables themselves; Objectives A–D</w:t>
            </w:r>
          </w:p>
        </w:tc>
        <w:tc>
          <w:tcPr>
            <w:tcW w:type="dxa" w:w="32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Strong; this is the area the CAF is designed for. But “Achieved” means the outcome is in place, not that no vulnerability exists. [V1]</w:t>
            </w:r>
          </w:p>
        </w:tc>
      </w:tr>
      <w:tr>
        <w:trPr>
          <w:tblHeader w:val="false"/>
        </w:trPr>
        <w:tc>
          <w:tcPr>
            <w:tcW w:type="dxa" w:w="15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Known unknowns</w:t>
            </w:r>
          </w:p>
        </w:tc>
        <w:tc>
          <w:tcPr>
            <w:tcW w:type="dxa" w:w="2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Things you know to look for but do not yet know the state of</w:t>
            </w:r>
          </w:p>
        </w:tc>
        <w:tc>
          <w:tcPr>
            <w:tcW w:type="dxa" w:w="22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A2 understand threat; A3 asset management; B4.d vulnerability management; C1 monitoring</w:t>
            </w:r>
          </w:p>
        </w:tc>
        <w:tc>
          <w:tcPr>
            <w:tcW w:type="dxa" w:w="32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Good as a prompt: the CAF tells the generalist what to go and find out. It does not find it; it assesses whether the organisation does. [V1]</w:t>
            </w:r>
          </w:p>
        </w:tc>
      </w:tr>
      <w:tr>
        <w:trPr>
          <w:tblHeader w:val="false"/>
        </w:trP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Unknown unknowns</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Threats and flaws that no current detection is configured to catch</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C2 threat hunting; D1 “previously unseen” attacks; D2 counterfactual analysis</w:t>
            </w:r>
          </w:p>
        </w:tc>
        <w:tc>
          <w:tcPr>
            <w:tcW w:type="dxa" w:w="32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Present and thoughtfully designed, but wholly dependent on expert judgement and on C1 already being effective. The CAF can confirm a hunting capability exists; it cannot supply the expertise that makes hunting find anything. A non-specialist cannot operate or assess this band. [V1 / N]</w:t>
            </w:r>
          </w:p>
        </w:tc>
      </w:tr>
      <w:tr>
        <w:trPr>
          <w:tblHeader w:val="false"/>
        </w:trPr>
        <w:tc>
          <w:tcPr>
            <w:tcW w:type="dxa" w:w="15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The ineffable / unframable</w:t>
            </w:r>
          </w:p>
        </w:tc>
        <w:tc>
          <w:tcPr>
            <w:tcW w:type="dxa" w:w="2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Emergent, systemic or unconceived risk; correlated failure across many organisations; novel AI-enabled behaviour</w:t>
            </w:r>
          </w:p>
        </w:tc>
        <w:tc>
          <w:tcPr>
            <w:tcW w:type="dxa" w:w="22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Essentially out of scope by construction; the CAF assesses one organisation’s managed risk</w:t>
            </w:r>
          </w:p>
        </w:tc>
        <w:tc>
          <w:tcPr>
            <w:tcW w:type="dxa" w:w="32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The honest reading (your position): no outcome-based framework can reach here, so credit the humility it builds (A2.c, D2) rather than blame the silence. The danger is that a tidy 41-outcome grid implies a completeness it cannot have — false closure at exactly the frontier that matters most. [N]</w:t>
            </w:r>
          </w:p>
        </w:tc>
      </w:tr>
    </w:tbl>
    <w:p>
      <w:pPr>
        <w:spacing w:after="140" w:line="276"/>
      </w:pPr>
      <w:r>
        <w:rPr>
          <w:i/>
          <w:iCs/>
          <w:sz w:val="22"/>
          <w:szCs w:val="22"/>
        </w:rPr>
        <w:t xml:space="preserve">For a non-specialist the usable range is narrow — roughly the known-knowns and the more obvious known-unknowns. Everything past that is described by the framework but not made accessible by it.</w:t>
      </w:r>
    </w:p>
    <w:p>
      <w:pPr>
        <w:pStyle w:val="Heading1"/>
      </w:pPr>
      <w:r>
        <w:t xml:space="preserve">7. The CAF’s structural blind spots</w:t>
      </w:r>
    </w:p>
    <w:p>
      <w:pPr>
        <w:spacing w:after="140" w:line="276"/>
      </w:pPr>
      <w:r>
        <w:rPr>
          <w:sz w:val="22"/>
          <w:szCs w:val="22"/>
        </w:rPr>
        <w:t xml:space="preserve">These are blind spots in the framework’s own approach — not failings of any one assessor. Each is graded. They answer your specific question about what the CAF’s method cannot see.</w:t>
      </w:r>
    </w:p>
    <w:p>
      <w:pPr>
        <w:pStyle w:val="ListParagraph"/>
        <w:numPr>
          <w:ilvl w:val="0"/>
          <w:numId w:val="3"/>
        </w:numPr>
        <w:spacing w:after="120" w:line="276"/>
      </w:pPr>
      <w:r>
        <w:rPr>
          <w:b/>
          <w:bCs/>
          <w:sz w:val="22"/>
          <w:szCs w:val="22"/>
        </w:rPr>
        <w:t xml:space="preserve">Residual exposure is invisible. </w:t>
      </w:r>
      <w:r>
        <w:rPr>
          <w:sz w:val="22"/>
          <w:szCs w:val="22"/>
        </w:rPr>
        <w:t xml:space="preserve">An all-green result describes managed-risk maturity, not security; the framework says so itself (“some way beyond … basic cyber hygiene”). The blind spot is that the form of the output (green) invites the opposite reading. [V1]</w:t>
      </w:r>
    </w:p>
    <w:p>
      <w:pPr>
        <w:pStyle w:val="ListParagraph"/>
        <w:numPr>
          <w:ilvl w:val="0"/>
          <w:numId w:val="3"/>
        </w:numPr>
        <w:spacing w:after="120" w:line="276"/>
      </w:pPr>
      <w:r>
        <w:rPr>
          <w:b/>
          <w:bCs/>
          <w:sz w:val="22"/>
          <w:szCs w:val="22"/>
        </w:rPr>
        <w:t xml:space="preserve">The scope boundary holds the largest hidden risk, and the CAF largely inherits it. </w:t>
      </w:r>
      <w:r>
        <w:rPr>
          <w:sz w:val="22"/>
          <w:szCs w:val="22"/>
        </w:rPr>
        <w:t xml:space="preserve">The whole assessment depends on correctly defining the essential function and its dependencies. Anything mis-scoped out — shadow IT, forgotten or undocumented systems, operational-technology dependencies, data flows, fourth-party suppliers — is invisible by construction. The CAF assesses asset management (A3) and flags systems “assessed in isolation, without consideration of dependencies … (e.g. interactions between IT and OT)” as Not achieved, but it cannot see what the scoping step never named. This is the highest-value blind spot for your concern with the hidden. [N, structural]</w:t>
      </w:r>
    </w:p>
    <w:p>
      <w:pPr>
        <w:pStyle w:val="ListParagraph"/>
        <w:numPr>
          <w:ilvl w:val="0"/>
          <w:numId w:val="3"/>
        </w:numPr>
        <w:spacing w:after="120" w:line="276"/>
      </w:pPr>
      <w:r>
        <w:rPr>
          <w:b/>
          <w:bCs/>
          <w:sz w:val="22"/>
          <w:szCs w:val="22"/>
        </w:rPr>
        <w:t xml:space="preserve">Outcome-based scoring is subjective and varies between assessors. </w:t>
      </w:r>
      <w:r>
        <w:rPr>
          <w:sz w:val="22"/>
          <w:szCs w:val="22"/>
        </w:rPr>
        <w:t xml:space="preserve">The reliance on expert judgement that is the CAF’s strength is also a source of inconsistency: two assessors can reasonably reach different grades on the same evidence, especially on calibration outcomes. Reputable commentary, including from a former ENISA expert, identifies this inherent subjectivity. [V2]</w:t>
      </w:r>
    </w:p>
    <w:p>
      <w:pPr>
        <w:pStyle w:val="ListParagraph"/>
        <w:numPr>
          <w:ilvl w:val="0"/>
          <w:numId w:val="3"/>
        </w:numPr>
        <w:spacing w:after="120" w:line="276"/>
      </w:pPr>
      <w:r>
        <w:rPr>
          <w:b/>
          <w:bCs/>
          <w:sz w:val="22"/>
          <w:szCs w:val="22"/>
        </w:rPr>
        <w:t xml:space="preserve">Self-assessment has no internal defence against over-claiming. </w:t>
      </w:r>
      <w:r>
        <w:rPr>
          <w:sz w:val="22"/>
          <w:szCs w:val="22"/>
        </w:rPr>
        <w:t xml:space="preserve">Nothing in the framework detects an “Achieved” that is optimistic, under-evidenced or self-deceiving. The challenge to an unevidenced claim comes from the independent-assurance layer outside the framework, not from the CAF itself. [V3]</w:t>
      </w:r>
    </w:p>
    <w:p>
      <w:pPr>
        <w:pStyle w:val="ListParagraph"/>
        <w:numPr>
          <w:ilvl w:val="0"/>
          <w:numId w:val="3"/>
        </w:numPr>
        <w:spacing w:after="120" w:line="276"/>
      </w:pPr>
      <w:r>
        <w:rPr>
          <w:b/>
          <w:bCs/>
          <w:sz w:val="22"/>
          <w:szCs w:val="22"/>
        </w:rPr>
        <w:t xml:space="preserve">It is a point-in-time snapshot of a continuously changing posture. </w:t>
      </w:r>
      <w:r>
        <w:rPr>
          <w:sz w:val="22"/>
          <w:szCs w:val="22"/>
        </w:rPr>
        <w:t xml:space="preserve">Threats, configurations and assets change between assessments; the framework has no representation of that change over time. [N]</w:t>
      </w:r>
    </w:p>
    <w:p>
      <w:pPr>
        <w:pStyle w:val="ListParagraph"/>
        <w:numPr>
          <w:ilvl w:val="0"/>
          <w:numId w:val="3"/>
        </w:numPr>
        <w:spacing w:after="120" w:line="276"/>
      </w:pPr>
      <w:r>
        <w:rPr>
          <w:b/>
          <w:bCs/>
          <w:sz w:val="22"/>
          <w:szCs w:val="22"/>
        </w:rPr>
        <w:t xml:space="preserve">The threat model is bounded by the chosen profile. </w:t>
      </w:r>
      <w:r>
        <w:rPr>
          <w:sz w:val="22"/>
          <w:szCs w:val="22"/>
        </w:rPr>
        <w:t xml:space="preserve">A profile encodes an assumed attacker capability (“basic capability / moderate capability”). A more capable, novel or AI-enabled adversary sits outside the assumed envelope; C2 hunting is the only partial counter, and it is expertise-bound. [V1]</w:t>
      </w:r>
    </w:p>
    <w:p>
      <w:pPr>
        <w:pStyle w:val="ListParagraph"/>
        <w:numPr>
          <w:ilvl w:val="0"/>
          <w:numId w:val="3"/>
        </w:numPr>
        <w:spacing w:after="120" w:line="276"/>
      </w:pPr>
      <w:r>
        <w:rPr>
          <w:b/>
          <w:bCs/>
          <w:sz w:val="22"/>
          <w:szCs w:val="22"/>
        </w:rPr>
        <w:t xml:space="preserve">Deep supply-chain and fourth-party compromise. </w:t>
      </w:r>
      <w:r>
        <w:rPr>
          <w:sz w:val="22"/>
          <w:szCs w:val="22"/>
        </w:rPr>
        <w:t xml:space="preserve">A4 assesses the maturity of supplier-management practice, including secure software development (A4.b, new in v4.0). It cannot see a compromise several tiers down the chain; the risk is over-confidence in supply-chain visibility. [V1]</w:t>
      </w:r>
    </w:p>
    <w:p>
      <w:pPr>
        <w:pStyle w:val="ListParagraph"/>
        <w:numPr>
          <w:ilvl w:val="0"/>
          <w:numId w:val="3"/>
        </w:numPr>
        <w:spacing w:after="120" w:line="276"/>
      </w:pPr>
      <w:r>
        <w:rPr>
          <w:b/>
          <w:bCs/>
          <w:sz w:val="22"/>
          <w:szCs w:val="22"/>
        </w:rPr>
        <w:t xml:space="preserve">Aggregated and systemic risk is out of frame. </w:t>
      </w:r>
      <w:r>
        <w:rPr>
          <w:sz w:val="22"/>
          <w:szCs w:val="22"/>
        </w:rPr>
        <w:t xml:space="preserve">The CAF assesses one organisation. Correlated risk across many CAF-assessed organisations that share a supplier, a platform or a software component is invisible to any single-organisation assessment — and that is the kind of risk that matters most at national scale. [N]</w:t>
      </w:r>
    </w:p>
    <w:p>
      <w:pPr>
        <w:pStyle w:val="ListParagraph"/>
        <w:numPr>
          <w:ilvl w:val="0"/>
          <w:numId w:val="3"/>
        </w:numPr>
        <w:spacing w:after="120" w:line="276"/>
      </w:pPr>
      <w:r>
        <w:rPr>
          <w:b/>
          <w:bCs/>
          <w:sz w:val="22"/>
          <w:szCs w:val="22"/>
        </w:rPr>
        <w:t xml:space="preserve">Operational-technology specifics are acknowledged but not deeply surfaced. </w:t>
      </w:r>
      <w:r>
        <w:rPr>
          <w:sz w:val="22"/>
          <w:szCs w:val="22"/>
        </w:rPr>
        <w:t xml:space="preserve">The CAF is OT-aware (it references IEC 62443 and IT/OT dependencies) but is not an OT-specific instrument; cyber-physical and safety failure modes can be under-examined by a generalist. [V2]</w:t>
      </w:r>
    </w:p>
    <w:p>
      <w:pPr>
        <w:pStyle w:val="ListParagraph"/>
        <w:numPr>
          <w:ilvl w:val="0"/>
          <w:numId w:val="3"/>
        </w:numPr>
        <w:spacing w:after="120" w:line="276"/>
      </w:pPr>
      <w:r>
        <w:rPr>
          <w:b/>
          <w:bCs/>
          <w:sz w:val="22"/>
          <w:szCs w:val="22"/>
        </w:rPr>
        <w:t xml:space="preserve">The tidy grid creates false closure at the frontier. </w:t>
      </w:r>
      <w:r>
        <w:rPr>
          <w:sz w:val="22"/>
          <w:szCs w:val="22"/>
        </w:rPr>
        <w:t xml:space="preserve">The form of the output — 41 discrete, individually scored outcomes — implies the problem space can be fully listed. The most dangerous risks are exactly those that no outcome can list in advance. The framework’s caveats are stated in its prose, while the false confidence is created by its grid. [N]</w:t>
      </w:r>
    </w:p>
    <w:p>
      <w:pPr>
        <w:spacing w:after="140" w:line="276"/>
      </w:pPr>
      <w:r>
        <w:rPr>
          <w:b/>
          <w:bCs/>
          <w:sz w:val="22"/>
          <w:szCs w:val="22"/>
        </w:rPr>
        <w:t xml:space="preserve">The headline blind spot, which ties these together and matches your thesis: </w:t>
      </w:r>
      <w:r>
        <w:rPr>
          <w:sz w:val="22"/>
          <w:szCs w:val="22"/>
        </w:rPr>
        <w:t xml:space="preserve">the CAF does too little to ensure that its purpose, and the confidence due to its results, are understood by the people who perform and consume the assessment. It states the caveats; it does not carry them. Nothing in the framework requires a result delivered to a board to be accompanied by a statement of what it does and does not mean. That gap is where assurance theatre becomes possible. [N]</w:t>
      </w:r>
    </w:p>
    <w:p>
      <w:pPr>
        <w:pStyle w:val="Heading1"/>
      </w:pPr>
      <w:r>
        <w:t xml:space="preserve">8. The false-assurance dynamic — a systems view of “assurance theatre”</w:t>
      </w:r>
    </w:p>
    <w:p>
      <w:pPr>
        <w:spacing w:after="140" w:line="276"/>
      </w:pPr>
      <w:r>
        <w:rPr>
          <w:sz w:val="22"/>
          <w:szCs w:val="22"/>
        </w:rPr>
        <w:t xml:space="preserve">Your concern is not a one-off error; it is a feedback structure. The problem shows feedback, accumulation, delay, multiple actors and a self-fulfilling element, so a short causal reading is warranted. The discipline here is to investigate the structure, not to predict an outcome: where a loop’s dominance cannot be established as fact, it is graded [N] and routed to you.</w:t>
      </w:r>
    </w:p>
    <w:p>
      <w:pPr>
        <w:spacing w:after="140" w:line="276"/>
      </w:pPr>
      <w:r>
        <w:rPr>
          <w:b/>
          <w:bCs/>
          <w:sz w:val="22"/>
          <w:szCs w:val="22"/>
        </w:rPr>
        <w:t xml:space="preserve">Three loops interact.</w:t>
      </w:r>
    </w:p>
    <w:p>
      <w:pPr>
        <w:pStyle w:val="ListParagraph"/>
        <w:numPr>
          <w:ilvl w:val="0"/>
          <w:numId w:val="2"/>
        </w:numPr>
        <w:spacing w:after="100" w:line="276"/>
      </w:pPr>
      <w:r>
        <w:rPr>
          <w:b/>
          <w:bCs/>
          <w:sz w:val="22"/>
          <w:szCs w:val="22"/>
        </w:rPr>
        <w:t xml:space="preserve">The intended learning loop (balancing): </w:t>
      </w:r>
      <w:r>
        <w:rPr>
          <w:sz w:val="22"/>
          <w:szCs w:val="22"/>
        </w:rPr>
        <w:t xml:space="preserve">assessment finds gaps, investment follows, exposure falls, the organisation genuinely improves. This is what the CAF is designed to drive. Exists: [V1] (design intent).</w:t>
      </w:r>
    </w:p>
    <w:p>
      <w:pPr>
        <w:pStyle w:val="ListParagraph"/>
        <w:numPr>
          <w:ilvl w:val="0"/>
          <w:numId w:val="2"/>
        </w:numPr>
        <w:spacing w:after="100" w:line="276"/>
      </w:pPr>
      <w:r>
        <w:rPr>
          <w:b/>
          <w:bCs/>
          <w:sz w:val="22"/>
          <w:szCs w:val="22"/>
        </w:rPr>
        <w:t xml:space="preserve">The false-assurance loop (reinforcing, conditional): </w:t>
      </w:r>
      <w:r>
        <w:rPr>
          <w:sz w:val="22"/>
          <w:szCs w:val="22"/>
        </w:rPr>
        <w:t xml:space="preserve">a low-skill or incentive-conflicted self-assessment produces over-claimed greens; the board’s perceived security rises; investment in real discovery falls; latent exposure accumulates as a backlog of unaddressed weaknesses; but the weak assessment does not surface that backlog, so the next assessment is still green. Exists: [V2] (the documented false-assurance failure mode). Whether it dominates in a given organisation: [N].</w:t>
      </w:r>
    </w:p>
    <w:p>
      <w:pPr>
        <w:pStyle w:val="ListParagraph"/>
        <w:numPr>
          <w:ilvl w:val="0"/>
          <w:numId w:val="2"/>
        </w:numPr>
        <w:spacing w:after="100" w:line="276"/>
      </w:pPr>
      <w:r>
        <w:rPr>
          <w:b/>
          <w:bCs/>
          <w:sz w:val="22"/>
          <w:szCs w:val="22"/>
        </w:rPr>
        <w:t xml:space="preserve">The incident-correction loop (balancing, delayed): </w:t>
      </w:r>
      <w:r>
        <w:rPr>
          <w:sz w:val="22"/>
          <w:szCs w:val="22"/>
        </w:rPr>
        <w:t xml:space="preserve">an incident eventually forces the truth and prompts investment — but only after harm, and after a delay that can run to months. D2 itself notes that incidents “go undetected for long periods.” [V1]</w:t>
      </w:r>
    </w:p>
    <w:p>
      <w:pPr>
        <w:spacing w:after="140" w:line="276"/>
      </w:pPr>
      <w:r>
        <w:rPr>
          <w:b/>
          <w:bCs/>
          <w:sz w:val="22"/>
          <w:szCs w:val="22"/>
        </w:rPr>
        <w:t xml:space="preserve">What decides which loop dominates. </w:t>
      </w:r>
      <w:r>
        <w:rPr>
          <w:sz w:val="22"/>
          <w:szCs w:val="22"/>
        </w:rPr>
        <w:t xml:space="preserve">Structurally, the deciding variable is assessor competence, independence and honesty, plus the correctness of scope. The CAF is designed so that the learning loop dominates; unaided non-specialist self-assessment raises the probability that the false-assurance loop dominates instead. Which one actually dominates in your organisation is a judgement for you, not a fact this analysis can assert. [N]</w:t>
      </w:r>
    </w:p>
    <w:p>
      <w:pPr>
        <w:spacing w:after="140" w:line="276"/>
      </w:pPr>
      <w:r>
        <w:rPr>
          <w:b/>
          <w:bCs/>
          <w:sz w:val="22"/>
          <w:szCs w:val="22"/>
        </w:rPr>
        <w:t xml:space="preserve">Tipping condition (a condition to watch, not a date or a probability). </w:t>
      </w:r>
      <w:r>
        <w:rPr>
          <w:sz w:val="22"/>
          <w:szCs w:val="22"/>
        </w:rPr>
        <w:t xml:space="preserve">The system changes from security-improving to security-degrading when assessment quality falls below the point at which the grid still tracks real exposure — that is, when “green” stops meaning “secured against the profile.” This is reversible: re-introducing independent or specialist assurance, and requiring evidence to earn a green, restores the tracking. [N]</w:t>
      </w:r>
    </w:p>
    <w:p>
      <w:pPr>
        <w:spacing w:after="140" w:line="276"/>
      </w:pPr>
      <w:r>
        <w:rPr>
          <w:b/>
          <w:bCs/>
          <w:sz w:val="22"/>
          <w:szCs w:val="22"/>
        </w:rPr>
        <w:t xml:space="preserve">Emergent effect. </w:t>
      </w:r>
      <w:r>
        <w:rPr>
          <w:sz w:val="22"/>
          <w:szCs w:val="22"/>
        </w:rPr>
        <w:t xml:space="preserve">Once a board trusts the grid, that trust itself reduces the scrutiny that would test it. The shared belief in the result becomes a cause of the result going unchallenged. That is the precise structure of assurance theatre.</w:t>
      </w:r>
    </w:p>
    <w:p>
      <w:pPr>
        <w:spacing w:after="140" w:line="276"/>
      </w:pPr>
      <w:r>
        <w:rPr>
          <w:b/>
          <w:bCs/>
          <w:sz w:val="22"/>
          <w:szCs w:val="22"/>
        </w:rPr>
        <w:t xml:space="preserve">Highest-leverage interventions </w:t>
      </w:r>
      <w:r>
        <w:rPr>
          <w:sz w:val="22"/>
          <w:szCs w:val="22"/>
        </w:rPr>
        <w:t xml:space="preserve">(ranked; mechanism graded, effectiveness mostly [N]): (1) assessor competence and independence — the variable everything depends on, and exactly where NCSC has intervened with the CRA scheme and GovAssure independent review [V2]; (2) require evidence to support every “Achieved”; (3) pair the CAF with independent technical discovery (penetration test, threat hunt, red team); (4) attach a plain-language confidence statement to every result delivered to a board.</w:t>
      </w:r>
    </w:p>
    <w:p>
      <w:pPr>
        <w:pStyle w:val="Heading1"/>
      </w:pPr>
      <w:r>
        <w:t xml:space="preserve">9. Decision brief</w:t>
      </w:r>
    </w:p>
    <w:p>
      <w:pPr>
        <w:pStyle w:val="Heading3"/>
      </w:pPr>
      <w:r>
        <w:t xml:space="preserve">(a) The call</w:t>
      </w:r>
    </w:p>
    <w:p>
      <w:pPr>
        <w:spacing w:after="140" w:line="276"/>
      </w:pPr>
      <w:r>
        <w:rPr>
          <w:sz w:val="22"/>
          <w:szCs w:val="22"/>
        </w:rPr>
        <w:t xml:space="preserve">A provisional stance, because the core question is one of framing and value, not a verifiable fact. The CAF is fit for its own stated purpose, and is a valuable structured assessment aid for a competent generalist. It is not fit, and was not built, to let a non-specialist independently discover the vulnerabilities — especially the hidden ones — in an arbitrary environment. For any result that someone will rely on, treat the CAF as the framework within a configuration that also includes specialist judgement (or independent assurance) and separate technical discovery. This prioritises reliable assurance over cheap, accessible coverage; it trades away the appealing idea that a generalist plus the CAF is sufficient on its own. It is re-openable on the conditions below.</w:t>
      </w:r>
    </w:p>
    <w:p>
      <w:pPr>
        <w:pStyle w:val="Heading3"/>
      </w:pPr>
      <w:r>
        <w:t xml:space="preserve">(b) Calibration</w:t>
      </w:r>
    </w:p>
    <w:p>
      <w:pPr>
        <w:spacing w:after="140" w:line="276"/>
      </w:pPr>
      <w:r>
        <w:rPr>
          <w:sz w:val="22"/>
          <w:szCs w:val="22"/>
        </w:rPr>
        <w:t xml:space="preserve">Confidence is high on the framework’s design and purpose, which rest on multiple primary-source statements [V1] and on [V2] evidence about the assurance architecture. Confidence is deliberately lower on any claim about real-world effectiveness: the only empirical evidence located concerns the NIS reporting regime, not the CAF instrument, and is a single NCSC-funded study [V2]. The weakest load-bearing element is the central practical claim — that unaided non-specialist self-assessment tends toward assurance theatre — which is structural reasoning [N], not a measured frequency.</w:t>
      </w:r>
    </w:p>
    <w:p>
      <w:pPr>
        <w:pStyle w:val="Heading3"/>
      </w:pPr>
      <w:r>
        <w:t xml:space="preserve">(c) The dominant unknown</w:t>
      </w:r>
    </w:p>
    <w:p>
      <w:pPr>
        <w:spacing w:after="140" w:line="276"/>
      </w:pPr>
      <w:r>
        <w:rPr>
          <w:sz w:val="22"/>
          <w:szCs w:val="22"/>
        </w:rPr>
        <w:t xml:space="preserve">The competence, independence and honesty of the specific assessor, and the correctness of the scope they set. No property of the framework can establish these, and they decide whether any given CAF assessment is insight or theatre.</w:t>
      </w:r>
    </w:p>
    <w:p>
      <w:pPr>
        <w:pStyle w:val="Heading3"/>
      </w:pPr>
      <w:r>
        <w:t xml:space="preserve">(d) What to verify first</w:t>
      </w:r>
    </w:p>
    <w:p>
      <w:pPr>
        <w:spacing w:after="140" w:line="276"/>
      </w:pPr>
      <w:r>
        <w:rPr>
          <w:sz w:val="22"/>
          <w:szCs w:val="22"/>
        </w:rPr>
        <w:t xml:space="preserve">The cheapest risk-reducing step: for any CAF result you are asked to rely on, establish two things before you read the grid — who performed it and against what scope, and whether each “Achieved” is evidenced. If the assessor is a non-specialist self-assessing, and the greens are unevidenced, the grid should be treated as a self-reported maturity opinion, not as assurance.</w:t>
      </w:r>
    </w:p>
    <w:p>
      <w:pPr>
        <w:pStyle w:val="Heading3"/>
      </w:pPr>
      <w:r>
        <w:t xml:space="preserve">(e) What would flip the call</w:t>
      </w:r>
    </w:p>
    <w:p>
      <w:pPr>
        <w:spacing w:after="140" w:line="276"/>
      </w:pPr>
      <w:r>
        <w:rPr>
          <w:sz w:val="22"/>
          <w:szCs w:val="22"/>
        </w:rPr>
        <w:t xml:space="preserve">If “adequate” is reset to mean “a structured coverage guide that improves a generalist’s baseline” rather than independent discovery, the verdict changes to adequate-and-valuable. If a future CAF release required an evidence pack per outcome and a mandatory confidence statement to the consumer, the assurance-theatre risk would fall materially. If credible evidence emerged that non-specialist CAF self-assessments in practice track real exposure as well as specialist ones, the central concern would weaken; conversely, evidence of widespread green grids preceding undetected compromise would strengthen it.</w:t>
      </w:r>
    </w:p>
    <w:p>
      <w:pPr>
        <w:pStyle w:val="Heading3"/>
      </w:pPr>
      <w:r>
        <w:t xml:space="preserve">Recommended minimum competent configuration</w:t>
      </w:r>
    </w:p>
    <w:p>
      <w:pPr>
        <w:spacing w:after="140" w:line="276"/>
      </w:pPr>
      <w:r>
        <w:rPr>
          <w:sz w:val="22"/>
          <w:szCs w:val="22"/>
        </w:rPr>
        <w:t xml:space="preserve">For the assurance profession: the CAF as the structured frame, plus a suitably expert assessor (or an independent CRA-assured review for anything that carries weight), plus separate technical discovery (vulnerability scanning, penetration testing, and threat hunting as described in C2), plus an explicit plain-language confidence statement delivered with every result, so the board knows what the colours do and do not mean.</w:t>
      </w:r>
    </w:p>
    <w:p>
      <w:pPr>
        <w:pStyle w:val="Heading1"/>
      </w:pPr>
      <w:r>
        <w:t xml:space="preserve">10. Verified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900"/>
        <w:gridCol w:w="2400"/>
        <w:gridCol w:w="2676"/>
      </w:tblGrid>
      <w:tr>
        <w:trPr>
          <w:tblHeader/>
        </w:trPr>
        <w:tc>
          <w:tcPr>
            <w:tcW w:type="dxa" w:w="305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Load-bearing claim</w:t>
            </w:r>
          </w:p>
        </w:tc>
        <w:tc>
          <w:tcPr>
            <w:tcW w:type="dxa" w:w="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Grade</w:t>
            </w:r>
          </w:p>
        </w:tc>
        <w:tc>
          <w:tcPr>
            <w:tcW w:type="dxa" w:w="2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Disconfirmation</w:t>
            </w:r>
          </w:p>
        </w:tc>
        <w:tc>
          <w:tcPr>
            <w:tcW w:type="dxa" w:w="2676"/>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pPr>
              <w:spacing w:after="40" w:line="252"/>
            </w:pPr>
            <w:r>
              <w:rPr>
                <w:b/>
                <w:bCs/>
                <w:color w:val="FFFFFF"/>
                <w:sz w:val="18"/>
                <w:szCs w:val="18"/>
              </w:rPr>
              <w:t xml:space="preserve">Source</w:t>
            </w:r>
          </w:p>
        </w:tc>
      </w:tr>
      <w:tr>
        <w:trPr>
          <w:tblHeader w:val="false"/>
        </w:trPr>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CAF is outcome-based, not a checklist; assessment is “primarily a matter of expert judgement” and does not remove the need for cyber expertise and sector knowledge</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Counter (self-assessment is permitted) engaged; survived</w:t>
            </w:r>
          </w:p>
        </w:tc>
        <w:tc>
          <w:tcPr>
            <w:tcW w:type="dxa" w:w="26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CAF v4.0; Introduction to the CAF</w:t>
            </w:r>
          </w:p>
        </w:tc>
      </w:tr>
      <w:tr>
        <w:trPr>
          <w:tblHeader w:val="false"/>
        </w:trPr>
        <w:tc>
          <w:tcPr>
            <w:tcW w:type="dxa" w:w="3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CAF permits self-assessment OR independent review</w:t>
            </w:r>
          </w:p>
        </w:tc>
        <w:tc>
          <w:tcPr>
            <w:tcW w:type="dxa" w:w="9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n/a</w:t>
            </w:r>
          </w:p>
        </w:tc>
        <w:tc>
          <w:tcPr>
            <w:tcW w:type="dxa" w:w="26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CAF v4.0</w:t>
            </w:r>
          </w:p>
        </w:tc>
      </w:tr>
      <w:tr>
        <w:trPr>
          <w:tblHeader w:val="false"/>
        </w:trPr>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CAF assesses capability and maturity, and routes technical discovery (pen test, scanning, hunting, red team) outside the framework</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Survived</w:t>
            </w:r>
          </w:p>
        </w:tc>
        <w:tc>
          <w:tcPr>
            <w:tcW w:type="dxa" w:w="26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CAF v4.0 — B4, A2, C1/C2</w:t>
            </w:r>
          </w:p>
        </w:tc>
      </w:tr>
      <w:tr>
        <w:trPr>
          <w:tblHeader w:val="false"/>
        </w:trPr>
        <w:tc>
          <w:tcPr>
            <w:tcW w:type="dxa" w:w="3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4 objectives, 14 principles, 41 contributing outcomes; all-41-achieved is “beyond basic cyber hygiene,” not “secure”</w:t>
            </w:r>
          </w:p>
        </w:tc>
        <w:tc>
          <w:tcPr>
            <w:tcW w:type="dxa" w:w="9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Corroborated by secondary sources</w:t>
            </w:r>
          </w:p>
        </w:tc>
        <w:tc>
          <w:tcPr>
            <w:tcW w:type="dxa" w:w="26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CAF v4.0</w:t>
            </w:r>
          </w:p>
        </w:tc>
      </w:tr>
      <w:tr>
        <w:trPr>
          <w:tblHeader w:val="false"/>
        </w:trPr>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Scope is organisations with essential functions; sector-agnostic but not “any environment”; not generic good practice</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Survived</w:t>
            </w:r>
          </w:p>
        </w:tc>
        <w:tc>
          <w:tcPr>
            <w:tcW w:type="dxa" w:w="26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CAF v4.0; Introduction to the CAF collection</w:t>
            </w:r>
          </w:p>
        </w:tc>
      </w:tr>
      <w:tr>
        <w:trPr>
          <w:tblHeader w:val="false"/>
        </w:trPr>
        <w:tc>
          <w:tcPr>
            <w:tcW w:type="dxa" w:w="3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v4.0 (Crown copyright 2025) expanded the most expertise-dependent, hidden-threat elements: A2.b understanding threat, A4.b secure software development, C2 threat hunting, AI risk throughout</w:t>
            </w:r>
          </w:p>
        </w:tc>
        <w:tc>
          <w:tcPr>
            <w:tcW w:type="dxa" w:w="9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n/a</w:t>
            </w:r>
          </w:p>
        </w:tc>
        <w:tc>
          <w:tcPr>
            <w:tcW w:type="dxa" w:w="26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CAF v4.0; v4.0 release blog; record of changes</w:t>
            </w:r>
          </w:p>
        </w:tc>
      </w:tr>
      <w:tr>
        <w:trPr>
          <w:tblHeader w:val="false"/>
        </w:trPr>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Assured CAF audits require registered specialists; from April 2026 only CRA-scheme members may deliver GovAssure IARs</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[V2]</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Corroborated across UK gov and NCSC sources</w:t>
            </w:r>
          </w:p>
        </w:tc>
        <w:tc>
          <w:tcPr>
            <w:tcW w:type="dxa" w:w="26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security.gov.uk (GovAssure); NCSC CRA scheme</w:t>
            </w:r>
          </w:p>
        </w:tc>
      </w:tr>
      <w:tr>
        <w:trPr>
          <w:tblHeader w:val="false"/>
        </w:trPr>
        <w:tc>
          <w:tcPr>
            <w:tcW w:type="dxa" w:w="3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Outcome-based scoring carries inherent inter-assessor subjectivity</w:t>
            </w:r>
          </w:p>
        </w:tc>
        <w:tc>
          <w:tcPr>
            <w:tcW w:type="dxa" w:w="9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[V2]</w:t>
            </w:r>
          </w:p>
        </w:tc>
        <w:tc>
          <w:tcPr>
            <w:tcW w:type="dxa" w:w="24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Multiple independent commentators</w:t>
            </w:r>
          </w:p>
        </w:tc>
        <w:tc>
          <w:tcPr>
            <w:tcW w:type="dxa" w:w="26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cetome (ex-ENISA); practitioner sources</w:t>
            </w:r>
          </w:p>
        </w:tc>
      </w:tr>
      <w:tr>
        <w:trPr>
          <w:tblHeader w:val="false"/>
        </w:trPr>
        <w:tc>
          <w:tcPr>
            <w:tcW w:type="dxa" w:w="3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Empirical evidence on the NIS reporting regime (not the CAF instrument) is limited: about 30 cyber reports within NIS scope against about 89 significant incidents NCSC recorded in 2023–24</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[V2]</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Citation verified real (NCSC/GCHQ-funded); relevance scoped to reporting, not the CAF tool</w:t>
            </w:r>
          </w:p>
        </w:tc>
        <w:tc>
          <w:tcPr>
            <w:tcW w:type="dxa" w:w="267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line="252"/>
            </w:pPr>
            <w:r>
              <w:rPr>
                <w:b w:val="false"/>
                <w:bCs w:val="false"/>
                <w:sz w:val="18"/>
                <w:szCs w:val="18"/>
              </w:rPr>
              <w:t xml:space="preserve">arXiv 2603.19084</w:t>
            </w:r>
          </w:p>
        </w:tc>
      </w:tr>
      <w:tr>
        <w:trPr>
          <w:tblHeader w:val="false"/>
        </w:trPr>
        <w:tc>
          <w:tcPr>
            <w:tcW w:type="dxa" w:w="305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“Basic/Enhanced” profile naming appears on the NCSC collection page and in GovAssure; the v4.0 PDF uses “basic/moderate capability” and a generic profile mechanic</w:t>
            </w:r>
          </w:p>
        </w:tc>
        <w:tc>
          <w:tcPr>
            <w:tcW w:type="dxa" w:w="9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[V1]</w:t>
            </w:r>
          </w:p>
        </w:tc>
        <w:tc>
          <w:tcPr>
            <w:tcW w:type="dxa" w:w="2400"/>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Reconciled across documents</w:t>
            </w:r>
          </w:p>
        </w:tc>
        <w:tc>
          <w:tcPr>
            <w:tcW w:type="dxa" w:w="2676"/>
            <w:tcBorders>
              <w:top w:val="single" w:color="BBBBBB" w:sz="1"/>
              <w:left w:val="single" w:color="BBBBBB" w:sz="1"/>
              <w:bottom w:val="single" w:color="BBBBBB" w:sz="1"/>
              <w:right w:val="single" w:color="BBBBBB" w:sz="1"/>
            </w:tcBorders>
            <w:shd w:fill="EEF2F7" w:val="clear"/>
            <w:tcMar>
              <w:top w:type="dxa" w:w="70"/>
              <w:left w:type="dxa" w:w="110"/>
              <w:bottom w:type="dxa" w:w="70"/>
              <w:right w:type="dxa" w:w="110"/>
            </w:tcMar>
          </w:tcPr>
          <w:p>
            <w:pPr>
              <w:spacing w:after="40" w:line="252"/>
            </w:pPr>
            <w:r>
              <w:rPr>
                <w:b w:val="false"/>
                <w:bCs w:val="false"/>
                <w:sz w:val="18"/>
                <w:szCs w:val="18"/>
              </w:rPr>
              <w:t xml:space="preserve">CAF collection; CAF v4.0; GovAssure</w:t>
            </w:r>
          </w:p>
        </w:tc>
      </w:tr>
    </w:tbl>
    <w:p>
      <w:pPr>
        <w:pStyle w:val="Heading1"/>
      </w:pPr>
      <w:r>
        <w:t xml:space="preserve">11. Reliability caveat</w:t>
      </w:r>
    </w:p>
    <w:p>
      <w:pPr>
        <w:spacing w:after="140" w:line="276"/>
      </w:pPr>
      <w:r>
        <w:rPr>
          <w:sz w:val="22"/>
          <w:szCs w:val="22"/>
        </w:rPr>
        <w:t xml:space="preserve">This analysis rests on the CAF’s own statements of purpose and design (primary source) and on the general behaviour of outcome-based maturity frameworks. It is an assessment of the tool’s design and fit, not a measured study of how CAF assessments perform in practice — the empirical base for that is limited and largely concerns the surrounding NIS reporting regime rather than the instrument itself. The most load-bearing practical claim — that unaided non-specialist self-assessment tends toward assurance theatre — is structural reasoning graded [N], offered for your judgement rather than as established fact. Where the framework’s wording is quoted, it is taken verbatim from CAF v4.0 (Crown copyright 2025) and the NCSC CAF collection pages reviewed 6 August 2025.</w:t>
      </w:r>
    </w:p>
    <w:p>
      <w:pPr>
        <w:pStyle w:val="Heading1"/>
      </w:pPr>
      <w:r>
        <w:t xml:space="preserve">Sources</w:t>
      </w:r>
    </w:p>
    <w:p>
      <w:pPr>
        <w:spacing w:after="90" w:line="264"/>
      </w:pPr>
      <w:hyperlink w:history="1" r:id="rId3gu4kusny18x9wrng0eza">
        <w:r>
          <w:rPr>
            <w:rStyle w:val="Hyperlink"/>
            <w:sz w:val="21"/>
            <w:szCs w:val="21"/>
          </w:rPr>
          <w:t xml:space="preserve">NCSC — Cyber Assessment Framework (collection)</w:t>
        </w:r>
      </w:hyperlink>
    </w:p>
    <w:p>
      <w:pPr>
        <w:spacing w:after="90" w:line="264"/>
      </w:pPr>
      <w:hyperlink w:history="1" r:id="rIdhx5zv7lg-iatlumkeqfhl">
        <w:r>
          <w:rPr>
            <w:rStyle w:val="Hyperlink"/>
            <w:sz w:val="21"/>
            <w:szCs w:val="21"/>
          </w:rPr>
          <w:t xml:space="preserve">NCSC — Cyber Assessment Framework v4.0 (PDF)</w:t>
        </w:r>
      </w:hyperlink>
    </w:p>
    <w:p>
      <w:pPr>
        <w:spacing w:after="90" w:line="264"/>
      </w:pPr>
      <w:hyperlink w:history="1" r:id="rIdyfvrueznusi8h1gmcmds8">
        <w:r>
          <w:rPr>
            <w:rStyle w:val="Hyperlink"/>
            <w:sz w:val="21"/>
            <w:szCs w:val="21"/>
          </w:rPr>
          <w:t xml:space="preserve">NCSC — Introduction to the Cyber Assessment Framework</w:t>
        </w:r>
      </w:hyperlink>
    </w:p>
    <w:p>
      <w:pPr>
        <w:spacing w:after="90" w:line="264"/>
      </w:pPr>
      <w:hyperlink w:history="1" r:id="rIdb4_ttqmkavmaw_ncwmpbz">
        <w:r>
          <w:rPr>
            <w:rStyle w:val="Hyperlink"/>
            <w:sz w:val="21"/>
            <w:szCs w:val="21"/>
          </w:rPr>
          <w:t xml:space="preserve">NCSC — Introduction to the CAF Collection</w:t>
        </w:r>
      </w:hyperlink>
    </w:p>
    <w:p>
      <w:pPr>
        <w:spacing w:after="90" w:line="264"/>
      </w:pPr>
      <w:hyperlink w:history="1" r:id="rIdq-qkj21glhbgtw7a85qnl">
        <w:r>
          <w:rPr>
            <w:rStyle w:val="Hyperlink"/>
            <w:sz w:val="21"/>
            <w:szCs w:val="21"/>
          </w:rPr>
          <w:t xml:space="preserve">NCSC — Objective A / Principle A2 Risk Management</w:t>
        </w:r>
      </w:hyperlink>
    </w:p>
    <w:p>
      <w:pPr>
        <w:spacing w:after="90" w:line="264"/>
      </w:pPr>
      <w:hyperlink w:history="1" r:id="rIdnwqysys8ixi5kaj5qkm2i">
        <w:r>
          <w:rPr>
            <w:rStyle w:val="Hyperlink"/>
            <w:sz w:val="21"/>
            <w:szCs w:val="21"/>
          </w:rPr>
          <w:t xml:space="preserve">NCSC — Principle B4 System security (vulnerability management)</w:t>
        </w:r>
      </w:hyperlink>
    </w:p>
    <w:p>
      <w:pPr>
        <w:spacing w:after="90" w:line="264"/>
      </w:pPr>
      <w:hyperlink w:history="1" r:id="rIdr5hz7oncrlg7werrdcnjy">
        <w:r>
          <w:rPr>
            <w:rStyle w:val="Hyperlink"/>
            <w:sz w:val="21"/>
            <w:szCs w:val="21"/>
          </w:rPr>
          <w:t xml:space="preserve">NCSC — Principle C2 Threat Hunting</w:t>
        </w:r>
      </w:hyperlink>
    </w:p>
    <w:p>
      <w:pPr>
        <w:spacing w:after="90" w:line="264"/>
      </w:pPr>
      <w:hyperlink w:history="1" r:id="rIdselwn_fyiacc4myxkhsqr">
        <w:r>
          <w:rPr>
            <w:rStyle w:val="Hyperlink"/>
            <w:sz w:val="21"/>
            <w:szCs w:val="21"/>
          </w:rPr>
          <w:t xml:space="preserve">NCSC — Principle D2 Lessons Learned</w:t>
        </w:r>
      </w:hyperlink>
    </w:p>
    <w:p>
      <w:pPr>
        <w:spacing w:after="90" w:line="264"/>
      </w:pPr>
      <w:hyperlink w:history="1" r:id="rIdstlkbyh6vzz46gi2scxkn">
        <w:r>
          <w:rPr>
            <w:rStyle w:val="Hyperlink"/>
            <w:sz w:val="21"/>
            <w:szCs w:val="21"/>
          </w:rPr>
          <w:t xml:space="preserve">NCSC — CAF v4.0 released in response to growing threat (blog)</w:t>
        </w:r>
      </w:hyperlink>
    </w:p>
    <w:p>
      <w:pPr>
        <w:spacing w:after="90" w:line="264"/>
      </w:pPr>
      <w:hyperlink w:history="1" r:id="rId3acomqpo7qg94dmsirp5f">
        <w:r>
          <w:rPr>
            <w:rStyle w:val="Hyperlink"/>
            <w:sz w:val="21"/>
            <w:szCs w:val="21"/>
          </w:rPr>
          <w:t xml:space="preserve">NCSC — Cyber Resilience Audit (CRA) scheme</w:t>
        </w:r>
      </w:hyperlink>
    </w:p>
    <w:p>
      <w:pPr>
        <w:spacing w:after="90" w:line="264"/>
      </w:pPr>
      <w:hyperlink w:history="1" r:id="rIdw8glvlknbgllkw34dx4aq">
        <w:r>
          <w:rPr>
            <w:rStyle w:val="Hyperlink"/>
            <w:sz w:val="21"/>
            <w:szCs w:val="21"/>
          </w:rPr>
          <w:t xml:space="preserve">UK Government Security — GovAssure Stage 4 Independent Assurance Review</w:t>
        </w:r>
      </w:hyperlink>
    </w:p>
    <w:p>
      <w:pPr>
        <w:spacing w:after="90" w:line="264"/>
      </w:pPr>
      <w:hyperlink w:history="1" r:id="rIdmg7g2l7ux0owmejf6ohhv">
        <w:r>
          <w:rPr>
            <w:rStyle w:val="Hyperlink"/>
            <w:sz w:val="21"/>
            <w:szCs w:val="21"/>
          </w:rPr>
          <w:t xml:space="preserve">cetome — NIS Directive / CAF analysis (ex-ENISA)</w:t>
        </w:r>
      </w:hyperlink>
    </w:p>
    <w:p>
      <w:pPr>
        <w:spacing w:after="90" w:line="264"/>
      </w:pPr>
      <w:hyperlink w:history="1" r:id="rIdbl6f9femx3gy6fn_swynw">
        <w:r>
          <w:rPr>
            <w:rStyle w:val="Hyperlink"/>
            <w:sz w:val="21"/>
            <w:szCs w:val="21"/>
          </w:rPr>
          <w:t xml:space="preserve">arXiv 2603.19084 — On the Effectiveness of the UK NIS Regulations as a Mandatory Cybersecurity Reporting Regime (NCSC/GCHQ-funded)</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Insight Engine — grade-locked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CAF v4.0 — fitness-for-purpose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E80"/>
      <w:sz w:val="26"/>
      <w:szCs w:val="26"/>
    </w:rPr>
  </w:style>
  <w:style w:type="paragraph" w:styleId="Heading3">
    <w:name w:val="Heading 3"/>
    <w:basedOn w:val="Normal"/>
    <w:next w:val="Normal"/>
    <w:qFormat/>
    <w:pPr>
      <w:spacing w:after="9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gu4kusny18x9wrng0eza" Type="http://schemas.openxmlformats.org/officeDocument/2006/relationships/hyperlink" Target="https://www.ncsc.gov.uk/collection/cyber-assessment-framework" TargetMode="External"/><Relationship Id="rIdhx5zv7lg-iatlumkeqfhl" Type="http://schemas.openxmlformats.org/officeDocument/2006/relationships/hyperlink" Target="https://www.ncsc.gov.uk/files/NCSC-Cyber-Assessment-Framework-4.0.pdf" TargetMode="External"/><Relationship Id="rIdyfvrueznusi8h1gmcmds8" Type="http://schemas.openxmlformats.org/officeDocument/2006/relationships/hyperlink" Target="https://www.ncsc.gov.uk/collection/cyber-assessment-framework/introduction-to-caf" TargetMode="External"/><Relationship Id="rIdb4_ttqmkavmaw_ncwmpbz" Type="http://schemas.openxmlformats.org/officeDocument/2006/relationships/hyperlink" Target="https://www.ncsc.gov.uk/collection/cyber-assessment-framework/introduction-caf-collection" TargetMode="External"/><Relationship Id="rIdq-qkj21glhbgtw7a85qnl" Type="http://schemas.openxmlformats.org/officeDocument/2006/relationships/hyperlink" Target="https://www.ncsc.gov.uk/collection/cyber-assessment-framework/caf-objective-a-managing-security-risk/principle-a2-risk-management" TargetMode="External"/><Relationship Id="rIdnwqysys8ixi5kaj5qkm2i" Type="http://schemas.openxmlformats.org/officeDocument/2006/relationships/hyperlink" Target="https://www.ncsc.gov.uk/collection/cyber-assessment-framework/caf-objective-b/principle-b4-system-security" TargetMode="External"/><Relationship Id="rIdr5hz7oncrlg7werrdcnjy" Type="http://schemas.openxmlformats.org/officeDocument/2006/relationships/hyperlink" Target="https://www.ncsc.gov.uk/collection/cyber-assessment-framework/caf-objective-c-detecting-cyber-security-events/principle-c2-threat-hunting" TargetMode="External"/><Relationship Id="rIdselwn_fyiacc4myxkhsqr" Type="http://schemas.openxmlformats.org/officeDocument/2006/relationships/hyperlink" Target="https://www.ncsc.gov.uk/collection/cyber-assessment-framework/caf-objective-d/principle-d2-lessons-learned" TargetMode="External"/><Relationship Id="rIdstlkbyh6vzz46gi2scxkn" Type="http://schemas.openxmlformats.org/officeDocument/2006/relationships/hyperlink" Target="https://www.ncsc.gov.uk/blog-post/caf-v4-0-released-in-response-to-growing-threat" TargetMode="External"/><Relationship Id="rId3acomqpo7qg94dmsirp5f" Type="http://schemas.openxmlformats.org/officeDocument/2006/relationships/hyperlink" Target="https://www.ncsc.gov.uk/schemes/cyber-resilience-audit/introduction" TargetMode="External"/><Relationship Id="rIdw8glvlknbgllkw34dx4aq" Type="http://schemas.openxmlformats.org/officeDocument/2006/relationships/hyperlink" Target="https://www.security.gov.uk/policy-and-guidance/govassure/stage-4-independent-assurance-review/stage-4-complete-an-independent-assurance-review/" TargetMode="External"/><Relationship Id="rIdmg7g2l7ux0owmejf6ohhv" Type="http://schemas.openxmlformats.org/officeDocument/2006/relationships/hyperlink" Target="https://cetome.com/research/nis-directive/caf" TargetMode="External"/><Relationship Id="rIdbl6f9femx3gy6fn_swynw" Type="http://schemas.openxmlformats.org/officeDocument/2006/relationships/hyperlink" Target="https://arxiv.org/abs/2603.19084"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2026-06-30T15:11:55.736Z</dcterms:created>
  <dcterms:modified xsi:type="dcterms:W3CDTF">2026-06-30T15:11:55.736Z</dcterms:modified>
</cp:coreProperties>
</file>

<file path=docProps/custom.xml><?xml version="1.0" encoding="utf-8"?>
<Properties xmlns="http://schemas.openxmlformats.org/officeDocument/2006/custom-properties" xmlns:vt="http://schemas.openxmlformats.org/officeDocument/2006/docPropsVTypes"/>
</file>