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1200" w:after="160"/>
        <w:jc w:val="center"/>
      </w:pPr>
      <w:r>
        <w:rPr>
          <w:rFonts w:ascii="Times New Roman" w:hAnsi="Times New Roman"/>
          <w:b/>
          <w:i w:val="0"/>
          <w:sz w:val="52"/>
        </w:rPr>
        <w:t>Applied AML Analytics</w:t>
      </w:r>
    </w:p>
    <w:p>
      <w:pPr>
        <w:spacing w:lineRule="auto" w:line="240" w:before="0" w:after="360"/>
        <w:jc w:val="center"/>
      </w:pPr>
      <w:r>
        <w:rPr>
          <w:rFonts w:ascii="Times New Roman" w:hAnsi="Times New Roman"/>
          <w:b w:val="0"/>
          <w:i/>
          <w:sz w:val="30"/>
        </w:rPr>
        <w:t>Turning Data Science Skills into Compliance Decisions</w:t>
      </w:r>
    </w:p>
    <w:p>
      <w:pPr>
        <w:spacing w:lineRule="auto" w:line="240" w:before="0" w:after="800"/>
        <w:jc w:val="center"/>
      </w:pPr>
      <w:r>
        <w:rPr>
          <w:rFonts w:ascii="Times New Roman" w:hAnsi="Times New Roman"/>
          <w:b w:val="0"/>
          <w:i w:val="0"/>
          <w:sz w:val="26"/>
        </w:rPr>
        <w:t>Transaction Monitoring, Segmentation, Scenario Tuning,</w:t>
        <w:br/>
        <w:t>Machine Learning, and Model Validation</w:t>
      </w:r>
    </w:p>
    <w:p>
      <w:pPr>
        <w:spacing w:lineRule="auto" w:line="240" w:before="200" w:after="80"/>
        <w:jc w:val="center"/>
      </w:pPr>
      <w:r>
        <w:rPr>
          <w:rFonts w:ascii="Times New Roman" w:hAnsi="Times New Roman"/>
          <w:b/>
          <w:i w:val="0"/>
          <w:sz w:val="28"/>
        </w:rPr>
        <w:t>Haibo Zhang</w:t>
      </w:r>
    </w:p>
    <w:p>
      <w:pPr>
        <w:spacing w:lineRule="auto" w:line="240" w:before="0" w:after="80"/>
        <w:jc w:val="center"/>
      </w:pPr>
      <w:r>
        <w:rPr>
          <w:rFonts w:ascii="Times New Roman" w:hAnsi="Times New Roman"/>
          <w:b w:val="0"/>
          <w:i w:val="0"/>
          <w:sz w:val="24"/>
        </w:rPr>
        <w:t>Compliance Analytics Ltd</w:t>
      </w:r>
    </w:p>
    <w:p>
      <w:pPr>
        <w:spacing w:lineRule="auto" w:line="240" w:before="0" w:after="80"/>
        <w:jc w:val="center"/>
      </w:pPr>
      <w:r>
        <w:rPr>
          <w:rFonts w:ascii="Times New Roman" w:hAnsi="Times New Roman"/>
          <w:b w:val="0"/>
          <w:i w:val="0"/>
          <w:sz w:val="24"/>
        </w:rPr>
        <w:t>haibo@compliance-analytics.co.uk</w:t>
      </w:r>
    </w:p>
    <w:p>
      <w:pPr>
        <w:spacing w:lineRule="auto" w:line="240" w:before="600" w:after="80"/>
        <w:jc w:val="center"/>
      </w:pPr>
      <w:r>
        <w:rPr>
          <w:rFonts w:ascii="Times New Roman" w:hAnsi="Times New Roman"/>
          <w:b w:val="0"/>
          <w:i w:val="0"/>
          <w:sz w:val="24"/>
        </w:rPr>
        <w:t>First Edition</w:t>
      </w:r>
    </w:p>
    <w:p>
      <w:pPr>
        <w:spacing w:lineRule="auto" w:line="240" w:before="0" w:after="200"/>
        <w:jc w:val="center"/>
      </w:pPr>
      <w:r>
        <w:rPr>
          <w:rFonts w:ascii="Times New Roman" w:hAnsi="Times New Roman"/>
          <w:b w:val="0"/>
          <w:i/>
          <w:sz w:val="22"/>
        </w:rPr>
        <w:t>Submitted for editorial review — May 2026</w:t>
      </w:r>
    </w:p>
    <w:p>
      <w:r>
        <w:br w:type="page"/>
      </w:r>
    </w:p>
    <w:p>
      <w:pPr>
        <w:pStyle w:val="Heading1"/>
      </w:pPr>
      <w:r>
        <w:rPr>
          <w:rFonts w:ascii="Times New Roman" w:hAnsi="Times New Roman"/>
        </w:rPr>
        <w:t>Declaration Regarding Use of AI-Assisted Tools</w:t>
      </w:r>
    </w:p>
    <w:p>
      <w:pPr>
        <w:pStyle w:val="BodyText"/>
        <w:spacing w:lineRule="auto" w:line="360" w:before="0" w:after="120"/>
        <w:ind w:firstLine="283"/>
      </w:pPr>
      <w:r>
        <w:rPr>
          <w:rFonts w:ascii="Times New Roman" w:hAnsi="Times New Roman"/>
          <w:b w:val="0"/>
          <w:i w:val="0"/>
          <w:sz w:val="24"/>
        </w:rPr>
        <w:t>This book was conceived, structured, and written by the author. All domain expertise, pedagogical decisions, analytical frameworks, example design, and editorial judgements are the author's own, developed over more than a decade of professional practice in AML transaction monitoring and compliance analytics.</w:t>
      </w:r>
    </w:p>
    <w:p>
      <w:pPr>
        <w:pStyle w:val="BodyText"/>
        <w:spacing w:lineRule="auto" w:line="360" w:before="0" w:after="120"/>
        <w:ind w:firstLine="283"/>
      </w:pPr>
      <w:r>
        <w:rPr>
          <w:rFonts w:ascii="Times New Roman" w:hAnsi="Times New Roman"/>
          <w:b w:val="0"/>
          <w:i w:val="0"/>
          <w:sz w:val="24"/>
        </w:rPr>
        <w:t>In preparing this manuscript, the author dictated and handwrote detailed instructions, section outlines, technical specifications, and analytical narratives. These handwritten and spoken inputs were used to direct Claude (Anthropic), an AI-assisted writing and coding tool, in drafting and refining prose and in generating Python code for the companion Colab notebooks. The author's own expertise shaped every section: the AI rendered the author's ideas into polished text rather than generating independent content. Every AI-produced output was reviewed, corrected, and revised by the author before inclusion.</w:t>
      </w:r>
    </w:p>
    <w:p>
      <w:pPr>
        <w:pStyle w:val="BodyText"/>
        <w:spacing w:lineRule="auto" w:line="360" w:before="0" w:after="120"/>
        <w:ind w:firstLine="283"/>
      </w:pPr>
      <w:r>
        <w:rPr>
          <w:rFonts w:ascii="Times New Roman" w:hAnsi="Times New Roman"/>
          <w:b w:val="0"/>
          <w:i w:val="0"/>
          <w:sz w:val="24"/>
        </w:rPr>
        <w:t>In accordance with Springer Nature's policy on generative AI, use of this tool is declared here. No AI is listed as an author or co-author. The author takes full responsibility for the accuracy and integrity of all content.</w:t>
      </w:r>
    </w:p>
    <w:p>
      <w:r>
        <w:br w:type="page"/>
      </w:r>
    </w:p>
    <w:p>
      <w:pPr>
        <w:pStyle w:val="Heading1"/>
      </w:pPr>
      <w:r>
        <w:rPr>
          <w:rFonts w:ascii="Times New Roman" w:hAnsi="Times New Roman"/>
        </w:rPr>
        <w:t>Contents</w:t>
      </w:r>
    </w:p>
    <w:p>
      <w:pPr>
        <w:spacing w:lineRule="auto" w:line="240" w:before="0" w:after="160"/>
        <w:ind w:firstLine="0"/>
      </w:pPr>
      <w:r>
        <w:rPr>
          <w:rFonts w:ascii="Times New Roman" w:hAnsi="Times New Roman"/>
          <w:b w:val="0"/>
          <w:i/>
          <w:color w:val="888888"/>
          <w:sz w:val="18"/>
        </w:rPr>
        <w:t>Note: Open this document in Microsoft Word and press Ctrl+A then F9 to update page numbers throughout.</w:t>
      </w:r>
    </w:p>
    <w:p>
      <w:pPr>
        <w:spacing w:lineRule="auto" w:line="240" w:before="0" w:after="120"/>
        <w:ind w:firstLine="0"/>
      </w:pPr>
      <w:r>
        <w:fldChar w:fldCharType="begin" w:dirty="true"/>
      </w:r>
      <w:r>
        <w:instrText xml:space="preserve"> TOC \o "1-2" \h \z \u </w:instrText>
      </w:r>
      <w:r>
        <w:fldChar w:fldCharType="separate"/>
      </w:r>
      <w:r>
        <w:fldChar w:fldCharType="end"/>
      </w:r>
    </w:p>
    <w:p>
      <w:pPr>
        <w:spacing w:lineRule="auto" w:line="240" w:before="320" w:after="0"/>
      </w:pPr>
    </w:p>
    <w:p>
      <w:pPr>
        <w:spacing w:lineRule="auto" w:line="288" w:before="280" w:after="120"/>
        <w:ind w:firstLine="0"/>
      </w:pPr>
      <w:r>
        <w:rPr>
          <w:rFonts w:ascii="Times New Roman" w:hAnsi="Times New Roman"/>
          <w:b/>
          <w:i w:val="0"/>
          <w:sz w:val="24"/>
        </w:rPr>
        <w:t>List of Exercises</w:t>
      </w:r>
    </w:p>
    <w:p>
      <w:pPr>
        <w:spacing w:lineRule="auto" w:line="264" w:before="160" w:after="40"/>
        <w:ind w:firstLine="0"/>
      </w:pPr>
      <w:r>
        <w:rPr>
          <w:rFonts w:ascii="Times New Roman" w:hAnsi="Times New Roman"/>
          <w:b/>
          <w:i w:val="0"/>
          <w:sz w:val="22"/>
        </w:rPr>
        <w:t>Chapter 1</w:t>
      </w:r>
    </w:p>
    <w:p>
      <w:pPr>
        <w:spacing w:lineRule="auto" w:line="264" w:before="20" w:after="40"/>
        <w:ind w:left="283" w:firstLine="0"/>
      </w:pPr>
      <w:r>
        <w:rPr>
          <w:rFonts w:ascii="Times New Roman" w:hAnsi="Times New Roman"/>
          <w:b w:val="0"/>
          <w:i w:val="0"/>
          <w:sz w:val="22"/>
        </w:rPr>
        <w:t>Exercise 1.1 — Spotting the Pattern  [Foundation]</w:t>
      </w:r>
    </w:p>
    <w:p>
      <w:pPr>
        <w:spacing w:lineRule="auto" w:line="264" w:before="20" w:after="40"/>
        <w:ind w:left="283" w:firstLine="0"/>
      </w:pPr>
      <w:r>
        <w:rPr>
          <w:rFonts w:ascii="Times New Roman" w:hAnsi="Times New Roman"/>
          <w:b w:val="0"/>
          <w:i w:val="0"/>
          <w:sz w:val="22"/>
        </w:rPr>
        <w:t>Exercise 1.2 — Meridian Trading Ltd: First Encounter  [Applied / Out-of-the-Box]</w:t>
      </w:r>
    </w:p>
    <w:p>
      <w:pPr>
        <w:spacing w:lineRule="auto" w:line="264" w:before="160" w:after="40"/>
        <w:ind w:firstLine="0"/>
      </w:pPr>
      <w:r>
        <w:rPr>
          <w:rFonts w:ascii="Times New Roman" w:hAnsi="Times New Roman"/>
          <w:b/>
          <w:i w:val="0"/>
          <w:sz w:val="22"/>
        </w:rPr>
        <w:t>Chapter 2</w:t>
      </w:r>
    </w:p>
    <w:p>
      <w:pPr>
        <w:spacing w:lineRule="auto" w:line="264" w:before="20" w:after="40"/>
        <w:ind w:left="283" w:firstLine="0"/>
      </w:pPr>
      <w:r>
        <w:rPr>
          <w:rFonts w:ascii="Times New Roman" w:hAnsi="Times New Roman"/>
          <w:b w:val="0"/>
          <w:i w:val="0"/>
          <w:sz w:val="22"/>
        </w:rPr>
        <w:t>Exercise 2.1 — The Regulatory Landscape Applied  [Foundation → Intermediate]</w:t>
      </w:r>
    </w:p>
    <w:p>
      <w:pPr>
        <w:spacing w:lineRule="auto" w:line="264" w:before="20" w:after="40"/>
        <w:ind w:left="283" w:firstLine="0"/>
      </w:pPr>
      <w:r>
        <w:rPr>
          <w:rFonts w:ascii="Times New Roman" w:hAnsi="Times New Roman"/>
          <w:b w:val="0"/>
          <w:i w:val="0"/>
          <w:sz w:val="22"/>
        </w:rPr>
        <w:t>Exercise 2.2 — Meridian Trading Ltd: Regulatory Obligations  [Applied]</w:t>
      </w:r>
    </w:p>
    <w:p>
      <w:pPr>
        <w:spacing w:lineRule="auto" w:line="264" w:before="160" w:after="40"/>
        <w:ind w:firstLine="0"/>
      </w:pPr>
      <w:r>
        <w:rPr>
          <w:rFonts w:ascii="Times New Roman" w:hAnsi="Times New Roman"/>
          <w:b/>
          <w:i w:val="0"/>
          <w:sz w:val="22"/>
        </w:rPr>
        <w:t>Chapter 3</w:t>
      </w:r>
    </w:p>
    <w:p>
      <w:pPr>
        <w:spacing w:lineRule="auto" w:line="264" w:before="20" w:after="40"/>
        <w:ind w:left="283" w:firstLine="0"/>
      </w:pPr>
      <w:r>
        <w:rPr>
          <w:rFonts w:ascii="Times New Roman" w:hAnsi="Times New Roman"/>
          <w:b w:val="0"/>
          <w:i w:val="0"/>
          <w:sz w:val="22"/>
        </w:rPr>
        <w:t>Exercise 3.1 — Tracing the Northgate Scenario Through the TM Lifecycle  [Intermediate]</w:t>
      </w:r>
    </w:p>
    <w:p>
      <w:pPr>
        <w:spacing w:lineRule="auto" w:line="264" w:before="20" w:after="40"/>
        <w:ind w:left="283" w:firstLine="0"/>
      </w:pPr>
      <w:r>
        <w:rPr>
          <w:rFonts w:ascii="Times New Roman" w:hAnsi="Times New Roman"/>
          <w:b w:val="0"/>
          <w:i w:val="0"/>
          <w:sz w:val="22"/>
        </w:rPr>
        <w:t>Exercise 3.2 — Meridian Trading Ltd: Tracing the Commercial Lifecycle  [Applied / Out-of-the-Box]</w:t>
      </w:r>
    </w:p>
    <w:p>
      <w:pPr>
        <w:spacing w:lineRule="auto" w:line="264" w:before="160" w:after="40"/>
        <w:ind w:firstLine="0"/>
      </w:pPr>
      <w:r>
        <w:rPr>
          <w:rFonts w:ascii="Times New Roman" w:hAnsi="Times New Roman"/>
          <w:b/>
          <w:i w:val="0"/>
          <w:sz w:val="22"/>
        </w:rPr>
        <w:t>Chapter 4</w:t>
      </w:r>
    </w:p>
    <w:p>
      <w:pPr>
        <w:spacing w:lineRule="auto" w:line="264" w:before="20" w:after="40"/>
        <w:ind w:left="283" w:firstLine="0"/>
      </w:pPr>
      <w:r>
        <w:rPr>
          <w:rFonts w:ascii="Times New Roman" w:hAnsi="Times New Roman"/>
          <w:b w:val="0"/>
          <w:i w:val="0"/>
          <w:sz w:val="22"/>
        </w:rPr>
        <w:t>Exercise 4.1 — Designing the Northgate Structuring Rule  [Intermediate]</w:t>
      </w:r>
    </w:p>
    <w:p>
      <w:pPr>
        <w:spacing w:lineRule="auto" w:line="264" w:before="20" w:after="40"/>
        <w:ind w:left="283" w:firstLine="0"/>
      </w:pPr>
      <w:r>
        <w:rPr>
          <w:rFonts w:ascii="Times New Roman" w:hAnsi="Times New Roman"/>
          <w:b w:val="0"/>
          <w:i w:val="0"/>
          <w:sz w:val="22"/>
        </w:rPr>
        <w:t>Exercise 4.2 — Meridian Trading Ltd: Design a TBML Scenario  [Applied / Out-of-the-Box]</w:t>
      </w:r>
    </w:p>
    <w:p>
      <w:pPr>
        <w:spacing w:lineRule="auto" w:line="264" w:before="20" w:after="40"/>
        <w:ind w:left="283" w:firstLine="0"/>
      </w:pPr>
      <w:r>
        <w:rPr>
          <w:rFonts w:ascii="Times New Roman" w:hAnsi="Times New Roman"/>
          <w:b w:val="0"/>
          <w:i w:val="0"/>
          <w:sz w:val="22"/>
        </w:rPr>
        <w:t>Exercise 4.3 — Project Sentinel: The Link Rule  [Synthesis / Stretch]</w:t>
      </w:r>
    </w:p>
    <w:p>
      <w:pPr>
        <w:spacing w:lineRule="auto" w:line="264" w:before="160" w:after="40"/>
        <w:ind w:firstLine="0"/>
      </w:pPr>
      <w:r>
        <w:rPr>
          <w:rFonts w:ascii="Times New Roman" w:hAnsi="Times New Roman"/>
          <w:b/>
          <w:i w:val="0"/>
          <w:sz w:val="22"/>
        </w:rPr>
        <w:t>Chapter 5</w:t>
      </w:r>
    </w:p>
    <w:p>
      <w:pPr>
        <w:spacing w:lineRule="auto" w:line="264" w:before="20" w:after="40"/>
        <w:ind w:left="283" w:firstLine="0"/>
      </w:pPr>
      <w:r>
        <w:rPr>
          <w:rFonts w:ascii="Times New Roman" w:hAnsi="Times New Roman"/>
          <w:b w:val="0"/>
          <w:i w:val="0"/>
          <w:sz w:val="22"/>
        </w:rPr>
        <w:t>Exercise 5.1 — Segmenting the Northgate Customer Population  [Intermediate / Advanced]</w:t>
      </w:r>
    </w:p>
    <w:p>
      <w:pPr>
        <w:spacing w:lineRule="auto" w:line="264" w:before="20" w:after="40"/>
        <w:ind w:left="283" w:firstLine="0"/>
      </w:pPr>
      <w:r>
        <w:rPr>
          <w:rFonts w:ascii="Times New Roman" w:hAnsi="Times New Roman"/>
          <w:b w:val="0"/>
          <w:i w:val="0"/>
          <w:sz w:val="22"/>
        </w:rPr>
        <w:t>Exercise 5.2 — The Mule Network in the Cluster Structure  [Advanced]</w:t>
      </w:r>
    </w:p>
    <w:p>
      <w:pPr>
        <w:spacing w:lineRule="auto" w:line="264" w:before="20" w:after="40"/>
        <w:ind w:left="283" w:firstLine="0"/>
      </w:pPr>
      <w:r>
        <w:rPr>
          <w:rFonts w:ascii="Times New Roman" w:hAnsi="Times New Roman"/>
          <w:b w:val="0"/>
          <w:i w:val="0"/>
          <w:sz w:val="22"/>
        </w:rPr>
        <w:t>Exercise 5.3 — Meridian Trading Ltd: Commercial Peer Group Design  [Applied / Out-of-the-Box]</w:t>
      </w:r>
    </w:p>
    <w:p>
      <w:pPr>
        <w:spacing w:lineRule="auto" w:line="264" w:before="160" w:after="40"/>
        <w:ind w:firstLine="0"/>
      </w:pPr>
      <w:r>
        <w:rPr>
          <w:rFonts w:ascii="Times New Roman" w:hAnsi="Times New Roman"/>
          <w:b/>
          <w:i w:val="0"/>
          <w:sz w:val="22"/>
        </w:rPr>
        <w:t>Chapter 6</w:t>
      </w:r>
    </w:p>
    <w:p>
      <w:pPr>
        <w:spacing w:lineRule="auto" w:line="264" w:before="20" w:after="40"/>
        <w:ind w:left="283" w:firstLine="0"/>
      </w:pPr>
      <w:r>
        <w:rPr>
          <w:rFonts w:ascii="Times New Roman" w:hAnsi="Times New Roman"/>
          <w:b w:val="0"/>
          <w:i w:val="0"/>
          <w:sz w:val="22"/>
        </w:rPr>
        <w:t>Exercise 6.1 — Calibrating the Northgate Structuring Scenario  [Advanced]</w:t>
      </w:r>
    </w:p>
    <w:p>
      <w:pPr>
        <w:spacing w:lineRule="auto" w:line="264" w:before="20" w:after="40"/>
        <w:ind w:left="283" w:firstLine="0"/>
      </w:pPr>
      <w:r>
        <w:rPr>
          <w:rFonts w:ascii="Times New Roman" w:hAnsi="Times New Roman"/>
          <w:b w:val="0"/>
          <w:i w:val="0"/>
          <w:sz w:val="22"/>
        </w:rPr>
        <w:t>Exercise 6.2 — Hypergeometric Sampling Design  [Advanced]</w:t>
      </w:r>
    </w:p>
    <w:p>
      <w:pPr>
        <w:spacing w:lineRule="auto" w:line="264" w:before="20" w:after="40"/>
        <w:ind w:left="283" w:firstLine="0"/>
      </w:pPr>
      <w:r>
        <w:rPr>
          <w:rFonts w:ascii="Times New Roman" w:hAnsi="Times New Roman"/>
          <w:b w:val="0"/>
          <w:i w:val="0"/>
          <w:sz w:val="22"/>
        </w:rPr>
        <w:t>Exercise 6.3 — Threshold Recommendation and Tuning Rationale  [Advanced]</w:t>
      </w:r>
    </w:p>
    <w:p>
      <w:pPr>
        <w:spacing w:lineRule="auto" w:line="264" w:before="20" w:after="40"/>
        <w:ind w:left="283" w:firstLine="0"/>
      </w:pPr>
      <w:r>
        <w:rPr>
          <w:rFonts w:ascii="Times New Roman" w:hAnsi="Times New Roman"/>
          <w:b w:val="0"/>
          <w:i w:val="0"/>
          <w:sz w:val="22"/>
        </w:rPr>
        <w:t>Exercise 6.4 — Meridian Trading Ltd: Calibrating the TBML Threshold  [Applied / Out-of-the-Box]</w:t>
      </w:r>
    </w:p>
    <w:p>
      <w:pPr>
        <w:spacing w:lineRule="auto" w:line="264" w:before="20" w:after="40"/>
        <w:ind w:left="283" w:firstLine="0"/>
      </w:pPr>
      <w:r>
        <w:rPr>
          <w:rFonts w:ascii="Times New Roman" w:hAnsi="Times New Roman"/>
          <w:b w:val="0"/>
          <w:i w:val="0"/>
          <w:sz w:val="22"/>
        </w:rPr>
        <w:t>Exercise 6.5 — Project Sentinel: The Calibration Governance Record  [Synthesis / Stretch]</w:t>
      </w:r>
    </w:p>
    <w:p>
      <w:pPr>
        <w:spacing w:lineRule="auto" w:line="264" w:before="160" w:after="40"/>
        <w:ind w:firstLine="0"/>
      </w:pPr>
      <w:r>
        <w:rPr>
          <w:rFonts w:ascii="Times New Roman" w:hAnsi="Times New Roman"/>
          <w:b/>
          <w:i w:val="0"/>
          <w:sz w:val="22"/>
        </w:rPr>
        <w:t>Chapter 7</w:t>
      </w:r>
    </w:p>
    <w:p>
      <w:pPr>
        <w:spacing w:lineRule="auto" w:line="264" w:before="20" w:after="40"/>
        <w:ind w:left="283" w:firstLine="0"/>
      </w:pPr>
      <w:r>
        <w:rPr>
          <w:rFonts w:ascii="Times New Roman" w:hAnsi="Times New Roman"/>
          <w:b w:val="0"/>
          <w:i w:val="0"/>
          <w:sz w:val="22"/>
        </w:rPr>
        <w:t>Exercise 7.1 — Coverage Assessment for Northgate  [Advanced]</w:t>
      </w:r>
    </w:p>
    <w:p>
      <w:pPr>
        <w:spacing w:lineRule="auto" w:line="264" w:before="20" w:after="40"/>
        <w:ind w:left="283" w:firstLine="0"/>
      </w:pPr>
      <w:r>
        <w:rPr>
          <w:rFonts w:ascii="Times New Roman" w:hAnsi="Times New Roman"/>
          <w:b w:val="0"/>
          <w:i w:val="0"/>
          <w:sz w:val="22"/>
        </w:rPr>
        <w:t>Exercise 7.2 — Meridian Trading Ltd: NLP on Trade Documents  [Applied / Out-of-the-Box]</w:t>
      </w:r>
    </w:p>
    <w:p>
      <w:pPr>
        <w:spacing w:lineRule="auto" w:line="264" w:before="20" w:after="40"/>
        <w:ind w:left="283" w:firstLine="0"/>
      </w:pPr>
      <w:r>
        <w:rPr>
          <w:rFonts w:ascii="Times New Roman" w:hAnsi="Times New Roman"/>
          <w:b w:val="0"/>
          <w:i w:val="0"/>
          <w:sz w:val="22"/>
        </w:rPr>
        <w:t>Exercise 7.3 — Project Sentinel: LLM-Assisted SAR Drafting  [Synthesis / Stretch]</w:t>
      </w:r>
    </w:p>
    <w:p>
      <w:pPr>
        <w:spacing w:lineRule="auto" w:line="264" w:before="160" w:after="40"/>
        <w:ind w:firstLine="0"/>
      </w:pPr>
      <w:r>
        <w:rPr>
          <w:rFonts w:ascii="Times New Roman" w:hAnsi="Times New Roman"/>
          <w:b/>
          <w:i w:val="0"/>
          <w:sz w:val="22"/>
        </w:rPr>
        <w:t>Chapter 8</w:t>
      </w:r>
    </w:p>
    <w:p>
      <w:pPr>
        <w:spacing w:lineRule="auto" w:line="264" w:before="20" w:after="40"/>
        <w:ind w:left="283" w:firstLine="0"/>
      </w:pPr>
      <w:r>
        <w:rPr>
          <w:rFonts w:ascii="Times New Roman" w:hAnsi="Times New Roman"/>
          <w:b w:val="0"/>
          <w:i w:val="0"/>
          <w:sz w:val="22"/>
        </w:rPr>
        <w:t>Exercise 8.1 — ML Triage for the Northgate Alert Population  [Advanced]</w:t>
      </w:r>
    </w:p>
    <w:p>
      <w:pPr>
        <w:spacing w:lineRule="auto" w:line="264" w:before="20" w:after="40"/>
        <w:ind w:left="283" w:firstLine="0"/>
      </w:pPr>
      <w:r>
        <w:rPr>
          <w:rFonts w:ascii="Times New Roman" w:hAnsi="Times New Roman"/>
          <w:b w:val="0"/>
          <w:i w:val="0"/>
          <w:sz w:val="22"/>
        </w:rPr>
        <w:t>Exercise 8.2 — Permutation Importance and Feature Design  [Applied / Out-of-the-Box]</w:t>
      </w:r>
    </w:p>
    <w:p>
      <w:pPr>
        <w:spacing w:lineRule="auto" w:line="264" w:before="20" w:after="40"/>
        <w:ind w:left="283" w:firstLine="0"/>
      </w:pPr>
      <w:r>
        <w:rPr>
          <w:rFonts w:ascii="Times New Roman" w:hAnsi="Times New Roman"/>
          <w:b w:val="0"/>
          <w:i w:val="0"/>
          <w:sz w:val="22"/>
        </w:rPr>
        <w:t>Exercise 8.3 — Project Sentinel: Governance Forum  [Synthesis / Stretch]</w:t>
      </w:r>
    </w:p>
    <w:p>
      <w:pPr>
        <w:spacing w:lineRule="auto" w:line="264" w:before="20" w:after="40"/>
        <w:ind w:left="283" w:firstLine="0"/>
      </w:pPr>
      <w:r>
        <w:rPr>
          <w:rFonts w:ascii="Times New Roman" w:hAnsi="Times New Roman"/>
          <w:b w:val="0"/>
          <w:i w:val="0"/>
          <w:sz w:val="22"/>
        </w:rPr>
        <w:t>Exercise 8.4 — Supervised ML with XGBoost  [Advanced]</w:t>
      </w:r>
    </w:p>
    <w:p>
      <w:pPr>
        <w:spacing w:lineRule="auto" w:line="264" w:before="160" w:after="40"/>
        <w:ind w:firstLine="0"/>
      </w:pPr>
      <w:r>
        <w:rPr>
          <w:rFonts w:ascii="Times New Roman" w:hAnsi="Times New Roman"/>
          <w:b/>
          <w:i w:val="0"/>
          <w:sz w:val="22"/>
        </w:rPr>
        <w:t>Chapter 9</w:t>
      </w:r>
    </w:p>
    <w:p>
      <w:pPr>
        <w:spacing w:lineRule="auto" w:line="264" w:before="20" w:after="40"/>
        <w:ind w:left="283" w:firstLine="0"/>
      </w:pPr>
      <w:r>
        <w:rPr>
          <w:rFonts w:ascii="Times New Roman" w:hAnsi="Times New Roman"/>
          <w:b w:val="0"/>
          <w:i w:val="0"/>
          <w:sz w:val="22"/>
        </w:rPr>
        <w:t>Exercise 9.1 — Validate the Northgate Model Suite  [Advanced]</w:t>
      </w:r>
    </w:p>
    <w:p>
      <w:pPr>
        <w:spacing w:lineRule="auto" w:line="264" w:before="20" w:after="40"/>
        <w:ind w:left="283" w:firstLine="0"/>
      </w:pPr>
      <w:r>
        <w:rPr>
          <w:rFonts w:ascii="Times New Roman" w:hAnsi="Times New Roman"/>
          <w:b w:val="0"/>
          <w:i w:val="0"/>
          <w:sz w:val="22"/>
        </w:rPr>
        <w:t>Exercise 9.2 — Meridian Trading Ltd: Extending the Validation to TBML-INVOICE-001  [Applied / Out-of-the-Box]</w:t>
      </w:r>
    </w:p>
    <w:p>
      <w:pPr>
        <w:spacing w:lineRule="auto" w:line="264" w:before="20" w:after="40"/>
        <w:ind w:left="283" w:firstLine="0"/>
      </w:pPr>
      <w:r>
        <w:rPr>
          <w:rFonts w:ascii="Times New Roman" w:hAnsi="Times New Roman"/>
          <w:b w:val="0"/>
          <w:i w:val="0"/>
          <w:sz w:val="22"/>
        </w:rPr>
        <w:t>Exercise 9.3 — Project Sentinel: The MRC Paper  [Synthesis / Stretch]</w:t>
      </w:r>
    </w:p>
    <w:p>
      <w:pPr>
        <w:spacing w:lineRule="auto" w:line="264" w:before="160" w:after="40"/>
        <w:ind w:firstLine="0"/>
      </w:pPr>
      <w:r>
        <w:rPr>
          <w:rFonts w:ascii="Times New Roman" w:hAnsi="Times New Roman"/>
          <w:b/>
          <w:i w:val="0"/>
          <w:sz w:val="22"/>
        </w:rPr>
        <w:t>Chapter 10</w:t>
      </w:r>
    </w:p>
    <w:p>
      <w:pPr>
        <w:spacing w:lineRule="auto" w:line="264" w:before="20" w:after="40"/>
        <w:ind w:left="283" w:firstLine="0"/>
      </w:pPr>
      <w:r>
        <w:rPr>
          <w:rFonts w:ascii="Times New Roman" w:hAnsi="Times New Roman"/>
          <w:b w:val="0"/>
          <w:i w:val="0"/>
          <w:sz w:val="22"/>
        </w:rPr>
        <w:t>Exercise 10.1 — Redesigning the Northgate Scenario for Crypto Money Mules  [Advanced]</w:t>
      </w:r>
    </w:p>
    <w:p>
      <w:pPr>
        <w:spacing w:lineRule="auto" w:line="264" w:before="20" w:after="40"/>
        <w:ind w:left="283" w:firstLine="0"/>
      </w:pPr>
      <w:r>
        <w:rPr>
          <w:rFonts w:ascii="Times New Roman" w:hAnsi="Times New Roman"/>
          <w:b w:val="0"/>
          <w:i w:val="0"/>
          <w:sz w:val="22"/>
        </w:rPr>
        <w:t>Exercise 10.2 — Meridian Trading Ltd: The Full Network in One Graph  [Applied]</w:t>
      </w:r>
    </w:p>
    <w:p>
      <w:pPr>
        <w:spacing w:lineRule="auto" w:line="264" w:before="20" w:after="40"/>
        <w:ind w:left="283" w:firstLine="0"/>
      </w:pPr>
      <w:r>
        <w:rPr>
          <w:rFonts w:ascii="Times New Roman" w:hAnsi="Times New Roman"/>
          <w:b w:val="0"/>
          <w:i w:val="0"/>
          <w:sz w:val="22"/>
        </w:rPr>
        <w:t>Exercise 10.3 — Project Sentinel: The Capstone Synthesis  [Synthesis / Stretch — This is the book's final exercise]</w:t>
      </w:r>
    </w:p>
    <w:p>
      <w:r>
        <w:br w:type="page"/>
      </w:r>
    </w:p>
    <w:p>
      <w:pPr>
        <w:pStyle w:val="Heading1"/>
      </w:pPr>
      <w:r>
        <w:rPr>
          <w:rFonts w:ascii="Times New Roman" w:hAnsi="Times New Roman"/>
        </w:rPr>
        <w:t>Preface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P.1  </w:t>
            </w:r>
            <w:r>
              <w:rPr>
                <w:rFonts w:ascii="Times New Roman" w:hAnsi="Times New Roman"/>
                <w:b/>
                <w:i/>
                <w:sz w:val="22"/>
              </w:rPr>
              <w:t>Disclaimer</w:t>
            </w:r>
          </w:p>
          <w:p>
            <w:pPr>
              <w:spacing w:lineRule="auto" w:line="312" w:before="20" w:after="40"/>
              <w:ind w:left="113"/>
            </w:pPr>
            <w:r>
              <w:rPr>
                <w:rFonts w:ascii="Times New Roman" w:hAnsi="Times New Roman"/>
                <w:b w:val="0"/>
                <w:i w:val="0"/>
                <w:sz w:val="22"/>
              </w:rPr>
              <w:t>All company names, institutions, case studies, scenarios, enforcement actions, and fictional entities used in this book are entirely fictional and created solely for educational purposes. This includes all banks, trading companies, regulatory notices, investigation programmes, and any other named organisations or entities appearing in examples and exercises. Any resemblance to real institutions, companies, regulatory actions, or other real-world entities — whether by name, description, or circumstance — is entirely coincidental and unintentional. Where real regulatory frameworks, published typologies, or actual enforcement actions are cited as reference material, these are explicitly identified as such with full attribution.</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AML analytics profession has a problem that no one talks about openly: the gap between what universities teach and what banks actually need.</w:t>
      </w:r>
    </w:p>
    <w:p>
      <w:pPr>
        <w:pStyle w:val="BodyText"/>
        <w:spacing w:lineRule="auto" w:line="360" w:before="0" w:after="120"/>
        <w:ind w:firstLine="283"/>
      </w:pPr>
      <w:r>
        <w:rPr>
          <w:rFonts w:ascii="Times New Roman" w:hAnsi="Times New Roman"/>
          <w:b w:val="0"/>
          <w:i w:val="0"/>
          <w:sz w:val="24"/>
        </w:rPr>
        <w:t>Students graduate with solid foundations in statistics, machine learning, and computer science. They can code. They can cluster. They can validate models. What they often cannot do is apply those skills in a risk-based, regulated business environment where the cost of getting it wrong is not a bad grade but a billion-dollar fine or a criminal referral.</w:t>
      </w:r>
    </w:p>
    <w:p>
      <w:pPr>
        <w:pStyle w:val="BodyText"/>
        <w:spacing w:lineRule="auto" w:line="360" w:before="0" w:after="120"/>
        <w:ind w:firstLine="283"/>
      </w:pPr>
      <w:r>
        <w:rPr>
          <w:rFonts w:ascii="Times New Roman" w:hAnsi="Times New Roman"/>
          <w:b w:val="0"/>
          <w:i w:val="0"/>
          <w:sz w:val="24"/>
        </w:rPr>
        <w:t>This book exists to close that gap.</w:t>
      </w:r>
    </w:p>
    <w:p>
      <w:pPr>
        <w:pStyle w:val="BodyText"/>
        <w:spacing w:lineRule="auto" w:line="360" w:before="0" w:after="120"/>
        <w:ind w:firstLine="283"/>
      </w:pPr>
      <w:r>
        <w:rPr>
          <w:rFonts w:ascii="Times New Roman" w:hAnsi="Times New Roman"/>
          <w:b w:val="0"/>
          <w:i w:val="0"/>
          <w:sz w:val="24"/>
        </w:rPr>
        <w:t>It grew out of my own experience — first as a PhD researcher, then as a practitioner building and leading AML analytics teams at HSBC and elsewhere — of watching capable analysts make avoidable mistakes not because they lacked technical skill, but because nobody had ever explained the business context behind the techniques they were using. They knew how K-Means worked. They did not know why peer group segmentation matters to a regulator, or what happens to an alert investigation if the segmentation is wrong.</w:t>
      </w:r>
    </w:p>
    <w:p>
      <w:pPr>
        <w:pStyle w:val="BodyText"/>
        <w:spacing w:lineRule="auto" w:line="360" w:before="0" w:after="120"/>
        <w:ind w:firstLine="283"/>
      </w:pPr>
      <w:r>
        <w:rPr>
          <w:rFonts w:ascii="Times New Roman" w:hAnsi="Times New Roman"/>
          <w:b w:val="0"/>
          <w:i w:val="0"/>
          <w:sz w:val="24"/>
        </w:rPr>
        <w:t>Every chapter in this book connects a technical concept to a business risk. Every exercise asks you to make a decision, not just execute a calculation. Every example is drawn from the real world of transaction monitoring — messy, regulated, and consequential.</w:t>
      </w:r>
    </w:p>
    <w:p>
      <w:pPr>
        <w:pStyle w:val="Heading2"/>
      </w:pPr>
      <w:r>
        <w:rPr>
          <w:rFonts w:ascii="Times New Roman" w:hAnsi="Times New Roman"/>
        </w:rPr>
        <w:t>The Central Thread: A Money-Mule Structuring Case</w:t>
      </w:r>
    </w:p>
    <w:p>
      <w:pPr>
        <w:pStyle w:val="BodyText"/>
        <w:spacing w:lineRule="auto" w:line="360" w:before="0" w:after="120"/>
        <w:ind w:firstLine="283"/>
      </w:pPr>
      <w:r>
        <w:rPr>
          <w:rFonts w:ascii="Times New Roman" w:hAnsi="Times New Roman"/>
          <w:b w:val="0"/>
          <w:i w:val="0"/>
          <w:sz w:val="24"/>
        </w:rPr>
        <w:t>To make that connection concrete, this book uses a single running case study throughout. Chapter 1 introduces it for the first time. From Chapter 4 onwards, we apply each major analytical technique to it progressively, building a complete picture of the analytics lifecycle.</w:t>
      </w:r>
    </w:p>
    <w:p>
      <w:pPr>
        <w:pStyle w:val="BodyText"/>
        <w:spacing w:lineRule="auto" w:line="360" w:before="0" w:after="120"/>
        <w:ind w:firstLine="283"/>
      </w:pPr>
      <w:r>
        <w:rPr>
          <w:rFonts w:ascii="Times New Roman" w:hAnsi="Times New Roman"/>
          <w:b w:val="0"/>
          <w:i w:val="0"/>
          <w:sz w:val="24"/>
        </w:rPr>
        <w:t>The scenario involves a money-mule network operating through a mid-sized retail bank. The mules conduct structuring: they break large cash deposits into smaller amounts, each below the reporting threshold, to avoid triggering automatic alerts. It is one of the oldest and most common money-laundering techniques, and it is a rich vehicle for teaching because it touches every part of the transaction monitoring lifecycle — rule design, segmentation, threshold calibration, coverage assessment, machine learning triage, and model validation.</w:t>
      </w:r>
    </w:p>
    <w:p>
      <w:pPr>
        <w:pStyle w:val="BodyText"/>
        <w:spacing w:lineRule="auto" w:line="360" w:before="0" w:after="120"/>
        <w:ind w:firstLine="283"/>
      </w:pPr>
      <w:r>
        <w:rPr>
          <w:rFonts w:ascii="Times New Roman" w:hAnsi="Times New Roman"/>
          <w:b w:val="0"/>
          <w:i w:val="0"/>
          <w:sz w:val="24"/>
        </w:rPr>
        <w:t>By the time you finish Chapter 9, you will have built, tested, tuned, assessed, and validated a detection model for this scenario. Not in a vacuum, but in context — understanding at each step what risk you are managing, what could go wrong, and what the regulator expects to see.</w:t>
      </w:r>
    </w:p>
    <w:p>
      <w:pPr>
        <w:pStyle w:val="Heading2"/>
      </w:pPr>
      <w:r>
        <w:rPr>
          <w:rFonts w:ascii="Times New Roman" w:hAnsi="Times New Roman"/>
        </w:rPr>
        <w:t>Who This Book Is For</w:t>
      </w:r>
    </w:p>
    <w:p>
      <w:pPr>
        <w:pStyle w:val="BodyText"/>
        <w:spacing w:lineRule="auto" w:line="360" w:before="0" w:after="120"/>
        <w:ind w:firstLine="283"/>
      </w:pPr>
      <w:r>
        <w:rPr>
          <w:rFonts w:ascii="Times New Roman" w:hAnsi="Times New Roman"/>
          <w:b w:val="0"/>
          <w:i w:val="0"/>
          <w:sz w:val="24"/>
        </w:rPr>
        <w:t>This book is written for two overlapping groups.</w:t>
      </w:r>
    </w:p>
    <w:p>
      <w:pPr>
        <w:pStyle w:val="BodyText"/>
        <w:spacing w:lineRule="auto" w:line="360" w:before="0" w:after="120"/>
        <w:ind w:firstLine="283"/>
      </w:pPr>
      <w:r>
        <w:rPr>
          <w:rFonts w:ascii="Times New Roman" w:hAnsi="Times New Roman"/>
          <w:b w:val="0"/>
          <w:i w:val="0"/>
          <w:sz w:val="24"/>
        </w:rPr>
        <w:t>The first is students — particularly those studying mathematics, statistics, data science, or computer science — who are entering or considering a career in AML analytics. You will find that much of the technical content is familiar. What this book adds is the business logic: why these tools are used, under what constraints, and with what consequences.</w:t>
      </w:r>
    </w:p>
    <w:p>
      <w:pPr>
        <w:pStyle w:val="BodyText"/>
        <w:spacing w:lineRule="auto" w:line="360" w:before="0" w:after="120"/>
        <w:ind w:firstLine="283"/>
      </w:pPr>
      <w:r>
        <w:rPr>
          <w:rFonts w:ascii="Times New Roman" w:hAnsi="Times New Roman"/>
          <w:b w:val="0"/>
          <w:i w:val="0"/>
          <w:sz w:val="24"/>
        </w:rPr>
        <w:t>The second is early-career AML professionals who have arrived in a transaction monitoring team and need to understand the analytical dimension of the work. You may not have a deep technical background, but you understand the compliance side. This book will give you enough analytical grounding to work effectively with your data science colleagues and to ask the right questions.</w:t>
      </w:r>
    </w:p>
    <w:p>
      <w:pPr>
        <w:pStyle w:val="Heading2"/>
      </w:pPr>
      <w:r>
        <w:rPr>
          <w:rFonts w:ascii="Times New Roman" w:hAnsi="Times New Roman"/>
        </w:rPr>
        <w:t>How to Use This Book</w:t>
      </w:r>
    </w:p>
    <w:p>
      <w:pPr>
        <w:pStyle w:val="BodyText"/>
        <w:spacing w:lineRule="auto" w:line="360" w:before="0" w:after="120"/>
        <w:ind w:firstLine="283"/>
      </w:pPr>
      <w:r>
        <w:rPr>
          <w:rFonts w:ascii="Times New Roman" w:hAnsi="Times New Roman"/>
          <w:b w:val="0"/>
          <w:i w:val="0"/>
          <w:sz w:val="24"/>
        </w:rPr>
        <w:t>Chapters 1 and 2 establish the regulatory and operational context. If you already know AML well, you may move through these quickly. If you are new, take time with them — the rest of the book assumes you understand why banks monitor transactions.</w:t>
      </w:r>
    </w:p>
    <w:p>
      <w:pPr>
        <w:pStyle w:val="BodyText"/>
        <w:spacing w:lineRule="auto" w:line="360" w:before="0" w:after="120"/>
        <w:ind w:firstLine="283"/>
      </w:pPr>
      <w:r>
        <w:rPr>
          <w:rFonts w:ascii="Times New Roman" w:hAnsi="Times New Roman"/>
          <w:b w:val="0"/>
          <w:i w:val="0"/>
          <w:sz w:val="24"/>
        </w:rPr>
        <w:t>Chapters 3 and 4 introduce the transaction monitoring lifecycle and the framework for scenario design. These are the conceptual foundation for everything that follows.</w:t>
      </w:r>
    </w:p>
    <w:p>
      <w:pPr>
        <w:pStyle w:val="BodyText"/>
        <w:spacing w:lineRule="auto" w:line="360" w:before="0" w:after="120"/>
        <w:ind w:firstLine="283"/>
      </w:pPr>
      <w:r>
        <w:rPr>
          <w:rFonts w:ascii="Times New Roman" w:hAnsi="Times New Roman"/>
          <w:b w:val="0"/>
          <w:i w:val="0"/>
          <w:sz w:val="24"/>
        </w:rPr>
        <w:t>Chapters 5 through 9 are the analytical core. Each chapter introduces a major technique, grounds it in the running case study, and builds on what came before. Do not skip chapters — the exercises are cumulative.</w:t>
      </w:r>
    </w:p>
    <w:p>
      <w:pPr>
        <w:pStyle w:val="BodyText"/>
        <w:spacing w:lineRule="auto" w:line="360" w:before="0" w:after="120"/>
        <w:ind w:firstLine="283"/>
      </w:pPr>
      <w:r>
        <w:rPr>
          <w:rFonts w:ascii="Times New Roman" w:hAnsi="Times New Roman"/>
          <w:b w:val="0"/>
          <w:i w:val="0"/>
          <w:sz w:val="24"/>
        </w:rPr>
        <w:t>Chapter 10 looks forward. The industry is changing rapidly; this chapter prepares you to keep pace.</w:t>
      </w:r>
    </w:p>
    <w:p>
      <w:pPr>
        <w:pStyle w:val="BodyText"/>
        <w:spacing w:lineRule="auto" w:line="360" w:before="0" w:after="120"/>
        <w:ind w:firstLine="283"/>
      </w:pPr>
      <w:r>
        <w:rPr>
          <w:rFonts w:ascii="Times New Roman" w:hAnsi="Times New Roman"/>
          <w:b w:val="0"/>
          <w:i w:val="0"/>
          <w:sz w:val="24"/>
        </w:rPr>
        <w:t>The appendix contains a complete vocabulary. When you encounter a term in bold, its canonical definition is there.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P.2  </w:t>
            </w:r>
            <w:r>
              <w:rPr>
                <w:rFonts w:ascii="Times New Roman" w:hAnsi="Times New Roman"/>
                <w:b/>
                <w:i/>
                <w:sz w:val="22"/>
              </w:rPr>
              <w:t>A Note on the Exercises — Three Running Cases</w:t>
            </w:r>
          </w:p>
          <w:p>
            <w:pPr>
              <w:spacing w:lineRule="auto" w:line="312" w:before="20" w:after="40"/>
              <w:ind w:left="113"/>
            </w:pPr>
            <w:r>
              <w:rPr>
                <w:rFonts w:ascii="Times New Roman" w:hAnsi="Times New Roman"/>
                <w:b w:val="0"/>
                <w:i w:val="0"/>
                <w:sz w:val="22"/>
              </w:rPr>
              <w:t>Each chapter contains at least one exercise built around three interconnected running case studies, all set at Northgate Retail Bank. Working through them in order is the equivalent of conducting a real investigation — from the first alert to the final regulatory submission.</w:t>
            </w:r>
          </w:p>
          <w:p>
            <w:pPr>
              <w:spacing w:lineRule="auto" w:line="312" w:before="20" w:after="40"/>
              <w:ind w:left="113"/>
            </w:pPr>
            <w:r>
              <w:rPr>
                <w:rFonts w:ascii="Times New Roman" w:hAnsi="Times New Roman"/>
                <w:b w:val="0"/>
                <w:i w:val="0"/>
                <w:sz w:val="22"/>
              </w:rPr>
              <w:t>Case A — The Northgate Mule Network. Six personal current accounts conducting cash structuring (NRB-STRUCT-001). This is the primary running case. Every chapter applies its core technique to Northgate first. The data, the rule, the model, and the validation all grow out of what you build here.</w:t>
            </w:r>
          </w:p>
          <w:p>
            <w:pPr>
              <w:spacing w:lineRule="auto" w:line="312" w:before="20" w:after="40"/>
              <w:ind w:left="113"/>
            </w:pPr>
            <w:r>
              <w:rPr>
                <w:rFonts w:ascii="Times New Roman" w:hAnsi="Times New Roman"/>
                <w:b w:val="0"/>
                <w:i w:val="0"/>
                <w:sz w:val="22"/>
              </w:rPr>
              <w:t>Case B — Meridian Trading Ltd. A US import/export business whose principals are connected to the Northgate mule accounts. Meridian introduces commercial data complexity, trade-based money laundering, and entity resolution challenges. From Chapter 2 onwards, each chapter contains a dedicated Meridian exercise (marked [Applied]) that runs alongside the core Northgate exercise. The Northgate exercise should always be completed first. Meridian's data is more complex and the typology is different — commercial trade-based money laundering rather than retail cash structuring — so the analytical approach must be genuinely rethought for each chapter, not simply carried over from the Northgate solution.</w:t>
            </w:r>
          </w:p>
          <w:p>
            <w:pPr>
              <w:spacing w:lineRule="auto" w:line="312" w:before="20" w:after="40"/>
              <w:ind w:left="113"/>
            </w:pPr>
            <w:r>
              <w:rPr>
                <w:rFonts w:ascii="Times New Roman" w:hAnsi="Times New Roman"/>
                <w:b w:val="0"/>
                <w:i w:val="0"/>
                <w:sz w:val="22"/>
              </w:rPr>
              <w:t>Case C — Project Sentinel. The bank's internal TMS programme, staffed by a data scientist, a 1st Line compliance officer, a 2nd Line model risk manager, and a 3rd Line auditor. Project Sentinel appears in the harder stretch exercises and in Chapter 9's model validation. It is where the investigation becomes a governance problem. Solutions are available in the Instructor's Solutions Manual.</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Haibo Zhang</w:t>
      </w:r>
    </w:p>
    <w:p>
      <w:pPr>
        <w:pStyle w:val="BodyText"/>
        <w:spacing w:lineRule="auto" w:line="360" w:before="0" w:after="120"/>
        <w:ind w:firstLine="283"/>
      </w:pPr>
      <w:r>
        <w:rPr>
          <w:rFonts w:ascii="Times New Roman" w:hAnsi="Times New Roman"/>
          <w:b w:val="0"/>
          <w:i w:val="0"/>
          <w:sz w:val="24"/>
        </w:rPr>
        <w:t>London, 2026</w:t>
      </w:r>
    </w:p>
    <w:p>
      <w:r>
        <w:br w:type="page"/>
      </w:r>
    </w:p>
    <w:p>
      <w:pPr>
        <w:pStyle w:val="Heading1"/>
      </w:pPr>
      <w:r>
        <w:rPr>
          <w:rFonts w:ascii="Times New Roman" w:hAnsi="Times New Roman"/>
        </w:rPr>
        <w:t>Chapter 1: Introduction to Anti-Money Laundering</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This chapter establishes the conceptual foundation for the rest of the book. We begin with the economic and social costs of money laundering and introduce the three-stage placement–layering–integration model. We examine how financial institutions fit into the broader AML ecosystem — acting as regulated gatekeepers rather than law enforcement. The chapter explains why transaction monitoring exists and what it is designed to achieve, and introduces the analytical mindset that characterises effective compliance analytics practice.</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Anti-money laundering · Financial crime · Transaction monitoring · Placement layering integration · Compliance analytics · SAR filing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1.1  </w:t>
            </w:r>
            <w:r>
              <w:rPr>
                <w:rFonts w:ascii="Times New Roman" w:hAnsi="Times New Roman"/>
                <w:b/>
                <w:i/>
                <w:sz w:val="22"/>
              </w:rPr>
              <w:t>A Story in Three Parts — FCA Final Notice Summary (Fictional)</w:t>
            </w:r>
          </w:p>
          <w:p>
            <w:pPr>
              <w:spacing w:lineRule="auto" w:line="312" w:before="20" w:after="40"/>
              <w:ind w:left="113"/>
            </w:pPr>
            <w:r>
              <w:rPr>
                <w:rFonts w:ascii="Times New Roman" w:hAnsi="Times New Roman"/>
                <w:b w:val="0"/>
                <w:i w:val="0"/>
                <w:sz w:val="22"/>
              </w:rPr>
              <w:t>FINAL NOTICE — NRB BANK PLC</w:t>
            </w:r>
          </w:p>
          <w:p>
            <w:pPr>
              <w:spacing w:lineRule="auto" w:line="312" w:before="20" w:after="40"/>
              <w:ind w:left="113"/>
            </w:pPr>
            <w:r>
              <w:rPr>
                <w:rFonts w:ascii="Times New Roman" w:hAnsi="Times New Roman"/>
                <w:b w:val="0"/>
                <w:i w:val="0"/>
                <w:sz w:val="22"/>
              </w:rPr>
              <w:t>The Financial Conduct Authority (FCA) has issued this Final Notice to NRB Bank Plc ('the Firm') in respect of serious failings in its anti-money laundering controls between January 2018 and December 2022.</w:t>
            </w:r>
          </w:p>
          <w:p>
            <w:pPr>
              <w:spacing w:lineRule="auto" w:line="312" w:before="20" w:after="40"/>
              <w:ind w:left="113"/>
            </w:pPr>
            <w:r>
              <w:rPr>
                <w:rFonts w:ascii="Times New Roman" w:hAnsi="Times New Roman"/>
                <w:b w:val="0"/>
                <w:i w:val="0"/>
                <w:sz w:val="22"/>
              </w:rPr>
              <w:t>During the Review Period, the Firm's transaction monitoring system failed to detect or adequately investigate a cash structuring network operating through six personal current accounts ('the Northgate Accounts'). The Northgate Accounts received aggregate cash deposits of approximately USD 2.95 million over 18 months. Each deposit was individually below the USD 10,000 reporting reference point. The funds were subsequently transferred in near-total to a corporate account held by Meridian Trading Ltd, a UK-registered import/export company.</w:t>
            </w:r>
          </w:p>
          <w:p>
            <w:pPr>
              <w:spacing w:lineRule="auto" w:line="312" w:before="20" w:after="40"/>
              <w:ind w:left="113"/>
            </w:pPr>
            <w:r>
              <w:rPr>
                <w:rFonts w:ascii="Times New Roman" w:hAnsi="Times New Roman"/>
                <w:b w:val="0"/>
                <w:i w:val="0"/>
                <w:sz w:val="22"/>
              </w:rPr>
              <w:t>The FCA found that: (i) the Firm's segmentation model placed the Northgate Accounts in a monitoring tier with a threshold set above the accounts' aggregate monthly cash-in, meaning the structuring rule did not fire; (ii) the Firm's commercial account monitoring did not include invoice-level analysis of Meridian's incoming wire payments; and (iii) no cross-account link analysis was performed to identify the common beneficiary relationship between the Northgate Accounts and Meridian Trading Ltd.</w:t>
            </w:r>
          </w:p>
          <w:p>
            <w:pPr>
              <w:spacing w:lineRule="auto" w:line="312" w:before="20" w:after="40"/>
              <w:ind w:left="113"/>
            </w:pPr>
            <w:r>
              <w:rPr>
                <w:rFonts w:ascii="Times New Roman" w:hAnsi="Times New Roman"/>
                <w:b w:val="0"/>
                <w:i w:val="0"/>
                <w:sz w:val="22"/>
              </w:rPr>
              <w:t>The FCA imposed a financial penalty of £38 million and required the Firm to undertake a Skilled Person Review of its Transaction Monitoring Framework. By the end of this book, you will be able to explain exactly how this happened — and exactly what a well-designed TMS would have needed to prevent it.</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1.2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Explain the three stages of money laundering and identify which stage a given transaction pattern belongs to.</w:t>
            </w:r>
          </w:p>
          <w:p>
            <w:pPr>
              <w:spacing w:lineRule="auto" w:line="312" w:before="20" w:after="40"/>
              <w:ind w:left="113"/>
            </w:pPr>
            <w:r>
              <w:rPr>
                <w:rFonts w:ascii="Times New Roman" w:hAnsi="Times New Roman"/>
                <w:b w:val="0"/>
                <w:i w:val="0"/>
                <w:sz w:val="22"/>
              </w:rPr>
              <w:t>Describe the obligations banks face under AML law and the consequences of non-compliance.</w:t>
            </w:r>
          </w:p>
          <w:p>
            <w:pPr>
              <w:spacing w:lineRule="auto" w:line="312" w:before="20" w:after="40"/>
              <w:ind w:left="113"/>
            </w:pPr>
            <w:r>
              <w:rPr>
                <w:rFonts w:ascii="Times New Roman" w:hAnsi="Times New Roman"/>
                <w:b w:val="0"/>
                <w:i w:val="0"/>
                <w:sz w:val="22"/>
              </w:rPr>
              <w:t>Place transaction monitoring within the broader AML control framework and explain its role.</w:t>
            </w:r>
          </w:p>
          <w:p>
            <w:pPr>
              <w:spacing w:lineRule="auto" w:line="312" w:before="20" w:after="40"/>
              <w:ind w:left="113"/>
            </w:pPr>
            <w:r>
              <w:rPr>
                <w:rFonts w:ascii="Times New Roman" w:hAnsi="Times New Roman"/>
                <w:b w:val="0"/>
                <w:i w:val="0"/>
                <w:sz w:val="22"/>
              </w:rPr>
              <w:t>Recognise the early signs of money-mule structuring in a transaction record.</w:t>
            </w:r>
          </w:p>
        </w:tc>
      </w:tr>
    </w:tbl>
    <w:p>
      <w:pPr>
        <w:spacing w:lineRule="auto" w:line="240" w:before="0" w:after="160"/>
      </w:pPr>
    </w:p>
    <w:p>
      <w:pPr>
        <w:pStyle w:val="Heading2"/>
      </w:pPr>
      <w:r>
        <w:rPr>
          <w:rFonts w:ascii="Times New Roman" w:hAnsi="Times New Roman"/>
        </w:rPr>
        <w:t>1.1 Business Context: Why Banks Are on the Front Line</w:t>
      </w:r>
    </w:p>
    <w:p>
      <w:pPr>
        <w:pStyle w:val="BodyText"/>
        <w:spacing w:lineRule="auto" w:line="360" w:before="0" w:after="120"/>
        <w:ind w:firstLine="283"/>
      </w:pPr>
      <w:r>
        <w:rPr>
          <w:rFonts w:ascii="Times New Roman" w:hAnsi="Times New Roman"/>
          <w:b w:val="0"/>
          <w:i w:val="0"/>
          <w:sz w:val="24"/>
        </w:rPr>
        <w:t>Money laundering is not a victimless crime. It enables drug trafficking, fraud, tax evasion, terrorism, and human exploitation. It corrupts financial systems and distorts economies. When a bank fails to detect it, the consequences extend far beyond a regulatory fine.</w:t>
      </w:r>
    </w:p>
    <w:p>
      <w:pPr>
        <w:pStyle w:val="BodyText"/>
        <w:spacing w:lineRule="auto" w:line="360" w:before="0" w:after="120"/>
        <w:ind w:firstLine="283"/>
      </w:pPr>
      <w:r>
        <w:rPr>
          <w:rFonts w:ascii="Times New Roman" w:hAnsi="Times New Roman"/>
          <w:b w:val="0"/>
          <w:i w:val="0"/>
          <w:sz w:val="24"/>
        </w:rPr>
        <w:t>Banks sit at the centre of the financial system, and that makes them both the primary vehicle for money laundering and the primary line of defence against it. Governments across the world have responded by imposing legal obligations on banks: they must know their customers, monitor their transactions, and report suspicious activity. Failure to do so carries severe penalties — financial, reputational, and criminal.</w:t>
      </w:r>
    </w:p>
    <w:p>
      <w:pPr>
        <w:pStyle w:val="BodyText"/>
        <w:spacing w:lineRule="auto" w:line="360" w:before="0" w:after="120"/>
        <w:ind w:firstLine="283"/>
      </w:pPr>
      <w:r>
        <w:rPr>
          <w:rFonts w:ascii="Times New Roman" w:hAnsi="Times New Roman"/>
          <w:b w:val="0"/>
          <w:i w:val="0"/>
          <w:sz w:val="24"/>
        </w:rPr>
        <w:t>This chapter gives you the foundation you need before we look at how transaction monitoring actually works. You cannot design a good detection scenario if you do not understand what you are detecting — and why the stakes are so high.</w:t>
      </w:r>
    </w:p>
    <w:p>
      <w:pPr>
        <w:pStyle w:val="Heading2"/>
      </w:pPr>
      <w:r>
        <w:rPr>
          <w:rFonts w:ascii="Times New Roman" w:hAnsi="Times New Roman"/>
        </w:rPr>
        <w:t>1.2 What Is Money Laundering?</w:t>
      </w:r>
    </w:p>
    <w:p>
      <w:pPr>
        <w:pStyle w:val="BodyText"/>
        <w:spacing w:lineRule="auto" w:line="360" w:before="0" w:after="120"/>
        <w:ind w:firstLine="283"/>
      </w:pPr>
      <w:r>
        <w:rPr>
          <w:rFonts w:ascii="Times New Roman" w:hAnsi="Times New Roman"/>
          <w:b w:val="0"/>
          <w:i w:val="0"/>
          <w:sz w:val="24"/>
        </w:rPr>
        <w:t>Money laundering is the process of making illegally obtained funds appear legitimate. The term is popularly attributed to the practice of mixing dirty cash with the clean revenue of laundromats — businesses with high cash turnover and low scrutiny. The principle is the same today, though the methods are considerably more sophisticated.</w:t>
      </w:r>
    </w:p>
    <w:p>
      <w:pPr>
        <w:pStyle w:val="BodyText"/>
        <w:spacing w:lineRule="auto" w:line="360" w:before="0" w:after="120"/>
        <w:ind w:firstLine="283"/>
      </w:pPr>
      <w:r>
        <w:rPr>
          <w:rFonts w:ascii="Times New Roman" w:hAnsi="Times New Roman"/>
          <w:b w:val="0"/>
          <w:i w:val="0"/>
          <w:sz w:val="24"/>
        </w:rPr>
        <w:t>The Financial Action Task Force (FATF) — the international standard-setting body for AML — defines money laundering as the processing of criminal proceeds to disguise their illegal origin. In practice, it almost always involves three stages.</w:t>
      </w:r>
    </w:p>
    <w:p>
      <w:pPr>
        <w:pStyle w:val="Heading3"/>
      </w:pPr>
      <w:r>
        <w:rPr>
          <w:rFonts w:ascii="Times New Roman" w:hAnsi="Times New Roman"/>
        </w:rPr>
        <w:t>1.2.1 The Three Stages of Money Laundering</w:t>
      </w:r>
    </w:p>
    <w:p>
      <w:pPr>
        <w:spacing w:lineRule="auto" w:line="240" w:before="60" w:after="120"/>
        <w:ind w:firstLine="0"/>
        <w:jc w:val="left"/>
      </w:pPr>
      <w:r>
        <w:rPr>
          <w:rFonts w:ascii="Times New Roman" w:hAnsi="Times New Roman"/>
          <w:b w:val="0"/>
          <w:i/>
          <w:sz w:val="20"/>
        </w:rPr>
        <w:t>Table 1.1  Stage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4536"/>
        <w:gridCol w:w="4536"/>
      </w:tblGrid>
      <w:tr>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Stage</w:t>
            </w:r>
          </w:p>
        </w:tc>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r>
      <w:tr>
        <w:tc>
          <w:tcPr>
            <w:tcW w:w="4536" w:type="dxa"/>
          </w:tcPr>
          <w:p>
            <w:pPr>
              <w:spacing w:lineRule="auto" w:line="288" w:before="60" w:after="60"/>
              <w:ind w:left="57" w:right="57"/>
            </w:pPr>
            <w:r>
              <w:rPr>
                <w:rFonts w:ascii="Times New Roman" w:hAnsi="Times New Roman"/>
                <w:b w:val="0"/>
                <w:i w:val="0"/>
                <w:sz w:val="20"/>
              </w:rPr>
              <w:t>Placement</w:t>
            </w:r>
          </w:p>
        </w:tc>
        <w:tc>
          <w:tcPr>
            <w:tcW w:w="4536" w:type="dxa"/>
          </w:tcPr>
          <w:p>
            <w:pPr>
              <w:spacing w:lineRule="auto" w:line="288" w:before="60" w:after="60"/>
              <w:ind w:left="57" w:right="57"/>
            </w:pPr>
            <w:r>
              <w:rPr>
                <w:rFonts w:ascii="Times New Roman" w:hAnsi="Times New Roman"/>
                <w:b w:val="0"/>
                <w:i w:val="0"/>
                <w:sz w:val="20"/>
              </w:rPr>
              <w:t>The criminal introduces illegal funds into the financial system. This is the riskiest stage for the launderer — cash is bulky and conspicuous. Common methods include smurfing (using multiple individuals to split deposits across accounts or transactions to avoid reporting thresholds), cash-intensive businesses, and currency exchange. Banks' cash transaction reporting requirements are specifically designed to catch this stage. This three-stage model applies to traditional banking. We revisit its limitations in the context of blockchain and decentralised finance in Chapter 10.</w:t>
            </w:r>
          </w:p>
        </w:tc>
      </w:tr>
      <w:tr>
        <w:tc>
          <w:tcPr>
            <w:tcW w:w="4536" w:type="dxa"/>
          </w:tcPr>
          <w:p>
            <w:pPr>
              <w:spacing w:lineRule="auto" w:line="288" w:before="60" w:after="60"/>
              <w:ind w:left="57" w:right="57"/>
            </w:pPr>
            <w:r>
              <w:rPr>
                <w:rFonts w:ascii="Times New Roman" w:hAnsi="Times New Roman"/>
                <w:b w:val="0"/>
                <w:i w:val="0"/>
                <w:sz w:val="20"/>
              </w:rPr>
              <w:t>Layering</w:t>
            </w:r>
          </w:p>
        </w:tc>
        <w:tc>
          <w:tcPr>
            <w:tcW w:w="4536" w:type="dxa"/>
          </w:tcPr>
          <w:p>
            <w:pPr>
              <w:spacing w:lineRule="auto" w:line="288" w:before="60" w:after="60"/>
              <w:ind w:left="57" w:right="57"/>
            </w:pPr>
            <w:r>
              <w:rPr>
                <w:rFonts w:ascii="Times New Roman" w:hAnsi="Times New Roman"/>
                <w:b w:val="0"/>
                <w:i w:val="0"/>
                <w:sz w:val="20"/>
              </w:rPr>
              <w:t>The funds are moved through a series of transactions to obscure their origin. Wire transfers, shell companies, cryptocurrency exchanges, and real estate purchases are all used here. The goal is to create a complex audit trail that investigators will struggle to follow. This is the stage where transaction monitoring is most relevant.</w:t>
            </w:r>
          </w:p>
        </w:tc>
      </w:tr>
      <w:tr>
        <w:tc>
          <w:tcPr>
            <w:tcW w:w="4536" w:type="dxa"/>
          </w:tcPr>
          <w:p>
            <w:pPr>
              <w:spacing w:lineRule="auto" w:line="288" w:before="60" w:after="60"/>
              <w:ind w:left="57" w:right="57"/>
            </w:pPr>
            <w:r>
              <w:rPr>
                <w:rFonts w:ascii="Times New Roman" w:hAnsi="Times New Roman"/>
                <w:b w:val="0"/>
                <w:i w:val="0"/>
                <w:sz w:val="20"/>
              </w:rPr>
              <w:t>Integration</w:t>
            </w:r>
          </w:p>
        </w:tc>
        <w:tc>
          <w:tcPr>
            <w:tcW w:w="4536" w:type="dxa"/>
          </w:tcPr>
          <w:p>
            <w:pPr>
              <w:spacing w:lineRule="auto" w:line="288" w:before="60" w:after="60"/>
              <w:ind w:left="57" w:right="57"/>
            </w:pPr>
            <w:r>
              <w:rPr>
                <w:rFonts w:ascii="Times New Roman" w:hAnsi="Times New Roman"/>
                <w:b w:val="0"/>
                <w:i w:val="0"/>
                <w:sz w:val="20"/>
              </w:rPr>
              <w:t>The laundered funds re-enter the legitimate economy, appearing to be legal income. By this point, the money may have passed through multiple jurisdictions and financial instruments. Integration is the hardest stage to detect.</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Most AML transaction monitoring focuses on placement and layering, because these are the stages where banks can most readily observe suspicious behaviour. By integration, it is often too late.</w:t>
      </w:r>
    </w:p>
    <w:p>
      <w:pPr>
        <w:pStyle w:val="Heading2"/>
      </w:pPr>
      <w:r>
        <w:rPr>
          <w:rFonts w:ascii="Times New Roman" w:hAnsi="Times New Roman"/>
        </w:rPr>
        <w:t>1.3 Bank Obligations Under AML Law</w:t>
      </w:r>
    </w:p>
    <w:p>
      <w:pPr>
        <w:pStyle w:val="BodyText"/>
        <w:spacing w:lineRule="auto" w:line="360" w:before="0" w:after="120"/>
        <w:ind w:firstLine="283"/>
      </w:pPr>
      <w:r>
        <w:rPr>
          <w:rFonts w:ascii="Times New Roman" w:hAnsi="Times New Roman"/>
          <w:b w:val="0"/>
          <w:i w:val="0"/>
          <w:sz w:val="24"/>
        </w:rPr>
        <w:t>Banks are not expected to be law enforcement agencies. They are, however, required to deter, detect, and report. The regulatory framework — which we cover in detail in Chapter 2 — imposes four core obligations on financial institutions.</w:t>
      </w:r>
    </w:p>
    <w:p>
      <w:pPr>
        <w:pStyle w:val="Heading3"/>
      </w:pPr>
      <w:r>
        <w:rPr>
          <w:rFonts w:ascii="Times New Roman" w:hAnsi="Times New Roman"/>
        </w:rPr>
        <w:t>1.3.1 Know Your Customer (KYC)</w:t>
      </w:r>
    </w:p>
    <w:p>
      <w:pPr>
        <w:pStyle w:val="BodyText"/>
        <w:spacing w:lineRule="auto" w:line="360" w:before="0" w:after="120"/>
        <w:ind w:firstLine="283"/>
      </w:pPr>
      <w:r>
        <w:rPr>
          <w:rFonts w:ascii="Times New Roman" w:hAnsi="Times New Roman"/>
          <w:b w:val="0"/>
          <w:i w:val="0"/>
          <w:sz w:val="24"/>
        </w:rPr>
        <w:t>Before opening an account or entering a business relationship, a bank must verify who the customer is and understand the nature of their business. The industry calls this Customer Due Diligence (CDD). For higher-risk customers, Enhanced Due Diligence (EDD) applies — a more thorough investigation of the customer's source of funds, business relationships, and risk profile.</w:t>
      </w:r>
    </w:p>
    <w:p>
      <w:pPr>
        <w:pStyle w:val="BodyText"/>
        <w:spacing w:lineRule="auto" w:line="360" w:before="0" w:after="120"/>
        <w:ind w:firstLine="283"/>
      </w:pPr>
      <w:r>
        <w:rPr>
          <w:rFonts w:ascii="Times New Roman" w:hAnsi="Times New Roman"/>
          <w:b w:val="0"/>
          <w:i w:val="0"/>
          <w:sz w:val="24"/>
        </w:rPr>
        <w:t>KYC is not a one-time exercise. Banks must update their customer records when circumstances change and periodically review them on a risk-based schedule. We examine what 'risk-based' means in practice — and how the term is frequently misused — in Chapter 4.</w:t>
      </w:r>
    </w:p>
    <w:p>
      <w:pPr>
        <w:pStyle w:val="Heading3"/>
      </w:pPr>
      <w:r>
        <w:rPr>
          <w:rFonts w:ascii="Times New Roman" w:hAnsi="Times New Roman"/>
        </w:rPr>
        <w:t>1.3.2 Transaction Monitoring</w:t>
      </w:r>
    </w:p>
    <w:p>
      <w:pPr>
        <w:pStyle w:val="BodyText"/>
        <w:spacing w:lineRule="auto" w:line="360" w:before="0" w:after="120"/>
        <w:ind w:firstLine="283"/>
      </w:pPr>
      <w:r>
        <w:rPr>
          <w:rFonts w:ascii="Times New Roman" w:hAnsi="Times New Roman"/>
          <w:b w:val="0"/>
          <w:i w:val="0"/>
          <w:sz w:val="24"/>
        </w:rPr>
        <w:t>Banks must monitor customer transactions on an ongoing basis to detect patterns that suggest financial crime. This is typically done through automated Transaction Monitoring Systems (TMS), which apply rules and algorithms to flag unusual behaviour for human review.</w:t>
      </w:r>
    </w:p>
    <w:p>
      <w:pPr>
        <w:pStyle w:val="BodyText"/>
        <w:spacing w:lineRule="auto" w:line="360" w:before="0" w:after="120"/>
        <w:ind w:firstLine="283"/>
      </w:pPr>
      <w:r>
        <w:rPr>
          <w:rFonts w:ascii="Times New Roman" w:hAnsi="Times New Roman"/>
          <w:b w:val="0"/>
          <w:i w:val="0"/>
          <w:sz w:val="24"/>
        </w:rPr>
        <w:t>Transaction monitoring is the subject of this entire book. For now, understand that it is not optional — it is a legal requirement in every major jurisdiction.</w:t>
      </w:r>
    </w:p>
    <w:p>
      <w:pPr>
        <w:pStyle w:val="Heading3"/>
      </w:pPr>
      <w:r>
        <w:rPr>
          <w:rFonts w:ascii="Times New Roman" w:hAnsi="Times New Roman"/>
        </w:rPr>
        <w:t>1.3.3 Suspicious Activity Reporting</w:t>
      </w:r>
    </w:p>
    <w:p>
      <w:pPr>
        <w:pStyle w:val="BodyText"/>
        <w:spacing w:lineRule="auto" w:line="360" w:before="0" w:after="120"/>
        <w:ind w:firstLine="283"/>
      </w:pPr>
      <w:r>
        <w:rPr>
          <w:rFonts w:ascii="Times New Roman" w:hAnsi="Times New Roman"/>
          <w:b w:val="0"/>
          <w:i w:val="0"/>
          <w:sz w:val="24"/>
        </w:rPr>
        <w:t>When a bank identifies a transaction or pattern of behaviour that it suspects is related to financial crime, it is legally required to file a report with the relevant financial intelligence unit. The United States calls this a Suspicious Activity Report (SAR). Canada and some other jurisdictions use the term Suspicious Transaction Report (STR).</w:t>
      </w:r>
    </w:p>
    <w:p>
      <w:pPr>
        <w:pStyle w:val="BodyText"/>
        <w:spacing w:lineRule="auto" w:line="360" w:before="0" w:after="120"/>
        <w:ind w:firstLine="283"/>
      </w:pPr>
      <w:r>
        <w:rPr>
          <w:rFonts w:ascii="Times New Roman" w:hAnsi="Times New Roman"/>
          <w:b w:val="0"/>
          <w:i w:val="0"/>
          <w:sz w:val="24"/>
        </w:rPr>
        <w:t>The threshold for filing is not certainty — it is reasonable suspicion. Banks must file even when they are not sure that a crime has occurred. Filing a SAR does not mean the customer is a criminal; it means the bank has observed something it cannot explain.</w:t>
      </w:r>
    </w:p>
    <w:p>
      <w:pPr>
        <w:pStyle w:val="Heading3"/>
      </w:pPr>
      <w:r>
        <w:rPr>
          <w:rFonts w:ascii="Times New Roman" w:hAnsi="Times New Roman"/>
        </w:rPr>
        <w:t>1.3.4 Record-Keeping</w:t>
      </w:r>
    </w:p>
    <w:p>
      <w:pPr>
        <w:pStyle w:val="BodyText"/>
        <w:spacing w:lineRule="auto" w:line="360" w:before="0" w:after="120"/>
        <w:ind w:firstLine="283"/>
      </w:pPr>
      <w:r>
        <w:rPr>
          <w:rFonts w:ascii="Times New Roman" w:hAnsi="Times New Roman"/>
          <w:b w:val="0"/>
          <w:i w:val="0"/>
          <w:sz w:val="24"/>
        </w:rPr>
        <w:t>Banks must maintain detailed records of their customer due diligence, transaction history, and SAR filings. Regulators need these records to conduct examinations and investigations. Failure to maintain them is itself a breach of AML obligations.</w:t>
      </w:r>
    </w:p>
    <w:p>
      <w:pPr>
        <w:pStyle w:val="Heading2"/>
      </w:pPr>
      <w:r>
        <w:rPr>
          <w:rFonts w:ascii="Times New Roman" w:hAnsi="Times New Roman"/>
        </w:rPr>
        <w:t>1.4 The Cost of Getting It Wrong</w:t>
      </w:r>
    </w:p>
    <w:p>
      <w:pPr>
        <w:pStyle w:val="BodyText"/>
        <w:spacing w:lineRule="auto" w:line="360" w:before="0" w:after="120"/>
        <w:ind w:firstLine="283"/>
      </w:pPr>
      <w:r>
        <w:rPr>
          <w:rFonts w:ascii="Times New Roman" w:hAnsi="Times New Roman"/>
          <w:b w:val="0"/>
          <w:i w:val="0"/>
          <w:sz w:val="24"/>
        </w:rPr>
        <w:t>Regulatory fines for AML failures have grown dramatically over the past fifteen years. The following cases are used as teaching examples throughout this book.</w:t>
      </w:r>
    </w:p>
    <w:p>
      <w:pPr>
        <w:spacing w:lineRule="auto" w:line="240" w:before="60" w:after="120"/>
        <w:ind w:firstLine="0"/>
        <w:jc w:val="left"/>
      </w:pPr>
      <w:r>
        <w:rPr>
          <w:rFonts w:ascii="Times New Roman" w:hAnsi="Times New Roman"/>
          <w:b w:val="0"/>
          <w:i/>
          <w:sz w:val="20"/>
        </w:rPr>
        <w:t>Table 1.2  Institution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4536"/>
        <w:gridCol w:w="4536"/>
      </w:tblGrid>
      <w:tr>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Institution</w:t>
            </w:r>
          </w:p>
        </w:tc>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Year / Fine / Reason</w:t>
            </w:r>
          </w:p>
        </w:tc>
      </w:tr>
      <w:tr>
        <w:tc>
          <w:tcPr>
            <w:tcW w:w="4536" w:type="dxa"/>
          </w:tcPr>
          <w:p>
            <w:pPr>
              <w:spacing w:lineRule="auto" w:line="288" w:before="60" w:after="60"/>
              <w:ind w:left="57" w:right="57"/>
            </w:pPr>
            <w:r>
              <w:rPr>
                <w:rFonts w:ascii="Times New Roman" w:hAnsi="Times New Roman"/>
                <w:b w:val="0"/>
                <w:i w:val="0"/>
                <w:sz w:val="20"/>
              </w:rPr>
              <w:t>Binance</w:t>
            </w:r>
          </w:p>
        </w:tc>
        <w:tc>
          <w:tcPr>
            <w:tcW w:w="4536" w:type="dxa"/>
          </w:tcPr>
          <w:p>
            <w:pPr>
              <w:spacing w:lineRule="auto" w:line="288" w:before="60" w:after="60"/>
              <w:ind w:left="57" w:right="57"/>
            </w:pPr>
            <w:r>
              <w:rPr>
                <w:rFonts w:ascii="Times New Roman" w:hAnsi="Times New Roman"/>
                <w:b w:val="0"/>
                <w:i w:val="0"/>
                <w:sz w:val="20"/>
              </w:rPr>
              <w:t>2023 — $4.3 billion. The crypto exchange allowed sanctioned entities to transact freely and failed to implement any meaningful AML controls.</w:t>
            </w:r>
          </w:p>
        </w:tc>
      </w:tr>
      <w:tr>
        <w:tc>
          <w:tcPr>
            <w:tcW w:w="4536" w:type="dxa"/>
          </w:tcPr>
          <w:p>
            <w:pPr>
              <w:spacing w:lineRule="auto" w:line="288" w:before="60" w:after="60"/>
              <w:ind w:left="57" w:right="57"/>
            </w:pPr>
            <w:r>
              <w:rPr>
                <w:rFonts w:ascii="Times New Roman" w:hAnsi="Times New Roman"/>
                <w:b w:val="0"/>
                <w:i w:val="0"/>
                <w:sz w:val="20"/>
              </w:rPr>
              <w:t>Danske Bank</w:t>
            </w:r>
          </w:p>
        </w:tc>
        <w:tc>
          <w:tcPr>
            <w:tcW w:w="4536" w:type="dxa"/>
          </w:tcPr>
          <w:p>
            <w:pPr>
              <w:spacing w:lineRule="auto" w:line="288" w:before="60" w:after="60"/>
              <w:ind w:left="57" w:right="57"/>
            </w:pPr>
            <w:r>
              <w:rPr>
                <w:rFonts w:ascii="Times New Roman" w:hAnsi="Times New Roman"/>
                <w:b w:val="0"/>
                <w:i w:val="0"/>
                <w:sz w:val="20"/>
              </w:rPr>
              <w:t>2018 — $2.2 billion. The Estonian branch of Denmark's largest bank processed approximately €200 billion in non-resident transactions with minimal scrutiny over nearly a decade.</w:t>
            </w:r>
          </w:p>
        </w:tc>
      </w:tr>
      <w:tr>
        <w:tc>
          <w:tcPr>
            <w:tcW w:w="4536" w:type="dxa"/>
          </w:tcPr>
          <w:p>
            <w:pPr>
              <w:spacing w:lineRule="auto" w:line="288" w:before="60" w:after="60"/>
              <w:ind w:left="57" w:right="57"/>
            </w:pPr>
            <w:r>
              <w:rPr>
                <w:rFonts w:ascii="Times New Roman" w:hAnsi="Times New Roman"/>
                <w:b w:val="0"/>
                <w:i w:val="0"/>
                <w:sz w:val="20"/>
              </w:rPr>
              <w:t>HSBC</w:t>
            </w:r>
          </w:p>
        </w:tc>
        <w:tc>
          <w:tcPr>
            <w:tcW w:w="4536" w:type="dxa"/>
          </w:tcPr>
          <w:p>
            <w:pPr>
              <w:spacing w:lineRule="auto" w:line="288" w:before="60" w:after="60"/>
              <w:ind w:left="57" w:right="57"/>
            </w:pPr>
            <w:r>
              <w:rPr>
                <w:rFonts w:ascii="Times New Roman" w:hAnsi="Times New Roman"/>
                <w:b w:val="0"/>
                <w:i w:val="0"/>
                <w:sz w:val="20"/>
              </w:rPr>
              <w:t>2012 — $1.9 billion. The bank facilitated transactions for Mexican drug cartels and processed funds linked to Iranian sanctions evasion.</w:t>
            </w:r>
          </w:p>
        </w:tc>
      </w:tr>
      <w:tr>
        <w:tc>
          <w:tcPr>
            <w:tcW w:w="4536" w:type="dxa"/>
          </w:tcPr>
          <w:p>
            <w:pPr>
              <w:spacing w:lineRule="auto" w:line="288" w:before="60" w:after="60"/>
              <w:ind w:left="57" w:right="57"/>
            </w:pPr>
            <w:r>
              <w:rPr>
                <w:rFonts w:ascii="Times New Roman" w:hAnsi="Times New Roman"/>
                <w:b w:val="0"/>
                <w:i w:val="0"/>
                <w:sz w:val="20"/>
              </w:rPr>
              <w:t>Standard Chartered</w:t>
            </w:r>
          </w:p>
        </w:tc>
        <w:tc>
          <w:tcPr>
            <w:tcW w:w="4536" w:type="dxa"/>
          </w:tcPr>
          <w:p>
            <w:pPr>
              <w:spacing w:lineRule="auto" w:line="288" w:before="60" w:after="60"/>
              <w:ind w:left="57" w:right="57"/>
            </w:pPr>
            <w:r>
              <w:rPr>
                <w:rFonts w:ascii="Times New Roman" w:hAnsi="Times New Roman"/>
                <w:b w:val="0"/>
                <w:i w:val="0"/>
                <w:sz w:val="20"/>
              </w:rPr>
              <w:t>2019 — $1.1 billion. Inadequate customer due diligence and transaction monitoring across multiple jurisdictions.</w:t>
            </w:r>
          </w:p>
        </w:tc>
      </w:tr>
      <w:tr>
        <w:tc>
          <w:tcPr>
            <w:tcW w:w="4536" w:type="dxa"/>
          </w:tcPr>
          <w:p>
            <w:pPr>
              <w:spacing w:lineRule="auto" w:line="288" w:before="60" w:after="60"/>
              <w:ind w:left="57" w:right="57"/>
            </w:pPr>
            <w:r>
              <w:rPr>
                <w:rFonts w:ascii="Times New Roman" w:hAnsi="Times New Roman"/>
                <w:b w:val="0"/>
                <w:i w:val="0"/>
                <w:sz w:val="20"/>
              </w:rPr>
              <w:t>Deutsche Bank</w:t>
            </w:r>
          </w:p>
        </w:tc>
        <w:tc>
          <w:tcPr>
            <w:tcW w:w="4536" w:type="dxa"/>
          </w:tcPr>
          <w:p>
            <w:pPr>
              <w:spacing w:lineRule="auto" w:line="288" w:before="60" w:after="60"/>
              <w:ind w:left="57" w:right="57"/>
            </w:pPr>
            <w:r>
              <w:rPr>
                <w:rFonts w:ascii="Times New Roman" w:hAnsi="Times New Roman"/>
                <w:b w:val="0"/>
                <w:i w:val="0"/>
                <w:sz w:val="20"/>
              </w:rPr>
              <w:t>2019/2023 — £163 million (FCA, UK) + $186 million (US Department of Justice). Two separate enforcement actions across jurisdictions for repeated failures to implement adequate AML controls, including in correspondent banking.</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These are not cautionary tales from a different era. They are recent, large, and ongoing. The regulatory environment is tightening, not loosening.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1.3  </w:t>
            </w:r>
            <w:r>
              <w:rPr>
                <w:rFonts w:ascii="Times New Roman" w:hAnsi="Times New Roman"/>
                <w:b/>
                <w:i/>
                <w:sz w:val="22"/>
              </w:rPr>
              <w:t>Risk Perspective</w:t>
            </w:r>
          </w:p>
          <w:p>
            <w:pPr>
              <w:spacing w:lineRule="auto" w:line="312" w:before="20" w:after="40"/>
              <w:ind w:left="113"/>
            </w:pPr>
            <w:r>
              <w:rPr>
                <w:rFonts w:ascii="Times New Roman" w:hAnsi="Times New Roman"/>
                <w:b w:val="0"/>
                <w:i w:val="0"/>
                <w:sz w:val="22"/>
              </w:rPr>
              <w:t>Fines are only one dimension of AML failure. The reputational damage of a major AML scandal can be longer-lasting and more damaging than the financial penalty. In some cases, executives face personal criminal liability. The business case for effective transaction monitoring is not merely compliance — it is survival.</w:t>
            </w:r>
          </w:p>
        </w:tc>
      </w:tr>
    </w:tbl>
    <w:p>
      <w:pPr>
        <w:spacing w:lineRule="auto" w:line="240" w:before="0" w:after="160"/>
      </w:pPr>
    </w:p>
    <w:p>
      <w:pPr>
        <w:pStyle w:val="Heading2"/>
      </w:pPr>
      <w:r>
        <w:rPr>
          <w:rFonts w:ascii="Times New Roman" w:hAnsi="Times New Roman"/>
        </w:rPr>
        <w:t>1.5 Where Transaction Monitoring Fits</w:t>
      </w:r>
    </w:p>
    <w:p>
      <w:pPr>
        <w:pStyle w:val="BodyText"/>
        <w:spacing w:lineRule="auto" w:line="360" w:before="0" w:after="120"/>
        <w:ind w:firstLine="283"/>
      </w:pPr>
      <w:r>
        <w:rPr>
          <w:rFonts w:ascii="Times New Roman" w:hAnsi="Times New Roman"/>
          <w:b w:val="0"/>
          <w:i w:val="0"/>
          <w:sz w:val="24"/>
        </w:rPr>
        <w:t>Transaction monitoring is one component of a broader AML control framework. It operates alongside KYC (including Customer Due Diligence — CDD and Enhanced Due Diligence — EDD), Sanctions Screening, and Alert Investigation and Reporting. Understanding its position in that framework helps you understand its purpose and its limits.</w:t>
      </w:r>
    </w:p>
    <w:p>
      <w:pPr>
        <w:pStyle w:val="BodyText"/>
        <w:spacing w:lineRule="auto" w:line="360" w:before="0" w:after="120"/>
        <w:ind w:firstLine="283"/>
      </w:pPr>
      <w:r>
        <w:rPr>
          <w:rFonts w:ascii="Times New Roman" w:hAnsi="Times New Roman"/>
          <w:b w:val="0"/>
          <w:i w:val="0"/>
          <w:sz w:val="24"/>
        </w:rPr>
        <w:t>The AML control framework can be thought of as a sequence of filters. KYC screening happens before a customer relationship begins. Transaction monitoring operates continuously throughout the relationship. SAR filing is the escalation mechanism when monitoring identifies something suspicious.</w:t>
      </w:r>
    </w:p>
    <w:p>
      <w:pPr>
        <w:pStyle w:val="BodyText"/>
        <w:spacing w:lineRule="auto" w:line="360" w:before="0" w:after="120"/>
        <w:ind w:firstLine="283"/>
      </w:pPr>
      <w:r>
        <w:rPr>
          <w:rFonts w:ascii="Times New Roman" w:hAnsi="Times New Roman"/>
          <w:b w:val="0"/>
          <w:i w:val="0"/>
          <w:sz w:val="24"/>
        </w:rPr>
        <w:t>Transaction monitoring does not prevent money laundering. It detects it — or, more precisely, it flags behaviour that might indicate it. The decision about whether to escalate and ultimately file a SAR is made by a human analyst, often called an investigator, not by the system.</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1.4  </w:t>
            </w:r>
            <w:r>
              <w:rPr>
                <w:rFonts w:ascii="Times New Roman" w:hAnsi="Times New Roman"/>
                <w:b/>
                <w:i/>
                <w:sz w:val="22"/>
              </w:rPr>
              <w:t>A fundamental principle</w:t>
            </w:r>
          </w:p>
          <w:p>
            <w:pPr>
              <w:spacing w:lineRule="auto" w:line="312" w:before="20" w:after="40"/>
              <w:ind w:left="113"/>
            </w:pPr>
            <w:r>
              <w:rPr>
                <w:rFonts w:ascii="Times New Roman" w:hAnsi="Times New Roman"/>
                <w:b w:val="0"/>
                <w:i w:val="0"/>
                <w:sz w:val="22"/>
              </w:rPr>
              <w:t>The system generates the alert; the investigator makes the judgement.</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This distinction matters enormously. A transaction monitoring system that generates too many false positives wastes analyst time and causes genuine suspicious activity to be missed in the noise. A system that generates too few alerts creates coverage gaps that a money launderer can exploit. Calibrating that balance — between sensitivity and specificity — is one of the central analytical challenges this book addresses.</w:t>
      </w:r>
    </w:p>
    <w:p>
      <w:pPr>
        <w:pStyle w:val="Heading2"/>
      </w:pPr>
      <w:r>
        <w:rPr>
          <w:rFonts w:ascii="Times New Roman" w:hAnsi="Times New Roman"/>
        </w:rPr>
        <w:t>1.6 An Introduction to Our Running Case Study</w:t>
      </w:r>
    </w:p>
    <w:p>
      <w:pPr>
        <w:pStyle w:val="BodyText"/>
        <w:spacing w:lineRule="auto" w:line="360" w:before="0" w:after="120"/>
        <w:ind w:firstLine="283"/>
      </w:pPr>
      <w:r>
        <w:rPr>
          <w:rFonts w:ascii="Times New Roman" w:hAnsi="Times New Roman"/>
          <w:b w:val="0"/>
          <w:i w:val="0"/>
          <w:sz w:val="24"/>
        </w:rPr>
        <w:t>Throughout this book, we will use a single running scenario to ground the analytical techniques we cover. Here is its first instalment.</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1.5  </w:t>
            </w:r>
            <w:r>
              <w:rPr>
                <w:rFonts w:ascii="Times New Roman" w:hAnsi="Times New Roman"/>
                <w:b/>
                <w:i/>
                <w:sz w:val="22"/>
              </w:rPr>
              <w:t>The Scenario: Northgate Retail Bank — Initial Observations</w:t>
            </w:r>
          </w:p>
          <w:p>
            <w:pPr>
              <w:spacing w:lineRule="auto" w:line="312" w:before="20" w:after="40"/>
              <w:ind w:left="113"/>
            </w:pPr>
            <w:r>
              <w:rPr>
                <w:rFonts w:ascii="Times New Roman" w:hAnsi="Times New Roman"/>
                <w:b w:val="0"/>
                <w:i w:val="0"/>
                <w:sz w:val="22"/>
              </w:rPr>
              <w:t>Northgate Retail Bank is a mid-sized US retail bank with approximately 2.4 million personal current accounts. Its AML analytics team has been asked to investigate a pattern flagged by a branch manager in Birmingham.</w:t>
            </w:r>
          </w:p>
          <w:p>
            <w:pPr>
              <w:spacing w:lineRule="auto" w:line="312" w:before="20" w:after="40"/>
              <w:ind w:left="113"/>
            </w:pPr>
            <w:r>
              <w:rPr>
                <w:rFonts w:ascii="Times New Roman" w:hAnsi="Times New Roman"/>
                <w:b w:val="0"/>
                <w:i w:val="0"/>
                <w:sz w:val="22"/>
              </w:rPr>
              <w:t>Over a six-week period, seventeen different individuals made cash deposits at three Northgate branches. None of the deposits exceeded $9,000. The cash was deposited into a mix of personal and business accounts. Within one to three business days of each deposit, the funds were transferred by faster payment to a single recipient account at a different US bank.</w:t>
            </w:r>
          </w:p>
          <w:p>
            <w:pPr>
              <w:spacing w:lineRule="auto" w:line="312" w:before="20" w:after="40"/>
              <w:ind w:left="113"/>
            </w:pPr>
            <w:r>
              <w:rPr>
                <w:rFonts w:ascii="Times New Roman" w:hAnsi="Times New Roman"/>
                <w:b w:val="0"/>
                <w:i w:val="0"/>
                <w:sz w:val="22"/>
              </w:rPr>
              <w:t>The branch manager noticed that several of the depositing individuals appeared unfamiliar with the account holders in whose name they were depositing. Two individuals visited two different branches on the same day.</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We will return to this scenario at the end of this chapter with a first exercise. Over the course of the book, you will progressively apply every major analytical technique to this case.</w:t>
      </w:r>
    </w:p>
    <w:p>
      <w:pPr>
        <w:pStyle w:val="Heading2"/>
      </w:pPr>
      <w:r>
        <w:rPr>
          <w:rFonts w:ascii="Times New Roman" w:hAnsi="Times New Roman"/>
        </w:rPr>
        <w:t>1.7 Risk Considerations</w:t>
      </w:r>
    </w:p>
    <w:p>
      <w:pPr>
        <w:pStyle w:val="BodyText"/>
        <w:spacing w:lineRule="auto" w:line="360" w:before="0" w:after="120"/>
        <w:ind w:firstLine="283"/>
      </w:pPr>
      <w:r>
        <w:rPr>
          <w:rFonts w:ascii="Times New Roman" w:hAnsi="Times New Roman"/>
          <w:b w:val="0"/>
          <w:i w:val="0"/>
          <w:sz w:val="24"/>
        </w:rPr>
        <w:t>Transaction monitoring carries four categories of risk. Each one will recur throughout this book.</w:t>
      </w:r>
    </w:p>
    <w:p>
      <w:pPr>
        <w:pStyle w:val="ListBullet"/>
        <w:spacing w:lineRule="auto" w:line="360" w:before="0" w:after="60"/>
      </w:pPr>
      <w:r>
        <w:rPr>
          <w:rFonts w:ascii="Times New Roman" w:hAnsi="Times New Roman"/>
          <w:b w:val="0"/>
          <w:i w:val="0"/>
          <w:sz w:val="24"/>
        </w:rPr>
        <w:t>Noisy alerts — alerts that fit the design intent of the scenario but investigation finds non-suspicious — waste analyst time and delay legitimate business. These are not failures of the system; they are the expected output of a well-designed scenario operating correctly. A true false positive (by the correct technical definition) is an alert caused by code bugs, data errors, or scenario design flaws — a system failure, not a normal alert. The industry conflates these two very different things. We examine this distinction, and why it matters for model design and governance, in Chapter 6.</w:t>
      </w:r>
    </w:p>
    <w:p>
      <w:pPr>
        <w:pStyle w:val="ListBullet"/>
        <w:spacing w:lineRule="auto" w:line="360" w:before="0" w:after="60"/>
      </w:pPr>
      <w:r>
        <w:rPr>
          <w:rFonts w:ascii="Times New Roman" w:hAnsi="Times New Roman"/>
          <w:b w:val="0"/>
          <w:i w:val="0"/>
          <w:sz w:val="24"/>
        </w:rPr>
        <w:t>False negatives — suspicious activity that the system misses — create regulatory liability when they fall outside the institution's risk appetite. An institution's risk appetite defines its acceptable tolerance for missing suspicious activity; false negatives within that defined tolerance are a policy decision, not a failure. False negatives outside the risk appetite represent genuine regulatory exposure: fines, enforcement action, and potential criminal charges against leadership.</w:t>
      </w:r>
    </w:p>
    <w:p>
      <w:pPr>
        <w:pStyle w:val="ListBullet"/>
        <w:spacing w:lineRule="auto" w:line="360" w:before="0" w:after="60"/>
      </w:pPr>
      <w:r>
        <w:rPr>
          <w:rFonts w:ascii="Times New Roman" w:hAnsi="Times New Roman"/>
          <w:b w:val="0"/>
          <w:i w:val="0"/>
          <w:sz w:val="24"/>
        </w:rPr>
        <w:t>Tipping off — alerting a customer that they are under investigation — is a criminal offence in the United States and many other jurisdictions. The bank must conduct proper training so that employees within the AML Control Framework keep investigation details strictly confidential.</w:t>
      </w:r>
    </w:p>
    <w:p>
      <w:pPr>
        <w:pStyle w:val="ListBullet"/>
        <w:spacing w:lineRule="auto" w:line="360" w:before="0" w:after="60"/>
      </w:pPr>
      <w:r>
        <w:rPr>
          <w:rFonts w:ascii="Times New Roman" w:hAnsi="Times New Roman"/>
          <w:b w:val="0"/>
          <w:i w:val="0"/>
          <w:sz w:val="24"/>
        </w:rPr>
        <w:t>Data quality — transaction monitoring depends on accurate, complete, and timely data across Critical/Key Data Elements (CDE/KDE): the specific fields each scenario requires to function. Missing or incomplete CDE/KDE data does not simply reduce performance — it creates undetectable coverage gaps. The book's position is that there is no such thing as 'bad' data: data always tells you something, and missing or poor-quality data reveals process issues or operational shortcomings that must be understood and managed. We examine the data quality framework in Chapters 3 and 9.</w:t>
      </w:r>
    </w:p>
    <w:p>
      <w:pPr>
        <w:pStyle w:val="BodyText"/>
        <w:spacing w:lineRule="auto" w:line="360" w:before="0" w:after="120"/>
        <w:ind w:firstLine="283"/>
      </w:pPr>
      <w:r>
        <w:rPr>
          <w:rFonts w:ascii="Times New Roman" w:hAnsi="Times New Roman"/>
          <w:b w:val="0"/>
          <w:i w:val="0"/>
          <w:sz w:val="24"/>
        </w:rPr>
        <w:t>We will encounter each of these risk areas again as we work through the analytical content. Keep them in mind.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1.6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Money laundering typically occurs in three stages: placement, layering, and integration. Transaction monitoring is most effective at the layering stage.</w:t>
            </w:r>
          </w:p>
          <w:p>
            <w:pPr>
              <w:spacing w:lineRule="auto" w:line="312" w:before="20" w:after="40"/>
              <w:ind w:left="113"/>
            </w:pPr>
            <w:r>
              <w:rPr>
                <w:rFonts w:ascii="Times New Roman" w:hAnsi="Times New Roman"/>
                <w:b w:val="0"/>
                <w:i w:val="0"/>
                <w:sz w:val="22"/>
              </w:rPr>
              <w:t>Banks have four core AML obligations: Know Your Customer (KYC), transaction monitoring, suspicious activity reporting, and record-keeping.</w:t>
            </w:r>
          </w:p>
          <w:p>
            <w:pPr>
              <w:spacing w:lineRule="auto" w:line="312" w:before="20" w:after="40"/>
              <w:ind w:left="113"/>
            </w:pPr>
            <w:r>
              <w:rPr>
                <w:rFonts w:ascii="Times New Roman" w:hAnsi="Times New Roman"/>
                <w:b w:val="0"/>
                <w:i w:val="0"/>
                <w:sz w:val="22"/>
              </w:rPr>
              <w:t>The threshold for filing a SAR is reasonable suspicion, not certainty.</w:t>
            </w:r>
          </w:p>
          <w:p>
            <w:pPr>
              <w:spacing w:lineRule="auto" w:line="312" w:before="20" w:after="40"/>
              <w:ind w:left="113"/>
            </w:pPr>
            <w:r>
              <w:rPr>
                <w:rFonts w:ascii="Times New Roman" w:hAnsi="Times New Roman"/>
                <w:b w:val="0"/>
                <w:i w:val="0"/>
                <w:sz w:val="22"/>
              </w:rPr>
              <w:t>Transaction monitoring generates alerts; human analysts make the investigative judgement.</w:t>
            </w:r>
          </w:p>
          <w:p>
            <w:pPr>
              <w:spacing w:lineRule="auto" w:line="312" w:before="20" w:after="40"/>
              <w:ind w:left="113"/>
            </w:pPr>
            <w:r>
              <w:rPr>
                <w:rFonts w:ascii="Times New Roman" w:hAnsi="Times New Roman"/>
                <w:b w:val="0"/>
                <w:i w:val="0"/>
                <w:sz w:val="22"/>
              </w:rPr>
              <w:t>The central analytical challenge is balancing noisy alerts (wasted investigator effort) against false negatives that fall outside the institution's risk appetite (missed crime and regulatory liability). Risk appetite defines the acceptable boundary between these two outcomes.</w:t>
            </w:r>
          </w:p>
          <w:p>
            <w:pPr>
              <w:spacing w:lineRule="auto" w:line="312" w:before="20" w:after="40"/>
              <w:ind w:left="113"/>
            </w:pPr>
            <w:r>
              <w:rPr>
                <w:rFonts w:ascii="Times New Roman" w:hAnsi="Times New Roman"/>
                <w:b w:val="0"/>
                <w:i w:val="0"/>
                <w:sz w:val="22"/>
              </w:rPr>
              <w:t>Data quality underpins every analytical technique in this book. Chapters 4 and 6 address how to assess and manage it.</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1.1 — Spotting the Pattern  [Foundation]</w:t>
            </w:r>
          </w:p>
          <w:p>
            <w:pPr>
              <w:spacing w:lineRule="auto" w:line="312" w:before="20" w:after="40"/>
              <w:ind w:left="113"/>
            </w:pPr>
            <w:r>
              <w:rPr>
                <w:rFonts w:ascii="Times New Roman" w:hAnsi="Times New Roman"/>
                <w:b w:val="0"/>
                <w:i w:val="0"/>
                <w:sz w:val="22"/>
              </w:rPr>
              <w:t>Objective: Develop your intuition for suspicious transaction patterns before any automated tools are introduced.</w:t>
            </w:r>
          </w:p>
          <w:p>
            <w:pPr>
              <w:spacing w:lineRule="auto" w:line="312" w:before="20" w:after="40"/>
              <w:ind w:left="113"/>
            </w:pPr>
            <w:r>
              <w:rPr>
                <w:rFonts w:ascii="Times New Roman" w:hAnsi="Times New Roman"/>
                <w:b w:val="0"/>
                <w:i w:val="0"/>
                <w:sz w:val="22"/>
              </w:rPr>
              <w:t>Scenario: You are a newly joined AML analyst at Northgate Retail Bank. The branch manager's observation is on your desk (see Section 1.6 above). You have access to the transaction data for the accounts involved, but no automated monitoring system.</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Identify the specific behaviours in the scenario description that you consider suspicious. For each, explain which stage of money laundering (placement, layering, or integration) it is most likely associated with.</w:t>
            </w:r>
          </w:p>
          <w:p>
            <w:pPr>
              <w:spacing w:lineRule="auto" w:line="312" w:before="20" w:after="40"/>
              <w:ind w:left="113"/>
            </w:pPr>
            <w:r>
              <w:rPr>
                <w:rFonts w:ascii="Times New Roman" w:hAnsi="Times New Roman"/>
                <w:b w:val="0"/>
                <w:i w:val="0"/>
                <w:sz w:val="22"/>
              </w:rPr>
              <w:t>The largest single deposit in the dataset is $8,950. The US Bank Secrecy Act requires banks to file a Currency Transaction Report (CTR) for any cash transaction exceeding $10,000. What is the significance of the deposit amount relative to this threshold? Does this behaviour pattern have a specific name?</w:t>
            </w:r>
          </w:p>
          <w:p>
            <w:pPr>
              <w:spacing w:lineRule="auto" w:line="312" w:before="20" w:after="40"/>
              <w:ind w:left="113"/>
            </w:pPr>
            <w:r>
              <w:rPr>
                <w:rFonts w:ascii="Times New Roman" w:hAnsi="Times New Roman"/>
                <w:b w:val="0"/>
                <w:i w:val="0"/>
                <w:sz w:val="22"/>
              </w:rPr>
              <w:t>What additional information would you want before deciding whether to escalate this case?</w:t>
            </w:r>
          </w:p>
          <w:p>
            <w:pPr>
              <w:spacing w:lineRule="auto" w:line="312" w:before="20" w:after="40"/>
              <w:ind w:left="113"/>
            </w:pPr>
            <w:r>
              <w:rPr>
                <w:rFonts w:ascii="Times New Roman" w:hAnsi="Times New Roman"/>
                <w:b w:val="0"/>
                <w:i w:val="0"/>
                <w:sz w:val="22"/>
              </w:rPr>
              <w:t>Discussion Questions:</w:t>
            </w:r>
          </w:p>
          <w:p>
            <w:pPr>
              <w:spacing w:lineRule="auto" w:line="312" w:before="20" w:after="40"/>
              <w:ind w:left="113"/>
            </w:pPr>
            <w:r>
              <w:rPr>
                <w:rFonts w:ascii="Times New Roman" w:hAnsi="Times New Roman"/>
                <w:b w:val="0"/>
                <w:i w:val="0"/>
                <w:sz w:val="22"/>
              </w:rPr>
              <w:t>At what point, if any, does the threshold for filing a SAR become relevant here? What is that threshold?</w:t>
            </w:r>
          </w:p>
          <w:p>
            <w:pPr>
              <w:spacing w:lineRule="auto" w:line="312" w:before="20" w:after="40"/>
              <w:ind w:left="113"/>
            </w:pPr>
            <w:r>
              <w:rPr>
                <w:rFonts w:ascii="Times New Roman" w:hAnsi="Times New Roman"/>
                <w:b w:val="0"/>
                <w:i w:val="0"/>
                <w:sz w:val="22"/>
              </w:rPr>
              <w:t>Could any of these transactions have an innocent explanation? How does that affect your analysis?</w:t>
            </w:r>
          </w:p>
          <w:p>
            <w:pPr>
              <w:spacing w:lineRule="auto" w:line="312" w:before="20" w:after="40"/>
              <w:ind w:left="113"/>
            </w:pPr>
            <w:r>
              <w:rPr>
                <w:rFonts w:ascii="Times New Roman" w:hAnsi="Times New Roman"/>
                <w:b w:val="0"/>
                <w:i w:val="0"/>
                <w:sz w:val="22"/>
              </w:rPr>
              <w:t>Note: This exercise requires no coding or data tools. It is an exercise in observation, reasoning, and risk judgement. See the Instructor's Solutions Manual for a worked discussion.</w:t>
            </w:r>
          </w:p>
          <w:p>
            <w:pPr>
              <w:spacing w:lineRule="auto" w:line="312" w:before="20" w:after="40"/>
              <w:ind w:left="113"/>
            </w:pPr>
            <w:r>
              <w:rPr>
                <w:rFonts w:ascii="Times New Roman" w:hAnsi="Times New Roman"/>
                <w:b w:val="0"/>
                <w:i w:val="0"/>
                <w:sz w:val="22"/>
              </w:rPr>
              <w:t>In Chapter 2, we will revisit this scenario and identify the specific regulatory obligations it triggers.</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1.2 — Meridian Trading Ltd: First Encounter  [Applied / Out-of-the-Box]</w:t>
            </w:r>
          </w:p>
          <w:p>
            <w:pPr>
              <w:spacing w:lineRule="auto" w:line="312" w:before="20" w:after="40"/>
              <w:ind w:left="113"/>
            </w:pPr>
            <w:r>
              <w:rPr>
                <w:rFonts w:ascii="Times New Roman" w:hAnsi="Times New Roman"/>
                <w:b w:val="0"/>
                <w:i w:val="0"/>
                <w:sz w:val="22"/>
              </w:rPr>
              <w:t>The FCA Final Notice vignette at the start of this chapter mentions Meridian Trading Ltd — a UK-registered import/export company that received funds from the Northgate Accounts. You have been given one piece of information: Meridian holds a business current account at Northgate Retail Bank, registered under SIC code 46690 (Wholesale of other machinery and equipment), with two named directors. No suspicious activity flags are on the account.</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Without any transaction data, what risk indicators are already present from the description alone? (Consider: account type, counterparty relationship with the Northgate Accounts, industry sector.)</w:t>
            </w:r>
          </w:p>
          <w:p>
            <w:pPr>
              <w:spacing w:lineRule="auto" w:line="312" w:before="20" w:after="40"/>
              <w:ind w:left="113"/>
            </w:pPr>
            <w:r>
              <w:rPr>
                <w:rFonts w:ascii="Times New Roman" w:hAnsi="Times New Roman"/>
                <w:b w:val="0"/>
                <w:i w:val="0"/>
                <w:sz w:val="22"/>
              </w:rPr>
              <w:t>Which AML obligations does Northgate Retail Bank have toward Meridian Trading Ltd that are different from its obligations toward the Northgate personal account holders? Focus on KYC and Enhanced Due Diligence requirements for legal entities.</w:t>
            </w:r>
          </w:p>
          <w:p>
            <w:pPr>
              <w:spacing w:lineRule="auto" w:line="312" w:before="20" w:after="40"/>
              <w:ind w:left="113"/>
            </w:pPr>
            <w:r>
              <w:rPr>
                <w:rFonts w:ascii="Times New Roman" w:hAnsi="Times New Roman"/>
                <w:b w:val="0"/>
                <w:i w:val="0"/>
                <w:sz w:val="22"/>
              </w:rPr>
              <w:t>If the FCA asked Northgate to demonstrate that its transaction monitoring for Meridian was adequate, what would an 'adequate' monitoring programme for a commercial customer of this type need to include? What data sources would it require beyond the core banking transaction feed?</w:t>
            </w:r>
          </w:p>
          <w:p>
            <w:pPr>
              <w:spacing w:lineRule="auto" w:line="312" w:before="20" w:after="40"/>
              <w:ind w:left="113"/>
            </w:pPr>
            <w:r>
              <w:rPr>
                <w:rFonts w:ascii="Times New Roman" w:hAnsi="Times New Roman"/>
                <w:b w:val="0"/>
                <w:i w:val="0"/>
                <w:sz w:val="22"/>
              </w:rPr>
              <w:t>This is the last time Meridian appears without any transaction data. From Chapter 2 onwards, each chapter includes a Meridian Applied exercise that applies that chapter's core analytical technique to Meridian's growing dataset. Keep your answers here — they will become the foundation of your Meridian analysis.</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Read Chapter 4 of the FATF Recommendations ("Transparency and Beneficial Ownership") and consider why beneficial ownership matters in a structuring investigation.</w:t>
      </w:r>
    </w:p>
    <w:p>
      <w:pPr>
        <w:pStyle w:val="ListBullet"/>
        <w:spacing w:lineRule="auto" w:line="360" w:before="0" w:after="60"/>
      </w:pPr>
      <w:r>
        <w:rPr>
          <w:rFonts w:ascii="Times New Roman" w:hAnsi="Times New Roman"/>
          <w:b w:val="0"/>
          <w:i w:val="0"/>
          <w:sz w:val="24"/>
        </w:rPr>
        <w:t>FFIEC BSA/AML Examination Manual (publicly available at ffiec.gov) — read the section on Suspicious Activity Reporting. How does the US regulator define 'suspicious activity'?</w:t>
      </w:r>
    </w:p>
    <w:p>
      <w:pPr>
        <w:pStyle w:val="ListBullet"/>
        <w:spacing w:lineRule="auto" w:line="360" w:before="0" w:after="60"/>
      </w:pPr>
      <w:r>
        <w:rPr>
          <w:rFonts w:ascii="Times New Roman" w:hAnsi="Times New Roman"/>
          <w:b w:val="0"/>
          <w:i w:val="0"/>
          <w:sz w:val="24"/>
        </w:rPr>
        <w:t>Research Question: The Danske Bank scandal involved €200 billion in suspicious transactions over roughly nine years. What were the key failures in their Transaction Monitoring Framework? (Search for the final report by the Danish FSA.)</w:t>
      </w:r>
    </w:p>
    <w:p>
      <w:pPr>
        <w:pStyle w:val="ListBullet"/>
        <w:spacing w:lineRule="auto" w:line="360" w:before="0" w:after="60"/>
      </w:pPr>
      <w:r>
        <w:rPr>
          <w:rFonts w:ascii="Times New Roman" w:hAnsi="Times New Roman"/>
          <w:b w:val="0"/>
          <w:i w:val="0"/>
          <w:sz w:val="24"/>
        </w:rPr>
        <w:t>Review the FFIEC's BSA/AML Examination Manual (available at ffiec.gov). How does the US regulatory framework describe the purpose and minimum standards for a bank's transaction monitoring programme?</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FATF (2023) Professional Money Laundering. FATF, Paris.</w:t>
      </w:r>
    </w:p>
    <w:p>
      <w:pPr>
        <w:pStyle w:val="ListBullet"/>
        <w:spacing w:lineRule="auto" w:line="288" w:before="0" w:after="80"/>
      </w:pPr>
      <w:r>
        <w:rPr>
          <w:rFonts w:ascii="Times New Roman" w:hAnsi="Times New Roman"/>
          <w:b w:val="0"/>
          <w:i w:val="0"/>
          <w:sz w:val="22"/>
        </w:rPr>
        <w:t>FinCEN (2022) FinCEN Annual Report. US Treasury, Washington DC.</w:t>
      </w:r>
    </w:p>
    <w:p>
      <w:pPr>
        <w:pStyle w:val="ListBullet"/>
        <w:spacing w:lineRule="auto" w:line="288" w:before="0" w:after="80"/>
      </w:pPr>
      <w:r>
        <w:rPr>
          <w:rFonts w:ascii="Times New Roman" w:hAnsi="Times New Roman"/>
          <w:b w:val="0"/>
          <w:i w:val="0"/>
          <w:sz w:val="22"/>
        </w:rPr>
        <w:t>Levi, M. and Reuter, P. (2006) Money Laundering. Crime and Justice, 34(1), pp. 289–375.</w:t>
      </w:r>
    </w:p>
    <w:p>
      <w:pPr>
        <w:pStyle w:val="ListBullet"/>
        <w:spacing w:lineRule="auto" w:line="288" w:before="0" w:after="80"/>
      </w:pPr>
      <w:r>
        <w:rPr>
          <w:rFonts w:ascii="Times New Roman" w:hAnsi="Times New Roman"/>
          <w:b w:val="0"/>
          <w:i w:val="0"/>
          <w:sz w:val="22"/>
        </w:rPr>
        <w:t>UNODC (2023) Money Laundering and the Proceeds of Crime. UNODC, Vienna.</w:t>
      </w:r>
    </w:p>
    <w:p>
      <w:r>
        <w:br w:type="page"/>
      </w:r>
    </w:p>
    <w:p>
      <w:pPr>
        <w:pStyle w:val="Heading1"/>
      </w:pPr>
      <w:r>
        <w:rPr>
          <w:rFonts w:ascii="Times New Roman" w:hAnsi="Times New Roman"/>
        </w:rPr>
        <w:t>Chapter 2: Key Regulations and the Regulatory Landscape</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Effective AML analytics begins with regulatory literacy. This chapter surveys the principal regulatory regimes governing transaction monitoring: the Bank Secrecy Act and FinCEN rules (United States); the EU Anti-Money Laundering Directives; the UK Proceeds of Crime Act and FCA expectations; and the FATF Recommendations that underpin global standards. We explain the regulatory expectations that most directly shape how a TMS must be designed, tuned, and documented, including what examiners look for during an audit.</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Bank Secrecy Act · FATF Recommendations · EU AMLD · FCA · SAR · Regulatory compliance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2.1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Identify the principal AML legislation in the US, EU, UK, and Singapore and describe its core requirements.</w:t>
            </w:r>
          </w:p>
          <w:p>
            <w:pPr>
              <w:spacing w:lineRule="auto" w:line="312" w:before="20" w:after="40"/>
              <w:ind w:left="113"/>
            </w:pPr>
            <w:r>
              <w:rPr>
                <w:rFonts w:ascii="Times New Roman" w:hAnsi="Times New Roman"/>
                <w:b w:val="0"/>
                <w:i w:val="0"/>
                <w:sz w:val="22"/>
              </w:rPr>
              <w:t>Apply the correct regulatory framework to a transaction monitoring scenario based on the institution's jurisdiction.</w:t>
            </w:r>
          </w:p>
          <w:p>
            <w:pPr>
              <w:spacing w:lineRule="auto" w:line="312" w:before="20" w:after="40"/>
              <w:ind w:left="113"/>
            </w:pPr>
            <w:r>
              <w:rPr>
                <w:rFonts w:ascii="Times New Roman" w:hAnsi="Times New Roman"/>
                <w:b w:val="0"/>
                <w:i w:val="0"/>
                <w:sz w:val="22"/>
              </w:rPr>
              <w:t>Explain the role of FATF, FFIEC, and JMLSG as guidance bodies and distinguish them from statutory regulators.</w:t>
            </w:r>
          </w:p>
          <w:p>
            <w:pPr>
              <w:spacing w:lineRule="auto" w:line="312" w:before="20" w:after="40"/>
              <w:ind w:left="113"/>
            </w:pPr>
            <w:r>
              <w:rPr>
                <w:rFonts w:ascii="Times New Roman" w:hAnsi="Times New Roman"/>
                <w:b w:val="0"/>
                <w:i w:val="0"/>
                <w:sz w:val="22"/>
              </w:rPr>
              <w:t>Determine which regulatory obligations were triggered by the Northgate structuring scenario from Chapter 1.</w:t>
            </w:r>
          </w:p>
        </w:tc>
      </w:tr>
    </w:tbl>
    <w:p>
      <w:pPr>
        <w:spacing w:lineRule="auto" w:line="240" w:before="0" w:after="160"/>
      </w:pPr>
    </w:p>
    <w:p>
      <w:pPr>
        <w:pStyle w:val="Heading2"/>
      </w:pPr>
      <w:r>
        <w:rPr>
          <w:rFonts w:ascii="Times New Roman" w:hAnsi="Times New Roman"/>
        </w:rPr>
        <w:t>2.1 Business Context: Why Regulation Shapes Analytics</w:t>
      </w:r>
    </w:p>
    <w:p>
      <w:pPr>
        <w:pStyle w:val="BodyText"/>
        <w:spacing w:lineRule="auto" w:line="360" w:before="0" w:after="120"/>
        <w:ind w:firstLine="283"/>
      </w:pPr>
      <w:r>
        <w:rPr>
          <w:rFonts w:ascii="Times New Roman" w:hAnsi="Times New Roman"/>
          <w:b w:val="0"/>
          <w:i w:val="0"/>
          <w:sz w:val="24"/>
        </w:rPr>
        <w:t>Regulation is not a constraint on good analytics — it is the reason good analytics exists. Every scenario you design, every threshold you calibrate, every alert you review, and every SAR you file is situated within a legal framework that defines what you must do, what you must not do, and what you must be able to demonstrate to an examiner.</w:t>
      </w:r>
    </w:p>
    <w:p>
      <w:pPr>
        <w:pStyle w:val="BodyText"/>
        <w:spacing w:lineRule="auto" w:line="360" w:before="0" w:after="120"/>
        <w:ind w:firstLine="283"/>
      </w:pPr>
      <w:r>
        <w:rPr>
          <w:rFonts w:ascii="Times New Roman" w:hAnsi="Times New Roman"/>
          <w:b w:val="0"/>
          <w:i w:val="0"/>
          <w:sz w:val="24"/>
        </w:rPr>
        <w:t>Understanding the regulatory landscape is therefore not background knowledge. It is operational knowledge. When an analyst calibrates a threshold, they are making a decision that will be examined against regulatory expectations. When they decide not to file a SAR, that decision is a legal one, not just an analytical one.</w:t>
      </w:r>
    </w:p>
    <w:p>
      <w:pPr>
        <w:pStyle w:val="BodyText"/>
        <w:spacing w:lineRule="auto" w:line="360" w:before="0" w:after="120"/>
        <w:ind w:firstLine="283"/>
      </w:pPr>
      <w:r>
        <w:rPr>
          <w:rFonts w:ascii="Times New Roman" w:hAnsi="Times New Roman"/>
          <w:b w:val="0"/>
          <w:i w:val="0"/>
          <w:sz w:val="24"/>
        </w:rPr>
        <w:t>This chapter introduces the main regulatory regimes relevant to AML transaction monitoring. We focus on four jurisdictions: the United States, the European Union, the United Kingdom, and Singapore. These are not the only jurisdictions that matter, but they are the most influential — between them, they set the tone for AML regulation globally.</w:t>
      </w:r>
    </w:p>
    <w:p>
      <w:pPr>
        <w:pStyle w:val="Heading2"/>
      </w:pPr>
      <w:r>
        <w:rPr>
          <w:rFonts w:ascii="Times New Roman" w:hAnsi="Times New Roman"/>
        </w:rPr>
        <w:t>2.2 The International Foundation: FATF</w:t>
      </w:r>
    </w:p>
    <w:p>
      <w:pPr>
        <w:pStyle w:val="BodyText"/>
        <w:spacing w:lineRule="auto" w:line="360" w:before="0" w:after="120"/>
        <w:ind w:firstLine="283"/>
      </w:pPr>
      <w:r>
        <w:rPr>
          <w:rFonts w:ascii="Times New Roman" w:hAnsi="Times New Roman"/>
          <w:b w:val="0"/>
          <w:i w:val="0"/>
          <w:sz w:val="24"/>
        </w:rPr>
        <w:t>The Financial Action Task Force (FATF) is the international standard-setting body for AML and counter-terrorist financing (CFT). Established in 1989, it currently has 37 member states plus the European Commission and Gulf Co-operation Council.</w:t>
      </w:r>
    </w:p>
    <w:p>
      <w:pPr>
        <w:pStyle w:val="BodyText"/>
        <w:spacing w:lineRule="auto" w:line="360" w:before="0" w:after="120"/>
        <w:ind w:firstLine="283"/>
      </w:pPr>
      <w:r>
        <w:rPr>
          <w:rFonts w:ascii="Times New Roman" w:hAnsi="Times New Roman"/>
          <w:b w:val="0"/>
          <w:i w:val="0"/>
          <w:sz w:val="24"/>
        </w:rPr>
        <w:t>FATF does not make law. It publishes Recommendations — currently 40 — that member countries are expected to implement in their national legislation. Countries that fail to comply with FATF standards can be placed on the FATF "grey list" or "black list", which signals to international financial institutions that they should apply heightened due diligence to transactions involving those countries.</w:t>
      </w:r>
    </w:p>
    <w:p>
      <w:pPr>
        <w:pStyle w:val="Heading3"/>
      </w:pPr>
      <w:r>
        <w:rPr>
          <w:rFonts w:ascii="Times New Roman" w:hAnsi="Times New Roman"/>
        </w:rPr>
        <w:t>2.2.1 The 40 Recommendations: What They Require</w:t>
      </w:r>
    </w:p>
    <w:p>
      <w:pPr>
        <w:pStyle w:val="BodyText"/>
        <w:spacing w:lineRule="auto" w:line="360" w:before="0" w:after="120"/>
        <w:ind w:firstLine="283"/>
      </w:pPr>
      <w:r>
        <w:rPr>
          <w:rFonts w:ascii="Times New Roman" w:hAnsi="Times New Roman"/>
          <w:b w:val="0"/>
          <w:i w:val="0"/>
          <w:sz w:val="24"/>
        </w:rPr>
        <w:t>The 40 Recommendations cover four broad areas relevant to transaction monitoring:</w:t>
      </w:r>
    </w:p>
    <w:p>
      <w:pPr>
        <w:pStyle w:val="ListBullet"/>
        <w:spacing w:lineRule="auto" w:line="360" w:before="0" w:after="60"/>
      </w:pPr>
      <w:r>
        <w:rPr>
          <w:rFonts w:ascii="Times New Roman" w:hAnsi="Times New Roman"/>
          <w:b w:val="0"/>
          <w:i w:val="0"/>
          <w:sz w:val="24"/>
        </w:rPr>
        <w:t>Risk-based approach (one of the most frequently misused terms in AML — we examine what it actually means in practice in Chapter 4): Countries and institutions should identify, assess, and understand their ML/TF risks and apply resources proportionally. This is the foundational principle of modern AML — not every customer or transaction carries the same risk.</w:t>
      </w:r>
    </w:p>
    <w:p>
      <w:pPr>
        <w:pStyle w:val="ListBullet"/>
        <w:spacing w:lineRule="auto" w:line="360" w:before="0" w:after="60"/>
      </w:pPr>
      <w:r>
        <w:rPr>
          <w:rFonts w:ascii="Times New Roman" w:hAnsi="Times New Roman"/>
          <w:b w:val="0"/>
          <w:i w:val="0"/>
          <w:sz w:val="24"/>
        </w:rPr>
        <w:t>Customer Due Diligence (CDD): Financial institutions must verify customer identity, understand the nature of the business relationship, and conduct enhanced due diligence for higher-risk customers.</w:t>
      </w:r>
    </w:p>
    <w:p>
      <w:pPr>
        <w:pStyle w:val="ListBullet"/>
        <w:spacing w:lineRule="auto" w:line="360" w:before="0" w:after="60"/>
      </w:pPr>
      <w:r>
        <w:rPr>
          <w:rFonts w:ascii="Times New Roman" w:hAnsi="Times New Roman"/>
          <w:b w:val="0"/>
          <w:i w:val="0"/>
          <w:sz w:val="24"/>
        </w:rPr>
        <w:t>Transaction monitoring and SAR filing: Institutions must monitor transactions and report suspicious activity to the relevant financial intelligence unit.</w:t>
      </w:r>
    </w:p>
    <w:p>
      <w:pPr>
        <w:pStyle w:val="ListBullet"/>
        <w:spacing w:lineRule="auto" w:line="360" w:before="0" w:after="60"/>
      </w:pPr>
      <w:r>
        <w:rPr>
          <w:rFonts w:ascii="Times New Roman" w:hAnsi="Times New Roman"/>
          <w:b w:val="0"/>
          <w:i w:val="0"/>
          <w:sz w:val="24"/>
        </w:rPr>
        <w:t>International co-operation: Countries must share financial intelligence and co-operate with cross-border investigations.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2.2  </w:t>
            </w:r>
            <w:r>
              <w:rPr>
                <w:rFonts w:ascii="Times New Roman" w:hAnsi="Times New Roman"/>
                <w:b/>
                <w:i/>
                <w:sz w:val="22"/>
              </w:rPr>
              <w:t>Risk Perspective</w:t>
            </w:r>
          </w:p>
          <w:p>
            <w:pPr>
              <w:spacing w:lineRule="auto" w:line="312" w:before="20" w:after="40"/>
              <w:ind w:left="113"/>
            </w:pPr>
            <w:r>
              <w:rPr>
                <w:rFonts w:ascii="Times New Roman" w:hAnsi="Times New Roman"/>
                <w:b w:val="0"/>
                <w:i w:val="0"/>
                <w:sz w:val="22"/>
              </w:rPr>
              <w:t>FATF's risk-based approach is not a licence to do less. It means you must be able to justify the level of scrutiny applied to each customer category. 'We did not monitor this because it was low risk' is only defensible if you can demonstrate how you assessed that risk. The documented risk assessment is the artefact a regulator examines — not the monitoring decision itself. Regulators expect documented evidence of the risk-assessment process, not just its conclusion.</w:t>
            </w:r>
          </w:p>
        </w:tc>
      </w:tr>
    </w:tbl>
    <w:p>
      <w:pPr>
        <w:spacing w:lineRule="auto" w:line="240" w:before="0" w:after="160"/>
      </w:pPr>
    </w:p>
    <w:p>
      <w:pPr>
        <w:pStyle w:val="Heading2"/>
      </w:pPr>
      <w:r>
        <w:rPr>
          <w:rFonts w:ascii="Times New Roman" w:hAnsi="Times New Roman"/>
        </w:rPr>
        <w:t>2.3 United States</w:t>
      </w:r>
    </w:p>
    <w:p>
      <w:pPr>
        <w:pStyle w:val="BodyText"/>
        <w:spacing w:lineRule="auto" w:line="360" w:before="0" w:after="120"/>
        <w:ind w:firstLine="283"/>
      </w:pPr>
      <w:r>
        <w:rPr>
          <w:rFonts w:ascii="Times New Roman" w:hAnsi="Times New Roman"/>
          <w:b w:val="0"/>
          <w:i w:val="0"/>
          <w:sz w:val="24"/>
        </w:rPr>
        <w:t>The United States has the most developed and, in some respects, most prescriptive AML regulatory framework in the world. It is also the most extraterritorial: US enforcement actions reach non-US institutions that process dollar transactions or maintain US correspondent accounts. Four pieces of legislation form its backbone.</w:t>
      </w:r>
    </w:p>
    <w:p>
      <w:pPr>
        <w:pStyle w:val="Heading3"/>
      </w:pPr>
      <w:r>
        <w:rPr>
          <w:rFonts w:ascii="Times New Roman" w:hAnsi="Times New Roman"/>
        </w:rPr>
        <w:t>2.3.1 The Bank Secrecy Act (BSA), 1970</w:t>
      </w:r>
    </w:p>
    <w:p>
      <w:pPr>
        <w:pStyle w:val="BodyText"/>
        <w:spacing w:lineRule="auto" w:line="360" w:before="0" w:after="120"/>
        <w:ind w:firstLine="283"/>
      </w:pPr>
      <w:r>
        <w:rPr>
          <w:rFonts w:ascii="Times New Roman" w:hAnsi="Times New Roman"/>
          <w:b w:val="0"/>
          <w:i w:val="0"/>
          <w:sz w:val="24"/>
        </w:rPr>
        <w:t>The BSA is the foundational US AML statute. It requires financial institutions to assist US government agencies in detecting and preventing money laundering. Its core requirements are:</w:t>
      </w:r>
    </w:p>
    <w:p>
      <w:pPr>
        <w:pStyle w:val="ListBullet"/>
        <w:spacing w:lineRule="auto" w:line="360" w:before="0" w:after="60"/>
      </w:pPr>
      <w:r>
        <w:rPr>
          <w:rFonts w:ascii="Times New Roman" w:hAnsi="Times New Roman"/>
          <w:b w:val="0"/>
          <w:i w:val="0"/>
          <w:sz w:val="24"/>
        </w:rPr>
        <w:t>Currency Transaction Reports (CTRs): Banks must file a CTR for any cash transaction exceeding $10,000.</w:t>
      </w:r>
    </w:p>
    <w:p>
      <w:pPr>
        <w:pStyle w:val="ListBullet"/>
        <w:spacing w:lineRule="auto" w:line="360" w:before="0" w:after="60"/>
      </w:pPr>
      <w:r>
        <w:rPr>
          <w:rFonts w:ascii="Times New Roman" w:hAnsi="Times New Roman"/>
          <w:b w:val="0"/>
          <w:i w:val="0"/>
          <w:sz w:val="24"/>
        </w:rPr>
        <w:t>Suspicious Activity Reports (SARs): Banks must file a SAR when they know, suspect, or have reason to suspect that a transaction involves funds from illegal activity, or that the transaction is designed to evade reporting requirements.</w:t>
      </w:r>
    </w:p>
    <w:p>
      <w:pPr>
        <w:pStyle w:val="ListBullet"/>
        <w:spacing w:lineRule="auto" w:line="360" w:before="0" w:after="60"/>
      </w:pPr>
      <w:r>
        <w:rPr>
          <w:rFonts w:ascii="Times New Roman" w:hAnsi="Times New Roman"/>
          <w:b w:val="0"/>
          <w:i w:val="0"/>
          <w:sz w:val="24"/>
        </w:rPr>
        <w:t>Customer Identification Programme (CIP): Banks must verify customer identity at account opening.</w:t>
      </w:r>
    </w:p>
    <w:p>
      <w:pPr>
        <w:pStyle w:val="ListBullet"/>
        <w:spacing w:lineRule="auto" w:line="360" w:before="0" w:after="60"/>
      </w:pPr>
      <w:r>
        <w:rPr>
          <w:rFonts w:ascii="Times New Roman" w:hAnsi="Times New Roman"/>
          <w:b w:val="0"/>
          <w:i w:val="0"/>
          <w:sz w:val="24"/>
        </w:rPr>
        <w:t>Record-keeping: Banks must maintain records of certain transactions and customer information for defined periods.</w:t>
      </w:r>
    </w:p>
    <w:p>
      <w:pPr>
        <w:pStyle w:val="BodyText"/>
        <w:spacing w:lineRule="auto" w:line="360" w:before="0" w:after="120"/>
        <w:ind w:firstLine="283"/>
      </w:pPr>
      <w:r>
        <w:rPr>
          <w:rFonts w:ascii="Times New Roman" w:hAnsi="Times New Roman"/>
          <w:b w:val="0"/>
          <w:i w:val="0"/>
          <w:sz w:val="24"/>
        </w:rPr>
        <w:t>The Financial Crimes Enforcement Network (FinCEN), a bureau of the US Department of the Treasury, enforces the BSA. FinCEN issues interpretive guidance and publishes SAR data that informs AML analytics work nationally.</w:t>
      </w:r>
    </w:p>
    <w:p>
      <w:pPr>
        <w:pStyle w:val="Heading3"/>
      </w:pPr>
      <w:r>
        <w:rPr>
          <w:rFonts w:ascii="Times New Roman" w:hAnsi="Times New Roman"/>
        </w:rPr>
        <w:t>2.3.2 The Money Laundering Control Act, 1986</w:t>
      </w:r>
    </w:p>
    <w:p>
      <w:pPr>
        <w:pStyle w:val="BodyText"/>
        <w:spacing w:lineRule="auto" w:line="360" w:before="0" w:after="120"/>
        <w:ind w:firstLine="283"/>
      </w:pPr>
      <w:r>
        <w:rPr>
          <w:rFonts w:ascii="Times New Roman" w:hAnsi="Times New Roman"/>
          <w:b w:val="0"/>
          <w:i w:val="0"/>
          <w:sz w:val="24"/>
        </w:rPr>
        <w:t>This Act criminalised money laundering for the first time in US federal law. Before 1986, money laundering was not itself a crime — only the underlying predicate offence was. The Act created two new criminal offences: knowingly conducting a financial transaction involving the proceeds of specified unlawful activity, and knowingly engaging in a transaction designed to evade reporting requirements. The latter offence is particularly relevant to structuring detection.</w:t>
      </w:r>
    </w:p>
    <w:p>
      <w:pPr>
        <w:pStyle w:val="Heading3"/>
      </w:pPr>
      <w:r>
        <w:rPr>
          <w:rFonts w:ascii="Times New Roman" w:hAnsi="Times New Roman"/>
        </w:rPr>
        <w:t>2.3.3 The USA PATRIOT Act, 2001</w:t>
      </w:r>
    </w:p>
    <w:p>
      <w:pPr>
        <w:pStyle w:val="BodyText"/>
        <w:spacing w:lineRule="auto" w:line="360" w:before="0" w:after="120"/>
        <w:ind w:firstLine="283"/>
      </w:pPr>
      <w:r>
        <w:rPr>
          <w:rFonts w:ascii="Times New Roman" w:hAnsi="Times New Roman"/>
          <w:b w:val="0"/>
          <w:i w:val="0"/>
          <w:sz w:val="24"/>
        </w:rPr>
        <w:t>Enacted following the September 2001 terrorist attacks, the Patriot Act significantly expanded AML obligations. Its most important contributions to transaction monitoring are:</w:t>
      </w:r>
    </w:p>
    <w:p>
      <w:pPr>
        <w:pStyle w:val="ListBullet"/>
        <w:spacing w:lineRule="auto" w:line="360" w:before="0" w:after="60"/>
      </w:pPr>
      <w:r>
        <w:rPr>
          <w:rFonts w:ascii="Times New Roman" w:hAnsi="Times New Roman"/>
          <w:b w:val="0"/>
          <w:i w:val="0"/>
          <w:sz w:val="24"/>
        </w:rPr>
        <w:t>Enhanced Customer Due Diligence: Banks must identify and verify the beneficial owners of legal entity customers.</w:t>
      </w:r>
    </w:p>
    <w:p>
      <w:pPr>
        <w:pStyle w:val="ListBullet"/>
        <w:spacing w:lineRule="auto" w:line="360" w:before="0" w:after="60"/>
      </w:pPr>
      <w:r>
        <w:rPr>
          <w:rFonts w:ascii="Times New Roman" w:hAnsi="Times New Roman"/>
          <w:b w:val="0"/>
          <w:i w:val="0"/>
          <w:sz w:val="24"/>
        </w:rPr>
        <w:t>Correspondent banking due diligence: Banks must apply enhanced due diligence to accounts held by foreign financial institutions.</w:t>
      </w:r>
    </w:p>
    <w:p>
      <w:pPr>
        <w:pStyle w:val="ListBullet"/>
        <w:spacing w:lineRule="auto" w:line="360" w:before="0" w:after="60"/>
      </w:pPr>
      <w:r>
        <w:rPr>
          <w:rFonts w:ascii="Times New Roman" w:hAnsi="Times New Roman"/>
          <w:b w:val="0"/>
          <w:i w:val="0"/>
          <w:sz w:val="24"/>
        </w:rPr>
        <w:t>Information sharing: Section 314 enables banks to share information with each other and with law enforcement about suspected money laundering, subject to safe harbour protections.</w:t>
      </w:r>
    </w:p>
    <w:p>
      <w:pPr>
        <w:pStyle w:val="Heading3"/>
      </w:pPr>
      <w:r>
        <w:rPr>
          <w:rFonts w:ascii="Times New Roman" w:hAnsi="Times New Roman"/>
        </w:rPr>
        <w:t>2.3.4 The Anti-Money Laundering Act (AMLA), 2020</w:t>
      </w:r>
    </w:p>
    <w:p>
      <w:pPr>
        <w:pStyle w:val="BodyText"/>
        <w:spacing w:lineRule="auto" w:line="360" w:before="0" w:after="120"/>
        <w:ind w:firstLine="283"/>
      </w:pPr>
      <w:r>
        <w:rPr>
          <w:rFonts w:ascii="Times New Roman" w:hAnsi="Times New Roman"/>
          <w:b w:val="0"/>
          <w:i w:val="0"/>
          <w:sz w:val="24"/>
        </w:rPr>
        <w:t>The AMLA 2020 is the most significant update to US AML law in two decades. It introduced:</w:t>
      </w:r>
    </w:p>
    <w:p>
      <w:pPr>
        <w:pStyle w:val="ListBullet"/>
        <w:spacing w:lineRule="auto" w:line="360" w:before="0" w:after="60"/>
      </w:pPr>
      <w:r>
        <w:rPr>
          <w:rFonts w:ascii="Times New Roman" w:hAnsi="Times New Roman"/>
          <w:b w:val="0"/>
          <w:i w:val="0"/>
          <w:sz w:val="24"/>
        </w:rPr>
        <w:t>Beneficial ownership registry: FinCEN is establishing a national registry of beneficial owners of companies formed in the US — a significant tool for structuring investigations where shell companies are used.</w:t>
      </w:r>
    </w:p>
    <w:p>
      <w:pPr>
        <w:pStyle w:val="ListBullet"/>
        <w:spacing w:lineRule="auto" w:line="360" w:before="0" w:after="60"/>
      </w:pPr>
      <w:r>
        <w:rPr>
          <w:rFonts w:ascii="Times New Roman" w:hAnsi="Times New Roman"/>
          <w:b w:val="0"/>
          <w:i w:val="0"/>
          <w:sz w:val="24"/>
        </w:rPr>
        <w:t>Innovation office: FinCEN established an office to promote technological innovation in AML, explicitly acknowledging that machine learning and AI have a role to play.</w:t>
      </w:r>
    </w:p>
    <w:p>
      <w:pPr>
        <w:pStyle w:val="ListBullet"/>
        <w:spacing w:lineRule="auto" w:line="360" w:before="0" w:after="60"/>
      </w:pPr>
      <w:r>
        <w:rPr>
          <w:rFonts w:ascii="Times New Roman" w:hAnsi="Times New Roman"/>
          <w:b w:val="0"/>
          <w:i w:val="0"/>
          <w:sz w:val="24"/>
        </w:rPr>
        <w:t>Effectiveness standards: For the first time, US law requires that AML programmes be effective, not merely compliant. This has significant implications for how analytics teams must document and evidence their work.</w:t>
      </w:r>
    </w:p>
    <w:p>
      <w:pPr>
        <w:pStyle w:val="Heading3"/>
      </w:pPr>
      <w:r>
        <w:rPr>
          <w:rFonts w:ascii="Times New Roman" w:hAnsi="Times New Roman"/>
        </w:rPr>
        <w:t>2.3.5 SR 26-2 and OCC 2026 — Model Risk Management</w:t>
      </w:r>
    </w:p>
    <w:p>
      <w:pPr>
        <w:pStyle w:val="BodyText"/>
        <w:spacing w:lineRule="auto" w:line="360" w:before="0" w:after="120"/>
        <w:ind w:firstLine="283"/>
      </w:pPr>
      <w:r>
        <w:rPr>
          <w:rFonts w:ascii="Times New Roman" w:hAnsi="Times New Roman"/>
          <w:b w:val="0"/>
          <w:i w:val="0"/>
          <w:sz w:val="24"/>
        </w:rPr>
        <w:t>The US model risk management framework originates not from AML law but from banking supervision. In 2026, the Federal Reserve and the Office of the Comptroller of the Currency (OCC) jointly issued SR 26-2 ('Guidance on Model Risk Management'), superseding the earlier SR 11-7 (2011) and establishing the current standard for how banks must govern, validate, and document any analytical model — including AML transaction monitoring models.</w:t>
      </w:r>
    </w:p>
    <w:p>
      <w:pPr>
        <w:pStyle w:val="BodyText"/>
        <w:spacing w:lineRule="auto" w:line="360" w:before="0" w:after="120"/>
        <w:ind w:firstLine="283"/>
      </w:pPr>
      <w:r>
        <w:rPr>
          <w:rFonts w:ascii="Times New Roman" w:hAnsi="Times New Roman"/>
          <w:b w:val="0"/>
          <w:i w:val="0"/>
          <w:sz w:val="24"/>
        </w:rPr>
        <w:t>SR 26-2 defines a model broadly: any quantitative method, system, or approach that applies statistical, economic, financial, or mathematical theories or techniques to transform inputs into quantitative estimates. Under this definition, a rule-based TM scenario, a segmentation model, and an ML-based alert scoring system are all models subject to model risk management requirements.</w:t>
      </w:r>
    </w:p>
    <w:p>
      <w:pPr>
        <w:pStyle w:val="BodyText"/>
        <w:spacing w:lineRule="auto" w:line="360" w:before="0" w:after="120"/>
        <w:ind w:firstLine="283"/>
      </w:pPr>
      <w:r>
        <w:rPr>
          <w:rFonts w:ascii="Times New Roman" w:hAnsi="Times New Roman"/>
          <w:b w:val="0"/>
          <w:i w:val="0"/>
          <w:sz w:val="24"/>
        </w:rPr>
        <w:t>The core requirements — model development, validation by an independent function, ongoing monitoring, and documented governance — are ones we apply specifically to AML analytics throughout this book and build into a five-pillar framework in Chapter 9.</w:t>
      </w:r>
    </w:p>
    <w:p>
      <w:pPr>
        <w:pStyle w:val="Heading2"/>
      </w:pPr>
      <w:r>
        <w:rPr>
          <w:rFonts w:ascii="Times New Roman" w:hAnsi="Times New Roman"/>
        </w:rPr>
        <w:t>2.4 European Union</w:t>
      </w:r>
    </w:p>
    <w:p>
      <w:pPr>
        <w:pStyle w:val="BodyText"/>
        <w:spacing w:lineRule="auto" w:line="360" w:before="0" w:after="120"/>
        <w:ind w:firstLine="283"/>
      </w:pPr>
      <w:r>
        <w:rPr>
          <w:rFonts w:ascii="Times New Roman" w:hAnsi="Times New Roman"/>
          <w:b w:val="0"/>
          <w:i w:val="0"/>
          <w:sz w:val="24"/>
        </w:rPr>
        <w:t>EU AML regulation is built on a series of Anti-Money Laundering Directives (AMLDs), which member states are required to transpose into national law. The Directives establish minimum standards; member states may implement stricter requirements.</w:t>
      </w:r>
    </w:p>
    <w:p>
      <w:pPr>
        <w:spacing w:lineRule="auto" w:line="240" w:before="60" w:after="120"/>
        <w:ind w:firstLine="0"/>
        <w:jc w:val="left"/>
      </w:pPr>
      <w:r>
        <w:rPr>
          <w:rFonts w:ascii="Times New Roman" w:hAnsi="Times New Roman"/>
          <w:b w:val="0"/>
          <w:i/>
          <w:sz w:val="20"/>
        </w:rPr>
        <w:t>Table 2.1  Directive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Directive</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Year</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Key Additions</w:t>
            </w:r>
          </w:p>
        </w:tc>
      </w:tr>
      <w:tr>
        <w:tc>
          <w:tcPr>
            <w:tcW w:w="3024" w:type="dxa"/>
          </w:tcPr>
          <w:p>
            <w:pPr>
              <w:spacing w:lineRule="auto" w:line="288" w:before="60" w:after="60"/>
              <w:ind w:left="57" w:right="57"/>
            </w:pPr>
            <w:r>
              <w:rPr>
                <w:rFonts w:ascii="Times New Roman" w:hAnsi="Times New Roman"/>
                <w:b w:val="0"/>
                <w:i w:val="0"/>
                <w:sz w:val="20"/>
              </w:rPr>
              <w:t>AMLD 1</w:t>
            </w:r>
          </w:p>
        </w:tc>
        <w:tc>
          <w:tcPr>
            <w:tcW w:w="3024" w:type="dxa"/>
          </w:tcPr>
          <w:p>
            <w:pPr>
              <w:spacing w:lineRule="auto" w:line="288" w:before="60" w:after="60"/>
              <w:ind w:left="57" w:right="57"/>
            </w:pPr>
            <w:r>
              <w:rPr>
                <w:rFonts w:ascii="Times New Roman" w:hAnsi="Times New Roman"/>
                <w:b w:val="0"/>
                <w:i w:val="0"/>
                <w:sz w:val="20"/>
              </w:rPr>
              <w:t>1991</w:t>
            </w:r>
          </w:p>
        </w:tc>
        <w:tc>
          <w:tcPr>
            <w:tcW w:w="3024" w:type="dxa"/>
          </w:tcPr>
          <w:p>
            <w:pPr>
              <w:spacing w:lineRule="auto" w:line="288" w:before="60" w:after="60"/>
              <w:ind w:left="57" w:right="57"/>
            </w:pPr>
            <w:r>
              <w:rPr>
                <w:rFonts w:ascii="Times New Roman" w:hAnsi="Times New Roman"/>
                <w:b w:val="0"/>
                <w:i w:val="0"/>
                <w:sz w:val="20"/>
              </w:rPr>
              <w:t>First EU AML framework. Established CDD requirements and SAR obligations for credit and financial institutions.</w:t>
            </w:r>
          </w:p>
        </w:tc>
      </w:tr>
      <w:tr>
        <w:tc>
          <w:tcPr>
            <w:tcW w:w="3024" w:type="dxa"/>
          </w:tcPr>
          <w:p>
            <w:pPr>
              <w:spacing w:lineRule="auto" w:line="288" w:before="60" w:after="60"/>
              <w:ind w:left="57" w:right="57"/>
            </w:pPr>
            <w:r>
              <w:rPr>
                <w:rFonts w:ascii="Times New Roman" w:hAnsi="Times New Roman"/>
                <w:b w:val="0"/>
                <w:i w:val="0"/>
                <w:sz w:val="20"/>
              </w:rPr>
              <w:t>AMLD 2</w:t>
            </w:r>
          </w:p>
        </w:tc>
        <w:tc>
          <w:tcPr>
            <w:tcW w:w="3024" w:type="dxa"/>
          </w:tcPr>
          <w:p>
            <w:pPr>
              <w:spacing w:lineRule="auto" w:line="288" w:before="60" w:after="60"/>
              <w:ind w:left="57" w:right="57"/>
            </w:pPr>
            <w:r>
              <w:rPr>
                <w:rFonts w:ascii="Times New Roman" w:hAnsi="Times New Roman"/>
                <w:b w:val="0"/>
                <w:i w:val="0"/>
                <w:sz w:val="20"/>
              </w:rPr>
              <w:t>2001</w:t>
            </w:r>
          </w:p>
        </w:tc>
        <w:tc>
          <w:tcPr>
            <w:tcW w:w="3024" w:type="dxa"/>
          </w:tcPr>
          <w:p>
            <w:pPr>
              <w:spacing w:lineRule="auto" w:line="288" w:before="60" w:after="60"/>
              <w:ind w:left="57" w:right="57"/>
            </w:pPr>
            <w:r>
              <w:rPr>
                <w:rFonts w:ascii="Times New Roman" w:hAnsi="Times New Roman"/>
                <w:b w:val="0"/>
                <w:i w:val="0"/>
                <w:sz w:val="20"/>
              </w:rPr>
              <w:t>Extended scope to notaries, accountants, auditors, and lawyers. Enhanced CDD for politically exposed persons (PEPs).</w:t>
            </w:r>
          </w:p>
        </w:tc>
      </w:tr>
      <w:tr>
        <w:tc>
          <w:tcPr>
            <w:tcW w:w="3024" w:type="dxa"/>
          </w:tcPr>
          <w:p>
            <w:pPr>
              <w:spacing w:lineRule="auto" w:line="288" w:before="60" w:after="60"/>
              <w:ind w:left="57" w:right="57"/>
            </w:pPr>
            <w:r>
              <w:rPr>
                <w:rFonts w:ascii="Times New Roman" w:hAnsi="Times New Roman"/>
                <w:b w:val="0"/>
                <w:i w:val="0"/>
                <w:sz w:val="20"/>
              </w:rPr>
              <w:t>AMLD 3</w:t>
            </w:r>
          </w:p>
        </w:tc>
        <w:tc>
          <w:tcPr>
            <w:tcW w:w="3024" w:type="dxa"/>
          </w:tcPr>
          <w:p>
            <w:pPr>
              <w:spacing w:lineRule="auto" w:line="288" w:before="60" w:after="60"/>
              <w:ind w:left="57" w:right="57"/>
            </w:pPr>
            <w:r>
              <w:rPr>
                <w:rFonts w:ascii="Times New Roman" w:hAnsi="Times New Roman"/>
                <w:b w:val="0"/>
                <w:i w:val="0"/>
                <w:sz w:val="20"/>
              </w:rPr>
              <w:t>2005</w:t>
            </w:r>
          </w:p>
        </w:tc>
        <w:tc>
          <w:tcPr>
            <w:tcW w:w="3024" w:type="dxa"/>
          </w:tcPr>
          <w:p>
            <w:pPr>
              <w:spacing w:lineRule="auto" w:line="288" w:before="60" w:after="60"/>
              <w:ind w:left="57" w:right="57"/>
            </w:pPr>
            <w:r>
              <w:rPr>
                <w:rFonts w:ascii="Times New Roman" w:hAnsi="Times New Roman"/>
                <w:b w:val="0"/>
                <w:i w:val="0"/>
                <w:sz w:val="20"/>
              </w:rPr>
              <w:t>Introduced the risk-based approach. Required customer risk assessment and enhanced due diligence for high-risk customers.</w:t>
            </w:r>
          </w:p>
        </w:tc>
      </w:tr>
      <w:tr>
        <w:tc>
          <w:tcPr>
            <w:tcW w:w="3024" w:type="dxa"/>
          </w:tcPr>
          <w:p>
            <w:pPr>
              <w:spacing w:lineRule="auto" w:line="288" w:before="60" w:after="60"/>
              <w:ind w:left="57" w:right="57"/>
            </w:pPr>
            <w:r>
              <w:rPr>
                <w:rFonts w:ascii="Times New Roman" w:hAnsi="Times New Roman"/>
                <w:b w:val="0"/>
                <w:i w:val="0"/>
                <w:sz w:val="20"/>
              </w:rPr>
              <w:t>AMLD 4</w:t>
            </w:r>
          </w:p>
        </w:tc>
        <w:tc>
          <w:tcPr>
            <w:tcW w:w="3024" w:type="dxa"/>
          </w:tcPr>
          <w:p>
            <w:pPr>
              <w:spacing w:lineRule="auto" w:line="288" w:before="60" w:after="60"/>
              <w:ind w:left="57" w:right="57"/>
            </w:pPr>
            <w:r>
              <w:rPr>
                <w:rFonts w:ascii="Times New Roman" w:hAnsi="Times New Roman"/>
                <w:b w:val="0"/>
                <w:i w:val="0"/>
                <w:sz w:val="20"/>
              </w:rPr>
              <w:t>2015</w:t>
            </w:r>
          </w:p>
        </w:tc>
        <w:tc>
          <w:tcPr>
            <w:tcW w:w="3024" w:type="dxa"/>
          </w:tcPr>
          <w:p>
            <w:pPr>
              <w:spacing w:lineRule="auto" w:line="288" w:before="60" w:after="60"/>
              <w:ind w:left="57" w:right="57"/>
            </w:pPr>
            <w:r>
              <w:rPr>
                <w:rFonts w:ascii="Times New Roman" w:hAnsi="Times New Roman"/>
                <w:b w:val="0"/>
                <w:i w:val="0"/>
                <w:sz w:val="20"/>
              </w:rPr>
              <w:t>Strengthened beneficial ownership transparency. Established national beneficial ownership registers.</w:t>
            </w:r>
          </w:p>
        </w:tc>
      </w:tr>
      <w:tr>
        <w:tc>
          <w:tcPr>
            <w:tcW w:w="3024" w:type="dxa"/>
          </w:tcPr>
          <w:p>
            <w:pPr>
              <w:spacing w:lineRule="auto" w:line="288" w:before="60" w:after="60"/>
              <w:ind w:left="57" w:right="57"/>
            </w:pPr>
            <w:r>
              <w:rPr>
                <w:rFonts w:ascii="Times New Roman" w:hAnsi="Times New Roman"/>
                <w:b w:val="0"/>
                <w:i w:val="0"/>
                <w:sz w:val="20"/>
              </w:rPr>
              <w:t>AMLD 5</w:t>
            </w:r>
          </w:p>
        </w:tc>
        <w:tc>
          <w:tcPr>
            <w:tcW w:w="3024" w:type="dxa"/>
          </w:tcPr>
          <w:p>
            <w:pPr>
              <w:spacing w:lineRule="auto" w:line="288" w:before="60" w:after="60"/>
              <w:ind w:left="57" w:right="57"/>
            </w:pPr>
            <w:r>
              <w:rPr>
                <w:rFonts w:ascii="Times New Roman" w:hAnsi="Times New Roman"/>
                <w:b w:val="0"/>
                <w:i w:val="0"/>
                <w:sz w:val="20"/>
              </w:rPr>
              <w:t>2018</w:t>
            </w:r>
          </w:p>
        </w:tc>
        <w:tc>
          <w:tcPr>
            <w:tcW w:w="3024" w:type="dxa"/>
          </w:tcPr>
          <w:p>
            <w:pPr>
              <w:spacing w:lineRule="auto" w:line="288" w:before="60" w:after="60"/>
              <w:ind w:left="57" w:right="57"/>
            </w:pPr>
            <w:r>
              <w:rPr>
                <w:rFonts w:ascii="Times New Roman" w:hAnsi="Times New Roman"/>
                <w:b w:val="0"/>
                <w:i w:val="0"/>
                <w:sz w:val="20"/>
              </w:rPr>
              <w:t>Extended regulation to virtual currency exchanges and custodian wallet providers. Expanded access to beneficial ownership registers. Widened definition of PEPs.</w:t>
            </w:r>
          </w:p>
        </w:tc>
      </w:tr>
      <w:tr>
        <w:tc>
          <w:tcPr>
            <w:tcW w:w="3024" w:type="dxa"/>
          </w:tcPr>
          <w:p>
            <w:pPr>
              <w:spacing w:lineRule="auto" w:line="288" w:before="60" w:after="60"/>
              <w:ind w:left="57" w:right="57"/>
            </w:pPr>
            <w:r>
              <w:rPr>
                <w:rFonts w:ascii="Times New Roman" w:hAnsi="Times New Roman"/>
                <w:b w:val="0"/>
                <w:i w:val="0"/>
                <w:sz w:val="20"/>
              </w:rPr>
              <w:t>AMLD 6</w:t>
            </w:r>
          </w:p>
        </w:tc>
        <w:tc>
          <w:tcPr>
            <w:tcW w:w="3024" w:type="dxa"/>
          </w:tcPr>
          <w:p>
            <w:pPr>
              <w:spacing w:lineRule="auto" w:line="288" w:before="60" w:after="60"/>
              <w:ind w:left="57" w:right="57"/>
            </w:pPr>
            <w:r>
              <w:rPr>
                <w:rFonts w:ascii="Times New Roman" w:hAnsi="Times New Roman"/>
                <w:b w:val="0"/>
                <w:i w:val="0"/>
                <w:sz w:val="20"/>
              </w:rPr>
              <w:t>2020</w:t>
            </w:r>
          </w:p>
        </w:tc>
        <w:tc>
          <w:tcPr>
            <w:tcW w:w="3024" w:type="dxa"/>
          </w:tcPr>
          <w:p>
            <w:pPr>
              <w:spacing w:lineRule="auto" w:line="288" w:before="60" w:after="60"/>
              <w:ind w:left="57" w:right="57"/>
            </w:pPr>
            <w:r>
              <w:rPr>
                <w:rFonts w:ascii="Times New Roman" w:hAnsi="Times New Roman"/>
                <w:b w:val="0"/>
                <w:i w:val="0"/>
                <w:sz w:val="20"/>
              </w:rPr>
              <w:t>Expanded the list of predicate offences for money laundering to 22. Introduced criminal liability for legal entities. Strengthened cooperation between member states.</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The EU has consolidated its AML framework under a new Anti-Money Laundering Authority (AMLA), which became operational in 2025 and holds direct supervisory powers over the highest-risk cross-border financial institutions. This marks a significant shift from the previous model, where AML supervision was primarily a national responsibility. Whether the EU's traditional compliance-led framework will prove effective as crypto assets and decentralised finance become mainstream is a question we examine in Chapter 10.</w:t>
      </w:r>
    </w:p>
    <w:p>
      <w:pPr>
        <w:pStyle w:val="Heading3"/>
      </w:pPr>
      <w:r>
        <w:rPr>
          <w:rFonts w:ascii="Times New Roman" w:hAnsi="Times New Roman"/>
        </w:rPr>
        <w:t>2.4.1 FATF and the EU</w:t>
      </w:r>
    </w:p>
    <w:p>
      <w:pPr>
        <w:pStyle w:val="BodyText"/>
        <w:spacing w:lineRule="auto" w:line="360" w:before="0" w:after="120"/>
        <w:ind w:firstLine="283"/>
      </w:pPr>
      <w:r>
        <w:rPr>
          <w:rFonts w:ascii="Times New Roman" w:hAnsi="Times New Roman"/>
          <w:b w:val="0"/>
          <w:i w:val="0"/>
          <w:sz w:val="24"/>
        </w:rPr>
        <w:t>The EU is a member of FATF and its legislative framework is designed to implement FATF's 40 Recommendations. In practice, the EU's AML Directives often go further than FATF minimum standards, particularly on beneficial ownership transparency and the scope of obliged entities.</w:t>
      </w:r>
    </w:p>
    <w:p>
      <w:pPr>
        <w:pStyle w:val="Heading2"/>
      </w:pPr>
      <w:r>
        <w:rPr>
          <w:rFonts w:ascii="Times New Roman" w:hAnsi="Times New Roman"/>
        </w:rPr>
        <w:t>2.5 United Kingdom</w:t>
      </w:r>
    </w:p>
    <w:p>
      <w:pPr>
        <w:pStyle w:val="BodyText"/>
        <w:spacing w:lineRule="auto" w:line="360" w:before="0" w:after="120"/>
        <w:ind w:firstLine="283"/>
      </w:pPr>
      <w:r>
        <w:rPr>
          <w:rFonts w:ascii="Times New Roman" w:hAnsi="Times New Roman"/>
          <w:b w:val="0"/>
          <w:i w:val="0"/>
          <w:sz w:val="24"/>
        </w:rPr>
        <w:t>The UK's AML regime was historically aligned with EU law through the AML Directives. Since leaving the EU, the UK has retained substantially the same framework but now develops its rules independently.</w:t>
      </w:r>
    </w:p>
    <w:p>
      <w:pPr>
        <w:pStyle w:val="Heading3"/>
      </w:pPr>
      <w:r>
        <w:rPr>
          <w:rFonts w:ascii="Times New Roman" w:hAnsi="Times New Roman"/>
        </w:rPr>
        <w:t>2.5.1 The Money Laundering Regulations (MLRs)</w:t>
      </w:r>
    </w:p>
    <w:p>
      <w:pPr>
        <w:pStyle w:val="BodyText"/>
        <w:spacing w:lineRule="auto" w:line="360" w:before="0" w:after="120"/>
        <w:ind w:firstLine="283"/>
      </w:pPr>
      <w:r>
        <w:rPr>
          <w:rFonts w:ascii="Times New Roman" w:hAnsi="Times New Roman"/>
          <w:b w:val="0"/>
          <w:i w:val="0"/>
          <w:sz w:val="24"/>
        </w:rPr>
        <w:t>The Money Laundering, Terrorist Financing and Transfer of Funds (Information on the Payer) Regulations 2017 (as amended) are the primary implementing legislation for AML obligations on UK financial institutions. They set out requirements for:</w:t>
      </w:r>
    </w:p>
    <w:p>
      <w:pPr>
        <w:pStyle w:val="ListBullet"/>
        <w:spacing w:lineRule="auto" w:line="360" w:before="0" w:after="60"/>
      </w:pPr>
      <w:r>
        <w:rPr>
          <w:rFonts w:ascii="Times New Roman" w:hAnsi="Times New Roman"/>
          <w:b w:val="0"/>
          <w:i w:val="0"/>
          <w:sz w:val="24"/>
        </w:rPr>
        <w:t>Customer due diligence, including enhanced due diligence for higher-risk situations.</w:t>
      </w:r>
    </w:p>
    <w:p>
      <w:pPr>
        <w:pStyle w:val="ListBullet"/>
        <w:spacing w:lineRule="auto" w:line="360" w:before="0" w:after="60"/>
      </w:pPr>
      <w:r>
        <w:rPr>
          <w:rFonts w:ascii="Times New Roman" w:hAnsi="Times New Roman"/>
          <w:b w:val="0"/>
          <w:i w:val="0"/>
          <w:sz w:val="24"/>
        </w:rPr>
        <w:t>Ongoing monitoring of business relationships and transactions.</w:t>
      </w:r>
    </w:p>
    <w:p>
      <w:pPr>
        <w:pStyle w:val="ListBullet"/>
        <w:spacing w:lineRule="auto" w:line="360" w:before="0" w:after="60"/>
      </w:pPr>
      <w:r>
        <w:rPr>
          <w:rFonts w:ascii="Times New Roman" w:hAnsi="Times New Roman"/>
          <w:b w:val="0"/>
          <w:i w:val="0"/>
          <w:sz w:val="24"/>
        </w:rPr>
        <w:t>Policies, controls, and procedures to prevent money laundering.</w:t>
      </w:r>
    </w:p>
    <w:p>
      <w:pPr>
        <w:pStyle w:val="ListBullet"/>
        <w:spacing w:lineRule="auto" w:line="360" w:before="0" w:after="60"/>
      </w:pPr>
      <w:r>
        <w:rPr>
          <w:rFonts w:ascii="Times New Roman" w:hAnsi="Times New Roman"/>
          <w:b w:val="0"/>
          <w:i w:val="0"/>
          <w:sz w:val="24"/>
        </w:rPr>
        <w:t>Staff training and awareness.</w:t>
      </w:r>
    </w:p>
    <w:p>
      <w:pPr>
        <w:pStyle w:val="Heading3"/>
      </w:pPr>
      <w:r>
        <w:rPr>
          <w:rFonts w:ascii="Times New Roman" w:hAnsi="Times New Roman"/>
        </w:rPr>
        <w:t>2.5.2 The Financial Conduct Authority (FCA)</w:t>
      </w:r>
    </w:p>
    <w:p>
      <w:pPr>
        <w:pStyle w:val="BodyText"/>
        <w:spacing w:lineRule="auto" w:line="360" w:before="0" w:after="120"/>
        <w:ind w:firstLine="283"/>
      </w:pPr>
      <w:r>
        <w:rPr>
          <w:rFonts w:ascii="Times New Roman" w:hAnsi="Times New Roman"/>
          <w:b w:val="0"/>
          <w:i w:val="0"/>
          <w:sz w:val="24"/>
        </w:rPr>
        <w:t>The FCA is the primary AML supervisor for most UK financial services firms, including retail banks. It conducts thematic reviews and individual firm supervision, and has the power to impose unlimited fines and criminal sanctions. Its publication "Financial Crime: A Guide for Firms" sets out its expectations in considerable detail and is essential reading for any UK-based AML professional.</w:t>
      </w:r>
    </w:p>
    <w:p>
      <w:pPr>
        <w:pStyle w:val="Heading3"/>
      </w:pPr>
      <w:r>
        <w:rPr>
          <w:rFonts w:ascii="Times New Roman" w:hAnsi="Times New Roman"/>
        </w:rPr>
        <w:t>2.5.3 The Proceeds of Crime Act (POCA) 2002</w:t>
      </w:r>
    </w:p>
    <w:p>
      <w:pPr>
        <w:pStyle w:val="BodyText"/>
        <w:spacing w:lineRule="auto" w:line="360" w:before="0" w:after="120"/>
        <w:ind w:firstLine="283"/>
      </w:pPr>
      <w:r>
        <w:rPr>
          <w:rFonts w:ascii="Times New Roman" w:hAnsi="Times New Roman"/>
          <w:b w:val="0"/>
          <w:i w:val="0"/>
          <w:sz w:val="24"/>
        </w:rPr>
        <w:t>POCA 2002 criminalises money laundering and tipping off. Its definition of money laundering is intentionally broad: it covers the acquisition, use, or possession of criminal property, regardless of which crime generated it. The tipping off offence — disclosing to a customer that a SAR has been or is about to be filed — is a criminal offence carrying up to two years imprisonment. Every analyst working with SARs must understand this.</w:t>
      </w:r>
    </w:p>
    <w:p>
      <w:pPr>
        <w:pStyle w:val="Heading3"/>
      </w:pPr>
      <w:r>
        <w:rPr>
          <w:rFonts w:ascii="Times New Roman" w:hAnsi="Times New Roman"/>
        </w:rPr>
        <w:t>2.5.4 PRA Supervisory Statement SS1/23 — Model Risk Management</w:t>
      </w:r>
    </w:p>
    <w:p>
      <w:pPr>
        <w:pStyle w:val="BodyText"/>
        <w:spacing w:lineRule="auto" w:line="360" w:before="0" w:after="120"/>
        <w:ind w:firstLine="283"/>
      </w:pPr>
      <w:r>
        <w:rPr>
          <w:rFonts w:ascii="Times New Roman" w:hAnsi="Times New Roman"/>
          <w:b w:val="0"/>
          <w:i w:val="0"/>
          <w:sz w:val="24"/>
        </w:rPr>
        <w:t>The PRA's SS1/23 establishes supervisory expectations for model risk management at UK banks. While not AML-specific, it is directly relevant to any analytical model used in a Transaction Monitoring Framework — including segmentation models, threshold calibration models, and ML-based alert scoring. The principles in SS1/23 parallel those in the US Federal Reserve's SR 26-2 guidance (Section 2.3.5). We synthesise both into a five-pillar framework for AML model validation in Chapter 9.</w:t>
      </w:r>
    </w:p>
    <w:p>
      <w:pPr>
        <w:pStyle w:val="Heading2"/>
      </w:pPr>
      <w:r>
        <w:rPr>
          <w:rFonts w:ascii="Times New Roman" w:hAnsi="Times New Roman"/>
        </w:rPr>
        <w:t>2.6 Singapore</w:t>
      </w:r>
    </w:p>
    <w:p>
      <w:pPr>
        <w:pStyle w:val="BodyText"/>
        <w:spacing w:lineRule="auto" w:line="360" w:before="0" w:after="120"/>
        <w:ind w:firstLine="283"/>
      </w:pPr>
      <w:r>
        <w:rPr>
          <w:rFonts w:ascii="Times New Roman" w:hAnsi="Times New Roman"/>
          <w:b w:val="0"/>
          <w:i w:val="0"/>
          <w:sz w:val="24"/>
        </w:rPr>
        <w:t>Singapore's AML framework is smaller in scope than the US or EU frameworks but notable for its pragmatism and technological sophistication. We cover its three core components. The framework is administered by the Monetary Authority of Singapore (MAS) and reflects Singapore's position as one of the world's major financial centres.</w:t>
      </w:r>
    </w:p>
    <w:p>
      <w:pPr>
        <w:pStyle w:val="Heading3"/>
      </w:pPr>
      <w:r>
        <w:rPr>
          <w:rFonts w:ascii="Times New Roman" w:hAnsi="Times New Roman"/>
        </w:rPr>
        <w:t>2.6.1 The Corruption, Drug Trafficking and Other Serious Crimes (Confiscation of Benefits) Act (CDSA)</w:t>
      </w:r>
    </w:p>
    <w:p>
      <w:pPr>
        <w:pStyle w:val="BodyText"/>
        <w:spacing w:lineRule="auto" w:line="360" w:before="0" w:after="120"/>
        <w:ind w:firstLine="283"/>
      </w:pPr>
      <w:r>
        <w:rPr>
          <w:rFonts w:ascii="Times New Roman" w:hAnsi="Times New Roman"/>
          <w:b w:val="0"/>
          <w:i w:val="0"/>
          <w:sz w:val="24"/>
        </w:rPr>
        <w:t>The CDSA criminalises money laundering in Singapore. It applies to the proceeds of a wide range of serious crimes and imposes obligations to report knowledge or suspicion of money laundering to the Suspicious Transaction Reporting Office (STRO).</w:t>
      </w:r>
    </w:p>
    <w:p>
      <w:pPr>
        <w:pStyle w:val="Heading3"/>
      </w:pPr>
      <w:r>
        <w:rPr>
          <w:rFonts w:ascii="Times New Roman" w:hAnsi="Times New Roman"/>
        </w:rPr>
        <w:t>2.6.2 MAS Notice 1070</w:t>
      </w:r>
    </w:p>
    <w:p>
      <w:pPr>
        <w:pStyle w:val="BodyText"/>
        <w:spacing w:lineRule="auto" w:line="360" w:before="0" w:after="120"/>
        <w:ind w:firstLine="283"/>
      </w:pPr>
      <w:r>
        <w:rPr>
          <w:rFonts w:ascii="Times New Roman" w:hAnsi="Times New Roman"/>
          <w:b w:val="0"/>
          <w:i w:val="0"/>
          <w:sz w:val="24"/>
        </w:rPr>
        <w:t>MAS Notice 1070 ("Prevention of Money Laundering and Countering the Financing of Terrorism — Banks") sets out the requirements for CDD, ongoing monitoring, and suspicious transaction reporting for Singapore-licensed banks. It is broadly aligned with FATF standards and explicitly references the risk-based approach.</w:t>
      </w:r>
    </w:p>
    <w:p>
      <w:pPr>
        <w:pStyle w:val="Heading3"/>
      </w:pPr>
      <w:r>
        <w:rPr>
          <w:rFonts w:ascii="Times New Roman" w:hAnsi="Times New Roman"/>
        </w:rPr>
        <w:t>2.6.3 MAS Technology Risk Management Guidelines</w:t>
      </w:r>
    </w:p>
    <w:p>
      <w:pPr>
        <w:pStyle w:val="BodyText"/>
        <w:spacing w:lineRule="auto" w:line="360" w:before="0" w:after="120"/>
        <w:ind w:firstLine="283"/>
      </w:pPr>
      <w:r>
        <w:rPr>
          <w:rFonts w:ascii="Times New Roman" w:hAnsi="Times New Roman"/>
          <w:b w:val="0"/>
          <w:i w:val="0"/>
          <w:sz w:val="24"/>
        </w:rPr>
        <w:t>The MAS TRM Guidelines are relevant to any technology system used in AML — including transaction monitoring systems. They require banks to manage the risks associated with technology systems and to ensure those systems are resilient, accurate, and well-governed. The principles in these guidelines overlap significantly with model risk management frameworks elsewhere.</w:t>
      </w:r>
    </w:p>
    <w:p>
      <w:pPr>
        <w:pStyle w:val="Heading2"/>
      </w:pPr>
      <w:r>
        <w:rPr>
          <w:rFonts w:ascii="Times New Roman" w:hAnsi="Times New Roman"/>
        </w:rPr>
        <w:t>2.7 Key Guidance Bodies: FFIEC and JMLSG</w:t>
      </w:r>
    </w:p>
    <w:p>
      <w:pPr>
        <w:pStyle w:val="BodyText"/>
        <w:spacing w:lineRule="auto" w:line="360" w:before="0" w:after="120"/>
        <w:ind w:firstLine="283"/>
      </w:pPr>
      <w:r>
        <w:rPr>
          <w:rFonts w:ascii="Times New Roman" w:hAnsi="Times New Roman"/>
          <w:b w:val="0"/>
          <w:i w:val="0"/>
          <w:sz w:val="24"/>
        </w:rPr>
        <w:t>Beyond the statutory regulators, two guidance bodies are particularly important for AML transaction monitoring practitioners.</w:t>
      </w:r>
    </w:p>
    <w:p>
      <w:pPr>
        <w:pStyle w:val="Heading3"/>
      </w:pPr>
      <w:r>
        <w:rPr>
          <w:rFonts w:ascii="Times New Roman" w:hAnsi="Times New Roman"/>
        </w:rPr>
        <w:t>2.7.1 FFIEC — BSA/AML Examination Manual</w:t>
      </w:r>
    </w:p>
    <w:p>
      <w:pPr>
        <w:pStyle w:val="BodyText"/>
        <w:spacing w:lineRule="auto" w:line="360" w:before="0" w:after="120"/>
        <w:ind w:firstLine="283"/>
      </w:pPr>
      <w:r>
        <w:rPr>
          <w:rFonts w:ascii="Times New Roman" w:hAnsi="Times New Roman"/>
          <w:b w:val="0"/>
          <w:i w:val="0"/>
          <w:sz w:val="24"/>
        </w:rPr>
        <w:t>The Federal Financial Institutions Examination Council (FFIEC) publishes the BSA/AML Examination Manual, the definitive guide to how US bank examiners assess AML compliance. While it is a US document, it is widely referenced internationally because of its detail and practical focus. Analysts should be familiar with its sections on transaction monitoring, suspicious activity identification, and red flags — we draw on these extensively in Chapter 7.</w:t>
      </w:r>
    </w:p>
    <w:p>
      <w:pPr>
        <w:pStyle w:val="Heading3"/>
      </w:pPr>
      <w:r>
        <w:rPr>
          <w:rFonts w:ascii="Times New Roman" w:hAnsi="Times New Roman"/>
        </w:rPr>
        <w:t>2.7.2 JMLSG — Guidance for the UK Financial Sector</w:t>
      </w:r>
    </w:p>
    <w:p>
      <w:pPr>
        <w:pStyle w:val="BodyText"/>
        <w:spacing w:lineRule="auto" w:line="360" w:before="0" w:after="120"/>
        <w:ind w:firstLine="283"/>
      </w:pPr>
      <w:r>
        <w:rPr>
          <w:rFonts w:ascii="Times New Roman" w:hAnsi="Times New Roman"/>
          <w:b w:val="0"/>
          <w:i w:val="0"/>
          <w:sz w:val="24"/>
        </w:rPr>
        <w:t>The Joint Money Laundering Steering Group (JMLSG) is a private sector body that publishes guidance for UK financial services firms on how to comply with the Money Laundering Regulations. Its guidance is not legally binding, but HM Treasury has approved it, and courts may take compliance with JMLSG guidance into account when considering whether a firm has met its legal obligations. It is the closest thing the UK has to a practitioners' manual for AML compliance.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2.3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You may be familiar with the concept of 'regulatory arbitrage' from economics or finance courses — the idea that firms choose their domicile based on regulatory burden. In AML, the opposite pressure applies. International institutions must comply with the most demanding standard across all the jurisdictions in which they operate. A US bank with a Singapore branch cannot apply weaker standards in Singapore just because MAS has different rules — it must apply whichever framework is more demanding on each specific point. This is why senior AML professionals must understand multiple regulatory regimes simultaneously.</w:t>
            </w:r>
          </w:p>
        </w:tc>
      </w:tr>
    </w:tbl>
    <w:p>
      <w:pPr>
        <w:spacing w:lineRule="auto" w:line="240" w:before="0" w:after="160"/>
      </w:pPr>
    </w:p>
    <w:p>
      <w:pPr>
        <w:pStyle w:val="Heading2"/>
      </w:pPr>
      <w:r>
        <w:rPr>
          <w:rFonts w:ascii="Times New Roman" w:hAnsi="Times New Roman"/>
        </w:rPr>
        <w:t>2.8 Regulatory Comparison: Key Requirements by Jurisdiction</w:t>
      </w:r>
    </w:p>
    <w:p>
      <w:pPr>
        <w:spacing w:lineRule="auto" w:line="240" w:before="60" w:after="120"/>
        <w:ind w:firstLine="0"/>
        <w:jc w:val="left"/>
      </w:pPr>
      <w:r>
        <w:rPr>
          <w:rFonts w:ascii="Times New Roman" w:hAnsi="Times New Roman"/>
          <w:b w:val="0"/>
          <w:i/>
          <w:sz w:val="20"/>
        </w:rPr>
        <w:t>Table 2.2  Requirement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1814"/>
        <w:gridCol w:w="1814"/>
        <w:gridCol w:w="1814"/>
        <w:gridCol w:w="1814"/>
        <w:gridCol w:w="1814"/>
      </w:tblGrid>
      <w:tr>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Requirement</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US</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EU</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UK</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Singapore</w:t>
            </w:r>
          </w:p>
        </w:tc>
      </w:tr>
      <w:tr>
        <w:tc>
          <w:tcPr>
            <w:tcW w:w="1814" w:type="dxa"/>
          </w:tcPr>
          <w:p>
            <w:pPr>
              <w:spacing w:lineRule="auto" w:line="288" w:before="60" w:after="60"/>
              <w:ind w:left="57" w:right="57"/>
            </w:pPr>
            <w:r>
              <w:rPr>
                <w:rFonts w:ascii="Times New Roman" w:hAnsi="Times New Roman"/>
                <w:b w:val="0"/>
                <w:i w:val="0"/>
                <w:sz w:val="20"/>
              </w:rPr>
              <w:t>Mandatory SAR/STR Filing</w:t>
            </w:r>
          </w:p>
        </w:tc>
        <w:tc>
          <w:tcPr>
            <w:tcW w:w="1814" w:type="dxa"/>
          </w:tcPr>
          <w:p>
            <w:pPr>
              <w:spacing w:lineRule="auto" w:line="288" w:before="60" w:after="60"/>
              <w:ind w:left="57" w:right="57"/>
            </w:pPr>
            <w:r>
              <w:rPr>
                <w:rFonts w:ascii="Times New Roman" w:hAnsi="Times New Roman"/>
                <w:b w:val="0"/>
                <w:i w:val="0"/>
                <w:sz w:val="20"/>
              </w:rPr>
              <w:t>Yes (BSA)</w:t>
            </w:r>
          </w:p>
        </w:tc>
        <w:tc>
          <w:tcPr>
            <w:tcW w:w="1814" w:type="dxa"/>
          </w:tcPr>
          <w:p>
            <w:pPr>
              <w:spacing w:lineRule="auto" w:line="288" w:before="60" w:after="60"/>
              <w:ind w:left="57" w:right="57"/>
            </w:pPr>
            <w:r>
              <w:rPr>
                <w:rFonts w:ascii="Times New Roman" w:hAnsi="Times New Roman"/>
                <w:b w:val="0"/>
                <w:i w:val="0"/>
                <w:sz w:val="20"/>
              </w:rPr>
              <w:t>Yes (AMLDs)</w:t>
            </w:r>
          </w:p>
        </w:tc>
        <w:tc>
          <w:tcPr>
            <w:tcW w:w="1814" w:type="dxa"/>
          </w:tcPr>
          <w:p>
            <w:pPr>
              <w:spacing w:lineRule="auto" w:line="288" w:before="60" w:after="60"/>
              <w:ind w:left="57" w:right="57"/>
            </w:pPr>
            <w:r>
              <w:rPr>
                <w:rFonts w:ascii="Times New Roman" w:hAnsi="Times New Roman"/>
                <w:b w:val="0"/>
                <w:i w:val="0"/>
                <w:sz w:val="20"/>
              </w:rPr>
              <w:t>Yes (POCA 2002 / MLRs)</w:t>
            </w:r>
          </w:p>
        </w:tc>
        <w:tc>
          <w:tcPr>
            <w:tcW w:w="1814" w:type="dxa"/>
          </w:tcPr>
          <w:p>
            <w:pPr>
              <w:spacing w:lineRule="auto" w:line="288" w:before="60" w:after="60"/>
              <w:ind w:left="57" w:right="57"/>
            </w:pPr>
            <w:r>
              <w:rPr>
                <w:rFonts w:ascii="Times New Roman" w:hAnsi="Times New Roman"/>
                <w:b w:val="0"/>
                <w:i w:val="0"/>
                <w:sz w:val="20"/>
              </w:rPr>
              <w:t>Yes (CDSA)</w:t>
            </w:r>
          </w:p>
        </w:tc>
      </w:tr>
      <w:tr>
        <w:tc>
          <w:tcPr>
            <w:tcW w:w="1814" w:type="dxa"/>
          </w:tcPr>
          <w:p>
            <w:pPr>
              <w:spacing w:lineRule="auto" w:line="288" w:before="60" w:after="60"/>
              <w:ind w:left="57" w:right="57"/>
            </w:pPr>
            <w:r>
              <w:rPr>
                <w:rFonts w:ascii="Times New Roman" w:hAnsi="Times New Roman"/>
                <w:b w:val="0"/>
                <w:i w:val="0"/>
                <w:sz w:val="20"/>
              </w:rPr>
              <w:t>Risk-Based Approach</w:t>
            </w:r>
          </w:p>
        </w:tc>
        <w:tc>
          <w:tcPr>
            <w:tcW w:w="1814" w:type="dxa"/>
          </w:tcPr>
          <w:p>
            <w:pPr>
              <w:spacing w:lineRule="auto" w:line="288" w:before="60" w:after="60"/>
              <w:ind w:left="57" w:right="57"/>
            </w:pPr>
            <w:r>
              <w:rPr>
                <w:rFonts w:ascii="Times New Roman" w:hAnsi="Times New Roman"/>
                <w:b w:val="0"/>
                <w:i w:val="0"/>
                <w:sz w:val="20"/>
              </w:rPr>
              <w:t>Yes (AMLA 2020)</w:t>
            </w:r>
          </w:p>
        </w:tc>
        <w:tc>
          <w:tcPr>
            <w:tcW w:w="1814" w:type="dxa"/>
          </w:tcPr>
          <w:p>
            <w:pPr>
              <w:spacing w:lineRule="auto" w:line="288" w:before="60" w:after="60"/>
              <w:ind w:left="57" w:right="57"/>
            </w:pPr>
            <w:r>
              <w:rPr>
                <w:rFonts w:ascii="Times New Roman" w:hAnsi="Times New Roman"/>
                <w:b w:val="0"/>
                <w:i w:val="0"/>
                <w:sz w:val="20"/>
              </w:rPr>
              <w:t>Yes (AMLD 3+)</w:t>
            </w:r>
          </w:p>
        </w:tc>
        <w:tc>
          <w:tcPr>
            <w:tcW w:w="1814" w:type="dxa"/>
          </w:tcPr>
          <w:p>
            <w:pPr>
              <w:spacing w:lineRule="auto" w:line="288" w:before="60" w:after="60"/>
              <w:ind w:left="57" w:right="57"/>
            </w:pPr>
            <w:r>
              <w:rPr>
                <w:rFonts w:ascii="Times New Roman" w:hAnsi="Times New Roman"/>
                <w:b w:val="0"/>
                <w:i w:val="0"/>
                <w:sz w:val="20"/>
              </w:rPr>
              <w:t>Yes (MLRs)</w:t>
            </w:r>
          </w:p>
        </w:tc>
        <w:tc>
          <w:tcPr>
            <w:tcW w:w="1814" w:type="dxa"/>
          </w:tcPr>
          <w:p>
            <w:pPr>
              <w:spacing w:lineRule="auto" w:line="288" w:before="60" w:after="60"/>
              <w:ind w:left="57" w:right="57"/>
            </w:pPr>
            <w:r>
              <w:rPr>
                <w:rFonts w:ascii="Times New Roman" w:hAnsi="Times New Roman"/>
                <w:b w:val="0"/>
                <w:i w:val="0"/>
                <w:sz w:val="20"/>
              </w:rPr>
              <w:t>Yes (MAS Notice 1070)</w:t>
            </w:r>
          </w:p>
        </w:tc>
      </w:tr>
      <w:tr>
        <w:tc>
          <w:tcPr>
            <w:tcW w:w="1814" w:type="dxa"/>
          </w:tcPr>
          <w:p>
            <w:pPr>
              <w:spacing w:lineRule="auto" w:line="288" w:before="60" w:after="60"/>
              <w:ind w:left="57" w:right="57"/>
            </w:pPr>
            <w:r>
              <w:rPr>
                <w:rFonts w:ascii="Times New Roman" w:hAnsi="Times New Roman"/>
                <w:b w:val="0"/>
                <w:i w:val="0"/>
                <w:sz w:val="20"/>
              </w:rPr>
              <w:t>Beneficial Ownership Register</w:t>
            </w:r>
          </w:p>
        </w:tc>
        <w:tc>
          <w:tcPr>
            <w:tcW w:w="1814" w:type="dxa"/>
          </w:tcPr>
          <w:p>
            <w:pPr>
              <w:spacing w:lineRule="auto" w:line="288" w:before="60" w:after="60"/>
              <w:ind w:left="57" w:right="57"/>
            </w:pPr>
            <w:r>
              <w:rPr>
                <w:rFonts w:ascii="Times New Roman" w:hAnsi="Times New Roman"/>
                <w:b w:val="0"/>
                <w:i w:val="0"/>
                <w:sz w:val="20"/>
              </w:rPr>
              <w:t>Yes (AMLA 2020 / FinCEN)</w:t>
            </w:r>
          </w:p>
        </w:tc>
        <w:tc>
          <w:tcPr>
            <w:tcW w:w="1814" w:type="dxa"/>
          </w:tcPr>
          <w:p>
            <w:pPr>
              <w:spacing w:lineRule="auto" w:line="288" w:before="60" w:after="60"/>
              <w:ind w:left="57" w:right="57"/>
            </w:pPr>
            <w:r>
              <w:rPr>
                <w:rFonts w:ascii="Times New Roman" w:hAnsi="Times New Roman"/>
                <w:b w:val="0"/>
                <w:i w:val="0"/>
                <w:sz w:val="20"/>
              </w:rPr>
              <w:t>Yes (AMLD 4+)</w:t>
            </w:r>
          </w:p>
        </w:tc>
        <w:tc>
          <w:tcPr>
            <w:tcW w:w="1814" w:type="dxa"/>
          </w:tcPr>
          <w:p>
            <w:pPr>
              <w:spacing w:lineRule="auto" w:line="288" w:before="60" w:after="60"/>
              <w:ind w:left="57" w:right="57"/>
            </w:pPr>
            <w:r>
              <w:rPr>
                <w:rFonts w:ascii="Times New Roman" w:hAnsi="Times New Roman"/>
                <w:b w:val="0"/>
                <w:i w:val="0"/>
                <w:sz w:val="20"/>
              </w:rPr>
              <w:t>Yes (MLRs)</w:t>
            </w:r>
          </w:p>
        </w:tc>
        <w:tc>
          <w:tcPr>
            <w:tcW w:w="1814" w:type="dxa"/>
          </w:tcPr>
          <w:p>
            <w:pPr>
              <w:spacing w:lineRule="auto" w:line="288" w:before="60" w:after="60"/>
              <w:ind w:left="57" w:right="57"/>
            </w:pPr>
            <w:r>
              <w:rPr>
                <w:rFonts w:ascii="Times New Roman" w:hAnsi="Times New Roman"/>
                <w:b w:val="0"/>
                <w:i w:val="0"/>
                <w:sz w:val="20"/>
              </w:rPr>
              <w:t>Partial (ACRA — Accounting and Corporate Regulatory Authority)</w:t>
            </w:r>
          </w:p>
        </w:tc>
      </w:tr>
      <w:tr>
        <w:tc>
          <w:tcPr>
            <w:tcW w:w="1814" w:type="dxa"/>
          </w:tcPr>
          <w:p>
            <w:pPr>
              <w:spacing w:lineRule="auto" w:line="288" w:before="60" w:after="60"/>
              <w:ind w:left="57" w:right="57"/>
            </w:pPr>
            <w:r>
              <w:rPr>
                <w:rFonts w:ascii="Times New Roman" w:hAnsi="Times New Roman"/>
                <w:b w:val="0"/>
                <w:i w:val="0"/>
                <w:sz w:val="20"/>
              </w:rPr>
              <w:t>Crypto / Virtual Assets Covered</w:t>
            </w:r>
          </w:p>
        </w:tc>
        <w:tc>
          <w:tcPr>
            <w:tcW w:w="1814" w:type="dxa"/>
          </w:tcPr>
          <w:p>
            <w:pPr>
              <w:spacing w:lineRule="auto" w:line="288" w:before="60" w:after="60"/>
              <w:ind w:left="57" w:right="57"/>
            </w:pPr>
            <w:r>
              <w:rPr>
                <w:rFonts w:ascii="Times New Roman" w:hAnsi="Times New Roman"/>
                <w:b w:val="0"/>
                <w:i w:val="0"/>
                <w:sz w:val="20"/>
              </w:rPr>
              <w:t>Yes (FinCEN guidance)</w:t>
            </w:r>
          </w:p>
        </w:tc>
        <w:tc>
          <w:tcPr>
            <w:tcW w:w="1814" w:type="dxa"/>
          </w:tcPr>
          <w:p>
            <w:pPr>
              <w:spacing w:lineRule="auto" w:line="288" w:before="60" w:after="60"/>
              <w:ind w:left="57" w:right="57"/>
            </w:pPr>
            <w:r>
              <w:rPr>
                <w:rFonts w:ascii="Times New Roman" w:hAnsi="Times New Roman"/>
                <w:b w:val="0"/>
                <w:i w:val="0"/>
                <w:sz w:val="20"/>
              </w:rPr>
              <w:t>Yes (AMLD 5)</w:t>
            </w:r>
          </w:p>
        </w:tc>
        <w:tc>
          <w:tcPr>
            <w:tcW w:w="1814" w:type="dxa"/>
          </w:tcPr>
          <w:p>
            <w:pPr>
              <w:spacing w:lineRule="auto" w:line="288" w:before="60" w:after="60"/>
              <w:ind w:left="57" w:right="57"/>
            </w:pPr>
            <w:r>
              <w:rPr>
                <w:rFonts w:ascii="Times New Roman" w:hAnsi="Times New Roman"/>
                <w:b w:val="0"/>
                <w:i w:val="0"/>
                <w:sz w:val="20"/>
              </w:rPr>
              <w:t>Yes (MLRs 2019 amendment)</w:t>
            </w:r>
          </w:p>
        </w:tc>
        <w:tc>
          <w:tcPr>
            <w:tcW w:w="1814" w:type="dxa"/>
          </w:tcPr>
          <w:p>
            <w:pPr>
              <w:spacing w:lineRule="auto" w:line="288" w:before="60" w:after="60"/>
              <w:ind w:left="57" w:right="57"/>
            </w:pPr>
            <w:r>
              <w:rPr>
                <w:rFonts w:ascii="Times New Roman" w:hAnsi="Times New Roman"/>
                <w:b w:val="0"/>
                <w:i w:val="0"/>
                <w:sz w:val="20"/>
              </w:rPr>
              <w:t>Yes (MAS PSA)</w:t>
            </w:r>
          </w:p>
        </w:tc>
      </w:tr>
      <w:tr>
        <w:tc>
          <w:tcPr>
            <w:tcW w:w="1814" w:type="dxa"/>
          </w:tcPr>
          <w:p>
            <w:pPr>
              <w:spacing w:lineRule="auto" w:line="288" w:before="60" w:after="60"/>
              <w:ind w:left="57" w:right="57"/>
            </w:pPr>
            <w:r>
              <w:rPr>
                <w:rFonts w:ascii="Times New Roman" w:hAnsi="Times New Roman"/>
                <w:b w:val="0"/>
                <w:i w:val="0"/>
                <w:sz w:val="20"/>
              </w:rPr>
              <w:t>Model Risk Framework Required</w:t>
            </w:r>
          </w:p>
        </w:tc>
        <w:tc>
          <w:tcPr>
            <w:tcW w:w="1814" w:type="dxa"/>
          </w:tcPr>
          <w:p>
            <w:pPr>
              <w:spacing w:lineRule="auto" w:line="288" w:before="60" w:after="60"/>
              <w:ind w:left="57" w:right="57"/>
            </w:pPr>
            <w:r>
              <w:rPr>
                <w:rFonts w:ascii="Times New Roman" w:hAnsi="Times New Roman"/>
                <w:b w:val="0"/>
                <w:i w:val="0"/>
                <w:sz w:val="20"/>
              </w:rPr>
              <w:t>Yes (SR 26-2)</w:t>
            </w:r>
          </w:p>
        </w:tc>
        <w:tc>
          <w:tcPr>
            <w:tcW w:w="1814" w:type="dxa"/>
          </w:tcPr>
          <w:p>
            <w:pPr>
              <w:spacing w:lineRule="auto" w:line="288" w:before="60" w:after="60"/>
              <w:ind w:left="57" w:right="57"/>
            </w:pPr>
            <w:r>
              <w:rPr>
                <w:rFonts w:ascii="Times New Roman" w:hAnsi="Times New Roman"/>
                <w:b w:val="0"/>
                <w:i w:val="0"/>
                <w:sz w:val="20"/>
              </w:rPr>
              <w:t>Indirect (EBA ICT)</w:t>
            </w:r>
          </w:p>
        </w:tc>
        <w:tc>
          <w:tcPr>
            <w:tcW w:w="1814" w:type="dxa"/>
          </w:tcPr>
          <w:p>
            <w:pPr>
              <w:spacing w:lineRule="auto" w:line="288" w:before="60" w:after="60"/>
              <w:ind w:left="57" w:right="57"/>
            </w:pPr>
            <w:r>
              <w:rPr>
                <w:rFonts w:ascii="Times New Roman" w:hAnsi="Times New Roman"/>
                <w:b w:val="0"/>
                <w:i w:val="0"/>
                <w:sz w:val="20"/>
              </w:rPr>
              <w:t>Yes (PRA SS1/23)</w:t>
            </w:r>
          </w:p>
        </w:tc>
        <w:tc>
          <w:tcPr>
            <w:tcW w:w="1814" w:type="dxa"/>
          </w:tcPr>
          <w:p>
            <w:pPr>
              <w:spacing w:lineRule="auto" w:line="288" w:before="60" w:after="60"/>
              <w:ind w:left="57" w:right="57"/>
            </w:pPr>
            <w:r>
              <w:rPr>
                <w:rFonts w:ascii="Times New Roman" w:hAnsi="Times New Roman"/>
                <w:b w:val="0"/>
                <w:i w:val="0"/>
                <w:sz w:val="20"/>
              </w:rPr>
              <w:t>Yes (MAS TRM)</w:t>
            </w:r>
          </w:p>
        </w:tc>
      </w:tr>
      <w:tr>
        <w:tc>
          <w:tcPr>
            <w:tcW w:w="1814" w:type="dxa"/>
          </w:tcPr>
          <w:p>
            <w:pPr>
              <w:spacing w:lineRule="auto" w:line="288" w:before="60" w:after="60"/>
              <w:ind w:left="57" w:right="57"/>
            </w:pPr>
            <w:r>
              <w:rPr>
                <w:rFonts w:ascii="Times New Roman" w:hAnsi="Times New Roman"/>
                <w:b w:val="0"/>
                <w:i w:val="0"/>
                <w:sz w:val="20"/>
              </w:rPr>
              <w:t>Tipping-Off Offence</w:t>
            </w:r>
          </w:p>
        </w:tc>
        <w:tc>
          <w:tcPr>
            <w:tcW w:w="1814" w:type="dxa"/>
          </w:tcPr>
          <w:p>
            <w:pPr>
              <w:spacing w:lineRule="auto" w:line="288" w:before="60" w:after="60"/>
              <w:ind w:left="57" w:right="57"/>
            </w:pPr>
            <w:r>
              <w:rPr>
                <w:rFonts w:ascii="Times New Roman" w:hAnsi="Times New Roman"/>
                <w:b w:val="0"/>
                <w:i w:val="0"/>
                <w:sz w:val="20"/>
              </w:rPr>
              <w:t>Yes (BSA)</w:t>
            </w:r>
          </w:p>
        </w:tc>
        <w:tc>
          <w:tcPr>
            <w:tcW w:w="1814" w:type="dxa"/>
          </w:tcPr>
          <w:p>
            <w:pPr>
              <w:spacing w:lineRule="auto" w:line="288" w:before="60" w:after="60"/>
              <w:ind w:left="57" w:right="57"/>
            </w:pPr>
            <w:r>
              <w:rPr>
                <w:rFonts w:ascii="Times New Roman" w:hAnsi="Times New Roman"/>
                <w:b w:val="0"/>
                <w:i w:val="0"/>
                <w:sz w:val="20"/>
              </w:rPr>
              <w:t>Yes (AMLDs)</w:t>
            </w:r>
          </w:p>
        </w:tc>
        <w:tc>
          <w:tcPr>
            <w:tcW w:w="1814" w:type="dxa"/>
          </w:tcPr>
          <w:p>
            <w:pPr>
              <w:spacing w:lineRule="auto" w:line="288" w:before="60" w:after="60"/>
              <w:ind w:left="57" w:right="57"/>
            </w:pPr>
            <w:r>
              <w:rPr>
                <w:rFonts w:ascii="Times New Roman" w:hAnsi="Times New Roman"/>
                <w:b w:val="0"/>
                <w:i w:val="0"/>
                <w:sz w:val="20"/>
              </w:rPr>
              <w:t>Yes (POCA 2002 s.333A)</w:t>
            </w:r>
          </w:p>
        </w:tc>
        <w:tc>
          <w:tcPr>
            <w:tcW w:w="1814" w:type="dxa"/>
          </w:tcPr>
          <w:p>
            <w:pPr>
              <w:spacing w:lineRule="auto" w:line="288" w:before="60" w:after="60"/>
              <w:ind w:left="57" w:right="57"/>
            </w:pPr>
            <w:r>
              <w:rPr>
                <w:rFonts w:ascii="Times New Roman" w:hAnsi="Times New Roman"/>
                <w:b w:val="0"/>
                <w:i w:val="0"/>
                <w:sz w:val="20"/>
              </w:rPr>
              <w:t>Yes (CDSA)</w:t>
            </w:r>
          </w:p>
        </w:tc>
      </w:tr>
    </w:tbl>
    <w:p>
      <w:pPr>
        <w:spacing w:lineRule="auto" w:line="240" w:before="0" w:after="200"/>
      </w:pPr>
    </w:p>
    <w:p>
      <w:pPr>
        <w:pStyle w:val="Heading2"/>
      </w:pPr>
      <w:r>
        <w:rPr>
          <w:rFonts w:ascii="Times New Roman" w:hAnsi="Times New Roman"/>
        </w:rPr>
        <w:t>2.9 Risk Considerations</w:t>
      </w:r>
    </w:p>
    <w:p>
      <w:pPr>
        <w:pStyle w:val="BodyText"/>
        <w:spacing w:lineRule="auto" w:line="360" w:before="0" w:after="120"/>
        <w:ind w:firstLine="283"/>
      </w:pPr>
      <w:r>
        <w:rPr>
          <w:rFonts w:ascii="Times New Roman" w:hAnsi="Times New Roman"/>
          <w:b w:val="0"/>
          <w:i w:val="0"/>
          <w:sz w:val="24"/>
        </w:rPr>
        <w:t>The regulatory landscape has several important risk dimensions for AML analysts.</w:t>
      </w:r>
    </w:p>
    <w:p>
      <w:pPr>
        <w:pStyle w:val="ListBullet"/>
        <w:spacing w:lineRule="auto" w:line="360" w:before="0" w:after="60"/>
      </w:pPr>
      <w:r>
        <w:rPr>
          <w:rFonts w:ascii="Times New Roman" w:hAnsi="Times New Roman"/>
          <w:b w:val="0"/>
          <w:i w:val="0"/>
          <w:sz w:val="24"/>
        </w:rPr>
        <w:t>Regulatory change risk: The landscape evolves constantly. A scenario that was adequate two years ago may have coverage gaps today if regulators have issued new typologies or guidance. Analysts must build regular regulatory horizon-scanning into their review cycles.</w:t>
      </w:r>
    </w:p>
    <w:p>
      <w:pPr>
        <w:pStyle w:val="ListBullet"/>
        <w:spacing w:lineRule="auto" w:line="360" w:before="0" w:after="60"/>
      </w:pPr>
      <w:r>
        <w:rPr>
          <w:rFonts w:ascii="Times New Roman" w:hAnsi="Times New Roman"/>
          <w:b w:val="0"/>
          <w:i w:val="0"/>
          <w:sz w:val="24"/>
        </w:rPr>
        <w:t>Jurisdictional complexity: Large institutions operate across multiple jurisdictions simultaneously. The same transaction may trigger obligations in two or more regulatory regimes. Building scenarios that satisfy multiple frameworks simultaneously requires careful documentation.</w:t>
      </w:r>
    </w:p>
    <w:p>
      <w:pPr>
        <w:pStyle w:val="ListBullet"/>
        <w:spacing w:lineRule="auto" w:line="360" w:before="0" w:after="60"/>
      </w:pPr>
      <w:r>
        <w:rPr>
          <w:rFonts w:ascii="Times New Roman" w:hAnsi="Times New Roman"/>
          <w:b w:val="0"/>
          <w:i w:val="0"/>
          <w:sz w:val="24"/>
        </w:rPr>
        <w:t>Guidance vs. legislation: FFIEC guidance and JMLSG publications are not law, but in a regulatory examination, failure to follow them requires explanation. Treat authoritative guidance as a near-mandatory standard unless you have documented reasons for departing from it.</w:t>
      </w:r>
    </w:p>
    <w:p>
      <w:pPr>
        <w:pStyle w:val="ListBullet"/>
        <w:spacing w:lineRule="auto" w:line="360" w:before="0" w:after="60"/>
      </w:pPr>
      <w:r>
        <w:rPr>
          <w:rFonts w:ascii="Times New Roman" w:hAnsi="Times New Roman"/>
          <w:b w:val="0"/>
          <w:i w:val="0"/>
          <w:sz w:val="24"/>
        </w:rPr>
        <w:t>Safe harbour limitations: Filing a SAR generally provides a bank with safe harbour against civil liability for the underlying transaction. It does not protect the bank from regulatory action if the quality or timeliness of SAR filing is inadequate.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2.4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FATF sets the international standard. National legislation implements it, sometimes with additional requirements.</w:t>
            </w:r>
          </w:p>
          <w:p>
            <w:pPr>
              <w:spacing w:lineRule="auto" w:line="312" w:before="20" w:after="40"/>
              <w:ind w:left="113"/>
            </w:pPr>
            <w:r>
              <w:rPr>
                <w:rFonts w:ascii="Times New Roman" w:hAnsi="Times New Roman"/>
                <w:b w:val="0"/>
                <w:i w:val="0"/>
                <w:sz w:val="22"/>
              </w:rPr>
              <w:t>US: BSA (1970), MLCA (1986), Patriot Act (2001), AMLA (2020) — FinCEN is the primary enforcement body.</w:t>
            </w:r>
          </w:p>
          <w:p>
            <w:pPr>
              <w:spacing w:lineRule="auto" w:line="312" w:before="20" w:after="40"/>
              <w:ind w:left="113"/>
            </w:pPr>
            <w:r>
              <w:rPr>
                <w:rFonts w:ascii="Times New Roman" w:hAnsi="Times New Roman"/>
                <w:b w:val="0"/>
                <w:i w:val="0"/>
                <w:sz w:val="22"/>
              </w:rPr>
              <w:t>EU: Six Anti-Money Laundering Directives. AMLD 5 and 6 are the most current and most relevant.</w:t>
            </w:r>
          </w:p>
          <w:p>
            <w:pPr>
              <w:spacing w:lineRule="auto" w:line="312" w:before="20" w:after="40"/>
              <w:ind w:left="113"/>
            </w:pPr>
            <w:r>
              <w:rPr>
                <w:rFonts w:ascii="Times New Roman" w:hAnsi="Times New Roman"/>
                <w:b w:val="0"/>
                <w:i w:val="0"/>
                <w:sz w:val="22"/>
              </w:rPr>
              <w:t>UK: Money Laundering Regulations + POCA 2002. FCA supervises. Tipping off is a criminal offence.</w:t>
            </w:r>
          </w:p>
          <w:p>
            <w:pPr>
              <w:spacing w:lineRule="auto" w:line="312" w:before="20" w:after="40"/>
              <w:ind w:left="113"/>
            </w:pPr>
            <w:r>
              <w:rPr>
                <w:rFonts w:ascii="Times New Roman" w:hAnsi="Times New Roman"/>
                <w:b w:val="0"/>
                <w:i w:val="0"/>
                <w:sz w:val="22"/>
              </w:rPr>
              <w:t>Singapore: CDSA + MAS Notice 1070. MAS TRM Guidelines cover technology risk in AML systems.</w:t>
            </w:r>
          </w:p>
          <w:p>
            <w:pPr>
              <w:spacing w:lineRule="auto" w:line="312" w:before="20" w:after="40"/>
              <w:ind w:left="113"/>
            </w:pPr>
            <w:r>
              <w:rPr>
                <w:rFonts w:ascii="Times New Roman" w:hAnsi="Times New Roman"/>
                <w:b w:val="0"/>
                <w:i w:val="0"/>
                <w:sz w:val="22"/>
              </w:rPr>
              <w:t>FFIEC Examination Manual and JMLSG guidance are not law but are treated as near-mandatory standards by practitioners.</w:t>
            </w:r>
          </w:p>
          <w:p>
            <w:pPr>
              <w:spacing w:lineRule="auto" w:line="312" w:before="20" w:after="40"/>
              <w:ind w:left="113"/>
            </w:pPr>
            <w:r>
              <w:rPr>
                <w:rFonts w:ascii="Times New Roman" w:hAnsi="Times New Roman"/>
                <w:b w:val="0"/>
                <w:i w:val="0"/>
                <w:sz w:val="22"/>
              </w:rPr>
              <w:t>Model risk management frameworks (SR 26-2 (US), PRA SS1/23 (UK), MAS TRM) directly govern how AML analytics models must be built and validated.</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2.1 — The Regulatory Landscape Applied  [Foundation → Intermediate]</w:t>
            </w:r>
          </w:p>
          <w:p>
            <w:pPr>
              <w:spacing w:lineRule="auto" w:line="312" w:before="20" w:after="40"/>
              <w:ind w:left="113"/>
            </w:pPr>
            <w:r>
              <w:rPr>
                <w:rFonts w:ascii="Times New Roman" w:hAnsi="Times New Roman"/>
                <w:b w:val="0"/>
                <w:i w:val="0"/>
                <w:sz w:val="22"/>
              </w:rPr>
              <w:t>Recap: In Exercise 1.1, you identified suspicious behaviours in the Northgate structuring scenario and formed a preliminary view on whether the pattern warranted escalation.</w:t>
            </w:r>
          </w:p>
          <w:p>
            <w:pPr>
              <w:spacing w:lineRule="auto" w:line="312" w:before="20" w:after="40"/>
              <w:ind w:left="113"/>
            </w:pPr>
            <w:r>
              <w:rPr>
                <w:rFonts w:ascii="Times New Roman" w:hAnsi="Times New Roman"/>
                <w:b w:val="0"/>
                <w:i w:val="0"/>
                <w:sz w:val="22"/>
              </w:rPr>
              <w:t>Objective: Apply the appropriate regulatory framework to the Northgate scenario and determine the bank's obligations.</w:t>
            </w:r>
          </w:p>
          <w:p>
            <w:pPr>
              <w:spacing w:lineRule="auto" w:line="312" w:before="20" w:after="40"/>
              <w:ind w:left="113"/>
            </w:pPr>
            <w:r>
              <w:rPr>
                <w:rFonts w:ascii="Times New Roman" w:hAnsi="Times New Roman"/>
                <w:b w:val="0"/>
                <w:i w:val="0"/>
                <w:sz w:val="22"/>
              </w:rPr>
              <w:t>Scenario update: [AUTHOR FLAG: Throughout the book Northgate Retail Bank is a UK-incorporated institution supervised by the FCA. This scenario update describes it as 'a US federally regulated institution supervised by FinCEN' — inconsistent with all other chapters. If the exercise is intended to allow students to apply either UK or US framework (as Task 1 implies), the scenario description should be neutral or explicitly UK. Please confirm whether to change to 'Northgate Retail Bank is a UK-regulated institution supervised by the FCA' or revise the task instruction to reflect a US-only framing.]</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Identify which legislation and regulatory guidance applies to this scenario, using either UK or US regulatory guidance. If using US: which statute creates the obligation to report suspicious activity (e.g. Bank Secrecy Act), and which guidance manual should the analyst consult (e.g. FFIEC BSA/AML Examination Manual)? If using UK: which statute applies (e.g. POCA 2002), and which guidance body's manual should the analyst consult (e.g. JMLSG)? Your answer should reference the specific statute and guidance document.</w:t>
            </w:r>
          </w:p>
          <w:p>
            <w:pPr>
              <w:spacing w:lineRule="auto" w:line="312" w:before="20" w:after="40"/>
              <w:ind w:left="113"/>
            </w:pPr>
            <w:r>
              <w:rPr>
                <w:rFonts w:ascii="Times New Roman" w:hAnsi="Times New Roman"/>
                <w:b w:val="0"/>
                <w:i w:val="0"/>
                <w:sz w:val="22"/>
              </w:rPr>
              <w:t>Using the FFIEC guidance (Part I, Chapter 6 — available free at ffiec.gov), identify at least three 'red flag' indicators from the FFIEC list that are present in the Northgate scenario.</w:t>
            </w:r>
          </w:p>
          <w:p>
            <w:pPr>
              <w:spacing w:lineRule="auto" w:line="312" w:before="20" w:after="40"/>
              <w:ind w:left="113"/>
            </w:pPr>
            <w:r>
              <w:rPr>
                <w:rFonts w:ascii="Times New Roman" w:hAnsi="Times New Roman"/>
                <w:b w:val="0"/>
                <w:i w:val="0"/>
                <w:sz w:val="22"/>
              </w:rPr>
              <w:t>At what point, if any, does the bank have a legal obligation to file a SAR? Does the bank need to be certain that money laundering is occurring? Draft a one-paragraph justification for or against filing, referencing the appropriate legal threshold.</w:t>
            </w:r>
          </w:p>
          <w:p>
            <w:pPr>
              <w:spacing w:lineRule="auto" w:line="312" w:before="20" w:after="40"/>
              <w:ind w:left="113"/>
            </w:pPr>
            <w:r>
              <w:rPr>
                <w:rFonts w:ascii="Times New Roman" w:hAnsi="Times New Roman"/>
                <w:b w:val="0"/>
                <w:i w:val="0"/>
                <w:sz w:val="22"/>
              </w:rPr>
              <w:t>The pattern involves structuring — deposits consistently below the $10,000 reporting threshold. Is structuring itself an offence under UK law? Under US law? How does this affect the bank's analytical focus? Note that the US CTR threshold is $10,000 and the UK threshold is $10,000. What are the implications of this difference for a structuring detection scenario at a bank operating in both jurisdictions?</w:t>
            </w:r>
          </w:p>
          <w:p>
            <w:pPr>
              <w:spacing w:lineRule="auto" w:line="312" w:before="20" w:after="40"/>
              <w:ind w:left="113"/>
            </w:pPr>
            <w:r>
              <w:rPr>
                <w:rFonts w:ascii="Times New Roman" w:hAnsi="Times New Roman"/>
                <w:b w:val="0"/>
                <w:i w:val="0"/>
                <w:sz w:val="22"/>
              </w:rPr>
              <w:t>Discussion Questions:</w:t>
            </w:r>
          </w:p>
          <w:p>
            <w:pPr>
              <w:spacing w:lineRule="auto" w:line="312" w:before="20" w:after="40"/>
              <w:ind w:left="113"/>
            </w:pPr>
            <w:r>
              <w:rPr>
                <w:rFonts w:ascii="Times New Roman" w:hAnsi="Times New Roman"/>
                <w:b w:val="0"/>
                <w:i w:val="0"/>
                <w:sz w:val="22"/>
              </w:rPr>
              <w:t>If Northgate also had a US branch, and the same pattern occurred across both jurisdictions, which additional regulatory obligations would apply?</w:t>
            </w:r>
          </w:p>
          <w:p>
            <w:pPr>
              <w:spacing w:lineRule="auto" w:line="312" w:before="20" w:after="40"/>
              <w:ind w:left="113"/>
            </w:pPr>
            <w:r>
              <w:rPr>
                <w:rFonts w:ascii="Times New Roman" w:hAnsi="Times New Roman"/>
                <w:b w:val="0"/>
                <w:i w:val="0"/>
                <w:sz w:val="22"/>
              </w:rPr>
              <w:t>The AMLA 2020 introduced an 'effectiveness' standard for AML programmes in the US. If this standard were applied in the UK, what would it require Northgate to demonstrate about its Transaction Monitoring Framework?</w:t>
            </w:r>
          </w:p>
          <w:p>
            <w:pPr>
              <w:spacing w:lineRule="auto" w:line="312" w:before="20" w:after="40"/>
              <w:ind w:left="113"/>
            </w:pPr>
            <w:r>
              <w:rPr>
                <w:rFonts w:ascii="Times New Roman" w:hAnsi="Times New Roman"/>
                <w:b w:val="0"/>
                <w:i w:val="0"/>
                <w:sz w:val="22"/>
              </w:rPr>
              <w:t>See the Instructor's Solutions Manual for worked answers. In Chapter 3, we trace this same scenario through the full transaction monitoring lifecycle — from raw data to SAR filing.</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2.2 — Meridian Trading Ltd: Regulatory Obligations  [Applied]</w:t>
            </w:r>
          </w:p>
          <w:p>
            <w:pPr>
              <w:spacing w:lineRule="auto" w:line="312" w:before="20" w:after="40"/>
              <w:ind w:left="113"/>
            </w:pPr>
            <w:r>
              <w:rPr>
                <w:rFonts w:ascii="Times New Roman" w:hAnsi="Times New Roman"/>
                <w:b w:val="0"/>
                <w:i w:val="0"/>
                <w:sz w:val="22"/>
              </w:rPr>
              <w:t>We continue with Meridian Trading Ltd — the US import/export business introduced in Exercise 1.2. Northgate Retail Bank holds a business current account for Meridian, registered under SIC code 46690, with two named directors. The account has been open for 14 months. Over that period, Meridian has received 23 incoming wire transfers from overseas counterparties totalling USD 1.4 million, and has sent 31 outgoing wires to four overseas beneficiaries. No EDD review has been conducted since account opening.</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Under the UK MLR 2017 / POCA 2002 requirements, what CDD and EDD obligations apply to Meridian as a legal entity customer? Specifically: what must the bank verify about its beneficial owners, and when should EDD have been triggered? Reference the specific MLR regulation number where possible.</w:t>
            </w:r>
          </w:p>
          <w:p>
            <w:pPr>
              <w:spacing w:lineRule="auto" w:line="312" w:before="20" w:after="40"/>
              <w:ind w:left="113"/>
            </w:pPr>
            <w:r>
              <w:rPr>
                <w:rFonts w:ascii="Times New Roman" w:hAnsi="Times New Roman"/>
                <w:b w:val="0"/>
                <w:i w:val="0"/>
                <w:sz w:val="22"/>
              </w:rPr>
              <w:t>The FATF Recommendation on Trade-Based Money Laundering (TBML) states that banks should apply enhanced scrutiny to commercial customers whose transaction patterns involve high-value international wires inconsistent with their stated business activity. What does this mean in practice for Northgate's obligations toward Meridian? What information would the bank need to assess whether the wires are consistent with Meridian's stated business?</w:t>
            </w:r>
          </w:p>
          <w:p>
            <w:pPr>
              <w:spacing w:lineRule="auto" w:line="312" w:before="20" w:after="40"/>
              <w:ind w:left="113"/>
            </w:pPr>
            <w:r>
              <w:rPr>
                <w:rFonts w:ascii="Times New Roman" w:hAnsi="Times New Roman"/>
                <w:b w:val="0"/>
                <w:i w:val="0"/>
                <w:sz w:val="22"/>
              </w:rPr>
              <w:t>In the US, correspondent banking relationships trigger enhanced due diligence under the Patriot Act Section 312. If Northgate had a correspondent relationship with a US bank through which Meridian's overseas wires were processed, what additional obligations would that US correspondent bank have? How does this create a chain of regulatory responsibility that the US bank should be aware of?</w:t>
            </w:r>
          </w:p>
          <w:p>
            <w:pPr>
              <w:spacing w:lineRule="auto" w:line="312" w:before="20" w:after="40"/>
              <w:ind w:left="113"/>
            </w:pPr>
            <w:r>
              <w:rPr>
                <w:rFonts w:ascii="Times New Roman" w:hAnsi="Times New Roman"/>
                <w:b w:val="0"/>
                <w:i w:val="0"/>
                <w:sz w:val="22"/>
              </w:rPr>
              <w:t>In Chapter 3, we trace Meridian's transaction data through the TM lifecycle. In Chapter 4, we see for the first time that the Northgate Accounts and Meridian are connected.</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Read the FATF 40 Recommendations (freely available at fatf-gafi.org). Focus on Recommendations 10 (CDD), 20 (Reporting of Suspicious Transactions), and 29 (Financial Intelligence Units). Consider how each maps onto Northgate's situation.</w:t>
      </w:r>
    </w:p>
    <w:p>
      <w:pPr>
        <w:pStyle w:val="ListBullet"/>
        <w:spacing w:lineRule="auto" w:line="360" w:before="0" w:after="60"/>
      </w:pPr>
      <w:r>
        <w:rPr>
          <w:rFonts w:ascii="Times New Roman" w:hAnsi="Times New Roman"/>
          <w:b w:val="0"/>
          <w:i w:val="0"/>
          <w:sz w:val="24"/>
        </w:rPr>
        <w:t>Download and read Section 5.2 of the FFIEC BSA/AML Examination Manual ("Suspicious Activity Monitoring"). Compare the US examiner's definition of adequate monitoring with what you observe in the Northgate scenario.</w:t>
      </w:r>
    </w:p>
    <w:p>
      <w:pPr>
        <w:pStyle w:val="ListBullet"/>
        <w:spacing w:lineRule="auto" w:line="360" w:before="0" w:after="60"/>
      </w:pPr>
      <w:r>
        <w:rPr>
          <w:rFonts w:ascii="Times New Roman" w:hAnsi="Times New Roman"/>
          <w:b w:val="0"/>
          <w:i w:val="0"/>
          <w:sz w:val="24"/>
        </w:rPr>
        <w:t>Research Question: The UK's NCA publishes an annual SARs report. What does the most recent report say about the quality of SARs received from the banking sector? What are the most common deficiencies?</w:t>
      </w:r>
    </w:p>
    <w:p>
      <w:pPr>
        <w:pStyle w:val="ListBullet"/>
        <w:spacing w:lineRule="auto" w:line="360" w:before="0" w:after="60"/>
      </w:pPr>
      <w:r>
        <w:rPr>
          <w:rFonts w:ascii="Times New Roman" w:hAnsi="Times New Roman"/>
          <w:b w:val="0"/>
          <w:i w:val="0"/>
          <w:sz w:val="24"/>
        </w:rPr>
        <w:t>The EU's AMLA became operational in 2025. Research its supervisory scope. Which types of institutions does it directly supervise, and what does this mean for transaction monitoring programmes at those institutions? How does direct EU-level supervision change the accountability framework for AML analytics teams?</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Bank Secrecy Act (1970) 31 U.S.C. §§ 5311–5336. US Congress.</w:t>
      </w:r>
    </w:p>
    <w:p>
      <w:pPr>
        <w:pStyle w:val="ListBullet"/>
        <w:spacing w:lineRule="auto" w:line="288" w:before="0" w:after="80"/>
      </w:pPr>
      <w:r>
        <w:rPr>
          <w:rFonts w:ascii="Times New Roman" w:hAnsi="Times New Roman"/>
          <w:b w:val="0"/>
          <w:i w:val="0"/>
          <w:sz w:val="22"/>
        </w:rPr>
        <w:t>FATF (2023) The FATF Recommendations. FATF, Paris.</w:t>
      </w:r>
    </w:p>
    <w:p>
      <w:pPr>
        <w:pStyle w:val="ListBullet"/>
        <w:spacing w:lineRule="auto" w:line="288" w:before="0" w:after="80"/>
      </w:pPr>
      <w:r>
        <w:rPr>
          <w:rFonts w:ascii="Times New Roman" w:hAnsi="Times New Roman"/>
          <w:b w:val="0"/>
          <w:i w:val="0"/>
          <w:sz w:val="22"/>
        </w:rPr>
        <w:t>Financial Conduct Authority (2023) Financial Crime Guide. FCA, London.</w:t>
      </w:r>
    </w:p>
    <w:p>
      <w:pPr>
        <w:pStyle w:val="ListBullet"/>
        <w:spacing w:lineRule="auto" w:line="288" w:before="0" w:after="80"/>
      </w:pPr>
      <w:r>
        <w:rPr>
          <w:rFonts w:ascii="Times New Roman" w:hAnsi="Times New Roman"/>
          <w:b w:val="0"/>
          <w:i w:val="0"/>
          <w:sz w:val="22"/>
        </w:rPr>
        <w:t>European Parliament (2018) Directive (EU) 2018/843 (5th AMLD). OJEU.</w:t>
      </w:r>
    </w:p>
    <w:p>
      <w:pPr>
        <w:pStyle w:val="ListBullet"/>
        <w:spacing w:lineRule="auto" w:line="288" w:before="0" w:after="80"/>
      </w:pPr>
      <w:r>
        <w:rPr>
          <w:rFonts w:ascii="Times New Roman" w:hAnsi="Times New Roman"/>
          <w:b w:val="0"/>
          <w:i w:val="0"/>
          <w:sz w:val="22"/>
        </w:rPr>
        <w:t>Proceeds of Crime Act (2002) c.29. HMSO, London.</w:t>
      </w:r>
    </w:p>
    <w:p>
      <w:r>
        <w:br w:type="page"/>
      </w:r>
    </w:p>
    <w:p>
      <w:pPr>
        <w:pStyle w:val="Heading1"/>
      </w:pPr>
      <w:r>
        <w:rPr>
          <w:rFonts w:ascii="Times New Roman" w:hAnsi="Times New Roman"/>
        </w:rPr>
        <w:t>Chapter 3: Transaction Monitoring — Overview</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This chapter introduces the transaction monitoring lifecycle as an analytical process discipline. We distinguish between the TMS (the software platform) and the TM programme (the end-to-end process from data ingestion through SAR filing), and explain why this distinction matters for an analyst. The chapter introduces the Northgate Retail Bank synthetic dataset used for all hands-on exercises in Chapters 3–8, and presents the first Colab notebook: examining dataset structure, customer profile, and the TM lifecycle.</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Transaction monitoring lifecycle · TMS architecture · Alert management · Northgate dataset · Synthetic data · AML analytics workflow</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3.1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Describe the end-to-end transaction monitoring lifecycle from data ingestion to SAR filing.</w:t>
            </w:r>
          </w:p>
          <w:p>
            <w:pPr>
              <w:spacing w:lineRule="auto" w:line="312" w:before="20" w:after="40"/>
              <w:ind w:left="113"/>
            </w:pPr>
            <w:r>
              <w:rPr>
                <w:rFonts w:ascii="Times New Roman" w:hAnsi="Times New Roman"/>
                <w:b w:val="0"/>
                <w:i w:val="0"/>
                <w:sz w:val="22"/>
              </w:rPr>
              <w:t>Explain the role of each stage in the lifecycle and identify common failure points.</w:t>
            </w:r>
          </w:p>
          <w:p>
            <w:pPr>
              <w:spacing w:lineRule="auto" w:line="312" w:before="20" w:after="40"/>
              <w:ind w:left="113"/>
            </w:pPr>
            <w:r>
              <w:rPr>
                <w:rFonts w:ascii="Times New Roman" w:hAnsi="Times New Roman"/>
                <w:b w:val="0"/>
                <w:i w:val="0"/>
                <w:sz w:val="22"/>
              </w:rPr>
              <w:t>Distinguish clearly between an alert, an event, and a case.</w:t>
            </w:r>
          </w:p>
          <w:p>
            <w:pPr>
              <w:spacing w:lineRule="auto" w:line="312" w:before="20" w:after="40"/>
              <w:ind w:left="113"/>
            </w:pPr>
            <w:r>
              <w:rPr>
                <w:rFonts w:ascii="Times New Roman" w:hAnsi="Times New Roman"/>
                <w:b w:val="0"/>
                <w:i w:val="0"/>
                <w:sz w:val="22"/>
              </w:rPr>
              <w:t>Trace the Northgate structuring scenario through the full transaction monitoring lifecycle.</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3.2  </w:t>
            </w:r>
            <w:r>
              <w:rPr>
                <w:rFonts w:ascii="Times New Roman" w:hAnsi="Times New Roman"/>
                <w:b/>
                <w:i/>
                <w:sz w:val="22"/>
              </w:rPr>
              <w:t>Project Sentinel — Introduced</w:t>
            </w:r>
          </w:p>
          <w:p>
            <w:pPr>
              <w:spacing w:lineRule="auto" w:line="312" w:before="20" w:after="40"/>
              <w:ind w:left="113"/>
            </w:pPr>
            <w:r>
              <w:rPr>
                <w:rFonts w:ascii="Times New Roman" w:hAnsi="Times New Roman"/>
                <w:b w:val="0"/>
                <w:i w:val="0"/>
                <w:sz w:val="22"/>
              </w:rPr>
              <w:t>Project Sentinel is the bank's internal TMS programme — the cross-functional team responsible for building, calibrating, deploying, and validating the detection system that monitors both the Northgate Accounts and Meridian Trading Ltd. The team has four roles: a data scientist (builds peer groups and trains models), a 1st Line compliance officer (writes rules and reviews alerts), a 2nd Line model risk manager (validates models and governs the programme), and a 3rd Line internal auditor (provides independent assurance). Project Sentinel appears throughout the exercises in this book. It represents the institutional machinery behind every technique we cover — and in Chapter 9, it becomes the subject of a formal model validation.</w:t>
            </w:r>
          </w:p>
        </w:tc>
      </w:tr>
    </w:tbl>
    <w:p>
      <w:pPr>
        <w:spacing w:lineRule="auto" w:line="240" w:before="0" w:after="160"/>
      </w:pPr>
    </w:p>
    <w:p>
      <w:pPr>
        <w:pStyle w:val="Heading2"/>
      </w:pPr>
      <w:r>
        <w:rPr>
          <w:rFonts w:ascii="Times New Roman" w:hAnsi="Times New Roman"/>
        </w:rPr>
        <w:t>3.1 Business Context: Why TM is a Process, Not a System</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3.3  </w:t>
            </w:r>
            <w:r>
              <w:rPr>
                <w:rFonts w:ascii="Times New Roman" w:hAnsi="Times New Roman"/>
                <w:b/>
                <w:i/>
                <w:sz w:val="22"/>
              </w:rPr>
              <w:t>Terminology Framework: TM, Transaction Monitoring Framework, and TMS</w:t>
            </w:r>
          </w:p>
          <w:p>
            <w:pPr>
              <w:spacing w:lineRule="auto" w:line="312" w:before="20" w:after="40"/>
              <w:ind w:left="113"/>
            </w:pPr>
            <w:r>
              <w:rPr>
                <w:rFonts w:ascii="Times New Roman" w:hAnsi="Times New Roman"/>
                <w:b w:val="0"/>
                <w:i w:val="0"/>
                <w:sz w:val="22"/>
              </w:rPr>
              <w:t>Three terms are used throughout this book. They are not interchangeable:</w:t>
            </w:r>
          </w:p>
          <w:p>
            <w:pPr>
              <w:spacing w:lineRule="auto" w:line="312" w:before="20" w:after="40"/>
              <w:ind w:left="113"/>
            </w:pPr>
            <w:r>
              <w:rPr>
                <w:rFonts w:ascii="Times New Roman" w:hAnsi="Times New Roman"/>
                <w:b w:val="0"/>
                <w:i w:val="0"/>
                <w:sz w:val="22"/>
              </w:rPr>
              <w:t>Transaction Monitoring (TM) — the process of monitoring transactions for financial crime risk. TM is what you do.</w:t>
            </w:r>
          </w:p>
          <w:p>
            <w:pPr>
              <w:spacing w:lineRule="auto" w:line="312" w:before="20" w:after="40"/>
              <w:ind w:left="113"/>
            </w:pPr>
            <w:r>
              <w:rPr>
                <w:rFonts w:ascii="Times New Roman" w:hAnsi="Times New Roman"/>
                <w:b w:val="0"/>
                <w:i w:val="0"/>
                <w:sz w:val="22"/>
              </w:rPr>
              <w:t>Transaction Monitoring Framework (TMF) — the end-to-end holistic process: all policies, personas, governance structures, data flows, controls, and escalation paths that together constitute an institution's TM capability. The TMF is how TM is organised and governed.</w:t>
            </w:r>
          </w:p>
          <w:p>
            <w:pPr>
              <w:spacing w:lineRule="auto" w:line="312" w:before="20" w:after="40"/>
              <w:ind w:left="113"/>
            </w:pPr>
            <w:r>
              <w:rPr>
                <w:rFonts w:ascii="Times New Roman" w:hAnsi="Times New Roman"/>
                <w:b w:val="0"/>
                <w:i w:val="0"/>
                <w:sz w:val="22"/>
              </w:rPr>
              <w:t>Transaction Monitoring System (TMS) — the software or technology platform that implements TM (whether vendor-built or internally developed). The TMS is one component of the TMF. It executes scenarios, generates alerts, and may support case management. The TMS is never used to refer to the process or the framework.</w:t>
            </w:r>
          </w:p>
          <w:p>
            <w:pPr>
              <w:spacing w:lineRule="auto" w:line="312" w:before="20" w:after="40"/>
              <w:ind w:left="113"/>
            </w:pPr>
            <w:r>
              <w:rPr>
                <w:rFonts w:ascii="Times New Roman" w:hAnsi="Times New Roman"/>
                <w:b w:val="0"/>
                <w:i w:val="0"/>
                <w:sz w:val="22"/>
              </w:rPr>
              <w:t>When a regulator examines a bank's transaction monitoring, they are examining the TMF in its entirety — not just the TMS. This distinction is central to understanding where accountability lies when things go wrong.</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When practitioners speak about transaction monitoring, they often use the phrase 'the TMS' — the transaction monitoring system. This framing is understandable but misleading. A system is a tool. What matters is the process that governs how that tool is configured, maintained, and used.</w:t>
      </w:r>
    </w:p>
    <w:p>
      <w:pPr>
        <w:pStyle w:val="BodyText"/>
        <w:spacing w:lineRule="auto" w:line="360" w:before="0" w:after="120"/>
        <w:ind w:firstLine="283"/>
      </w:pPr>
      <w:r>
        <w:rPr>
          <w:rFonts w:ascii="Times New Roman" w:hAnsi="Times New Roman"/>
          <w:b w:val="0"/>
          <w:i w:val="0"/>
          <w:sz w:val="24"/>
        </w:rPr>
        <w:t>A TMS that runs excellent scenarios on poor-quality data will generate misleading alerts. A TMS with well-designed scenarios and clean data will still fail if the analysts who review alerts are under-resourced or inadequately trained. A TMS where everything works technically will still expose the bank to regulatory censure if the SAR filing decisions are not properly documented.</w:t>
      </w:r>
    </w:p>
    <w:p>
      <w:pPr>
        <w:pStyle w:val="BodyText"/>
        <w:spacing w:lineRule="auto" w:line="360" w:before="0" w:after="120"/>
        <w:ind w:firstLine="283"/>
      </w:pPr>
      <w:r>
        <w:rPr>
          <w:rFonts w:ascii="Times New Roman" w:hAnsi="Times New Roman"/>
          <w:b w:val="0"/>
          <w:i w:val="0"/>
          <w:sz w:val="24"/>
        </w:rPr>
        <w:t>The discipline of transaction monitoring is therefore a process discipline. The system is one component of a much larger operational pipeline. Understanding that pipeline — its stages, its failure modes, and the decisions made at each step — is the foundation of everything that follows in this book.</w:t>
      </w:r>
    </w:p>
    <w:p>
      <w:pPr>
        <w:pStyle w:val="BodyText"/>
        <w:spacing w:lineRule="auto" w:line="360" w:before="0" w:after="120"/>
        <w:ind w:firstLine="283"/>
      </w:pPr>
      <w:r>
        <w:rPr>
          <w:rFonts w:ascii="Times New Roman" w:hAnsi="Times New Roman"/>
          <w:b w:val="0"/>
          <w:i w:val="0"/>
          <w:sz w:val="24"/>
        </w:rPr>
        <w:t>In this chapter, we set out that pipeline in full. We introduce the TM lifecycle, examine what happens at each stage, and identify the points where things most commonly go wrong. We then trace the Northgate structuring scenario through each stage to make the framework concrete.</w:t>
      </w:r>
    </w:p>
    <w:p>
      <w:pPr>
        <w:pStyle w:val="Heading2"/>
      </w:pPr>
      <w:r>
        <w:rPr>
          <w:rFonts w:ascii="Times New Roman" w:hAnsi="Times New Roman"/>
        </w:rPr>
        <w:t>3.2 The Transaction Monitoring Lifecycle</w:t>
      </w:r>
    </w:p>
    <w:p>
      <w:pPr>
        <w:pStyle w:val="BodyText"/>
        <w:spacing w:lineRule="auto" w:line="360" w:before="0" w:after="120"/>
        <w:ind w:firstLine="283"/>
      </w:pPr>
      <w:r>
        <w:rPr>
          <w:rFonts w:ascii="Times New Roman" w:hAnsi="Times New Roman"/>
          <w:b w:val="0"/>
          <w:i w:val="0"/>
          <w:sz w:val="24"/>
        </w:rPr>
        <w:t>We can describe the core TM process as a six-stage lifecycle. Each stage produces an output that feeds the next. Each stage also produces its own characteristic failure modes. Supporting processes — including segmentation and risk and coverage assessment — sit alongside this lifecycle and are introduced in Chapters 5 and 7 respectively.</w:t>
      </w:r>
    </w:p>
    <w:p>
      <w:pPr>
        <w:spacing w:lineRule="auto" w:line="240" w:before="60" w:after="120"/>
        <w:ind w:firstLine="0"/>
        <w:jc w:val="left"/>
      </w:pPr>
      <w:r>
        <w:rPr>
          <w:rFonts w:ascii="Times New Roman" w:hAnsi="Times New Roman"/>
          <w:b w:val="0"/>
          <w:i/>
          <w:sz w:val="20"/>
        </w:rPr>
        <w:t>Table 3.1  Stage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2268"/>
        <w:gridCol w:w="2268"/>
        <w:gridCol w:w="2268"/>
        <w:gridCol w:w="2268"/>
      </w:tblGrid>
      <w:tr>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Stage</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Output</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Key Failure Mode</w:t>
            </w:r>
          </w:p>
        </w:tc>
      </w:tr>
      <w:tr>
        <w:tc>
          <w:tcPr>
            <w:tcW w:w="2268" w:type="dxa"/>
          </w:tcPr>
          <w:p>
            <w:pPr>
              <w:spacing w:lineRule="auto" w:line="288" w:before="60" w:after="60"/>
              <w:ind w:left="57" w:right="57"/>
            </w:pPr>
            <w:r>
              <w:rPr>
                <w:rFonts w:ascii="Times New Roman" w:hAnsi="Times New Roman"/>
                <w:b w:val="0"/>
                <w:i w:val="0"/>
                <w:sz w:val="20"/>
              </w:rPr>
              <w:t>1. Data Collection</w:t>
            </w:r>
          </w:p>
        </w:tc>
        <w:tc>
          <w:tcPr>
            <w:tcW w:w="2268" w:type="dxa"/>
          </w:tcPr>
          <w:p>
            <w:pPr>
              <w:spacing w:lineRule="auto" w:line="288" w:before="60" w:after="60"/>
              <w:ind w:left="57" w:right="57"/>
            </w:pPr>
            <w:r>
              <w:rPr>
                <w:rFonts w:ascii="Times New Roman" w:hAnsi="Times New Roman"/>
                <w:b w:val="0"/>
                <w:i w:val="0"/>
                <w:sz w:val="20"/>
              </w:rPr>
              <w:t>Transactional, customer, and reference data are ingested from source systems.</w:t>
            </w:r>
          </w:p>
        </w:tc>
        <w:tc>
          <w:tcPr>
            <w:tcW w:w="2268" w:type="dxa"/>
          </w:tcPr>
          <w:p>
            <w:pPr>
              <w:spacing w:lineRule="auto" w:line="288" w:before="60" w:after="60"/>
              <w:ind w:left="57" w:right="57"/>
            </w:pPr>
            <w:r>
              <w:rPr>
                <w:rFonts w:ascii="Times New Roman" w:hAnsi="Times New Roman"/>
                <w:b w:val="0"/>
                <w:i w:val="0"/>
                <w:sz w:val="20"/>
              </w:rPr>
              <w:t>Cleansed, structured data feed</w:t>
            </w:r>
          </w:p>
        </w:tc>
        <w:tc>
          <w:tcPr>
            <w:tcW w:w="2268" w:type="dxa"/>
          </w:tcPr>
          <w:p>
            <w:pPr>
              <w:spacing w:lineRule="auto" w:line="288" w:before="60" w:after="60"/>
              <w:ind w:left="57" w:right="57"/>
            </w:pPr>
            <w:r>
              <w:rPr>
                <w:rFonts w:ascii="Times New Roman" w:hAnsi="Times New Roman"/>
                <w:b w:val="0"/>
                <w:i w:val="0"/>
                <w:sz w:val="20"/>
              </w:rPr>
              <w:t>Incomplete or inaccurate data; missing fields</w:t>
            </w:r>
          </w:p>
        </w:tc>
      </w:tr>
      <w:tr>
        <w:tc>
          <w:tcPr>
            <w:tcW w:w="2268" w:type="dxa"/>
          </w:tcPr>
          <w:p>
            <w:pPr>
              <w:spacing w:lineRule="auto" w:line="288" w:before="60" w:after="60"/>
              <w:ind w:left="57" w:right="57"/>
            </w:pPr>
            <w:r>
              <w:rPr>
                <w:rFonts w:ascii="Times New Roman" w:hAnsi="Times New Roman"/>
                <w:b w:val="0"/>
                <w:i w:val="0"/>
                <w:sz w:val="20"/>
              </w:rPr>
              <w:t>2. Scenario Development</w:t>
            </w:r>
          </w:p>
        </w:tc>
        <w:tc>
          <w:tcPr>
            <w:tcW w:w="2268" w:type="dxa"/>
          </w:tcPr>
          <w:p>
            <w:pPr>
              <w:spacing w:lineRule="auto" w:line="288" w:before="60" w:after="60"/>
              <w:ind w:left="57" w:right="57"/>
            </w:pPr>
            <w:r>
              <w:rPr>
                <w:rFonts w:ascii="Times New Roman" w:hAnsi="Times New Roman"/>
                <w:b w:val="0"/>
                <w:i w:val="0"/>
                <w:sz w:val="20"/>
              </w:rPr>
              <w:t>Typologies are translated into rule logic and parameters.</w:t>
            </w:r>
          </w:p>
        </w:tc>
        <w:tc>
          <w:tcPr>
            <w:tcW w:w="2268" w:type="dxa"/>
          </w:tcPr>
          <w:p>
            <w:pPr>
              <w:spacing w:lineRule="auto" w:line="288" w:before="60" w:after="60"/>
              <w:ind w:left="57" w:right="57"/>
            </w:pPr>
            <w:r>
              <w:rPr>
                <w:rFonts w:ascii="Times New Roman" w:hAnsi="Times New Roman"/>
                <w:b w:val="0"/>
                <w:i w:val="0"/>
                <w:sz w:val="20"/>
              </w:rPr>
              <w:t>Deployed scenario/rule</w:t>
            </w:r>
          </w:p>
        </w:tc>
        <w:tc>
          <w:tcPr>
            <w:tcW w:w="2268" w:type="dxa"/>
          </w:tcPr>
          <w:p>
            <w:pPr>
              <w:spacing w:lineRule="auto" w:line="288" w:before="60" w:after="60"/>
              <w:ind w:left="57" w:right="57"/>
            </w:pPr>
            <w:r>
              <w:rPr>
                <w:rFonts w:ascii="Times New Roman" w:hAnsi="Times New Roman"/>
                <w:b w:val="0"/>
                <w:i w:val="0"/>
                <w:sz w:val="20"/>
              </w:rPr>
              <w:t>Poorly specified rules; threshold not calibrated</w:t>
            </w:r>
          </w:p>
        </w:tc>
      </w:tr>
      <w:tr>
        <w:tc>
          <w:tcPr>
            <w:tcW w:w="2268" w:type="dxa"/>
          </w:tcPr>
          <w:p>
            <w:pPr>
              <w:spacing w:lineRule="auto" w:line="288" w:before="60" w:after="60"/>
              <w:ind w:left="57" w:right="57"/>
            </w:pPr>
            <w:r>
              <w:rPr>
                <w:rFonts w:ascii="Times New Roman" w:hAnsi="Times New Roman"/>
                <w:b w:val="0"/>
                <w:i w:val="0"/>
                <w:sz w:val="20"/>
              </w:rPr>
              <w:t>3. Alert Generation</w:t>
            </w:r>
          </w:p>
        </w:tc>
        <w:tc>
          <w:tcPr>
            <w:tcW w:w="2268" w:type="dxa"/>
          </w:tcPr>
          <w:p>
            <w:pPr>
              <w:spacing w:lineRule="auto" w:line="288" w:before="60" w:after="60"/>
              <w:ind w:left="57" w:right="57"/>
            </w:pPr>
            <w:r>
              <w:rPr>
                <w:rFonts w:ascii="Times New Roman" w:hAnsi="Times New Roman"/>
                <w:b w:val="0"/>
                <w:i w:val="0"/>
                <w:sz w:val="20"/>
              </w:rPr>
              <w:t>Transactions are assessed against scenarios; breaches generate alerts.</w:t>
            </w:r>
          </w:p>
        </w:tc>
        <w:tc>
          <w:tcPr>
            <w:tcW w:w="2268" w:type="dxa"/>
          </w:tcPr>
          <w:p>
            <w:pPr>
              <w:spacing w:lineRule="auto" w:line="288" w:before="60" w:after="60"/>
              <w:ind w:left="57" w:right="57"/>
            </w:pPr>
            <w:r>
              <w:rPr>
                <w:rFonts w:ascii="Times New Roman" w:hAnsi="Times New Roman"/>
                <w:b w:val="0"/>
                <w:i w:val="0"/>
                <w:sz w:val="20"/>
              </w:rPr>
              <w:t>Alert queue</w:t>
            </w:r>
          </w:p>
        </w:tc>
        <w:tc>
          <w:tcPr>
            <w:tcW w:w="2268" w:type="dxa"/>
          </w:tcPr>
          <w:p>
            <w:pPr>
              <w:spacing w:lineRule="auto" w:line="288" w:before="60" w:after="60"/>
              <w:ind w:left="57" w:right="57"/>
            </w:pPr>
            <w:r>
              <w:rPr>
                <w:rFonts w:ascii="Times New Roman" w:hAnsi="Times New Roman"/>
                <w:b w:val="0"/>
                <w:i w:val="0"/>
                <w:sz w:val="20"/>
              </w:rPr>
              <w:t>Too many noisy alerts; missed true positives</w:t>
            </w:r>
          </w:p>
        </w:tc>
      </w:tr>
      <w:tr>
        <w:tc>
          <w:tcPr>
            <w:tcW w:w="2268" w:type="dxa"/>
          </w:tcPr>
          <w:p>
            <w:pPr>
              <w:spacing w:lineRule="auto" w:line="288" w:before="60" w:after="60"/>
              <w:ind w:left="57" w:right="57"/>
            </w:pPr>
            <w:r>
              <w:rPr>
                <w:rFonts w:ascii="Times New Roman" w:hAnsi="Times New Roman"/>
                <w:b w:val="0"/>
                <w:i w:val="0"/>
                <w:sz w:val="20"/>
              </w:rPr>
              <w:t>4. Event Triage</w:t>
            </w:r>
          </w:p>
        </w:tc>
        <w:tc>
          <w:tcPr>
            <w:tcW w:w="2268" w:type="dxa"/>
          </w:tcPr>
          <w:p>
            <w:pPr>
              <w:spacing w:lineRule="auto" w:line="288" w:before="60" w:after="60"/>
              <w:ind w:left="57" w:right="57"/>
            </w:pPr>
            <w:r>
              <w:rPr>
                <w:rFonts w:ascii="Times New Roman" w:hAnsi="Times New Roman"/>
                <w:b w:val="0"/>
                <w:i w:val="0"/>
                <w:sz w:val="20"/>
              </w:rPr>
              <w:t>Analysts remove noise, apply casing logic and policies, convert relevant alerts to cases, and route to appropriate review tier.</w:t>
            </w:r>
          </w:p>
        </w:tc>
        <w:tc>
          <w:tcPr>
            <w:tcW w:w="2268" w:type="dxa"/>
          </w:tcPr>
          <w:p>
            <w:pPr>
              <w:spacing w:lineRule="auto" w:line="288" w:before="60" w:after="60"/>
              <w:ind w:left="57" w:right="57"/>
            </w:pPr>
            <w:r>
              <w:rPr>
                <w:rFonts w:ascii="Times New Roman" w:hAnsi="Times New Roman"/>
                <w:b w:val="0"/>
                <w:i w:val="0"/>
                <w:sz w:val="20"/>
              </w:rPr>
              <w:t>Closed alerts or cases routed to L1/L2/L3</w:t>
            </w:r>
          </w:p>
        </w:tc>
        <w:tc>
          <w:tcPr>
            <w:tcW w:w="2268" w:type="dxa"/>
          </w:tcPr>
          <w:p>
            <w:pPr>
              <w:spacing w:lineRule="auto" w:line="288" w:before="60" w:after="60"/>
              <w:ind w:left="57" w:right="57"/>
            </w:pPr>
            <w:r>
              <w:rPr>
                <w:rFonts w:ascii="Times New Roman" w:hAnsi="Times New Roman"/>
                <w:b w:val="0"/>
                <w:i w:val="0"/>
                <w:sz w:val="20"/>
              </w:rPr>
              <w:t>Alert fatigue; inconsistent application of casing logic; noise not properly separated from genuine activity</w:t>
            </w:r>
          </w:p>
        </w:tc>
      </w:tr>
      <w:tr>
        <w:tc>
          <w:tcPr>
            <w:tcW w:w="2268" w:type="dxa"/>
          </w:tcPr>
          <w:p>
            <w:pPr>
              <w:spacing w:lineRule="auto" w:line="288" w:before="60" w:after="60"/>
              <w:ind w:left="57" w:right="57"/>
            </w:pPr>
            <w:r>
              <w:rPr>
                <w:rFonts w:ascii="Times New Roman" w:hAnsi="Times New Roman"/>
                <w:b w:val="0"/>
                <w:i w:val="0"/>
                <w:sz w:val="20"/>
              </w:rPr>
              <w:t>5. Case Investigation (L2/L3)</w:t>
            </w:r>
          </w:p>
        </w:tc>
        <w:tc>
          <w:tcPr>
            <w:tcW w:w="2268" w:type="dxa"/>
          </w:tcPr>
          <w:p>
            <w:pPr>
              <w:spacing w:lineRule="auto" w:line="288" w:before="60" w:after="60"/>
              <w:ind w:left="57" w:right="57"/>
            </w:pPr>
            <w:r>
              <w:rPr>
                <w:rFonts w:ascii="Times New Roman" w:hAnsi="Times New Roman"/>
                <w:b w:val="0"/>
                <w:i w:val="0"/>
                <w:sz w:val="20"/>
              </w:rPr>
              <w:t>Investigators build the full picture: evidence, narrative, decision.</w:t>
            </w:r>
          </w:p>
        </w:tc>
        <w:tc>
          <w:tcPr>
            <w:tcW w:w="2268" w:type="dxa"/>
          </w:tcPr>
          <w:p>
            <w:pPr>
              <w:spacing w:lineRule="auto" w:line="288" w:before="60" w:after="60"/>
              <w:ind w:left="57" w:right="57"/>
            </w:pPr>
            <w:r>
              <w:rPr>
                <w:rFonts w:ascii="Times New Roman" w:hAnsi="Times New Roman"/>
                <w:b w:val="0"/>
                <w:i w:val="0"/>
                <w:sz w:val="20"/>
              </w:rPr>
              <w:t>Case file with recommendation</w:t>
            </w:r>
          </w:p>
        </w:tc>
        <w:tc>
          <w:tcPr>
            <w:tcW w:w="2268" w:type="dxa"/>
          </w:tcPr>
          <w:p>
            <w:pPr>
              <w:spacing w:lineRule="auto" w:line="288" w:before="60" w:after="60"/>
              <w:ind w:left="57" w:right="57"/>
            </w:pPr>
            <w:r>
              <w:rPr>
                <w:rFonts w:ascii="Times New Roman" w:hAnsi="Times New Roman"/>
                <w:b w:val="0"/>
                <w:i w:val="0"/>
                <w:sz w:val="20"/>
              </w:rPr>
              <w:t>Poor documentation; insufficient evidence</w:t>
            </w:r>
          </w:p>
        </w:tc>
      </w:tr>
      <w:tr>
        <w:tc>
          <w:tcPr>
            <w:tcW w:w="2268" w:type="dxa"/>
          </w:tcPr>
          <w:p>
            <w:pPr>
              <w:spacing w:lineRule="auto" w:line="288" w:before="60" w:after="60"/>
              <w:ind w:left="57" w:right="57"/>
            </w:pPr>
            <w:r>
              <w:rPr>
                <w:rFonts w:ascii="Times New Roman" w:hAnsi="Times New Roman"/>
                <w:b w:val="0"/>
                <w:i w:val="0"/>
                <w:sz w:val="20"/>
              </w:rPr>
              <w:t>6. SAR Filing / Closure</w:t>
            </w:r>
          </w:p>
        </w:tc>
        <w:tc>
          <w:tcPr>
            <w:tcW w:w="2268" w:type="dxa"/>
          </w:tcPr>
          <w:p>
            <w:pPr>
              <w:spacing w:lineRule="auto" w:line="288" w:before="60" w:after="60"/>
              <w:ind w:left="57" w:right="57"/>
            </w:pPr>
            <w:r>
              <w:rPr>
                <w:rFonts w:ascii="Times New Roman" w:hAnsi="Times New Roman"/>
                <w:b w:val="0"/>
                <w:i w:val="0"/>
                <w:sz w:val="20"/>
              </w:rPr>
              <w:t>Investigator files a SAR or closes the case with documented rationale.</w:t>
            </w:r>
          </w:p>
        </w:tc>
        <w:tc>
          <w:tcPr>
            <w:tcW w:w="2268" w:type="dxa"/>
          </w:tcPr>
          <w:p>
            <w:pPr>
              <w:spacing w:lineRule="auto" w:line="288" w:before="60" w:after="60"/>
              <w:ind w:left="57" w:right="57"/>
            </w:pPr>
            <w:r>
              <w:rPr>
                <w:rFonts w:ascii="Times New Roman" w:hAnsi="Times New Roman"/>
                <w:b w:val="0"/>
                <w:i w:val="0"/>
                <w:sz w:val="20"/>
              </w:rPr>
              <w:t>SAR lodged or case closed</w:t>
            </w:r>
          </w:p>
        </w:tc>
        <w:tc>
          <w:tcPr>
            <w:tcW w:w="2268" w:type="dxa"/>
          </w:tcPr>
          <w:p>
            <w:pPr>
              <w:spacing w:lineRule="auto" w:line="288" w:before="60" w:after="60"/>
              <w:ind w:left="57" w:right="57"/>
            </w:pPr>
            <w:r>
              <w:rPr>
                <w:rFonts w:ascii="Times New Roman" w:hAnsi="Times New Roman"/>
                <w:b w:val="0"/>
                <w:i w:val="0"/>
                <w:sz w:val="20"/>
              </w:rPr>
              <w:t>Tipping off; inadequate SAR quality</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This lifecycle is not strictly linear. Data quality issues discovered at Stage 4 may feed back to Stage 1. Scenario weaknesses identified during investigation may prompt a return to Stage 2. The lifecycle is better understood as a feedback loop: each stage generates intelligence that improves the others — provided the institution has the governance mechanisms to act on it.</w:t>
      </w:r>
    </w:p>
    <w:p>
      <w:pPr>
        <w:pStyle w:val="Heading2"/>
      </w:pPr>
      <w:r>
        <w:rPr>
          <w:rFonts w:ascii="Times New Roman" w:hAnsi="Times New Roman"/>
        </w:rPr>
        <w:t>3.3 Data Collection</w:t>
      </w:r>
    </w:p>
    <w:p>
      <w:pPr>
        <w:pStyle w:val="Heading3"/>
      </w:pPr>
      <w:r>
        <w:rPr>
          <w:rFonts w:ascii="Times New Roman" w:hAnsi="Times New Roman"/>
        </w:rPr>
        <w:t>3.3.1 Types of Data</w:t>
      </w:r>
    </w:p>
    <w:p>
      <w:pPr>
        <w:pStyle w:val="BodyText"/>
        <w:spacing w:lineRule="auto" w:line="360" w:before="0" w:after="120"/>
        <w:ind w:firstLine="283"/>
      </w:pPr>
      <w:r>
        <w:rPr>
          <w:rFonts w:ascii="Times New Roman" w:hAnsi="Times New Roman"/>
          <w:b w:val="0"/>
          <w:i w:val="0"/>
          <w:sz w:val="24"/>
        </w:rPr>
        <w:t>Transaction monitoring draws on three broad categories of data. Each plays a different role in the process.</w:t>
      </w:r>
    </w:p>
    <w:p>
      <w:pPr>
        <w:pStyle w:val="ListBullet"/>
        <w:spacing w:lineRule="auto" w:line="360" w:before="0" w:after="60"/>
      </w:pPr>
      <w:r>
        <w:rPr>
          <w:rFonts w:ascii="Times New Roman" w:hAnsi="Times New Roman"/>
          <w:b w:val="0"/>
          <w:i w:val="0"/>
          <w:sz w:val="24"/>
        </w:rPr>
        <w:t>Transactional data: The raw record of financial activity. This includes payment amounts, timestamps, originator and beneficiary account details, transaction types (cash, CHAPS, Faster Payments, card), and channel (branch, online, ATM). Transactional data is the primary input to most scenarios.</w:t>
      </w:r>
    </w:p>
    <w:p>
      <w:pPr>
        <w:pStyle w:val="ListBullet"/>
        <w:spacing w:lineRule="auto" w:line="360" w:before="0" w:after="60"/>
      </w:pPr>
      <w:r>
        <w:rPr>
          <w:rFonts w:ascii="Times New Roman" w:hAnsi="Times New Roman"/>
          <w:b w:val="0"/>
          <w:i w:val="0"/>
          <w:sz w:val="24"/>
        </w:rPr>
        <w:t>Customer data: Information about the account holder: name, address, date of birth, occupation, customer risk rating (CRR), account opening date, KYC status, and any previous suspicious activity flags. Customer data provides the context that makes a transaction meaningful. The same deposit amount may be perfectly normal for one customer and deeply anomalous for another.</w:t>
      </w:r>
    </w:p>
    <w:p>
      <w:pPr>
        <w:pStyle w:val="ListBullet"/>
        <w:spacing w:lineRule="auto" w:line="360" w:before="0" w:after="60"/>
      </w:pPr>
      <w:r>
        <w:rPr>
          <w:rFonts w:ascii="Times New Roman" w:hAnsi="Times New Roman"/>
          <w:b w:val="0"/>
          <w:i w:val="0"/>
          <w:sz w:val="24"/>
        </w:rPr>
        <w:t>Reference data: Lookup tables and external data sources that enrich the transaction picture. These include country risk lists, sanctions lists, industry codes, peer group definitions, and typology libraries. Reference data is often maintained separately from the core transaction data and must be kept current.</w:t>
      </w:r>
    </w:p>
    <w:p>
      <w:pPr>
        <w:pStyle w:val="Heading3"/>
      </w:pPr>
      <w:r>
        <w:rPr>
          <w:rFonts w:ascii="Times New Roman" w:hAnsi="Times New Roman"/>
        </w:rPr>
        <w:t>3.3.2 Data Quality Issues</w:t>
      </w:r>
    </w:p>
    <w:p>
      <w:pPr>
        <w:pStyle w:val="BodyText"/>
        <w:spacing w:lineRule="auto" w:line="360" w:before="0" w:after="120"/>
        <w:ind w:firstLine="283"/>
      </w:pPr>
      <w:r>
        <w:rPr>
          <w:rFonts w:ascii="Times New Roman" w:hAnsi="Times New Roman"/>
          <w:b w:val="0"/>
          <w:i w:val="0"/>
          <w:sz w:val="24"/>
        </w:rPr>
        <w:t>Data quality is the most underappreciated risk in transaction monitoring. When examiners find weaknesses in a Transaction Monitoring Framework, data quality is a frequent contributor.</w:t>
      </w:r>
    </w:p>
    <w:p>
      <w:pPr>
        <w:pStyle w:val="BodyText"/>
        <w:spacing w:lineRule="auto" w:line="360" w:before="0" w:after="120"/>
        <w:ind w:firstLine="283"/>
      </w:pPr>
      <w:r>
        <w:rPr>
          <w:rFonts w:ascii="Times New Roman" w:hAnsi="Times New Roman"/>
          <w:b w:val="0"/>
          <w:i w:val="0"/>
          <w:sz w:val="24"/>
        </w:rPr>
        <w:t>The most common data quality problems are:</w:t>
      </w:r>
    </w:p>
    <w:p>
      <w:pPr>
        <w:pStyle w:val="ListBullet"/>
        <w:spacing w:lineRule="auto" w:line="360" w:before="0" w:after="60"/>
      </w:pPr>
      <w:r>
        <w:rPr>
          <w:rFonts w:ascii="Times New Roman" w:hAnsi="Times New Roman"/>
          <w:b w:val="0"/>
          <w:i w:val="0"/>
          <w:sz w:val="24"/>
        </w:rPr>
        <w:t>Missing fields: Occupation, source of funds, or beneficial owner information absent from the customer record, making contextual assessment impossible.</w:t>
      </w:r>
    </w:p>
    <w:p>
      <w:pPr>
        <w:pStyle w:val="ListBullet"/>
        <w:spacing w:lineRule="auto" w:line="360" w:before="0" w:after="60"/>
      </w:pPr>
      <w:r>
        <w:rPr>
          <w:rFonts w:ascii="Times New Roman" w:hAnsi="Times New Roman"/>
          <w:b w:val="0"/>
          <w:i w:val="0"/>
          <w:sz w:val="24"/>
        </w:rPr>
        <w:t>Stale data: Customer records not updated after significant life events — retirement, change of employment, change of address — so the transaction profile no longer reflects reality.</w:t>
      </w:r>
    </w:p>
    <w:p>
      <w:pPr>
        <w:pStyle w:val="ListBullet"/>
        <w:spacing w:lineRule="auto" w:line="360" w:before="0" w:after="60"/>
      </w:pPr>
      <w:r>
        <w:rPr>
          <w:rFonts w:ascii="Times New Roman" w:hAnsi="Times New Roman"/>
          <w:b w:val="0"/>
          <w:i w:val="0"/>
          <w:sz w:val="24"/>
        </w:rPr>
        <w:t>Mapping errors: Transactions from legacy systems mapped incorrectly to the TMS, causing them to be classified under the wrong transaction type or excluded entirely.</w:t>
      </w:r>
    </w:p>
    <w:p>
      <w:pPr>
        <w:pStyle w:val="ListBullet"/>
        <w:spacing w:lineRule="auto" w:line="360" w:before="0" w:after="60"/>
      </w:pPr>
      <w:r>
        <w:rPr>
          <w:rFonts w:ascii="Times New Roman" w:hAnsi="Times New Roman"/>
          <w:b w:val="0"/>
          <w:i w:val="0"/>
          <w:sz w:val="24"/>
        </w:rPr>
        <w:t>Duplicate records: The same customer appearing under multiple identifiers, preventing aggregation of their full transaction picture.</w:t>
      </w:r>
    </w:p>
    <w:p>
      <w:pPr>
        <w:pStyle w:val="ListBullet"/>
        <w:spacing w:lineRule="auto" w:line="360" w:before="0" w:after="60"/>
      </w:pPr>
      <w:r>
        <w:rPr>
          <w:rFonts w:ascii="Times New Roman" w:hAnsi="Times New Roman"/>
          <w:b w:val="0"/>
          <w:i w:val="0"/>
          <w:sz w:val="24"/>
        </w:rPr>
        <w:t>Late feeds: Source system data arriving after the monitoring window has closed, creating gaps in the surveillance period.</w:t>
      </w:r>
    </w:p>
    <w:p>
      <w:pPr>
        <w:pStyle w:val="BodyText"/>
        <w:spacing w:lineRule="auto" w:line="360" w:before="0" w:after="120"/>
        <w:ind w:firstLine="283"/>
      </w:pPr>
      <w:r>
        <w:rPr>
          <w:rFonts w:ascii="Times New Roman" w:hAnsi="Times New Roman"/>
          <w:b w:val="0"/>
          <w:i w:val="0"/>
          <w:sz w:val="24"/>
        </w:rPr>
        <w:t>Not all data fields carry equal weight. Practitioners use the terms Critical Data Elements (CDEs) and Key Data Elements (KDEs) interchangeably — different institutions and vendors prefer different terms, but they refer to the same concept: fields whose absence or inaccuracy would directly impair a scenario's ability to fire or an investigator's ability to reach a conclusion. Throughout this book, CDE/KDE is used to reflect this equivalence. For the structuring scenario, CDEs include transaction amount, transaction type (cash vs. non-cash), transaction date, and account identifier. KDEs include occupation, stated income, and branch location. Identifying CDEs for each scenario is a prerequisite for effective data quality management — you cannot prioritise remediation without first knowing what is critical.</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3.4  </w:t>
            </w:r>
            <w:r>
              <w:rPr>
                <w:rFonts w:ascii="Times New Roman" w:hAnsi="Times New Roman"/>
                <w:b/>
                <w:i/>
                <w:sz w:val="22"/>
              </w:rPr>
              <w:t>From School to Practice: Data Quality Frameworks</w:t>
            </w:r>
          </w:p>
          <w:p>
            <w:pPr>
              <w:spacing w:lineRule="auto" w:line="312" w:before="20" w:after="40"/>
              <w:ind w:left="113"/>
            </w:pPr>
            <w:r>
              <w:rPr>
                <w:rFonts w:ascii="Times New Roman" w:hAnsi="Times New Roman"/>
                <w:b w:val="0"/>
                <w:i w:val="0"/>
                <w:sz w:val="22"/>
              </w:rPr>
              <w:t>A structured approach to data quality in AML TM follows four steps: establish data lineage (know where each field originates and how it flows into the TMS); perform reconciliation (verify that the volume and values of data received match the source system); conduct CDE testing (validate that critical fields are complete, accurate, and timely); and close the feedback loop (route data quality findings back to the source system owners for remediation). Chapter 7 covers this framework in detail.</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3.5  </w:t>
            </w:r>
            <w:r>
              <w:rPr>
                <w:rFonts w:ascii="Times New Roman" w:hAnsi="Times New Roman"/>
                <w:b/>
                <w:i/>
                <w:sz w:val="22"/>
              </w:rPr>
              <w:t>There is no such thing as bad data.</w:t>
            </w:r>
          </w:p>
          <w:p>
            <w:pPr>
              <w:spacing w:lineRule="auto" w:line="312" w:before="20" w:after="40"/>
              <w:ind w:left="113"/>
            </w:pPr>
            <w:r>
              <w:rPr>
                <w:rFonts w:ascii="Times New Roman" w:hAnsi="Times New Roman"/>
                <w:b w:val="0"/>
                <w:i w:val="0"/>
                <w:sz w:val="22"/>
              </w:rPr>
              <w:t>The phrase 'bad data' is one of the most consequential category errors in analytics. Data is objective — it records what happened. The label 'bad' is subjective — it records that the data does not match what our model expected. These are different things, and conflating them is costly.</w:t>
            </w:r>
          </w:p>
          <w:p>
            <w:pPr>
              <w:spacing w:lineRule="auto" w:line="312" w:before="20" w:after="40"/>
              <w:ind w:left="113"/>
            </w:pPr>
            <w:r>
              <w:rPr>
                <w:rFonts w:ascii="Times New Roman" w:hAnsi="Times New Roman"/>
                <w:b w:val="0"/>
                <w:i w:val="0"/>
                <w:sz w:val="22"/>
              </w:rPr>
              <w:t>When practitioners say a dataset has 'bad data,' they typically mean one of three things: the data does not conform to the schema their system requires; the data contradicts a prior assumption about the customer; or the data cannot be processed by their current model. None of these are properties of the data. They are properties of the model's expectations.</w:t>
            </w:r>
          </w:p>
          <w:p>
            <w:pPr>
              <w:spacing w:lineRule="auto" w:line="312" w:before="20" w:after="40"/>
              <w:ind w:left="113"/>
            </w:pPr>
            <w:r>
              <w:rPr>
                <w:rFonts w:ascii="Times New Roman" w:hAnsi="Times New Roman"/>
                <w:b w:val="0"/>
                <w:i w:val="0"/>
                <w:sz w:val="22"/>
              </w:rPr>
              <w:t>A blank occupation field is not bad data — it is a signal that the system failed to collect it, or that the customer declined to provide it, or that the onboarding process does not require it. Each of those explanations carries a different risk implication. A transaction amount that is an order of magnitude larger than the customer's stated income is not bad data — it is the most interesting data point in the file. Calling it 'bad' and discarding it is the analysis failure, not the data failure.</w:t>
            </w:r>
          </w:p>
          <w:p>
            <w:pPr>
              <w:spacing w:lineRule="auto" w:line="312" w:before="20" w:after="40"/>
              <w:ind w:left="113"/>
            </w:pPr>
            <w:r>
              <w:rPr>
                <w:rFonts w:ascii="Times New Roman" w:hAnsi="Times New Roman"/>
                <w:b w:val="0"/>
                <w:i w:val="0"/>
                <w:sz w:val="22"/>
              </w:rPr>
              <w:t>The analyst's discipline is to resist the urge to label data relative to their model and instead ask: what is this data actually telling me? An unexpected value, an absent field, a distribution that does not match — all of these are observations about reality. The model that cannot accommodate them has a specification problem. In AML, where the objective is to detect what is hidden, dismissing surprising data as 'bad' is precisely the instinct that money launderers rely on.</w:t>
            </w:r>
          </w:p>
        </w:tc>
      </w:tr>
    </w:tbl>
    <w:p>
      <w:pPr>
        <w:spacing w:lineRule="auto" w:line="240" w:before="0" w:after="160"/>
      </w:pPr>
    </w:p>
    <w:p>
      <w:pPr>
        <w:pStyle w:val="Heading2"/>
      </w:pPr>
      <w:r>
        <w:rPr>
          <w:rFonts w:ascii="Times New Roman" w:hAnsi="Times New Roman"/>
        </w:rPr>
        <w:t>3.4 Scenario Development: From Typology to Rule</w:t>
      </w:r>
    </w:p>
    <w:p>
      <w:pPr>
        <w:pStyle w:val="BodyText"/>
        <w:spacing w:lineRule="auto" w:line="360" w:before="0" w:after="120"/>
        <w:ind w:firstLine="283"/>
      </w:pPr>
      <w:r>
        <w:rPr>
          <w:rFonts w:ascii="Times New Roman" w:hAnsi="Times New Roman"/>
          <w:b w:val="0"/>
          <w:i w:val="0"/>
          <w:sz w:val="24"/>
        </w:rPr>
        <w:t>A scenario is a computer-implementable rule that encodes logic derived from typologies and red flags. It is, in effect, a formal instruction to the TMS: look for this pattern, in this population, over this time window, and generate an alert if you find it. Scenario development is the process of translating a money laundering typology — and the red flags associated with it — into that formal instruction.</w:t>
      </w:r>
    </w:p>
    <w:p>
      <w:pPr>
        <w:pStyle w:val="BodyText"/>
        <w:spacing w:lineRule="auto" w:line="360" w:before="0" w:after="120"/>
        <w:ind w:firstLine="283"/>
      </w:pPr>
      <w:r>
        <w:rPr>
          <w:rFonts w:ascii="Times New Roman" w:hAnsi="Times New Roman"/>
          <w:b w:val="0"/>
          <w:i w:val="0"/>
          <w:sz w:val="24"/>
        </w:rPr>
        <w:t>The structuring typology provides a clear example. Regulators and law enforcement have long observed that individuals seeking to avoid currency reporting thresholds will break large cash deposits into multiple smaller ones. The typology is documented in guidance from FinCEN, JMLSG, and the FFIEC.</w:t>
      </w:r>
    </w:p>
    <w:p>
      <w:pPr>
        <w:pStyle w:val="BodyText"/>
        <w:spacing w:lineRule="auto" w:line="360" w:before="0" w:after="120"/>
        <w:ind w:firstLine="283"/>
      </w:pPr>
      <w:r>
        <w:rPr>
          <w:rFonts w:ascii="Times New Roman" w:hAnsi="Times New Roman"/>
          <w:b w:val="0"/>
          <w:i w:val="0"/>
          <w:sz w:val="24"/>
        </w:rPr>
        <w:t>To translate this typology into a rule, the analyst must answer a series of questions:</w:t>
      </w:r>
    </w:p>
    <w:p>
      <w:pPr>
        <w:pStyle w:val="ListBullet"/>
        <w:spacing w:lineRule="auto" w:line="360" w:before="0" w:after="60"/>
      </w:pPr>
      <w:r>
        <w:rPr>
          <w:rFonts w:ascii="Times New Roman" w:hAnsi="Times New Roman"/>
          <w:b w:val="0"/>
          <w:i w:val="0"/>
          <w:sz w:val="24"/>
        </w:rPr>
        <w:t>What are the red flags that indicate structuring behaviour? Multiple cash deposits below the reporting threshold; deposits across multiple branches on the same or consecutive days; deposits inconsistent with the customer's stated income or occupation.</w:t>
      </w:r>
    </w:p>
    <w:p>
      <w:pPr>
        <w:pStyle w:val="ListBullet"/>
        <w:spacing w:lineRule="auto" w:line="360" w:before="0" w:after="60"/>
      </w:pPr>
      <w:r>
        <w:rPr>
          <w:rFonts w:ascii="Times New Roman" w:hAnsi="Times New Roman"/>
          <w:b w:val="0"/>
          <w:i w:val="0"/>
          <w:sz w:val="24"/>
        </w:rPr>
        <w:t>What data is needed to detect these red flags? Transaction type (cash), amount, date, branch, and customer occupation or income.</w:t>
      </w:r>
    </w:p>
    <w:p>
      <w:pPr>
        <w:pStyle w:val="ListBullet"/>
        <w:spacing w:lineRule="auto" w:line="360" w:before="0" w:after="60"/>
      </w:pPr>
      <w:r>
        <w:rPr>
          <w:rFonts w:ascii="Times New Roman" w:hAnsi="Times New Roman"/>
          <w:b w:val="0"/>
          <w:i w:val="0"/>
          <w:sz w:val="24"/>
        </w:rPr>
        <w:t>What logic will be used? A rolling sum of cash deposits within a defined lookback window, compared against a threshold that sits below — but near — the reporting threshold.</w:t>
      </w:r>
    </w:p>
    <w:p>
      <w:pPr>
        <w:pStyle w:val="ListBullet"/>
        <w:spacing w:lineRule="auto" w:line="360" w:before="0" w:after="60"/>
      </w:pPr>
      <w:r>
        <w:rPr>
          <w:rFonts w:ascii="Times New Roman" w:hAnsi="Times New Roman"/>
          <w:b w:val="0"/>
          <w:i w:val="0"/>
          <w:sz w:val="24"/>
        </w:rPr>
        <w:t>What parameters will govern the rule? The sum threshold, the lookback window (e.g., 30 days), and the minimum number of transactions required to trigger an alert.</w:t>
      </w:r>
    </w:p>
    <w:p>
      <w:pPr>
        <w:pStyle w:val="ListBullet"/>
        <w:spacing w:lineRule="auto" w:line="360" w:before="0" w:after="60"/>
      </w:pPr>
      <w:r>
        <w:rPr>
          <w:rFonts w:ascii="Times New Roman" w:hAnsi="Times New Roman"/>
          <w:b w:val="0"/>
          <w:i w:val="0"/>
          <w:sz w:val="24"/>
        </w:rPr>
        <w:t>Which customers will the scenario apply to? All personal current account holders, or a specific risk segment.</w:t>
      </w:r>
    </w:p>
    <w:p>
      <w:pPr>
        <w:pStyle w:val="BodyText"/>
        <w:spacing w:lineRule="auto" w:line="360" w:before="0" w:after="120"/>
        <w:ind w:firstLine="283"/>
      </w:pPr>
      <w:r>
        <w:rPr>
          <w:rFonts w:ascii="Times New Roman" w:hAnsi="Times New Roman"/>
          <w:b w:val="0"/>
          <w:i w:val="0"/>
          <w:sz w:val="24"/>
        </w:rPr>
        <w:t>We develop the formal rule specification for the Northgate structuring scenario in Chapter 4. For now, the important point is that scenario development is not a technical activity — it is an analytical one. The rule logic encodes human judgement about what suspicious behaviour looks like. That judgement must be grounded in documented typologies, regulatory guidance, and empirical evidence.</w:t>
      </w:r>
    </w:p>
    <w:p>
      <w:pPr>
        <w:pStyle w:val="Heading2"/>
      </w:pPr>
      <w:r>
        <w:rPr>
          <w:rFonts w:ascii="Times New Roman" w:hAnsi="Times New Roman"/>
        </w:rPr>
        <w:t>3.5 Alert Generation</w:t>
      </w:r>
    </w:p>
    <w:p>
      <w:pPr>
        <w:pStyle w:val="Heading3"/>
      </w:pPr>
      <w:r>
        <w:rPr>
          <w:rFonts w:ascii="Times New Roman" w:hAnsi="Times New Roman"/>
        </w:rPr>
        <w:t>3.5.1 How Alerts are Generated</w:t>
      </w:r>
    </w:p>
    <w:p>
      <w:pPr>
        <w:pStyle w:val="BodyText"/>
        <w:spacing w:lineRule="auto" w:line="360" w:before="0" w:after="120"/>
        <w:ind w:firstLine="283"/>
      </w:pPr>
      <w:r>
        <w:rPr>
          <w:rFonts w:ascii="Times New Roman" w:hAnsi="Times New Roman"/>
          <w:b w:val="0"/>
          <w:i w:val="0"/>
          <w:sz w:val="24"/>
        </w:rPr>
        <w:t>When the TMS processes a transaction or batch of transactions, it evaluates each scenario against the data. When a transaction — or pattern of transactions — meets the conditions specified in the scenario, the system generates an alert. The alert records what triggered it: which scenario, which account, which transactions, and what threshold was breached.</w:t>
      </w:r>
    </w:p>
    <w:p>
      <w:pPr>
        <w:pStyle w:val="BodyText"/>
        <w:spacing w:lineRule="auto" w:line="360" w:before="0" w:after="120"/>
        <w:ind w:firstLine="283"/>
      </w:pPr>
      <w:r>
        <w:rPr>
          <w:rFonts w:ascii="Times New Roman" w:hAnsi="Times New Roman"/>
          <w:b w:val="0"/>
          <w:i w:val="0"/>
          <w:sz w:val="24"/>
        </w:rPr>
        <w:t>Alert, event, and case are terms used differently by different institutions. For clarity, we define them as follows throughout this book:</w:t>
      </w:r>
    </w:p>
    <w:p>
      <w:pPr>
        <w:pStyle w:val="ListBullet"/>
        <w:spacing w:lineRule="auto" w:line="360" w:before="0" w:after="60"/>
      </w:pPr>
      <w:r>
        <w:rPr>
          <w:rFonts w:ascii="Times New Roman" w:hAnsi="Times New Roman"/>
          <w:b w:val="0"/>
          <w:i w:val="0"/>
          <w:sz w:val="24"/>
        </w:rPr>
        <w:t>Alert: A signal from a system or manual process that warrants further investigation. An alert is the output of the TMS and the input to human review. It has not yet been assessed.</w:t>
      </w:r>
    </w:p>
    <w:p>
      <w:pPr>
        <w:pStyle w:val="ListBullet"/>
        <w:spacing w:lineRule="auto" w:line="360" w:before="0" w:after="60"/>
      </w:pPr>
      <w:r>
        <w:rPr>
          <w:rFonts w:ascii="Times New Roman" w:hAnsi="Times New Roman"/>
          <w:b w:val="0"/>
          <w:i w:val="0"/>
          <w:sz w:val="24"/>
        </w:rPr>
        <w:t>Event: Any piece of evidence potentially valuable for creating or contributing to an investigation. An event is broader than a single transaction — it may include customer data, linked account activity, open-source intelligence findings, or any other piece of information relevant to the alert. A single alert may draw on multiple events.</w:t>
      </w:r>
    </w:p>
    <w:p>
      <w:pPr>
        <w:pStyle w:val="ListBullet"/>
        <w:spacing w:lineRule="auto" w:line="360" w:before="0" w:after="60"/>
      </w:pPr>
      <w:r>
        <w:rPr>
          <w:rFonts w:ascii="Times New Roman" w:hAnsi="Times New Roman"/>
          <w:b w:val="0"/>
          <w:i w:val="0"/>
          <w:sz w:val="24"/>
        </w:rPr>
        <w:t>Case: A collection of information compiled to investigate potentially suspicious behaviour. A case is opened when an alert (or multiple alerts) is escalated beyond Level 1 review and is investigated by a more senior analyst or specialist investigator.</w:t>
      </w:r>
    </w:p>
    <w:p>
      <w:pPr>
        <w:pStyle w:val="ListBullet"/>
        <w:spacing w:lineRule="auto" w:line="360" w:before="0" w:after="60"/>
      </w:pPr>
      <w:r>
        <w:rPr>
          <w:rFonts w:ascii="Times New Roman" w:hAnsi="Times New Roman"/>
          <w:b w:val="0"/>
          <w:i w:val="0"/>
          <w:sz w:val="24"/>
        </w:rPr>
        <w:t>Infraction: Some vendor systems call events infractions. For the purpose of this book, treat infraction and event as equivalent terms. An infraction may be suppressed or promoted to an alert based on additional logic or threshold conditions. Not all institutions use this term — its meaning varies by platform.</w:t>
      </w:r>
    </w:p>
    <w:p>
      <w:pPr>
        <w:pStyle w:val="Heading3"/>
      </w:pPr>
      <w:r>
        <w:rPr>
          <w:rFonts w:ascii="Times New Roman" w:hAnsi="Times New Roman"/>
        </w:rPr>
        <w:t>3.5.2 Alert Volumes and the ATL/BTL Concept</w:t>
      </w:r>
    </w:p>
    <w:p>
      <w:pPr>
        <w:pStyle w:val="BodyText"/>
        <w:spacing w:lineRule="auto" w:line="360" w:before="0" w:after="120"/>
        <w:ind w:firstLine="283"/>
      </w:pPr>
      <w:r>
        <w:rPr>
          <w:rFonts w:ascii="Times New Roman" w:hAnsi="Times New Roman"/>
          <w:b w:val="0"/>
          <w:i w:val="0"/>
          <w:sz w:val="24"/>
        </w:rPr>
        <w:t>Every scenario has a threshold — the point at which a transaction or pattern crosses from unremarkable to flagged. That threshold divides the entire customer population into two groups.</w:t>
      </w:r>
    </w:p>
    <w:p>
      <w:pPr>
        <w:pStyle w:val="BodyText"/>
        <w:spacing w:lineRule="auto" w:line="360" w:before="0" w:after="120"/>
        <w:ind w:firstLine="283"/>
      </w:pPr>
      <w:r>
        <w:rPr>
          <w:rFonts w:ascii="Times New Roman" w:hAnsi="Times New Roman"/>
          <w:b w:val="0"/>
          <w:i w:val="0"/>
          <w:sz w:val="24"/>
        </w:rPr>
        <w:t>Above the line (ATL) refers to transactions and accounts that trigger an alert. These are the population of alerts that analysts review.</w:t>
      </w:r>
    </w:p>
    <w:p>
      <w:pPr>
        <w:pStyle w:val="BodyText"/>
        <w:spacing w:lineRule="auto" w:line="360" w:before="0" w:after="120"/>
        <w:ind w:firstLine="283"/>
      </w:pPr>
      <w:r>
        <w:rPr>
          <w:rFonts w:ascii="Times New Roman" w:hAnsi="Times New Roman"/>
          <w:b w:val="0"/>
          <w:i w:val="0"/>
          <w:sz w:val="24"/>
        </w:rPr>
        <w:t>Below the line (BTL) refers to transactions and accounts that did not trigger an alert. This population is, by definition, unreviewed — unless a sampling exercise is conducted.</w:t>
      </w:r>
    </w:p>
    <w:p>
      <w:pPr>
        <w:pStyle w:val="BodyText"/>
        <w:spacing w:lineRule="auto" w:line="360" w:before="0" w:after="120"/>
        <w:ind w:firstLine="283"/>
      </w:pPr>
      <w:r>
        <w:rPr>
          <w:rFonts w:ascii="Times New Roman" w:hAnsi="Times New Roman"/>
          <w:b w:val="0"/>
          <w:i w:val="0"/>
          <w:sz w:val="24"/>
        </w:rPr>
        <w:t>The threshold setting determines the size of both populations. A lower threshold generates more alerts (larger ATL, smaller BTL) but reduces the risk of missing suspicious activity. A higher threshold generates fewer alerts (smaller ATL, larger BTL) but increases the risk of missed detection. Chapter 6 covers threshold calibration and the ATL/BTL framework in detail.</w:t>
      </w:r>
    </w:p>
    <w:p>
      <w:pPr>
        <w:pStyle w:val="BodyText"/>
        <w:spacing w:lineRule="auto" w:line="360" w:before="0" w:after="120"/>
        <w:ind w:firstLine="283"/>
      </w:pPr>
      <w:r>
        <w:rPr>
          <w:rFonts w:ascii="Times New Roman" w:hAnsi="Times New Roman"/>
          <w:b w:val="0"/>
          <w:i w:val="0"/>
          <w:sz w:val="24"/>
        </w:rPr>
        <w:t>In practice, alert volumes are a major operational concern. Analysts have finite capacity. When alert volumes are too high, review quality degrades. When they are too low, coverage gaps emerge. The noisy alert rate — the proportion of alerts that investigation determines are non-suspicious — is one of the key metrics that governs this trade-off. Chapter 6 covers the full range of calibration metrics and the statistical methods used to optimise them.</w:t>
      </w:r>
    </w:p>
    <w:p>
      <w:pPr>
        <w:pStyle w:val="Heading2"/>
      </w:pPr>
      <w:r>
        <w:rPr>
          <w:rFonts w:ascii="Times New Roman" w:hAnsi="Times New Roman"/>
        </w:rPr>
        <w:t>3.6 Alert Review: Level 1</w:t>
      </w:r>
    </w:p>
    <w:p>
      <w:pPr>
        <w:pStyle w:val="BodyText"/>
        <w:spacing w:lineRule="auto" w:line="360" w:before="0" w:after="120"/>
        <w:ind w:firstLine="283"/>
      </w:pPr>
      <w:r>
        <w:rPr>
          <w:rFonts w:ascii="Times New Roman" w:hAnsi="Times New Roman"/>
          <w:b w:val="0"/>
          <w:i w:val="0"/>
          <w:sz w:val="24"/>
        </w:rPr>
        <w:t>Level 1 (L1) review is the first human checkpoint in the TM lifecycle. L1 analysts are typically the most junior members of the financial crime team. Their job is triage, not investigation.</w:t>
      </w:r>
    </w:p>
    <w:p>
      <w:pPr>
        <w:pStyle w:val="BodyText"/>
        <w:spacing w:lineRule="auto" w:line="360" w:before="0" w:after="120"/>
        <w:ind w:firstLine="283"/>
      </w:pPr>
      <w:r>
        <w:rPr>
          <w:rFonts w:ascii="Times New Roman" w:hAnsi="Times New Roman"/>
          <w:b w:val="0"/>
          <w:i w:val="0"/>
          <w:sz w:val="24"/>
        </w:rPr>
        <w:t>At L1, the analyst answers a specific question: is there enough here to warrant escalation? They are not expected to build a complete case or make a final SAR decision. They are expected to make a rapid, structured assessment of whether the alert has apparent merit.</w:t>
      </w:r>
    </w:p>
    <w:p>
      <w:pPr>
        <w:pStyle w:val="BodyText"/>
        <w:spacing w:lineRule="auto" w:line="360" w:before="0" w:after="120"/>
        <w:ind w:firstLine="283"/>
      </w:pPr>
      <w:r>
        <w:rPr>
          <w:rFonts w:ascii="Times New Roman" w:hAnsi="Times New Roman"/>
          <w:b w:val="0"/>
          <w:i w:val="0"/>
          <w:sz w:val="24"/>
        </w:rPr>
        <w:t>A typical L1 review involves:</w:t>
      </w:r>
    </w:p>
    <w:p>
      <w:pPr>
        <w:pStyle w:val="ListBullet"/>
        <w:spacing w:lineRule="auto" w:line="360" w:before="0" w:after="60"/>
      </w:pPr>
      <w:r>
        <w:rPr>
          <w:rFonts w:ascii="Times New Roman" w:hAnsi="Times New Roman"/>
          <w:b w:val="0"/>
          <w:i w:val="0"/>
          <w:sz w:val="24"/>
        </w:rPr>
        <w:t>Reading the alert: What scenario fired? What transactions triggered it? What are the amounts, dates, and counterparties?</w:t>
      </w:r>
    </w:p>
    <w:p>
      <w:pPr>
        <w:pStyle w:val="ListBullet"/>
        <w:spacing w:lineRule="auto" w:line="360" w:before="0" w:after="60"/>
      </w:pPr>
      <w:r>
        <w:rPr>
          <w:rFonts w:ascii="Times New Roman" w:hAnsi="Times New Roman"/>
          <w:b w:val="0"/>
          <w:i w:val="0"/>
          <w:sz w:val="24"/>
        </w:rPr>
        <w:t>Checking customer context: What is the customer's occupation, income, and risk rating? Is their transaction history consistent with the alert?</w:t>
      </w:r>
    </w:p>
    <w:p>
      <w:pPr>
        <w:pStyle w:val="ListBullet"/>
        <w:spacing w:lineRule="auto" w:line="360" w:before="0" w:after="60"/>
      </w:pPr>
      <w:r>
        <w:rPr>
          <w:rFonts w:ascii="Times New Roman" w:hAnsi="Times New Roman"/>
          <w:b w:val="0"/>
          <w:i w:val="0"/>
          <w:sz w:val="24"/>
        </w:rPr>
        <w:t>Reviewing prior alerts and SARs: Has this customer been flagged before? Have they been the subject of a SAR?</w:t>
      </w:r>
    </w:p>
    <w:p>
      <w:pPr>
        <w:pStyle w:val="ListBullet"/>
        <w:spacing w:lineRule="auto" w:line="360" w:before="0" w:after="60"/>
      </w:pPr>
      <w:r>
        <w:rPr>
          <w:rFonts w:ascii="Times New Roman" w:hAnsi="Times New Roman"/>
          <w:b w:val="0"/>
          <w:i w:val="0"/>
          <w:sz w:val="24"/>
        </w:rPr>
        <w:t>Applying a decision framework: Does the activity match a known typology? Is there an obvious innocent explanation? Is further investigation warranted?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3.6  </w:t>
            </w:r>
            <w:r>
              <w:rPr>
                <w:rFonts w:ascii="Times New Roman" w:hAnsi="Times New Roman"/>
                <w:b/>
                <w:i/>
                <w:sz w:val="22"/>
              </w:rPr>
              <w:t>Risk Consideration: Alert Fatigue</w:t>
            </w:r>
          </w:p>
          <w:p>
            <w:pPr>
              <w:spacing w:lineRule="auto" w:line="312" w:before="20" w:after="40"/>
              <w:ind w:left="113"/>
            </w:pPr>
            <w:r>
              <w:rPr>
                <w:rFonts w:ascii="Times New Roman" w:hAnsi="Times New Roman"/>
                <w:b w:val="0"/>
                <w:i w:val="0"/>
                <w:sz w:val="22"/>
              </w:rPr>
              <w:t>Alert fatigue is one of the most significant operational risks in transaction monitoring. When analysts process hundreds of alerts per day — the majority of which are noisy alerts — cognitive degradation occurs. Analysts become less thorough, less consistent, and more likely to dismiss alerts that should be escalated.</w:t>
            </w:r>
          </w:p>
          <w:p>
            <w:pPr>
              <w:spacing w:lineRule="auto" w:line="312" w:before="20" w:after="40"/>
              <w:ind w:left="113"/>
            </w:pPr>
            <w:r>
              <w:rPr>
                <w:rFonts w:ascii="Times New Roman" w:hAnsi="Times New Roman"/>
                <w:b w:val="0"/>
                <w:i w:val="0"/>
                <w:sz w:val="22"/>
              </w:rPr>
              <w:t>The risk is not merely operational. Regulatory examiners expect alert review to be of consistent quality regardless of volume. An institution that produces 10,000 alerts per month but can only review them adequately at 2,000 per month has a structural problem — one that cannot be solved by telling analysts to work faster.</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L1 review has a time pressure built into it. Most institutions impose a review window — typically 5 to 10 business days from alert generation. Alerts not resolved within the window escalate automatically. This creates an additional risk: analysts working against a deadline may make faster decisions than careful analysis warrants.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3.7  </w:t>
            </w:r>
            <w:r>
              <w:rPr>
                <w:rFonts w:ascii="Times New Roman" w:hAnsi="Times New Roman"/>
                <w:b/>
                <w:i/>
                <w:sz w:val="22"/>
              </w:rPr>
              <w:t>Note: L1/L2/L3 vs the Three Lines of Defence</w:t>
            </w:r>
          </w:p>
          <w:p>
            <w:pPr>
              <w:spacing w:lineRule="auto" w:line="312" w:before="20" w:after="40"/>
              <w:ind w:left="113"/>
            </w:pPr>
            <w:r>
              <w:rPr>
                <w:rFonts w:ascii="Times New Roman" w:hAnsi="Times New Roman"/>
                <w:b w:val="0"/>
                <w:i w:val="0"/>
                <w:sz w:val="22"/>
              </w:rPr>
              <w:t>The L1/L2/L3 levels used in this chapter describe alert review tiers — the escalation path from Event Triage to specialist investigation. They are not the same as the Three Lines of Defence (3LoD), which is a broader governance model. In the 3LoD framework: the First Line is the business and operations function — and this is where alert review sits. Investigation is an operational process; L1, L2, and L3 investigators are First Line staff performing operational financial crime controls. The Second Line is the Financial Crime Compliance function, which sets policy, oversees TM effectiveness, and provides challenge. The Third Line is Internal Audit and Model Risk, which provides independent assurance. This distinction matters: when a regulator asks who is responsible for a TM failure, they are asking which line of defence failed. Treating alert review as a Second Line activity is a governance error that misrepresents accountability.</w:t>
            </w:r>
          </w:p>
        </w:tc>
      </w:tr>
    </w:tbl>
    <w:p>
      <w:pPr>
        <w:spacing w:lineRule="auto" w:line="240" w:before="0" w:after="160"/>
      </w:pPr>
    </w:p>
    <w:p>
      <w:pPr>
        <w:pStyle w:val="Heading2"/>
      </w:pPr>
      <w:r>
        <w:rPr>
          <w:rFonts w:ascii="Times New Roman" w:hAnsi="Times New Roman"/>
        </w:rPr>
        <w:t>3.7 Case Investigation: Levels 2 and 3</w:t>
      </w:r>
    </w:p>
    <w:p>
      <w:pPr>
        <w:pStyle w:val="BodyText"/>
        <w:spacing w:lineRule="auto" w:line="360" w:before="0" w:after="120"/>
        <w:ind w:firstLine="283"/>
      </w:pPr>
      <w:r>
        <w:rPr>
          <w:rFonts w:ascii="Times New Roman" w:hAnsi="Times New Roman"/>
          <w:b w:val="0"/>
          <w:i w:val="0"/>
          <w:sz w:val="24"/>
        </w:rPr>
        <w:t>When an alert is escalated from L1, it becomes a case. Case investigation is a more intensive, structured process. It is carried out by more senior analysts (Level 2) or specialist financial crime investigators (Level 3).</w:t>
      </w:r>
    </w:p>
    <w:p>
      <w:pPr>
        <w:pStyle w:val="Heading3"/>
      </w:pPr>
      <w:r>
        <w:rPr>
          <w:rFonts w:ascii="Times New Roman" w:hAnsi="Times New Roman"/>
        </w:rPr>
        <w:t>3.7.1 What Investigators Do</w:t>
      </w:r>
    </w:p>
    <w:p>
      <w:pPr>
        <w:pStyle w:val="BodyText"/>
        <w:spacing w:lineRule="auto" w:line="360" w:before="0" w:after="120"/>
        <w:ind w:firstLine="283"/>
      </w:pPr>
      <w:r>
        <w:rPr>
          <w:rFonts w:ascii="Times New Roman" w:hAnsi="Times New Roman"/>
          <w:b w:val="0"/>
          <w:i w:val="0"/>
          <w:sz w:val="24"/>
        </w:rPr>
        <w:t>The L2/L3 investigator picks up where the L1 analyst left off. Their task is to build a complete picture of the activity: what happened, who was involved, over what period, through what accounts, and to what apparent purpose.</w:t>
      </w:r>
    </w:p>
    <w:p>
      <w:pPr>
        <w:pStyle w:val="BodyText"/>
        <w:spacing w:lineRule="auto" w:line="360" w:before="0" w:after="120"/>
        <w:ind w:firstLine="283"/>
      </w:pPr>
      <w:r>
        <w:rPr>
          <w:rFonts w:ascii="Times New Roman" w:hAnsi="Times New Roman"/>
          <w:b w:val="0"/>
          <w:i w:val="0"/>
          <w:sz w:val="24"/>
        </w:rPr>
        <w:t>This involves gathering evidence beyond what is available in the TMS. Investigators typically:</w:t>
      </w:r>
    </w:p>
    <w:p>
      <w:pPr>
        <w:pStyle w:val="ListBullet"/>
        <w:spacing w:lineRule="auto" w:line="360" w:before="0" w:after="60"/>
      </w:pPr>
      <w:r>
        <w:rPr>
          <w:rFonts w:ascii="Times New Roman" w:hAnsi="Times New Roman"/>
          <w:b w:val="0"/>
          <w:i w:val="0"/>
          <w:sz w:val="24"/>
        </w:rPr>
        <w:t>Pull the full transaction history for the account and any linked accounts.</w:t>
      </w:r>
    </w:p>
    <w:p>
      <w:pPr>
        <w:pStyle w:val="ListBullet"/>
        <w:spacing w:lineRule="auto" w:line="360" w:before="0" w:after="60"/>
      </w:pPr>
      <w:r>
        <w:rPr>
          <w:rFonts w:ascii="Times New Roman" w:hAnsi="Times New Roman"/>
          <w:b w:val="0"/>
          <w:i w:val="0"/>
          <w:sz w:val="24"/>
        </w:rPr>
        <w:t>Review customer due diligence files, including KYC documents, account opening forms, and any prior correspondence.</w:t>
      </w:r>
    </w:p>
    <w:p>
      <w:pPr>
        <w:pStyle w:val="ListBullet"/>
        <w:spacing w:lineRule="auto" w:line="360" w:before="0" w:after="60"/>
      </w:pPr>
      <w:r>
        <w:rPr>
          <w:rFonts w:ascii="Times New Roman" w:hAnsi="Times New Roman"/>
          <w:b w:val="0"/>
          <w:i w:val="0"/>
          <w:sz w:val="24"/>
        </w:rPr>
        <w:t>Conduct open-source intelligence (OSINT) searches on the account holder and any counterparties.</w:t>
      </w:r>
    </w:p>
    <w:p>
      <w:pPr>
        <w:pStyle w:val="ListBullet"/>
        <w:spacing w:lineRule="auto" w:line="360" w:before="0" w:after="60"/>
      </w:pPr>
      <w:r>
        <w:rPr>
          <w:rFonts w:ascii="Times New Roman" w:hAnsi="Times New Roman"/>
          <w:b w:val="0"/>
          <w:i w:val="0"/>
          <w:sz w:val="24"/>
        </w:rPr>
        <w:t>Liaise with relationship managers or front-line staff who may have context about the customer.</w:t>
      </w:r>
    </w:p>
    <w:p>
      <w:pPr>
        <w:pStyle w:val="ListBullet"/>
        <w:spacing w:lineRule="auto" w:line="360" w:before="0" w:after="60"/>
      </w:pPr>
      <w:r>
        <w:rPr>
          <w:rFonts w:ascii="Times New Roman" w:hAnsi="Times New Roman"/>
          <w:b w:val="0"/>
          <w:i w:val="0"/>
          <w:sz w:val="24"/>
        </w:rPr>
        <w:t>Review any prior SARs, internal fraud reports, or law enforcement requests relating to the account.</w:t>
      </w:r>
    </w:p>
    <w:p>
      <w:pPr>
        <w:pStyle w:val="Heading3"/>
      </w:pPr>
      <w:r>
        <w:rPr>
          <w:rFonts w:ascii="Times New Roman" w:hAnsi="Times New Roman"/>
        </w:rPr>
        <w:t>3.7.2 Documentation Standards</w:t>
      </w:r>
    </w:p>
    <w:p>
      <w:pPr>
        <w:pStyle w:val="BodyText"/>
        <w:spacing w:lineRule="auto" w:line="360" w:before="0" w:after="120"/>
        <w:ind w:firstLine="283"/>
      </w:pPr>
      <w:r>
        <w:rPr>
          <w:rFonts w:ascii="Times New Roman" w:hAnsi="Times New Roman"/>
          <w:b w:val="0"/>
          <w:i w:val="0"/>
          <w:sz w:val="24"/>
        </w:rPr>
        <w:t>Documentation is not a bureaucratic requirement — it is a legal one. If a SAR is subsequently the basis for a law enforcement investigation, or if a regulator examines the bank's Transaction Monitoring Framework, the case file is the evidence. Inadequate documentation cannot be reconstructed after the fact.</w:t>
      </w:r>
    </w:p>
    <w:p>
      <w:pPr>
        <w:pStyle w:val="BodyText"/>
        <w:spacing w:lineRule="auto" w:line="360" w:before="0" w:after="120"/>
        <w:ind w:firstLine="283"/>
      </w:pPr>
      <w:r>
        <w:rPr>
          <w:rFonts w:ascii="Times New Roman" w:hAnsi="Times New Roman"/>
          <w:b w:val="0"/>
          <w:i w:val="0"/>
          <w:sz w:val="24"/>
        </w:rPr>
        <w:t>A well-documented case file should record: the alert or alerts that triggered the investigation; the evidence reviewed; the analytical reasoning applied; any alternative explanations considered and rejected; and the decision made with the rationale. Many institutions use structured case management templates to standardise this documentation.</w:t>
      </w:r>
    </w:p>
    <w:p>
      <w:pPr>
        <w:pStyle w:val="Heading2"/>
      </w:pPr>
      <w:r>
        <w:rPr>
          <w:rFonts w:ascii="Times New Roman" w:hAnsi="Times New Roman"/>
        </w:rPr>
        <w:t>3.8 SAR Filing and Closure</w:t>
      </w:r>
    </w:p>
    <w:p>
      <w:pPr>
        <w:pStyle w:val="Heading3"/>
      </w:pPr>
      <w:r>
        <w:rPr>
          <w:rFonts w:ascii="Times New Roman" w:hAnsi="Times New Roman"/>
        </w:rPr>
        <w:t>3.8.1 What Triggers a SAR</w:t>
      </w:r>
    </w:p>
    <w:p>
      <w:pPr>
        <w:pStyle w:val="BodyText"/>
        <w:spacing w:lineRule="auto" w:line="360" w:before="0" w:after="120"/>
        <w:ind w:firstLine="283"/>
      </w:pPr>
      <w:r>
        <w:rPr>
          <w:rFonts w:ascii="Times New Roman" w:hAnsi="Times New Roman"/>
          <w:b w:val="0"/>
          <w:i w:val="0"/>
          <w:sz w:val="24"/>
        </w:rPr>
        <w:t>At the conclusion of a case investigation, the investigator reaches a disposition — the conclusion, with documented reasons and evidence, determining whether the case is suspicious. Dispositions are typically categorised by level: L1 cases are closed as not interesting; L2 cases are escalated as interesting but not yet SAR-worthy; L3 cases are assessed as SAR-worthy. It is the L3 disposition that triggers a SAR filing.</w:t>
      </w:r>
    </w:p>
    <w:p>
      <w:pPr>
        <w:pStyle w:val="BodyText"/>
        <w:spacing w:lineRule="auto" w:line="360" w:before="0" w:after="120"/>
        <w:ind w:firstLine="283"/>
      </w:pPr>
      <w:r>
        <w:rPr>
          <w:rFonts w:ascii="Times New Roman" w:hAnsi="Times New Roman"/>
          <w:b w:val="0"/>
          <w:i w:val="0"/>
          <w:sz w:val="24"/>
        </w:rPr>
        <w:t>A Suspicious Activity Report (SAR) is filed when the investigator concludes that the activity is suspicious — that is, when they know, suspect, or have reasonable grounds to suspect that the funds are the proceeds of crime or are connected to terrorist financing.</w:t>
      </w:r>
    </w:p>
    <w:p>
      <w:pPr>
        <w:pStyle w:val="BodyText"/>
        <w:spacing w:lineRule="auto" w:line="360" w:before="0" w:after="120"/>
        <w:ind w:firstLine="283"/>
      </w:pPr>
      <w:r>
        <w:rPr>
          <w:rFonts w:ascii="Times New Roman" w:hAnsi="Times New Roman"/>
          <w:b w:val="0"/>
          <w:i w:val="0"/>
          <w:sz w:val="24"/>
        </w:rPr>
        <w:t>The legal threshold for filing is deliberately low. The analyst does not need to be certain. They do not need evidence that would satisfy a federal criminal court. They need a genuine suspicion, grounded in the evidence, that the activity is suspicious. The decision not to file must be as carefully documented as the decision to file.</w:t>
      </w:r>
    </w:p>
    <w:p>
      <w:pPr>
        <w:pStyle w:val="Heading3"/>
      </w:pPr>
      <w:r>
        <w:rPr>
          <w:rFonts w:ascii="Times New Roman" w:hAnsi="Times New Roman"/>
        </w:rPr>
        <w:t>3.8.2 What Goes Into a SAR</w:t>
      </w:r>
    </w:p>
    <w:p>
      <w:pPr>
        <w:pStyle w:val="BodyText"/>
        <w:spacing w:lineRule="auto" w:line="360" w:before="0" w:after="120"/>
        <w:ind w:firstLine="283"/>
      </w:pPr>
      <w:r>
        <w:rPr>
          <w:rFonts w:ascii="Times New Roman" w:hAnsi="Times New Roman"/>
          <w:b w:val="0"/>
          <w:i w:val="0"/>
          <w:sz w:val="24"/>
        </w:rPr>
        <w:t>A good SAR is not a data dump. It is a structured narrative that tells law enforcement what happened, why it is suspicious, who was involved, and what the bank knows about them. The key elements are:</w:t>
      </w:r>
    </w:p>
    <w:p>
      <w:pPr>
        <w:pStyle w:val="ListBullet"/>
        <w:spacing w:lineRule="auto" w:line="360" w:before="0" w:after="60"/>
      </w:pPr>
      <w:r>
        <w:rPr>
          <w:rFonts w:ascii="Times New Roman" w:hAnsi="Times New Roman"/>
          <w:b w:val="0"/>
          <w:i w:val="0"/>
          <w:sz w:val="24"/>
        </w:rPr>
        <w:t>Subject information: Full details of the account holder(s), including any linked accounts or entities.</w:t>
      </w:r>
    </w:p>
    <w:p>
      <w:pPr>
        <w:pStyle w:val="ListBullet"/>
        <w:spacing w:lineRule="auto" w:line="360" w:before="0" w:after="60"/>
      </w:pPr>
      <w:r>
        <w:rPr>
          <w:rFonts w:ascii="Times New Roman" w:hAnsi="Times New Roman"/>
          <w:b w:val="0"/>
          <w:i w:val="0"/>
          <w:sz w:val="24"/>
        </w:rPr>
        <w:t>Description of suspicious activity: A clear, chronological account of the transactions and patterns that gave rise to the suspicion.</w:t>
      </w:r>
    </w:p>
    <w:p>
      <w:pPr>
        <w:pStyle w:val="ListBullet"/>
        <w:spacing w:lineRule="auto" w:line="360" w:before="0" w:after="60"/>
      </w:pPr>
      <w:r>
        <w:rPr>
          <w:rFonts w:ascii="Times New Roman" w:hAnsi="Times New Roman"/>
          <w:b w:val="0"/>
          <w:i w:val="0"/>
          <w:sz w:val="24"/>
        </w:rPr>
        <w:t>Typology identification: The money laundering typology or typologies that the activity appears to match.</w:t>
      </w:r>
    </w:p>
    <w:p>
      <w:pPr>
        <w:pStyle w:val="ListBullet"/>
        <w:spacing w:lineRule="auto" w:line="360" w:before="0" w:after="60"/>
      </w:pPr>
      <w:r>
        <w:rPr>
          <w:rFonts w:ascii="Times New Roman" w:hAnsi="Times New Roman"/>
          <w:b w:val="0"/>
          <w:i w:val="0"/>
          <w:sz w:val="24"/>
        </w:rPr>
        <w:t>Action taken: Whether the bank has continued, restricted, or closed the account, and why.</w:t>
      </w:r>
    </w:p>
    <w:p>
      <w:pPr>
        <w:pStyle w:val="Heading3"/>
      </w:pPr>
      <w:r>
        <w:rPr>
          <w:rFonts w:ascii="Times New Roman" w:hAnsi="Times New Roman"/>
        </w:rPr>
        <w:t>3.8.3 SAR Auto-Filing</w:t>
      </w:r>
    </w:p>
    <w:p>
      <w:pPr>
        <w:pStyle w:val="BodyText"/>
        <w:spacing w:lineRule="auto" w:line="360" w:before="0" w:after="120"/>
        <w:ind w:firstLine="283"/>
      </w:pPr>
      <w:r>
        <w:rPr>
          <w:rFonts w:ascii="Times New Roman" w:hAnsi="Times New Roman"/>
          <w:b w:val="0"/>
          <w:i w:val="0"/>
          <w:sz w:val="24"/>
        </w:rPr>
        <w:t>In the United States, FinCEN supports electronic SAR filing through the BSA E-Filing System. The US framework allows financial institutions to submit SARs in a structured XML format, enabling automated batch submission — a process commonly referred to as auto-filing. Under auto-filing, the SAR is generated programmatically from a case management system and submitted without manual re-entry of data, significantly reducing filing time and error rates.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3.8  </w:t>
            </w:r>
            <w:r>
              <w:rPr>
                <w:rFonts w:ascii="Times New Roman" w:hAnsi="Times New Roman"/>
                <w:b/>
                <w:i/>
                <w:sz w:val="22"/>
              </w:rPr>
              <w:t>SAR Auto-Filing: US Standards and International Context</w:t>
            </w:r>
          </w:p>
          <w:p>
            <w:pPr>
              <w:spacing w:lineRule="auto" w:line="312" w:before="20" w:after="40"/>
              <w:ind w:left="113"/>
            </w:pPr>
            <w:r>
              <w:rPr>
                <w:rFonts w:ascii="Times New Roman" w:hAnsi="Times New Roman"/>
                <w:b w:val="0"/>
                <w:i w:val="0"/>
                <w:sz w:val="22"/>
              </w:rPr>
              <w:t>The US auto-filing model uses FinCEN's BSA E-Filing XML schema. Key features:</w:t>
            </w:r>
          </w:p>
          <w:p>
            <w:pPr>
              <w:spacing w:lineRule="auto" w:line="312" w:before="20" w:after="40"/>
              <w:ind w:left="113"/>
            </w:pPr>
            <w:r>
              <w:rPr>
                <w:rFonts w:ascii="Times New Roman" w:hAnsi="Times New Roman"/>
                <w:b w:val="0"/>
                <w:i w:val="0"/>
                <w:sz w:val="22"/>
              </w:rPr>
              <w:t>Structured XML format allows system-to-system transmission from the institution's case management platform directly to FinCEN's database.</w:t>
            </w:r>
          </w:p>
          <w:p>
            <w:pPr>
              <w:spacing w:lineRule="auto" w:line="312" w:before="20" w:after="40"/>
              <w:ind w:left="113"/>
            </w:pPr>
            <w:r>
              <w:rPr>
                <w:rFonts w:ascii="Times New Roman" w:hAnsi="Times New Roman"/>
                <w:b w:val="0"/>
                <w:i w:val="0"/>
                <w:sz w:val="22"/>
              </w:rPr>
              <w:t>Batch submission enables institutions with high SAR volumes (e.g. large retail banks) to file hundreds of SARs simultaneously.</w:t>
            </w:r>
          </w:p>
          <w:p>
            <w:pPr>
              <w:spacing w:lineRule="auto" w:line="312" w:before="20" w:after="40"/>
              <w:ind w:left="113"/>
            </w:pPr>
            <w:r>
              <w:rPr>
                <w:rFonts w:ascii="Times New Roman" w:hAnsi="Times New Roman"/>
                <w:b w:val="0"/>
                <w:i w:val="0"/>
                <w:sz w:val="22"/>
              </w:rPr>
              <w:t>The SAR narrative field remains free-text and requires human authorship — auto-filing handles the structured data fields, not the narrative.</w:t>
            </w:r>
          </w:p>
          <w:p>
            <w:pPr>
              <w:spacing w:lineRule="auto" w:line="312" w:before="20" w:after="40"/>
              <w:ind w:left="113"/>
            </w:pPr>
            <w:r>
              <w:rPr>
                <w:rFonts w:ascii="Times New Roman" w:hAnsi="Times New Roman"/>
                <w:b w:val="0"/>
                <w:i w:val="0"/>
                <w:sz w:val="22"/>
              </w:rPr>
              <w:t>Jurisdictions with established auto-filing or electronic SAR frameworks include:</w:t>
            </w:r>
          </w:p>
          <w:p>
            <w:pPr>
              <w:spacing w:lineRule="auto" w:line="312" w:before="20" w:after="40"/>
              <w:ind w:left="113"/>
            </w:pPr>
            <w:r>
              <w:rPr>
                <w:rFonts w:ascii="Times New Roman" w:hAnsi="Times New Roman"/>
                <w:b w:val="0"/>
                <w:i w:val="0"/>
                <w:sz w:val="22"/>
              </w:rPr>
              <w:t>United States (FinCEN): BSA E-Filing System with XML batch upload.</w:t>
            </w:r>
          </w:p>
          <w:p>
            <w:pPr>
              <w:spacing w:lineRule="auto" w:line="312" w:before="20" w:after="40"/>
              <w:ind w:left="113"/>
            </w:pPr>
            <w:r>
              <w:rPr>
                <w:rFonts w:ascii="Times New Roman" w:hAnsi="Times New Roman"/>
                <w:b w:val="0"/>
                <w:i w:val="0"/>
                <w:sz w:val="22"/>
              </w:rPr>
              <w:t>United Kingdom (NCA): SARs Online portal; structured online submission rather than batch XML.</w:t>
            </w:r>
          </w:p>
          <w:p>
            <w:pPr>
              <w:spacing w:lineRule="auto" w:line="312" w:before="20" w:after="40"/>
              <w:ind w:left="113"/>
            </w:pPr>
            <w:r>
              <w:rPr>
                <w:rFonts w:ascii="Times New Roman" w:hAnsi="Times New Roman"/>
                <w:b w:val="0"/>
                <w:i w:val="0"/>
                <w:sz w:val="22"/>
              </w:rPr>
              <w:t>European Union: Frameworks vary by member state FIU; the EU AML Authority (AMLA) is developing harmonised reporting standards.</w:t>
            </w:r>
          </w:p>
          <w:p>
            <w:pPr>
              <w:spacing w:lineRule="auto" w:line="312" w:before="20" w:after="40"/>
              <w:ind w:left="113"/>
            </w:pPr>
            <w:r>
              <w:rPr>
                <w:rFonts w:ascii="Times New Roman" w:hAnsi="Times New Roman"/>
                <w:b w:val="0"/>
                <w:i w:val="0"/>
                <w:sz w:val="22"/>
              </w:rPr>
              <w:t>Singapore (MAS/SPF): Suspicious Transaction Report (STR) filing via STRO Online Notices and Reporting Platform (SONAR).</w:t>
            </w:r>
          </w:p>
          <w:p>
            <w:pPr>
              <w:spacing w:lineRule="auto" w:line="312" w:before="20" w:after="40"/>
              <w:ind w:left="113"/>
            </w:pPr>
            <w:r>
              <w:rPr>
                <w:rFonts w:ascii="Times New Roman" w:hAnsi="Times New Roman"/>
                <w:b w:val="0"/>
                <w:i w:val="0"/>
                <w:sz w:val="22"/>
              </w:rPr>
              <w:t>The technology standard for auto SAR filing typically involves: case management system integration, structured data mapping to the regulatory schema, audit trail of human decision (the disposition), and transmission confirmation receipt. The investigator's disposition — the human decision to file — must always be recorded regardless of how the SAR is transmitted.</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For training purposes, Exercise 3.1 Part C (below) asks students to draft a SAR narrative for the Northgate structuring scenario using the FinCEN SAR format.</w:t>
      </w:r>
    </w:p>
    <w:p>
      <w:pPr>
        <w:pStyle w:val="Heading3"/>
      </w:pPr>
      <w:r>
        <w:rPr>
          <w:rFonts w:ascii="Times New Roman" w:hAnsi="Times New Roman"/>
        </w:rPr>
        <w:t>3.8.4 Tipping-Off Risk</w:t>
      </w:r>
    </w:p>
    <w:p>
      <w:pPr>
        <w:pStyle w:val="BodyText"/>
        <w:spacing w:lineRule="auto" w:line="360" w:before="0" w:after="120"/>
        <w:ind w:firstLine="283"/>
      </w:pPr>
      <w:r>
        <w:rPr>
          <w:rFonts w:ascii="Times New Roman" w:hAnsi="Times New Roman"/>
          <w:b w:val="0"/>
          <w:i w:val="0"/>
          <w:sz w:val="24"/>
        </w:rPr>
        <w:t>Tipping off is the criminal offence of disclosing to a subject — or to a third party who might pass the information on — that a SAR has been filed or is being considered. In the UK, tipping off is an offence under POCA 2002 s.333A, punishable by up to two years' imprisonment.</w:t>
      </w:r>
    </w:p>
    <w:p>
      <w:pPr>
        <w:pStyle w:val="BodyText"/>
        <w:spacing w:lineRule="auto" w:line="360" w:before="0" w:after="120"/>
        <w:ind w:firstLine="283"/>
      </w:pPr>
      <w:r>
        <w:rPr>
          <w:rFonts w:ascii="Times New Roman" w:hAnsi="Times New Roman"/>
          <w:b w:val="0"/>
          <w:i w:val="0"/>
          <w:sz w:val="24"/>
        </w:rPr>
        <w:t>The practical implication for investigators is significant. They cannot ask a customer to explain unusual transactions if doing so would alert them to the fact that a SAR is being considered. They cannot discuss the case with front-line staff who have customer contact. Tipping-off risk is one of the reasons that L1 and L2/L3 review processes are typically siloed from customer-facing teams.</w:t>
      </w:r>
    </w:p>
    <w:p>
      <w:pPr>
        <w:pStyle w:val="Heading3"/>
      </w:pPr>
      <w:r>
        <w:rPr>
          <w:rFonts w:ascii="Times New Roman" w:hAnsi="Times New Roman"/>
        </w:rPr>
        <w:t>3.8.5 Record-Keeping</w:t>
      </w:r>
    </w:p>
    <w:p>
      <w:pPr>
        <w:pStyle w:val="BodyText"/>
        <w:spacing w:lineRule="auto" w:line="360" w:before="0" w:after="120"/>
        <w:ind w:firstLine="283"/>
      </w:pPr>
      <w:r>
        <w:rPr>
          <w:rFonts w:ascii="Times New Roman" w:hAnsi="Times New Roman"/>
          <w:b w:val="0"/>
          <w:i w:val="0"/>
          <w:sz w:val="24"/>
        </w:rPr>
        <w:t>All institutions subject to AML regulation are required to retain records of SAR decisions — both to file and not to file — for a minimum period. In the UK, this is five years. Records must be retained in a form that can be produced to regulators or law enforcement on demand.</w:t>
      </w:r>
    </w:p>
    <w:p>
      <w:pPr>
        <w:pStyle w:val="Heading2"/>
      </w:pPr>
      <w:r>
        <w:rPr>
          <w:rFonts w:ascii="Times New Roman" w:hAnsi="Times New Roman"/>
        </w:rPr>
        <w:t>3.9 Risk Considerations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3.9  </w:t>
            </w:r>
            <w:r>
              <w:rPr>
                <w:rFonts w:ascii="Times New Roman" w:hAnsi="Times New Roman"/>
                <w:b/>
                <w:i/>
                <w:sz w:val="22"/>
              </w:rPr>
              <w:t>False positives vs false negatives</w:t>
            </w:r>
          </w:p>
          <w:p>
            <w:pPr>
              <w:spacing w:lineRule="auto" w:line="312" w:before="20" w:after="40"/>
              <w:ind w:left="113"/>
            </w:pPr>
            <w:r>
              <w:rPr>
                <w:rFonts w:ascii="Times New Roman" w:hAnsi="Times New Roman"/>
                <w:b w:val="0"/>
                <w:i w:val="0"/>
                <w:sz w:val="22"/>
              </w:rPr>
              <w:t>False positives vs false negatives: Every threshold calibration involves a trade-off. A low threshold generates more noisy alerts, increasing analyst workload and cost. A high threshold generates fewer alerts, but risks missing genuine suspicious activity — a false negative. Neither error is cost-free, and the regulatory cost of false negatives is typically higher than the operational cost of false positives.</w:t>
            </w:r>
          </w:p>
          <w:p>
            <w:pPr>
              <w:spacing w:lineRule="auto" w:line="312" w:before="20" w:after="40"/>
              <w:ind w:left="113"/>
            </w:pPr>
            <w:r>
              <w:rPr>
                <w:rFonts w:ascii="Times New Roman" w:hAnsi="Times New Roman"/>
                <w:b w:val="0"/>
                <w:i w:val="0"/>
                <w:sz w:val="22"/>
              </w:rPr>
              <w:t>Alert fatigue: High alert volumes degrade review quality. Institutions should monitor not just the number of alerts generated but the quality of L1 decisions — specifically, the rate at which escalated cases lead to SARs versus the rate at which L1 closures are subsequently found to have been erroneous.</w:t>
            </w:r>
          </w:p>
          <w:p>
            <w:pPr>
              <w:spacing w:lineRule="auto" w:line="312" w:before="20" w:after="40"/>
              <w:ind w:left="113"/>
            </w:pPr>
            <w:r>
              <w:rPr>
                <w:rFonts w:ascii="Times New Roman" w:hAnsi="Times New Roman"/>
                <w:b w:val="0"/>
                <w:i w:val="0"/>
                <w:sz w:val="22"/>
              </w:rPr>
              <w:t>Data quality: Scenarios cannot compensate for bad data. Institutions should conduct regular data quality assessments covering completeness, accuracy, timeliness, and consistency of source feeds. Data quality issues discovered at L1 or L2 review should be formally tracked and remediated.</w:t>
            </w:r>
          </w:p>
          <w:p>
            <w:pPr>
              <w:spacing w:lineRule="auto" w:line="312" w:before="20" w:after="40"/>
              <w:ind w:left="113"/>
            </w:pPr>
            <w:r>
              <w:rPr>
                <w:rFonts w:ascii="Times New Roman" w:hAnsi="Times New Roman"/>
                <w:b w:val="0"/>
                <w:i w:val="0"/>
                <w:sz w:val="22"/>
              </w:rPr>
              <w:t>Tipping off: The tipping-off risk is most acute during the investigation phase, when investigators may need to gather information that would normally involve customer contact. Institutions should have clear escalation protocols that separate investigative activity from customer-facing activity.</w:t>
            </w:r>
          </w:p>
        </w:tc>
      </w:tr>
    </w:tbl>
    <w:p>
      <w:pPr>
        <w:spacing w:lineRule="auto" w:line="240" w:before="0" w:after="160"/>
      </w:pPr>
    </w:p>
    <w:p>
      <w:pPr>
        <w:pStyle w:val="Heading2"/>
      </w:pPr>
      <w:r>
        <w:rPr>
          <w:rFonts w:ascii="Times New Roman" w:hAnsi="Times New Roman"/>
        </w:rPr>
        <w:t>3.10 Colab Walkthrough: A First Look at the Data</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3.10  </w:t>
            </w:r>
            <w:r>
              <w:rPr>
                <w:rFonts w:ascii="Times New Roman" w:hAnsi="Times New Roman"/>
                <w:b/>
                <w:i/>
                <w:sz w:val="22"/>
              </w:rPr>
              <w:t>📎 Companion Notebook</w:t>
            </w:r>
          </w:p>
          <w:p>
            <w:pPr>
              <w:spacing w:lineRule="auto" w:line="312" w:before="20" w:after="40"/>
              <w:ind w:left="113"/>
            </w:pPr>
            <w:r>
              <w:rPr>
                <w:rFonts w:ascii="Times New Roman" w:hAnsi="Times New Roman"/>
                <w:b w:val="0"/>
                <w:i w:val="0"/>
                <w:sz w:val="22"/>
              </w:rPr>
              <w:t>Chapter 3 notebook — open directly in Google Colab (no installation required):</w:t>
            </w:r>
          </w:p>
          <w:p>
            <w:pPr>
              <w:spacing w:lineRule="auto" w:line="312" w:before="20" w:after="40"/>
              <w:ind w:left="113"/>
            </w:pPr>
            <w:r>
              <w:rPr>
                <w:rFonts w:ascii="Times New Roman" w:hAnsi="Times New Roman"/>
                <w:b w:val="0"/>
                <w:i w:val="0"/>
                <w:sz w:val="22"/>
              </w:rPr>
              <w:t>https://colab.research.google.com/github/ComplianceAnalytics/aml-book1/blob/main/notebooks/chapter_03.ipynb</w:t>
            </w:r>
          </w:p>
          <w:p>
            <w:pPr>
              <w:spacing w:lineRule="auto" w:line="312" w:before="20" w:after="40"/>
              <w:ind w:left="113"/>
            </w:pPr>
            <w:r>
              <w:rPr>
                <w:rFonts w:ascii="Times New Roman" w:hAnsi="Times New Roman"/>
                <w:b w:val="0"/>
                <w:i w:val="0"/>
                <w:sz w:val="22"/>
              </w:rPr>
              <w:t>All chapter notebooks and the Northgate dataset generator are available at:</w:t>
            </w:r>
          </w:p>
          <w:p>
            <w:pPr>
              <w:spacing w:lineRule="auto" w:line="312" w:before="20" w:after="40"/>
              <w:ind w:left="113"/>
            </w:pPr>
            <w:r>
              <w:rPr>
                <w:rFonts w:ascii="Times New Roman" w:hAnsi="Times New Roman"/>
                <w:b w:val="0"/>
                <w:i w:val="0"/>
                <w:sz w:val="22"/>
              </w:rPr>
              <w:t>https://github.com/ComplianceAnalytics/aml-book1</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Before building rules, you need to know your data. The code below gives a first hands-on look at the Northgate Retail Bank dataset — the same synthetic dataset used in exercises throughout Chapters 3 to 8. Open the companion notebook at the link above, run the setup cell once to generate the dataset, then run the cells in Section 1 to see the output for yourself. In Chapter 4 you will write the first formal rule on top of this foundation.</w:t>
      </w:r>
    </w:p>
    <w:p>
      <w:pPr>
        <w:spacing w:lineRule="auto" w:line="240" w:before="60" w:after="120"/>
        <w:ind w:firstLine="0"/>
        <w:jc w:val="left"/>
      </w:pPr>
      <w:r>
        <w:rPr>
          <w:rFonts w:ascii="Times New Roman" w:hAnsi="Times New Roman"/>
          <w:b w:val="0"/>
          <w:i/>
          <w:sz w:val="20"/>
        </w:rPr>
        <w:t>Listing 3.1  Python code — 📊 Colab Preview: Exploring the Northgate Transaction Data</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Exploring the Northgate Transaction Data</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 Load the Northgate synthetic dataset</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df_cust = pd.read_csv('nb_customers.csv')</w:t>
            </w:r>
          </w:p>
          <w:p>
            <w:pPr>
              <w:spacing w:lineRule="auto" w:line="240" w:before="0" w:after="20"/>
              <w:ind w:left="142"/>
            </w:pPr>
            <w:r>
              <w:rPr>
                <w:rFonts w:ascii="Courier New" w:hAnsi="Courier New"/>
                <w:b w:val="0"/>
                <w:i w:val="0"/>
                <w:sz w:val="18"/>
              </w:rPr>
              <w:t># Dataset summary — how much data are we working with?</w:t>
            </w:r>
          </w:p>
          <w:p>
            <w:pPr>
              <w:spacing w:lineRule="auto" w:line="240" w:before="0" w:after="20"/>
              <w:ind w:left="142"/>
            </w:pPr>
            <w:r>
              <w:rPr>
                <w:rFonts w:ascii="Courier New" w:hAnsi="Courier New"/>
                <w:b w:val="0"/>
                <w:i w:val="0"/>
                <w:sz w:val="18"/>
              </w:rPr>
              <w:t>print(f"Transactions : {len(df_txn):&gt;8,}")</w:t>
            </w:r>
          </w:p>
          <w:p>
            <w:pPr>
              <w:spacing w:lineRule="auto" w:line="240" w:before="0" w:after="20"/>
              <w:ind w:left="142"/>
            </w:pPr>
            <w:r>
              <w:rPr>
                <w:rFonts w:ascii="Courier New" w:hAnsi="Courier New"/>
                <w:b w:val="0"/>
                <w:i w:val="0"/>
                <w:sz w:val="18"/>
              </w:rPr>
              <w:t>print(f"Accounts     : {df_txn['account_id'].nunique():&gt;8,}")</w:t>
            </w:r>
          </w:p>
          <w:p>
            <w:pPr>
              <w:spacing w:lineRule="auto" w:line="240" w:before="0" w:after="20"/>
              <w:ind w:left="142"/>
            </w:pPr>
            <w:r>
              <w:rPr>
                <w:rFonts w:ascii="Courier New" w:hAnsi="Courier New"/>
                <w:b w:val="0"/>
                <w:i w:val="0"/>
                <w:sz w:val="18"/>
              </w:rPr>
              <w:t>print(f"Date range   : {df_txn['txn_date'].min().date()} to {df_txn['txn_date'].max().date()}")</w:t>
            </w:r>
          </w:p>
          <w:p>
            <w:pPr>
              <w:spacing w:lineRule="auto" w:line="240" w:before="0" w:after="20"/>
              <w:ind w:left="142"/>
            </w:pPr>
            <w:r>
              <w:rPr>
                <w:rFonts w:ascii="Courier New" w:hAnsi="Courier New"/>
                <w:b w:val="0"/>
                <w:i w:val="0"/>
                <w:sz w:val="18"/>
              </w:rPr>
              <w:t># Preview the first few rows</w:t>
            </w:r>
          </w:p>
          <w:p>
            <w:pPr>
              <w:spacing w:lineRule="auto" w:line="240" w:before="0" w:after="20"/>
              <w:ind w:left="142"/>
            </w:pPr>
            <w:r>
              <w:rPr>
                <w:rFonts w:ascii="Courier New" w:hAnsi="Courier New"/>
                <w:b w:val="0"/>
                <w:i w:val="0"/>
                <w:sz w:val="18"/>
              </w:rPr>
              <w:t>df_txn[['account_id','txn_date','txn_type','amount','counterparty_id']].head(5)</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Northgate Dataset Summary</w:t>
            </w:r>
          </w:p>
          <w:p>
            <w:pPr>
              <w:spacing w:lineRule="auto" w:line="240" w:before="0" w:after="20"/>
              <w:ind w:left="113"/>
            </w:pPr>
            <w:r>
              <w:rPr>
                <w:rFonts w:ascii="Courier New" w:hAnsi="Courier New"/>
                <w:b w:val="0"/>
                <w:i w:val="0"/>
                <w:sz w:val="18"/>
              </w:rPr>
              <w:t>Transactions :   23,188</w:t>
            </w:r>
          </w:p>
          <w:p>
            <w:pPr>
              <w:spacing w:lineRule="auto" w:line="240" w:before="0" w:after="20"/>
              <w:ind w:left="113"/>
            </w:pPr>
            <w:r>
              <w:rPr>
                <w:rFonts w:ascii="Courier New" w:hAnsi="Courier New"/>
                <w:b w:val="0"/>
                <w:i w:val="0"/>
                <w:sz w:val="18"/>
              </w:rPr>
              <w:t>Accounts     :      500</w:t>
            </w:r>
          </w:p>
          <w:p>
            <w:pPr>
              <w:spacing w:lineRule="auto" w:line="240" w:before="0" w:after="20"/>
              <w:ind w:left="113"/>
            </w:pPr>
            <w:r>
              <w:rPr>
                <w:rFonts w:ascii="Courier New" w:hAnsi="Courier New"/>
                <w:b w:val="0"/>
                <w:i w:val="0"/>
                <w:sz w:val="18"/>
              </w:rPr>
              <w:t>Date range   : 2023-01-01 to 2023-12-31</w:t>
            </w:r>
          </w:p>
          <w:p>
            <w:pPr>
              <w:spacing w:lineRule="auto" w:line="240" w:before="0" w:after="20"/>
              <w:ind w:left="113"/>
            </w:pPr>
            <w:r>
              <w:rPr>
                <w:rFonts w:ascii="Courier New" w:hAnsi="Courier New"/>
                <w:b w:val="0"/>
                <w:i w:val="0"/>
                <w:sz w:val="18"/>
              </w:rPr>
              <w:t>account_id    txn_date      txn_type   amount counterparty_id</w:t>
            </w:r>
          </w:p>
          <w:p>
            <w:pPr>
              <w:spacing w:lineRule="auto" w:line="240" w:before="0" w:after="20"/>
              <w:ind w:left="113"/>
            </w:pPr>
            <w:r>
              <w:rPr>
                <w:rFonts w:ascii="Courier New" w:hAnsi="Courier New"/>
                <w:b w:val="0"/>
                <w:i w:val="0"/>
                <w:sz w:val="18"/>
              </w:rPr>
              <w:t>ACC0116  2023-01-01  TRANSFER_OUT   471.13         CPT0139</w:t>
            </w:r>
          </w:p>
          <w:p>
            <w:pPr>
              <w:spacing w:lineRule="auto" w:line="240" w:before="0" w:after="20"/>
              <w:ind w:left="113"/>
            </w:pPr>
            <w:r>
              <w:rPr>
                <w:rFonts w:ascii="Courier New" w:hAnsi="Courier New"/>
                <w:b w:val="0"/>
                <w:i w:val="0"/>
                <w:sz w:val="18"/>
              </w:rPr>
              <w:t>ACC0390  2023-01-01  TRANSFER_OUT   493.47         CPT0297</w:t>
            </w:r>
          </w:p>
          <w:p>
            <w:pPr>
              <w:spacing w:lineRule="auto" w:line="240" w:before="0" w:after="20"/>
              <w:ind w:left="113"/>
            </w:pPr>
            <w:r>
              <w:rPr>
                <w:rFonts w:ascii="Courier New" w:hAnsi="Courier New"/>
                <w:b w:val="0"/>
                <w:i w:val="0"/>
                <w:sz w:val="18"/>
              </w:rPr>
              <w:t>ACC0236  2023-01-01   TRANSFER_IN  1439.37         CPT0038</w:t>
            </w:r>
          </w:p>
          <w:p>
            <w:pPr>
              <w:spacing w:lineRule="auto" w:line="240" w:before="0" w:after="20"/>
              <w:ind w:left="113"/>
            </w:pPr>
            <w:r>
              <w:rPr>
                <w:rFonts w:ascii="Courier New" w:hAnsi="Courier New"/>
                <w:b w:val="0"/>
                <w:i w:val="0"/>
                <w:sz w:val="18"/>
              </w:rPr>
              <w:t>ACC0145  2023-01-01   TRANSFER_IN    57.25         CPT0112</w:t>
            </w:r>
          </w:p>
          <w:p>
            <w:pPr>
              <w:spacing w:lineRule="auto" w:line="240" w:before="0" w:after="20"/>
              <w:ind w:left="113"/>
            </w:pPr>
            <w:r>
              <w:rPr>
                <w:rFonts w:ascii="Courier New" w:hAnsi="Courier New"/>
                <w:b w:val="0"/>
                <w:i w:val="0"/>
                <w:sz w:val="18"/>
              </w:rPr>
              <w:t>ACC0398  2023-01-01   TRANSFER_IN   517.43         CPT0190</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Running this cell reveals a dataset of 23,188 transactions across 500 accounts, spanning the full calendar year 2023. The transaction types — TRANSFER_OUT, TRANSFER_IN, CASH_IN, CARD — reflect ordinary retail banking activity. Most amounts are in the low-to-mid hundreds of dollars. Six accounts embedded in this population have a very different profile, which you will discover when you apply Rule 1 in Chapter 4. Exercise 3.1 asks you to trace one such account through every stage of the TM lifecycle.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3.11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Transaction monitoring is a process, not a system. Every stage of the lifecycle — data, scenario, alert, review, investigation, SAR — must function correctly for the programme to be effective.</w:t>
            </w:r>
          </w:p>
          <w:p>
            <w:pPr>
              <w:spacing w:lineRule="auto" w:line="312" w:before="20" w:after="40"/>
              <w:ind w:left="113"/>
            </w:pPr>
            <w:r>
              <w:rPr>
                <w:rFonts w:ascii="Times New Roman" w:hAnsi="Times New Roman"/>
                <w:b w:val="0"/>
                <w:i w:val="0"/>
                <w:sz w:val="22"/>
              </w:rPr>
              <w:t>The six TM lifecycle stages are: Data Collection, Scenario Development, Alert Generation, Alert Review (L1), Case Investigation (L2/L3), and SAR Filing or Closure.</w:t>
            </w:r>
          </w:p>
          <w:p>
            <w:pPr>
              <w:spacing w:lineRule="auto" w:line="312" w:before="20" w:after="40"/>
              <w:ind w:left="113"/>
            </w:pPr>
            <w:r>
              <w:rPr>
                <w:rFonts w:ascii="Times New Roman" w:hAnsi="Times New Roman"/>
                <w:b w:val="0"/>
                <w:i w:val="0"/>
                <w:sz w:val="22"/>
              </w:rPr>
              <w:t>Alert, event, and case are distinct terms: an alert is a system-generated signal warranting review; an event is any piece of evidence — not just a transaction — potentially valuable for an investigation; a case is a structured file compiling all evidence about potentially suspicious behaviour.</w:t>
            </w:r>
          </w:p>
          <w:p>
            <w:pPr>
              <w:spacing w:lineRule="auto" w:line="312" w:before="20" w:after="40"/>
              <w:ind w:left="113"/>
            </w:pPr>
            <w:r>
              <w:rPr>
                <w:rFonts w:ascii="Times New Roman" w:hAnsi="Times New Roman"/>
                <w:b w:val="0"/>
                <w:i w:val="0"/>
                <w:sz w:val="22"/>
              </w:rPr>
              <w:t>The ATL/BTL distinction is fundamental to tuning: transactions above the line are reviewed; those below the line are not — meaning below-the-line risk must be actively managed.</w:t>
            </w:r>
          </w:p>
          <w:p>
            <w:pPr>
              <w:spacing w:lineRule="auto" w:line="312" w:before="20" w:after="40"/>
              <w:ind w:left="113"/>
            </w:pPr>
            <w:r>
              <w:rPr>
                <w:rFonts w:ascii="Times New Roman" w:hAnsi="Times New Roman"/>
                <w:b w:val="0"/>
                <w:i w:val="0"/>
                <w:sz w:val="22"/>
              </w:rPr>
              <w:t>Alert fatigue is a systemic risk, not an individual one. It is caused by structural over-alerting and cannot be solved by effort alone.</w:t>
            </w:r>
          </w:p>
          <w:p>
            <w:pPr>
              <w:spacing w:lineRule="auto" w:line="312" w:before="20" w:after="40"/>
              <w:ind w:left="113"/>
            </w:pPr>
            <w:r>
              <w:rPr>
                <w:rFonts w:ascii="Times New Roman" w:hAnsi="Times New Roman"/>
                <w:b w:val="0"/>
                <w:i w:val="0"/>
                <w:sz w:val="22"/>
              </w:rPr>
              <w:t>A SAR requires suspicion, not certainty. The decision not to file must be as well-documented as the decision to file.</w:t>
            </w:r>
          </w:p>
          <w:p>
            <w:pPr>
              <w:spacing w:lineRule="auto" w:line="312" w:before="20" w:after="40"/>
              <w:ind w:left="113"/>
            </w:pPr>
            <w:r>
              <w:rPr>
                <w:rFonts w:ascii="Times New Roman" w:hAnsi="Times New Roman"/>
                <w:b w:val="0"/>
                <w:i w:val="0"/>
                <w:sz w:val="22"/>
              </w:rPr>
              <w:t>Tipping off is a criminal offence. Investigative processes must be designed to prevent disclosure to subjects or customer-facing staff.</w:t>
            </w:r>
          </w:p>
          <w:p>
            <w:pPr>
              <w:spacing w:lineRule="auto" w:line="312" w:before="20" w:after="40"/>
              <w:ind w:left="113"/>
            </w:pPr>
            <w:r>
              <w:rPr>
                <w:rFonts w:ascii="Times New Roman" w:hAnsi="Times New Roman"/>
                <w:b w:val="0"/>
                <w:i w:val="0"/>
                <w:sz w:val="22"/>
              </w:rPr>
              <w:t>Data quality is the most underappreciated risk in TM. Poor data creates systemic false negatives that scenario redesign cannot fix.</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3.1 — Tracing the Northgate Scenario Through the TM Lifecycle  [Intermediate]</w:t>
            </w:r>
          </w:p>
          <w:p>
            <w:pPr>
              <w:spacing w:lineRule="auto" w:line="312" w:before="20" w:after="40"/>
              <w:ind w:left="113"/>
            </w:pPr>
            <w:r>
              <w:rPr>
                <w:rFonts w:ascii="Times New Roman" w:hAnsi="Times New Roman"/>
                <w:b w:val="0"/>
                <w:i w:val="0"/>
                <w:sz w:val="22"/>
              </w:rPr>
              <w:t>Scenario Data Release 2: This exercise introduces the second layer of the Northgate scenario data — the Transaction Monitoring Framework context at Northgate Retail Bank. Earlier exercises established the typology and regulatory obligations. This release adds the operational and process dimension.</w:t>
            </w:r>
          </w:p>
          <w:p>
            <w:pPr>
              <w:spacing w:lineRule="auto" w:line="312" w:before="20" w:after="40"/>
              <w:ind w:left="113"/>
            </w:pPr>
            <w:r>
              <w:rPr>
                <w:rFonts w:ascii="Times New Roman" w:hAnsi="Times New Roman"/>
                <w:b w:val="0"/>
                <w:i w:val="0"/>
                <w:sz w:val="22"/>
              </w:rPr>
              <w:t>Recap: In Exercise 2.1 you identified the regulatory obligations triggered by the Northgate scenario. Now trace the full operational process through which that scenario would be detected and assessed.</w:t>
            </w:r>
          </w:p>
          <w:p>
            <w:pPr>
              <w:spacing w:lineRule="auto" w:line="312" w:before="20" w:after="40"/>
              <w:ind w:left="113"/>
            </w:pPr>
            <w:r>
              <w:rPr>
                <w:rFonts w:ascii="Times New Roman" w:hAnsi="Times New Roman"/>
                <w:b w:val="0"/>
                <w:i w:val="0"/>
                <w:sz w:val="22"/>
              </w:rPr>
              <w:t>Scenario: Northgate Retail Bank operates a standard Transaction Monitoring Framework. The mule network identified in earlier chapters consists of six personal current accounts. Over a 90-day period, each account receives between three and eight cash deposits per month, each below USD 10,000. Each account's aggregate monthly cash-in ranges from USD 6,800 to USD 11,200 per account (averaging approximately USD 8,200 per account per month across the network). The customers are employed, with stated incomes between USD 18,000 and USD 24,000 per annum. Northgate's TMS currently holds occupation data for only 60% of its personal current account customers.</w:t>
            </w:r>
          </w:p>
          <w:p>
            <w:pPr>
              <w:spacing w:lineRule="auto" w:line="312" w:before="20" w:after="40"/>
              <w:ind w:left="113"/>
            </w:pPr>
            <w:r>
              <w:rPr>
                <w:rFonts w:ascii="Times New Roman" w:hAnsi="Times New Roman"/>
                <w:b w:val="0"/>
                <w:i w:val="0"/>
                <w:sz w:val="22"/>
              </w:rPr>
              <w:t>Task: For each of the six stages of the TM lifecycle, answer the following three questions:</w:t>
            </w:r>
          </w:p>
          <w:p>
            <w:pPr>
              <w:spacing w:lineRule="auto" w:line="312" w:before="20" w:after="40"/>
              <w:ind w:left="113"/>
            </w:pPr>
            <w:r>
              <w:rPr>
                <w:rFonts w:ascii="Times New Roman" w:hAnsi="Times New Roman"/>
                <w:b w:val="0"/>
                <w:i w:val="0"/>
                <w:sz w:val="22"/>
              </w:rPr>
              <w:t>What data is used at this stage, and is there any data quality risk that could impair the process?</w:t>
            </w:r>
          </w:p>
          <w:p>
            <w:pPr>
              <w:spacing w:lineRule="auto" w:line="312" w:before="20" w:after="40"/>
              <w:ind w:left="113"/>
            </w:pPr>
            <w:r>
              <w:rPr>
                <w:rFonts w:ascii="Times New Roman" w:hAnsi="Times New Roman"/>
                <w:b w:val="0"/>
                <w:i w:val="0"/>
                <w:sz w:val="22"/>
              </w:rPr>
              <w:t>What decision or output is produced at this stage, and what criteria govern it?</w:t>
            </w:r>
          </w:p>
          <w:p>
            <w:pPr>
              <w:spacing w:lineRule="auto" w:line="312" w:before="20" w:after="40"/>
              <w:ind w:left="113"/>
            </w:pPr>
            <w:r>
              <w:rPr>
                <w:rFonts w:ascii="Times New Roman" w:hAnsi="Times New Roman"/>
                <w:b w:val="0"/>
                <w:i w:val="0"/>
                <w:sz w:val="22"/>
              </w:rPr>
              <w:t>What could go wrong at this stage that would prevent the suspicious activity from being correctly identified or reported?</w:t>
            </w:r>
          </w:p>
          <w:p>
            <w:pPr>
              <w:spacing w:lineRule="auto" w:line="312" w:before="20" w:after="40"/>
              <w:ind w:left="113"/>
            </w:pPr>
            <w:r>
              <w:rPr>
                <w:rFonts w:ascii="Times New Roman" w:hAnsi="Times New Roman"/>
                <w:b w:val="0"/>
                <w:i w:val="0"/>
                <w:sz w:val="22"/>
              </w:rPr>
              <w:t>Presentation format: Present your answer as a table with six rows (one per stage) and three columns (data used, decision made, failure mode). Then write a one-paragraph narrative describing the overall risk to the bank if any single stage fails.</w:t>
            </w:r>
          </w:p>
          <w:p>
            <w:pPr>
              <w:spacing w:lineRule="auto" w:line="312" w:before="20" w:after="40"/>
              <w:ind w:left="113"/>
            </w:pPr>
            <w:r>
              <w:rPr>
                <w:rFonts w:ascii="Times New Roman" w:hAnsi="Times New Roman"/>
                <w:b w:val="0"/>
                <w:i w:val="0"/>
                <w:sz w:val="22"/>
              </w:rPr>
              <w:t>Colab Extension — https://colab.research.google.com/github/ComplianceAnalytics/aml-book1/blob/main/notebooks/chapter_03.ipynb</w:t>
            </w:r>
          </w:p>
          <w:p>
            <w:pPr>
              <w:spacing w:lineRule="auto" w:line="312" w:before="20" w:after="40"/>
              <w:ind w:left="113"/>
            </w:pPr>
            <w:r>
              <w:rPr>
                <w:rFonts w:ascii="Times New Roman" w:hAnsi="Times New Roman"/>
                <w:b w:val="0"/>
                <w:i w:val="0"/>
                <w:sz w:val="22"/>
              </w:rPr>
              <w:t>Open the Chapter 3 notebook at the link above. Section 1 runs the data-exploration code shown in Section 3.10 of the text. Section 2 provides a pre-filtered view of the six mule accounts, including their monthly cash-in totals, deposit amount distribution, data quality gaps, and counterparty country profile. Use these views to identify which stage of the TM lifecycle is most at risk given the data quality gaps visible in the dataset, and document your reasoning in the Section 3 answer cells.</w:t>
            </w:r>
          </w:p>
          <w:p>
            <w:pPr>
              <w:spacing w:lineRule="auto" w:line="312" w:before="20" w:after="40"/>
              <w:ind w:left="113"/>
            </w:pPr>
            <w:r>
              <w:rPr>
                <w:rFonts w:ascii="Times New Roman" w:hAnsi="Times New Roman"/>
                <w:b w:val="0"/>
                <w:i w:val="0"/>
                <w:sz w:val="22"/>
              </w:rPr>
              <w:t>In Chapter 4, you will design the specific rule that would have generated the alert in this scenario. In Chapter 5, you will use segmentation to refine the monitoring threshold applied to these accounts.</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3.2 — Meridian Trading Ltd: Tracing the Commercial Lifecycle  [Applied / Out-of-the-Box]</w:t>
            </w:r>
          </w:p>
          <w:p>
            <w:pPr>
              <w:spacing w:lineRule="auto" w:line="312" w:before="20" w:after="40"/>
              <w:ind w:left="113"/>
            </w:pPr>
            <w:r>
              <w:rPr>
                <w:rFonts w:ascii="Times New Roman" w:hAnsi="Times New Roman"/>
                <w:b w:val="0"/>
                <w:i w:val="0"/>
                <w:sz w:val="22"/>
              </w:rPr>
              <w:t>We continue with Meridian Trading Ltd. For Part B, trace Meridian's transaction activity through the same six-stage TM lifecycle — but now with a commercial data profile. Meridian's data environment differs from the Northgate personal accounts in three important ways: (1) its primary data is SWIFT MT700 trade finance messages, not a standard retail transaction feed; (2) its transaction amounts are larger and less frequent; (3) it uses a different system of record for its customer due diligence data (the bank's corporate banking platform rather than the retail KYC system).</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For each of the six TM lifecycle stages, identify at least one way in which Meridian's commercial data profile creates a different challenge from the retail Northgate accounts. Present your answer as a comparison table: Stage | Northgate challenge | Meridian challenge | Key difference.</w:t>
            </w:r>
          </w:p>
          <w:p>
            <w:pPr>
              <w:spacing w:lineRule="auto" w:line="312" w:before="20" w:after="40"/>
              <w:ind w:left="113"/>
            </w:pPr>
            <w:r>
              <w:rPr>
                <w:rFonts w:ascii="Times New Roman" w:hAnsi="Times New Roman"/>
                <w:b w:val="0"/>
                <w:i w:val="0"/>
                <w:sz w:val="22"/>
              </w:rPr>
              <w:t>Project Sentinel's data scientist proposes to ingest Meridian's SWIFT MT700 data directly into the TMS so that the same alert engine applies to both retail and commercial accounts. Identify at least two data quality risks specific to SWIFT trade finance data that would need to be resolved before this ingestion is viable. What CDEs would you define for a commercial trade finance monitoring scenario?</w:t>
            </w:r>
          </w:p>
          <w:p>
            <w:pPr>
              <w:spacing w:lineRule="auto" w:line="312" w:before="20" w:after="40"/>
              <w:ind w:left="113"/>
            </w:pPr>
            <w:r>
              <w:rPr>
                <w:rFonts w:ascii="Times New Roman" w:hAnsi="Times New Roman"/>
                <w:b w:val="0"/>
                <w:i w:val="0"/>
                <w:sz w:val="22"/>
              </w:rPr>
              <w:t>If you were writing the 'Stage 4 — Alert Review (L1)' process document for a Meridian-type alert, what context would the L1 analyst need that is not available in a standard retail TMS alert? Where would they get it? Who else in the bank would they need to contact, and what tipping-off risk does that contact create?</w:t>
            </w:r>
          </w:p>
          <w:p>
            <w:pPr>
              <w:spacing w:lineRule="auto" w:line="312" w:before="20" w:after="40"/>
              <w:ind w:left="113"/>
            </w:pPr>
            <w:r>
              <w:rPr>
                <w:rFonts w:ascii="Times New Roman" w:hAnsi="Times New Roman"/>
                <w:b w:val="0"/>
                <w:i w:val="0"/>
                <w:sz w:val="22"/>
              </w:rPr>
              <w:t>In Chapter 4, you will discover that Northgate's mule accounts and Meridian are connected via a cross-case link rule. In Chapter 5, peer-group segmentation is applied to refine the monitoring threshold for both Northgate and Meridian.</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The FFIEC BSA/AML Examination Manual (freely available at ffiec.gov) contains a dedicated section on Transaction Monitoring Framework management. Read the section titled 'Automated Clearing House Transactions' and identify at least two data quality risks it explicitly acknowledges.</w:t>
      </w:r>
    </w:p>
    <w:p>
      <w:pPr>
        <w:pStyle w:val="ListBullet"/>
        <w:spacing w:lineRule="auto" w:line="360" w:before="0" w:after="60"/>
      </w:pPr>
      <w:r>
        <w:rPr>
          <w:rFonts w:ascii="Times New Roman" w:hAnsi="Times New Roman"/>
          <w:b w:val="0"/>
          <w:i w:val="0"/>
          <w:sz w:val="24"/>
        </w:rPr>
        <w:t>The FFIEC BSA/AML Examination Manual (Part I, Chapter 5 — Risk-based approach) describes the lifecycle of a compliant AML programme. Compare the FFIEC's six-stage conception with the TM lifecycle in Section 3.2. Where do they align, and where does the FFIEC use different terminology?</w:t>
      </w:r>
    </w:p>
    <w:p>
      <w:pPr>
        <w:pStyle w:val="ListBullet"/>
        <w:spacing w:lineRule="auto" w:line="360" w:before="0" w:after="60"/>
      </w:pPr>
      <w:r>
        <w:rPr>
          <w:rFonts w:ascii="Times New Roman" w:hAnsi="Times New Roman"/>
          <w:b w:val="0"/>
          <w:i w:val="0"/>
          <w:sz w:val="24"/>
        </w:rPr>
        <w:t>Research Question: The FCA's Financial Crime Guide (FCG) sets out the FCA's expectations for firms' transaction monitoring frameworks. Download FCG 8.1 and identify the specific requirements it places on firms regarding alert closure documentation and record retention.</w:t>
      </w:r>
    </w:p>
    <w:p>
      <w:pPr>
        <w:pStyle w:val="ListBullet"/>
        <w:spacing w:lineRule="auto" w:line="360" w:before="0" w:after="60"/>
      </w:pPr>
      <w:r>
        <w:rPr>
          <w:rFonts w:ascii="Times New Roman" w:hAnsi="Times New Roman"/>
          <w:b w:val="0"/>
          <w:i w:val="0"/>
          <w:sz w:val="24"/>
        </w:rPr>
        <w:t>Tipping-off case study: Research the UK Court of Appeal case R v K [2007] EWCA Crim 491. What did the court determine about the boundary between lawful enquiries and unlawful tipping off? How does this apply to an analyst who needs to call a relationship manager to gather context about a flagged commercial customer?</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Arner, D.W., Barberis, J. and Buckley, R.P. (2017) FinTech, RegTech and the Reconceptualization of Financial Regulation. Northwestern JILB, 37(3), pp. 371–413.</w:t>
      </w:r>
    </w:p>
    <w:p>
      <w:pPr>
        <w:pStyle w:val="ListBullet"/>
        <w:spacing w:lineRule="auto" w:line="288" w:before="0" w:after="80"/>
      </w:pPr>
      <w:r>
        <w:rPr>
          <w:rFonts w:ascii="Times New Roman" w:hAnsi="Times New Roman"/>
          <w:b w:val="0"/>
          <w:i w:val="0"/>
          <w:sz w:val="22"/>
        </w:rPr>
        <w:t>FFIEC (2021) BSA/AML Examination Manual. FFIEC, Arlington VA.</w:t>
      </w:r>
    </w:p>
    <w:p>
      <w:pPr>
        <w:pStyle w:val="ListBullet"/>
        <w:spacing w:lineRule="auto" w:line="288" w:before="0" w:after="80"/>
      </w:pPr>
      <w:r>
        <w:rPr>
          <w:rFonts w:ascii="Times New Roman" w:hAnsi="Times New Roman"/>
          <w:b w:val="0"/>
          <w:i w:val="0"/>
          <w:sz w:val="22"/>
        </w:rPr>
        <w:t>Verhage, A. (2009) Between the hammer and the anvil? Crime, Law and Social Change, 52(1), pp. 9–32.</w:t>
      </w:r>
    </w:p>
    <w:p>
      <w:r>
        <w:br w:type="page"/>
      </w:r>
    </w:p>
    <w:p>
      <w:pPr>
        <w:pStyle w:val="Heading1"/>
      </w:pPr>
      <w:r>
        <w:rPr>
          <w:rFonts w:ascii="Times New Roman" w:hAnsi="Times New Roman"/>
        </w:rPr>
        <w:t>Chapter 4: Evolution of TMS and Scenario Design</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This chapter traces four decades of TMS evolution — from batch-file rule engines to modern cloud-native platforms — and explains how each architectural generation shapes the analyst's practical options. We then pivot to the analytical core: scenario design. A scenario is a documented hypothesis about suspicious customer behaviour, expressed as a threshold condition on a measurable variable. We introduce Rule NRB-STRUCT-001 and implement it on the Northgate dataset, generating 47 alerts.</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TMS architecture · Scenario design · Rule-based detection · Cash structuring · Alert generation · Threshold calibration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4.1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Describe the evolution from manual monitoring to AI-driven TMS and explain the trade-offs at each stage.</w:t>
            </w:r>
          </w:p>
          <w:p>
            <w:pPr>
              <w:spacing w:lineRule="auto" w:line="312" w:before="20" w:after="40"/>
              <w:ind w:left="113"/>
            </w:pPr>
            <w:r>
              <w:rPr>
                <w:rFonts w:ascii="Times New Roman" w:hAnsi="Times New Roman"/>
                <w:b w:val="0"/>
                <w:i w:val="0"/>
                <w:sz w:val="22"/>
              </w:rPr>
              <w:t>Design a scenario to detect structuring by encoding typology logic into rule parameters.</w:t>
            </w:r>
          </w:p>
          <w:p>
            <w:pPr>
              <w:spacing w:lineRule="auto" w:line="312" w:before="20" w:after="40"/>
              <w:ind w:left="113"/>
            </w:pPr>
            <w:r>
              <w:rPr>
                <w:rFonts w:ascii="Times New Roman" w:hAnsi="Times New Roman"/>
                <w:b w:val="0"/>
                <w:i w:val="0"/>
                <w:sz w:val="22"/>
              </w:rPr>
              <w:t>Evaluate a scenario design for coverage gaps and false positive risk.</w:t>
            </w:r>
          </w:p>
          <w:p>
            <w:pPr>
              <w:spacing w:lineRule="auto" w:line="312" w:before="20" w:after="40"/>
              <w:ind w:left="113"/>
            </w:pPr>
            <w:r>
              <w:rPr>
                <w:rFonts w:ascii="Times New Roman" w:hAnsi="Times New Roman"/>
                <w:b w:val="0"/>
                <w:i w:val="0"/>
                <w:sz w:val="22"/>
              </w:rPr>
              <w:t>Write the formal rule specification for the Northgate structuring scenario.</w:t>
            </w:r>
          </w:p>
        </w:tc>
      </w:tr>
    </w:tbl>
    <w:p>
      <w:pPr>
        <w:spacing w:lineRule="auto" w:line="240" w:before="0" w:after="160"/>
      </w:pPr>
    </w:p>
    <w:p>
      <w:pPr>
        <w:pStyle w:val="Heading2"/>
      </w:pPr>
      <w:r>
        <w:rPr>
          <w:rFonts w:ascii="Times New Roman" w:hAnsi="Times New Roman"/>
        </w:rPr>
        <w:t>4.1 Business Context: Why TMS Architecture Matters to an Analyst</w:t>
      </w:r>
    </w:p>
    <w:p>
      <w:pPr>
        <w:pStyle w:val="BodyText"/>
        <w:spacing w:lineRule="auto" w:line="360" w:before="0" w:after="120"/>
        <w:ind w:firstLine="283"/>
      </w:pPr>
      <w:r>
        <w:rPr>
          <w:rFonts w:ascii="Times New Roman" w:hAnsi="Times New Roman"/>
          <w:b w:val="0"/>
          <w:i w:val="0"/>
          <w:sz w:val="24"/>
        </w:rPr>
        <w:t>Transaction monitoring systems have evolved substantially over the past four decades. The architecture of the system in use at any institution — whether it is a manual spreadsheet, a rule-based engine, or an AI-driven platform — determines what kinds of patterns can be detected, how quickly alerts are generated, and how much an analyst can trust the output they are reviewing.</w:t>
      </w:r>
    </w:p>
    <w:p>
      <w:pPr>
        <w:pStyle w:val="BodyText"/>
        <w:spacing w:lineRule="auto" w:line="360" w:before="0" w:after="120"/>
        <w:ind w:firstLine="283"/>
      </w:pPr>
      <w:r>
        <w:rPr>
          <w:rFonts w:ascii="Times New Roman" w:hAnsi="Times New Roman"/>
          <w:b w:val="0"/>
          <w:i w:val="0"/>
          <w:sz w:val="24"/>
        </w:rPr>
        <w:t>Understanding the architecture matters for practical reasons. When you tune a threshold, you need to know how the system evaluates it. When you design a scenario, you need to know what data the system can access and how it processes time-windowed aggregations. When you review an alert, you need to understand what the alert is actually telling you — and what it is not.</w:t>
      </w:r>
    </w:p>
    <w:p>
      <w:pPr>
        <w:pStyle w:val="BodyText"/>
        <w:spacing w:lineRule="auto" w:line="360" w:before="0" w:after="120"/>
        <w:ind w:firstLine="283"/>
      </w:pPr>
      <w:r>
        <w:rPr>
          <w:rFonts w:ascii="Times New Roman" w:hAnsi="Times New Roman"/>
          <w:b w:val="0"/>
          <w:i w:val="0"/>
          <w:sz w:val="24"/>
        </w:rPr>
        <w:t>This chapter traces the evolution of TMS architecture from its origins in manual review through to contemporary AI-driven approaches. For each generation, we consider the capabilities it introduced, the limitations it brought with it, and the implications for analysts who work with it. We then develop the formal scenario design methodology and apply it to the Northgate structuring case.</w:t>
      </w:r>
    </w:p>
    <w:p>
      <w:pPr>
        <w:pStyle w:val="Heading2"/>
      </w:pPr>
      <w:r>
        <w:rPr>
          <w:rFonts w:ascii="Times New Roman" w:hAnsi="Times New Roman"/>
        </w:rPr>
        <w:t>4.2 Historical Monitoring: Manual Review</w:t>
      </w:r>
    </w:p>
    <w:p>
      <w:pPr>
        <w:pStyle w:val="BodyText"/>
        <w:spacing w:lineRule="auto" w:line="360" w:before="0" w:after="120"/>
        <w:ind w:firstLine="283"/>
      </w:pPr>
      <w:r>
        <w:rPr>
          <w:rFonts w:ascii="Times New Roman" w:hAnsi="Times New Roman"/>
          <w:b w:val="0"/>
          <w:i w:val="0"/>
          <w:sz w:val="24"/>
        </w:rPr>
        <w:t>The earliest form of transaction monitoring was entirely manual. Compliance officers reviewed transaction records — initially paper ledgers, later printed reports — looking for patterns that appeared unusual. Decisions about what to review and what to escalate were driven entirely by individual judgement, supplemented by regulatory guidance on what to look for.</w:t>
      </w:r>
    </w:p>
    <w:p>
      <w:pPr>
        <w:pStyle w:val="BodyText"/>
        <w:spacing w:lineRule="auto" w:line="360" w:before="0" w:after="120"/>
        <w:ind w:firstLine="283"/>
      </w:pPr>
      <w:r>
        <w:rPr>
          <w:rFonts w:ascii="Times New Roman" w:hAnsi="Times New Roman"/>
          <w:b w:val="0"/>
          <w:i w:val="0"/>
          <w:sz w:val="24"/>
        </w:rPr>
        <w:t>Manual review had two fundamental limitations. First, coverage: a team of analysts could review only a small proportion of total transaction volume. Most activity was unreviewed. Second, consistency: with no systematic criteria, different analysts applied different standards. The same pattern might be escalated by one analyst and dismissed by another.</w:t>
      </w:r>
    </w:p>
    <w:p>
      <w:pPr>
        <w:pStyle w:val="BodyText"/>
        <w:spacing w:lineRule="auto" w:line="360" w:before="0" w:after="120"/>
        <w:ind w:firstLine="283"/>
      </w:pPr>
      <w:r>
        <w:rPr>
          <w:rFonts w:ascii="Times New Roman" w:hAnsi="Times New Roman"/>
          <w:b w:val="0"/>
          <w:i w:val="0"/>
          <w:sz w:val="24"/>
        </w:rPr>
        <w:t>The introduction of reporting thresholds — such as the USD 10,000 Currency Transaction Report requirement under the US BSA — was an attempt to impose systematic structure on manual review. But threshold-based manual review introduced its own problem: it was easily gamed by anyone who knew the threshold, and created a cliff edge at the reporting threshold — providing false comfort that activity below the line was clean.</w:t>
      </w:r>
    </w:p>
    <w:p>
      <w:pPr>
        <w:pStyle w:val="Heading2"/>
      </w:pPr>
      <w:r>
        <w:rPr>
          <w:rFonts w:ascii="Times New Roman" w:hAnsi="Times New Roman"/>
        </w:rPr>
        <w:t>4.3 Profiling-Based Systems: Peer Group Comparison</w:t>
      </w:r>
    </w:p>
    <w:p>
      <w:pPr>
        <w:pStyle w:val="BodyText"/>
        <w:spacing w:lineRule="auto" w:line="360" w:before="0" w:after="120"/>
        <w:ind w:firstLine="283"/>
      </w:pPr>
      <w:r>
        <w:rPr>
          <w:rFonts w:ascii="Times New Roman" w:hAnsi="Times New Roman"/>
          <w:b w:val="0"/>
          <w:i w:val="0"/>
          <w:sz w:val="24"/>
        </w:rPr>
        <w:t>The first major technological step beyond manual review was the introduction of profiling-based systems in the 1990s. These systems established a behavioural baseline for each customer or customer segment and flagged deviations from that baseline as potentially suspicious. The most notable of these systems was Searchspace, widely deployed across major banks in the UK and US.</w:t>
      </w:r>
    </w:p>
    <w:p>
      <w:pPr>
        <w:pStyle w:val="BodyText"/>
        <w:spacing w:lineRule="auto" w:line="360" w:before="0" w:after="120"/>
        <w:ind w:firstLine="283"/>
      </w:pPr>
      <w:r>
        <w:rPr>
          <w:rFonts w:ascii="Times New Roman" w:hAnsi="Times New Roman"/>
          <w:b w:val="0"/>
          <w:i w:val="0"/>
          <w:sz w:val="24"/>
        </w:rPr>
        <w:t>Peer group analysis is the foundational technique of profiling-based monitoring. Rather than applying a single threshold to all customers, the system groups customers — also called segments, a term we use interchangeably throughout this book — with similar profiles, by industry, account type, or transaction behaviour, and assesses each customer against the behaviour of their peers. A cash deposit that is unusual for a retail customer may be unremarkable for a market trader.</w:t>
      </w:r>
    </w:p>
    <w:p>
      <w:pPr>
        <w:pStyle w:val="BodyText"/>
        <w:spacing w:lineRule="auto" w:line="360" w:before="0" w:after="120"/>
        <w:ind w:firstLine="283"/>
      </w:pPr>
      <w:r>
        <w:rPr>
          <w:rFonts w:ascii="Times New Roman" w:hAnsi="Times New Roman"/>
          <w:b w:val="0"/>
          <w:i w:val="0"/>
          <w:sz w:val="24"/>
        </w:rPr>
        <w:t>Profiling represented a conceptual advance over simple threshold rules in that it introduced context-sensitivity. Profile-based systems adapt well to seasonality and legitimate behavioural change — a seasonal business increasing its cash turnover in December, or a customer changing jobs, would gradually shift the behavioural baseline without generating false alerts. This is a genuine advantage over rule-based systems.</w:t>
      </w:r>
    </w:p>
    <w:p>
      <w:pPr>
        <w:pStyle w:val="BodyText"/>
        <w:spacing w:lineRule="auto" w:line="360" w:before="0" w:after="120"/>
        <w:ind w:firstLine="283"/>
      </w:pPr>
      <w:r>
        <w:rPr>
          <w:rFonts w:ascii="Times New Roman" w:hAnsi="Times New Roman"/>
          <w:b w:val="0"/>
          <w:i w:val="0"/>
          <w:sz w:val="24"/>
        </w:rPr>
        <w:t>The fundamental problem with profiling-based systems was not adaptability — it was that defining meaningful peer groups required sustained, expert human judgement that most institutions could not maintain at scale. If the groups were poorly constructed, the peer comparison was meaningless regardless of how well the baseline adapted. Alert volumes were high; confidence in the alerts was low. Profiling-based monitoring is best understood as a historical step — an important conceptual bridge between manual review and rule-based systems — rather than a viable architecture for a modern Transaction Monitoring Framework.</w:t>
      </w:r>
    </w:p>
    <w:p>
      <w:pPr>
        <w:pStyle w:val="Heading2"/>
      </w:pPr>
      <w:r>
        <w:rPr>
          <w:rFonts w:ascii="Times New Roman" w:hAnsi="Times New Roman"/>
        </w:rPr>
        <w:t>4.4 Rule-Based TMS: How Modern Rule Engines Work</w:t>
      </w:r>
    </w:p>
    <w:p>
      <w:pPr>
        <w:pStyle w:val="BodyText"/>
        <w:spacing w:lineRule="auto" w:line="360" w:before="0" w:after="120"/>
        <w:ind w:firstLine="283"/>
      </w:pPr>
      <w:r>
        <w:rPr>
          <w:rFonts w:ascii="Times New Roman" w:hAnsi="Times New Roman"/>
          <w:b w:val="0"/>
          <w:i w:val="0"/>
          <w:sz w:val="24"/>
        </w:rPr>
        <w:t>The dominant form of TMS in use today remains the rule-based system. A rule-based TMS encodes monitoring logic as a set of explicit conditions: if these criteria are met, generate an alert. Rules can be simple (a single transaction exceeds a threshold) or complex (a rolling sum of transactions of a specific type across multiple accounts exceeds a threshold within a defined lookback window, and the customer's risk rating is above a defined level).</w:t>
      </w:r>
    </w:p>
    <w:p>
      <w:pPr>
        <w:pStyle w:val="Heading3"/>
      </w:pPr>
      <w:r>
        <w:rPr>
          <w:rFonts w:ascii="Times New Roman" w:hAnsi="Times New Roman"/>
        </w:rPr>
        <w:t>4.4.1 The Anatomy of a Rule</w:t>
      </w:r>
    </w:p>
    <w:p>
      <w:pPr>
        <w:pStyle w:val="BodyText"/>
        <w:spacing w:lineRule="auto" w:line="360" w:before="0" w:after="120"/>
        <w:ind w:firstLine="283"/>
      </w:pPr>
      <w:r>
        <w:rPr>
          <w:rFonts w:ascii="Times New Roman" w:hAnsi="Times New Roman"/>
          <w:b w:val="0"/>
          <w:i w:val="0"/>
          <w:sz w:val="24"/>
        </w:rPr>
        <w:t>A rule in a modern TMS typically has the following components:</w:t>
      </w:r>
    </w:p>
    <w:p>
      <w:pPr>
        <w:pStyle w:val="ListBullet"/>
        <w:spacing w:lineRule="auto" w:line="360" w:before="0" w:after="60"/>
      </w:pPr>
      <w:r>
        <w:rPr>
          <w:rFonts w:ascii="Times New Roman" w:hAnsi="Times New Roman"/>
          <w:b w:val="0"/>
          <w:i w:val="0"/>
          <w:sz w:val="24"/>
        </w:rPr>
        <w:t>Scope: Which customers, accounts, or transaction types the rule applies to. Rules are not typically applied universally. A cash structuring rule might apply only to personal current accounts; a wire transfer monitoring rule might apply only to accounts with international transaction capability.</w:t>
      </w:r>
    </w:p>
    <w:p>
      <w:pPr>
        <w:pStyle w:val="ListBullet"/>
        <w:spacing w:lineRule="auto" w:line="360" w:before="0" w:after="60"/>
      </w:pPr>
      <w:r>
        <w:rPr>
          <w:rFonts w:ascii="Times New Roman" w:hAnsi="Times New Roman"/>
          <w:b w:val="0"/>
          <w:i w:val="0"/>
          <w:sz w:val="24"/>
        </w:rPr>
        <w:t>Logic: The conditional statement that defines what constitutes a trigger. This may involve aggregations (sum, count, average), time windows (rolling 30 days, calendar month), and multi-account linkages (across accounts held by the same customer or the same entity).</w:t>
      </w:r>
    </w:p>
    <w:p>
      <w:pPr>
        <w:pStyle w:val="ListBullet"/>
        <w:spacing w:lineRule="auto" w:line="360" w:before="0" w:after="60"/>
      </w:pPr>
      <w:r>
        <w:rPr>
          <w:rFonts w:ascii="Times New Roman" w:hAnsi="Times New Roman"/>
          <w:b w:val="0"/>
          <w:i w:val="0"/>
          <w:sz w:val="24"/>
        </w:rPr>
        <w:t>Parameters: The specific values that instantiate the logic. A rule that monitors rolling cash deposits has parameters for the threshold amount and the lookback window. Changing a parameter changes the sensitivity of the rule without changing its logic.</w:t>
      </w:r>
    </w:p>
    <w:p>
      <w:pPr>
        <w:pStyle w:val="ListBullet"/>
        <w:spacing w:lineRule="auto" w:line="360" w:before="0" w:after="60"/>
      </w:pPr>
      <w:r>
        <w:rPr>
          <w:rFonts w:ascii="Times New Roman" w:hAnsi="Times New Roman"/>
          <w:b w:val="0"/>
          <w:i w:val="0"/>
          <w:sz w:val="24"/>
        </w:rPr>
        <w:t>Actions: What the system does when the rule fires. In most TMS, the action is to generate an alert with a defined priority level. More sophisticated systems may suppress the alert pending further conditions, or route the alert to a specific review queue.</w:t>
      </w:r>
    </w:p>
    <w:p>
      <w:pPr>
        <w:pStyle w:val="Heading3"/>
      </w:pPr>
      <w:r>
        <w:rPr>
          <w:rFonts w:ascii="Times New Roman" w:hAnsi="Times New Roman"/>
        </w:rPr>
        <w:t>4.4.2 Threshold Logic</w:t>
      </w:r>
    </w:p>
    <w:p>
      <w:pPr>
        <w:pStyle w:val="BodyText"/>
        <w:spacing w:lineRule="auto" w:line="360" w:before="0" w:after="120"/>
        <w:ind w:firstLine="283"/>
      </w:pPr>
      <w:r>
        <w:rPr>
          <w:rFonts w:ascii="Times New Roman" w:hAnsi="Times New Roman"/>
          <w:b w:val="0"/>
          <w:i w:val="0"/>
          <w:sz w:val="24"/>
        </w:rPr>
        <w:t>Most rule-based scenarios use threshold logic: when a calculated value crosses a defined boundary, the rule fires. The threshold is typically a parameter, not a fixed constant, so it can be adjusted during tuning without changing the rule logic itself.</w:t>
      </w:r>
    </w:p>
    <w:p>
      <w:pPr>
        <w:pStyle w:val="BodyText"/>
        <w:spacing w:lineRule="auto" w:line="360" w:before="0" w:after="120"/>
        <w:ind w:firstLine="283"/>
      </w:pPr>
      <w:r>
        <w:rPr>
          <w:rFonts w:ascii="Times New Roman" w:hAnsi="Times New Roman"/>
          <w:b w:val="0"/>
          <w:i w:val="0"/>
          <w:sz w:val="24"/>
        </w:rPr>
        <w:t>Thresholds take two forms: absolute (a fixed amount) or relative (a percentage deviation from a baseline). In practice, most cash monitoring rules use absolute thresholds, calibrated against the reporting obligation threshold and the typical transaction profile of the customer segment.</w:t>
      </w:r>
    </w:p>
    <w:p>
      <w:pPr>
        <w:pStyle w:val="Heading2"/>
      </w:pPr>
      <w:r>
        <w:rPr>
          <w:rFonts w:ascii="Times New Roman" w:hAnsi="Times New Roman"/>
        </w:rPr>
        <w:t>4.5 AI/ML-Driven TMS: Opportunities and Challenges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4.2  </w:t>
            </w:r>
            <w:r>
              <w:rPr>
                <w:rFonts w:ascii="Times New Roman" w:hAnsi="Times New Roman"/>
                <w:b/>
                <w:i/>
                <w:sz w:val="22"/>
              </w:rPr>
              <w:t>AI and ML Terminology: How This Book Uses These Terms</w:t>
            </w:r>
          </w:p>
          <w:p>
            <w:pPr>
              <w:spacing w:lineRule="auto" w:line="312" w:before="20" w:after="40"/>
              <w:ind w:left="113"/>
            </w:pPr>
            <w:r>
              <w:rPr>
                <w:rFonts w:ascii="Times New Roman" w:hAnsi="Times New Roman"/>
                <w:b w:val="0"/>
                <w:i w:val="0"/>
                <w:sz w:val="22"/>
              </w:rPr>
              <w:t>AI and ML are used interchangeably in this book when referring to algorithmic learning techniques applied to TM. AI, as used here, means machine intelligence using statistical learning — including neural networks, supervised learning (models trained on labelled data), and unsupervised learning (models that identify patterns without labelled data). AI in this book does NOT refer to: agentic AI, AI agents, large language models, generative AI, or robotic process automation — these are distinct technologies with different applications covered in Chapter 7. When the book references AI-driven TMS or ML models, it means statistical learning applied to alert generation, scoring, or classification.</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most recent generation of TMS incorporates machine learning techniques — both supervised and unsupervised — to supplement or replace rule-based monitoring. AI-driven systems promise higher precision, lower noisy alert rates, and the ability to detect novel patterns that have not been explicitly encoded in rules.</w:t>
      </w:r>
    </w:p>
    <w:p>
      <w:pPr>
        <w:pStyle w:val="Heading3"/>
      </w:pPr>
      <w:r>
        <w:rPr>
          <w:rFonts w:ascii="Times New Roman" w:hAnsi="Times New Roman"/>
        </w:rPr>
        <w:t>4.5.1 Unsupervised Approaches</w:t>
      </w:r>
    </w:p>
    <w:p>
      <w:pPr>
        <w:pStyle w:val="BodyText"/>
        <w:spacing w:lineRule="auto" w:line="360" w:before="0" w:after="120"/>
        <w:ind w:firstLine="283"/>
      </w:pPr>
      <w:r>
        <w:rPr>
          <w:rFonts w:ascii="Times New Roman" w:hAnsi="Times New Roman"/>
          <w:b w:val="0"/>
          <w:i w:val="0"/>
          <w:sz w:val="24"/>
        </w:rPr>
        <w:t>Unsupervised ML techniques — including clustering and anomaly detection — can identify unusual patterns without requiring labelled examples of known suspicious activity. This is valuable in AML because labelled data is scarce: confirmed SAR outcomes are rare relative to total transaction volume, and they represent only the suspicious activity that was detected, not all suspicious activity.</w:t>
      </w:r>
    </w:p>
    <w:p>
      <w:pPr>
        <w:pStyle w:val="BodyText"/>
        <w:spacing w:lineRule="auto" w:line="360" w:before="0" w:after="120"/>
        <w:ind w:firstLine="283"/>
      </w:pPr>
      <w:r>
        <w:rPr>
          <w:rFonts w:ascii="Times New Roman" w:hAnsi="Times New Roman"/>
          <w:b w:val="0"/>
          <w:i w:val="0"/>
          <w:sz w:val="24"/>
        </w:rPr>
        <w:t>Clustering groups customers or transactions by behavioural similarity. Accounts that cluster together with known suspicious actors may warrant heightened scrutiny. Anomaly detection flags accounts or transactions that diverge significantly from what the model considers normal — without defining in advance what 'suspicious' looks like.</w:t>
      </w:r>
    </w:p>
    <w:p>
      <w:pPr>
        <w:pStyle w:val="Heading3"/>
      </w:pPr>
      <w:r>
        <w:rPr>
          <w:rFonts w:ascii="Times New Roman" w:hAnsi="Times New Roman"/>
        </w:rPr>
        <w:t>4.5.2 Supervised Approaches</w:t>
      </w:r>
    </w:p>
    <w:p>
      <w:pPr>
        <w:pStyle w:val="BodyText"/>
        <w:spacing w:lineRule="auto" w:line="360" w:before="0" w:after="120"/>
        <w:ind w:firstLine="283"/>
      </w:pPr>
      <w:r>
        <w:rPr>
          <w:rFonts w:ascii="Times New Roman" w:hAnsi="Times New Roman"/>
          <w:b w:val="0"/>
          <w:i w:val="0"/>
          <w:sz w:val="24"/>
        </w:rPr>
        <w:t>Supervised ML techniques train a model on historical labelled data — alerts that were confirmed as suspicious (positive labels) and alerts that were dismissed (negative labels). The model learns to distinguish the two classes and can be used to score new alerts for priority.</w:t>
      </w:r>
    </w:p>
    <w:p>
      <w:pPr>
        <w:pStyle w:val="BodyText"/>
        <w:spacing w:lineRule="auto" w:line="360" w:before="0" w:after="120"/>
        <w:ind w:firstLine="283"/>
      </w:pPr>
      <w:r>
        <w:rPr>
          <w:rFonts w:ascii="Times New Roman" w:hAnsi="Times New Roman"/>
          <w:b w:val="0"/>
          <w:i w:val="0"/>
          <w:sz w:val="24"/>
        </w:rPr>
        <w:t>Supervised approaches are powerful when the training data is representative and the labels are accurate. In AML, both conditions are difficult to guarantee. The SAR population is highly imbalanced relative to the non-SAR population, and the non-SAR population includes some false negatives — genuine suspicious activity that was dismissed.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4.3  </w:t>
            </w:r>
            <w:r>
              <w:rPr>
                <w:rFonts w:ascii="Times New Roman" w:hAnsi="Times New Roman"/>
                <w:b/>
                <w:i/>
                <w:sz w:val="22"/>
              </w:rPr>
              <w:t>Note: K-Means and the History of ML in AML</w:t>
            </w:r>
          </w:p>
          <w:p>
            <w:pPr>
              <w:spacing w:lineRule="auto" w:line="312" w:before="20" w:after="40"/>
              <w:ind w:left="113"/>
            </w:pPr>
            <w:r>
              <w:rPr>
                <w:rFonts w:ascii="Times New Roman" w:hAnsi="Times New Roman"/>
                <w:b w:val="0"/>
                <w:i w:val="0"/>
                <w:sz w:val="22"/>
              </w:rPr>
              <w:t>Traditional k-means clustering — used in segmentation and peer group analysis — is, in essence, unsupervised machine learning. It groups customers by statistical similarity without labelled outcomes. This means ML has been applied in transaction monitoring for far longer than is commonly recognised. The industry's narrative of 'AI/ML as a new development' often overlooks that peer group analysis, introduced in the 1990s, was already an application of unsupervised learning. Chapter 5 covers k-means segmentation in detail.</w:t>
            </w:r>
          </w:p>
        </w:tc>
      </w:tr>
    </w:tbl>
    <w:p>
      <w:pPr>
        <w:spacing w:lineRule="auto" w:line="240" w:before="0" w:after="160"/>
      </w:pPr>
    </w:p>
    <w:p>
      <w:pPr>
        <w:pStyle w:val="Heading3"/>
      </w:pPr>
      <w:r>
        <w:rPr>
          <w:rFonts w:ascii="Times New Roman" w:hAnsi="Times New Roman"/>
        </w:rPr>
        <w:t>4.5.3 Explainability Challenges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4.4  </w:t>
            </w:r>
            <w:r>
              <w:rPr>
                <w:rFonts w:ascii="Times New Roman" w:hAnsi="Times New Roman"/>
                <w:b/>
                <w:i/>
                <w:sz w:val="22"/>
              </w:rPr>
              <w:t>Limitation: SAR Training Data is Noisy</w:t>
            </w:r>
          </w:p>
          <w:p>
            <w:pPr>
              <w:spacing w:lineRule="auto" w:line="312" w:before="20" w:after="40"/>
              <w:ind w:left="113"/>
            </w:pPr>
            <w:r>
              <w:rPr>
                <w:rFonts w:ascii="Times New Roman" w:hAnsi="Times New Roman"/>
                <w:b w:val="0"/>
                <w:i w:val="0"/>
                <w:sz w:val="22"/>
              </w:rPr>
              <w:t>Supervised ML models for AML are typically trained on historical SAR data as the positive (suspicious) class. This data is structurally noisy. Defensive SARs — filed 'just in case' with no positive link to the features or typologies the model is designed to detect — contaminate the training set. A model trained on defensive SARs learns to replicate the human biases that produced them, not to detect genuine financial crime. This noise dramatically reduces model precision and makes validation harder: if the training labels are unreliable, precision/recall metrics computed against those labels are also unreliable. SAR data cleansing is therefore a prerequisite for any supervised ML project in AML. Chapter 8 covers this in detail.</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A persistent challenge with AI-driven TMS is explainability. Regulators — and courts — expect institutions to be able to explain why an alert was generated or why a SAR was filed. A rule-based system provides an explicit, auditable chain of logic. Many ML models — particularly ensemble methods and neural networks — do not.</w:t>
      </w:r>
    </w:p>
    <w:p>
      <w:pPr>
        <w:pStyle w:val="BodyText"/>
        <w:spacing w:lineRule="auto" w:line="360" w:before="0" w:after="120"/>
        <w:ind w:firstLine="283"/>
      </w:pPr>
      <w:r>
        <w:rPr>
          <w:rFonts w:ascii="Times New Roman" w:hAnsi="Times New Roman"/>
          <w:b w:val="0"/>
          <w:i w:val="0"/>
          <w:sz w:val="24"/>
        </w:rPr>
        <w:t>The explainability requirement is not just a compliance constraint. It is also an operational one. If an analyst cannot understand why the model flagged an account, they cannot assess whether the flag is meaningful. The field of explainable AI (XAI) is addressing this, but most deployed AML systems still combine ML-driven scoring with rule-based logic for the alert generation step.</w:t>
      </w:r>
    </w:p>
    <w:p>
      <w:pPr>
        <w:pStyle w:val="BodyText"/>
        <w:spacing w:lineRule="auto" w:line="360" w:before="0" w:after="120"/>
        <w:ind w:firstLine="283"/>
      </w:pPr>
      <w:r>
        <w:rPr>
          <w:rFonts w:ascii="Times New Roman" w:hAnsi="Times New Roman"/>
          <w:b w:val="0"/>
          <w:i w:val="0"/>
          <w:sz w:val="24"/>
        </w:rPr>
        <w:t>Model governance for ML-driven TMS must meet the standards set out in SR 26-2 (US Federal Reserve) and PRA SS1/23 (UK). These frameworks require documentation of model logic, training data, validation results, and known limitations — and impose ongoing monitoring obligations. We cover these requirements in full in Chapter 9.</w:t>
      </w:r>
    </w:p>
    <w:p>
      <w:pPr>
        <w:pStyle w:val="Heading3"/>
      </w:pPr>
      <w:r>
        <w:rPr>
          <w:rFonts w:ascii="Times New Roman" w:hAnsi="Times New Roman"/>
        </w:rPr>
        <w:t>4.5.4 The Current Frontier: Entity Consolidation, Graph Analysis, and Event Triage</w:t>
      </w:r>
    </w:p>
    <w:p>
      <w:pPr>
        <w:pStyle w:val="BodyText"/>
        <w:spacing w:lineRule="auto" w:line="360" w:before="0" w:after="120"/>
        <w:ind w:firstLine="283"/>
      </w:pPr>
      <w:r>
        <w:rPr>
          <w:rFonts w:ascii="Times New Roman" w:hAnsi="Times New Roman"/>
          <w:b w:val="0"/>
          <w:i w:val="0"/>
          <w:sz w:val="24"/>
        </w:rPr>
        <w:t>The most advanced TM programmes today do not rely on any single ML technique. They combine four capabilities that, together, represent a step change from both rule-based and early ML architectures.</w:t>
      </w:r>
    </w:p>
    <w:p>
      <w:pPr>
        <w:pStyle w:val="BodyText"/>
        <w:spacing w:lineRule="auto" w:line="360" w:before="0" w:after="120"/>
        <w:ind w:firstLine="283"/>
      </w:pPr>
      <w:r>
        <w:rPr>
          <w:rFonts w:ascii="Times New Roman" w:hAnsi="Times New Roman"/>
          <w:b w:val="0"/>
          <w:i w:val="0"/>
          <w:sz w:val="24"/>
        </w:rPr>
        <w:t>Entity Consolidation is the process of combining all known data about a customer — across accounts, products, counterparties, and linked individuals — into a single unified view for monitoring purposes. It is distinct from Entity Resolution, which is the investigative process of resolving ambiguous identities. Entity Consolidation happens before monitoring begins; Entity Resolution happens during case investigation. Modern platforms such as Quantexa and Ayasdi are built on Entity Consolidation as a foundational layer. Without it, a mule network operating across six accounts at the same bank may never be connected.</w:t>
      </w:r>
    </w:p>
    <w:p>
      <w:pPr>
        <w:pStyle w:val="BodyText"/>
        <w:spacing w:lineRule="auto" w:line="360" w:before="0" w:after="120"/>
        <w:ind w:firstLine="283"/>
      </w:pPr>
      <w:r>
        <w:rPr>
          <w:rFonts w:ascii="Times New Roman" w:hAnsi="Times New Roman"/>
          <w:b w:val="0"/>
          <w:i w:val="0"/>
          <w:sz w:val="24"/>
        </w:rPr>
        <w:t>This matters directly for the Northgate case. The NRB-STRUCT-001 scenario spec operates at the individual account level — it monitors each account's rolling cash deposits independently. It would detect each mule account if the threshold were met. But it would not detect the network structure: the fact that all six accounts are forwarding funds to the same recipient, or that three of them share a registered address. Entity Consolidation would surface those connections before a rule is applied.</w:t>
      </w:r>
    </w:p>
    <w:p>
      <w:pPr>
        <w:pStyle w:val="BodyText"/>
        <w:spacing w:lineRule="auto" w:line="360" w:before="0" w:after="120"/>
        <w:ind w:firstLine="283"/>
      </w:pPr>
      <w:r>
        <w:rPr>
          <w:rFonts w:ascii="Times New Roman" w:hAnsi="Times New Roman"/>
          <w:b w:val="0"/>
          <w:i w:val="0"/>
          <w:sz w:val="24"/>
        </w:rPr>
        <w:t>Graph and Network Analysis extends Entity Consolidation by mapping the relationships between entities — accounts, individuals, companies, addresses, devices — and analysing the structure of those networks. A money mule network has a recognisable graph topology: multiple feeder accounts converging on a central account, or a hub-and-spoke structure that individual-account rules cannot see. Graph analysis is now a core capability of platforms such as Quantexa and is increasingly used by tier-one banks.</w:t>
      </w:r>
    </w:p>
    <w:p>
      <w:pPr>
        <w:pStyle w:val="BodyText"/>
        <w:spacing w:lineRule="auto" w:line="360" w:before="0" w:after="120"/>
        <w:ind w:firstLine="283"/>
      </w:pPr>
      <w:r>
        <w:rPr>
          <w:rFonts w:ascii="Times New Roman" w:hAnsi="Times New Roman"/>
          <w:b w:val="0"/>
          <w:i w:val="0"/>
          <w:sz w:val="24"/>
        </w:rPr>
        <w:t>Event Triage is the ML-driven prioritisation layer that sits between alert generation and human review. Rather than presenting all alerts to analysts in the order they were generated, an event triage model scores each alert for the probability that it represents genuinely suspicious activity and routes high-priority alerts to the front of the queue. This directly addresses alert fatigue (from noisy alerts) — one of the most persistent operational failures in TM programmes. Event triage models are typically supervised, trained on historical SAR outcomes.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4.5  </w:t>
            </w:r>
            <w:r>
              <w:rPr>
                <w:rFonts w:ascii="Times New Roman" w:hAnsi="Times New Roman"/>
                <w:b/>
                <w:i/>
                <w:sz w:val="22"/>
              </w:rPr>
              <w:t>Note — FRAML</w:t>
            </w:r>
          </w:p>
          <w:p>
            <w:pPr>
              <w:spacing w:lineRule="auto" w:line="312" w:before="20" w:after="40"/>
              <w:ind w:left="113"/>
            </w:pPr>
            <w:r>
              <w:rPr>
                <w:rFonts w:ascii="Times New Roman" w:hAnsi="Times New Roman"/>
                <w:b w:val="0"/>
                <w:i w:val="0"/>
                <w:sz w:val="22"/>
              </w:rPr>
              <w:t>Some modern TMS platforms are designed for converged Fraud and AML monitoring — commonly abbreviated to FRAML. The rationale is that the data, techniques, and alert review processes for fraud and AML are increasingly similar, and that a single integrated platform reduces duplication of effort and improves detection of actors who exploit both domains simultaneously. Use the term with care: FRAML implementations vary widely in how deeply the two disciplines are genuinely integrated, and the regulatory frameworks remain distinct. We note it here as a feature of the current commercial landscape; it is not further examined in this book.</w:t>
            </w:r>
          </w:p>
        </w:tc>
      </w:tr>
    </w:tbl>
    <w:p>
      <w:pPr>
        <w:spacing w:lineRule="auto" w:line="240" w:before="0" w:after="160"/>
      </w:pPr>
    </w:p>
    <w:p>
      <w:pPr>
        <w:spacing w:lineRule="auto" w:line="240" w:before="60" w:after="120"/>
        <w:ind w:firstLine="0"/>
        <w:jc w:val="left"/>
      </w:pPr>
      <w:r>
        <w:rPr>
          <w:rFonts w:ascii="Times New Roman" w:hAnsi="Times New Roman"/>
          <w:b w:val="0"/>
          <w:i/>
          <w:sz w:val="20"/>
        </w:rPr>
        <w:t>Table 4.1  Generation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Generation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Representative Platforms</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Key Capability</w:t>
            </w:r>
          </w:p>
        </w:tc>
      </w:tr>
      <w:tr>
        <w:tc>
          <w:tcPr>
            <w:tcW w:w="3024" w:type="dxa"/>
          </w:tcPr>
          <w:p>
            <w:pPr>
              <w:spacing w:lineRule="auto" w:line="288" w:before="60" w:after="60"/>
              <w:ind w:left="57" w:right="57"/>
            </w:pPr>
            <w:r>
              <w:rPr>
                <w:rFonts w:ascii="Times New Roman" w:hAnsi="Times New Roman"/>
                <w:b w:val="0"/>
                <w:i w:val="0"/>
                <w:sz w:val="20"/>
              </w:rPr>
              <w:t>Pioneer (1990s)</w:t>
            </w:r>
          </w:p>
        </w:tc>
        <w:tc>
          <w:tcPr>
            <w:tcW w:w="3024" w:type="dxa"/>
          </w:tcPr>
          <w:p>
            <w:pPr>
              <w:spacing w:lineRule="auto" w:line="288" w:before="60" w:after="60"/>
              <w:ind w:left="57" w:right="57"/>
            </w:pPr>
            <w:r>
              <w:rPr>
                <w:rFonts w:ascii="Times New Roman" w:hAnsi="Times New Roman"/>
                <w:b w:val="0"/>
                <w:i w:val="0"/>
                <w:sz w:val="20"/>
              </w:rPr>
              <w:t>Searchspace, FircoSoft</w:t>
            </w:r>
          </w:p>
        </w:tc>
        <w:tc>
          <w:tcPr>
            <w:tcW w:w="3024" w:type="dxa"/>
          </w:tcPr>
          <w:p>
            <w:pPr>
              <w:spacing w:lineRule="auto" w:line="288" w:before="60" w:after="60"/>
              <w:ind w:left="57" w:right="57"/>
            </w:pPr>
            <w:r>
              <w:rPr>
                <w:rFonts w:ascii="Times New Roman" w:hAnsi="Times New Roman"/>
                <w:b w:val="0"/>
                <w:i w:val="0"/>
                <w:sz w:val="20"/>
              </w:rPr>
              <w:t>Profiling-based baselines; sanctions screening</w:t>
            </w:r>
          </w:p>
        </w:tc>
      </w:tr>
      <w:tr>
        <w:tc>
          <w:tcPr>
            <w:tcW w:w="3024" w:type="dxa"/>
          </w:tcPr>
          <w:p>
            <w:pPr>
              <w:spacing w:lineRule="auto" w:line="288" w:before="60" w:after="60"/>
              <w:ind w:left="57" w:right="57"/>
            </w:pPr>
            <w:r>
              <w:rPr>
                <w:rFonts w:ascii="Times New Roman" w:hAnsi="Times New Roman"/>
                <w:b w:val="0"/>
                <w:i w:val="0"/>
                <w:sz w:val="20"/>
              </w:rPr>
              <w:t>Standards (2000s–2010s)</w:t>
            </w:r>
          </w:p>
        </w:tc>
        <w:tc>
          <w:tcPr>
            <w:tcW w:w="3024" w:type="dxa"/>
          </w:tcPr>
          <w:p>
            <w:pPr>
              <w:spacing w:lineRule="auto" w:line="288" w:before="60" w:after="60"/>
              <w:ind w:left="57" w:right="57"/>
            </w:pPr>
            <w:r>
              <w:rPr>
                <w:rFonts w:ascii="Times New Roman" w:hAnsi="Times New Roman"/>
                <w:b w:val="0"/>
                <w:i w:val="0"/>
                <w:sz w:val="20"/>
              </w:rPr>
              <w:t>Actimize, Norkom/BAE Detica, Oracle Mantas, SAS, Verafin</w:t>
            </w:r>
          </w:p>
        </w:tc>
        <w:tc>
          <w:tcPr>
            <w:tcW w:w="3024" w:type="dxa"/>
          </w:tcPr>
          <w:p>
            <w:pPr>
              <w:spacing w:lineRule="auto" w:line="288" w:before="60" w:after="60"/>
              <w:ind w:left="57" w:right="57"/>
            </w:pPr>
            <w:r>
              <w:rPr>
                <w:rFonts w:ascii="Times New Roman" w:hAnsi="Times New Roman"/>
                <w:b w:val="0"/>
                <w:i w:val="0"/>
                <w:sz w:val="20"/>
              </w:rPr>
              <w:t>Rule-based scenario engines; workflow management</w:t>
            </w:r>
          </w:p>
        </w:tc>
      </w:tr>
      <w:tr>
        <w:tc>
          <w:tcPr>
            <w:tcW w:w="3024" w:type="dxa"/>
          </w:tcPr>
          <w:p>
            <w:pPr>
              <w:spacing w:lineRule="auto" w:line="288" w:before="60" w:after="60"/>
              <w:ind w:left="57" w:right="57"/>
            </w:pPr>
            <w:r>
              <w:rPr>
                <w:rFonts w:ascii="Times New Roman" w:hAnsi="Times New Roman"/>
                <w:b w:val="0"/>
                <w:i w:val="0"/>
                <w:sz w:val="20"/>
              </w:rPr>
              <w:t>FinTech/ML (2015–present)</w:t>
            </w:r>
          </w:p>
        </w:tc>
        <w:tc>
          <w:tcPr>
            <w:tcW w:w="3024" w:type="dxa"/>
          </w:tcPr>
          <w:p>
            <w:pPr>
              <w:spacing w:lineRule="auto" w:line="288" w:before="60" w:after="60"/>
              <w:ind w:left="57" w:right="57"/>
            </w:pPr>
            <w:r>
              <w:rPr>
                <w:rFonts w:ascii="Times New Roman" w:hAnsi="Times New Roman"/>
                <w:b w:val="0"/>
                <w:i w:val="0"/>
                <w:sz w:val="20"/>
              </w:rPr>
              <w:t>Quantexa, Ayasdi, Thetaray, DataVisor, Featurespace</w:t>
            </w:r>
          </w:p>
        </w:tc>
        <w:tc>
          <w:tcPr>
            <w:tcW w:w="3024" w:type="dxa"/>
          </w:tcPr>
          <w:p>
            <w:pPr>
              <w:spacing w:lineRule="auto" w:line="288" w:before="60" w:after="60"/>
              <w:ind w:left="57" w:right="57"/>
            </w:pPr>
            <w:r>
              <w:rPr>
                <w:rFonts w:ascii="Times New Roman" w:hAnsi="Times New Roman"/>
                <w:b w:val="0"/>
                <w:i w:val="0"/>
                <w:sz w:val="20"/>
              </w:rPr>
              <w:t>Entity Consolidation; unsupervised ML; graph analysis; event triage</w:t>
            </w:r>
          </w:p>
        </w:tc>
      </w:tr>
      <w:tr>
        <w:tc>
          <w:tcPr>
            <w:tcW w:w="3024" w:type="dxa"/>
          </w:tcPr>
          <w:p>
            <w:pPr>
              <w:spacing w:lineRule="auto" w:line="288" w:before="60" w:after="60"/>
              <w:ind w:left="57" w:right="57"/>
            </w:pPr>
            <w:r>
              <w:rPr>
                <w:rFonts w:ascii="Times New Roman" w:hAnsi="Times New Roman"/>
                <w:b w:val="0"/>
                <w:i w:val="0"/>
                <w:sz w:val="20"/>
              </w:rPr>
              <w:t>Blockchain (emerging)</w:t>
            </w:r>
          </w:p>
        </w:tc>
        <w:tc>
          <w:tcPr>
            <w:tcW w:w="3024" w:type="dxa"/>
          </w:tcPr>
          <w:p>
            <w:pPr>
              <w:spacing w:lineRule="auto" w:line="288" w:before="60" w:after="60"/>
              <w:ind w:left="57" w:right="57"/>
            </w:pPr>
            <w:r>
              <w:rPr>
                <w:rFonts w:ascii="Times New Roman" w:hAnsi="Times New Roman"/>
                <w:b w:val="0"/>
                <w:i w:val="0"/>
                <w:sz w:val="20"/>
              </w:rPr>
              <w:t>Chainalysis, Elliptic, CipherTrace</w:t>
            </w:r>
          </w:p>
        </w:tc>
        <w:tc>
          <w:tcPr>
            <w:tcW w:w="3024" w:type="dxa"/>
          </w:tcPr>
          <w:p>
            <w:pPr>
              <w:spacing w:lineRule="auto" w:line="288" w:before="60" w:after="60"/>
              <w:ind w:left="57" w:right="57"/>
            </w:pPr>
            <w:r>
              <w:rPr>
                <w:rFonts w:ascii="Times New Roman" w:hAnsi="Times New Roman"/>
                <w:b w:val="0"/>
                <w:i w:val="0"/>
                <w:sz w:val="20"/>
              </w:rPr>
              <w:t>On-chain transaction tracing; crypto typology detection</w:t>
            </w:r>
          </w:p>
        </w:tc>
      </w:tr>
    </w:tbl>
    <w:p>
      <w:pPr>
        <w:spacing w:lineRule="auto" w:line="240" w:before="0" w:after="20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4.6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You may have studied decision trees or rule-based classifiers in your degree. A TMS scenario is similar in structure: it defines a set of conditions that, when satisfied, produce a classification (alert or no alert). But unlike a classifier trained on labelled data, a TMS scenario is written by a human expert encoding regulatory guidance and typological knowledge into rule logic. There is no training dataset. There is no optimisation objective function. The validation challenge is therefore very different: you cannot measure accuracy on a holdout set. You must demonstrate coverage of known typologies, calibrate thresholds against operational constraints, and defend your design to a regulator who will ask whether the rule would have detected the activity you are trying to catch.</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Regardless of the TMS generation in use, every deployed scenario begins with a design process. Even ML-driven systems require scenario logic to be specified, tested, and documented before deployment — the methodology that follows applies across all architectures. The history of TMS evolution shows us what the systems can do; scenario design determines whether they do it well.</w:t>
      </w:r>
    </w:p>
    <w:p>
      <w:pPr>
        <w:pStyle w:val="Heading2"/>
      </w:pPr>
      <w:r>
        <w:rPr>
          <w:rFonts w:ascii="Times New Roman" w:hAnsi="Times New Roman"/>
        </w:rPr>
        <w:t>4.6 Scenario Design: The Methodology</w:t>
      </w:r>
    </w:p>
    <w:p>
      <w:pPr>
        <w:pStyle w:val="BodyText"/>
        <w:spacing w:lineRule="auto" w:line="360" w:before="0" w:after="120"/>
        <w:ind w:firstLine="283"/>
      </w:pPr>
      <w:r>
        <w:rPr>
          <w:rFonts w:ascii="Times New Roman" w:hAnsi="Times New Roman"/>
          <w:b w:val="0"/>
          <w:i w:val="0"/>
          <w:sz w:val="24"/>
        </w:rPr>
        <w:t>Designing a TMS scenario is a structured analytical exercise. It proceeds in five steps, each of which builds on the last: Risks → Red Flags → Typologies → Scenarios → Parameters. The sequence matters: a scenario not anchored to documented regulatory red flags and a recognised typology is not a control — it is a guess. We set out the methodology here and apply it to the Northgate structuring case in the next section.</w:t>
      </w:r>
    </w:p>
    <w:p>
      <w:pPr>
        <w:pStyle w:val="Heading3"/>
      </w:pPr>
      <w:r>
        <w:rPr>
          <w:rFonts w:ascii="Times New Roman" w:hAnsi="Times New Roman"/>
        </w:rPr>
        <w:t>Step 1: Identify the Risks from Regulatory Red Flags</w:t>
      </w:r>
    </w:p>
    <w:p>
      <w:pPr>
        <w:pStyle w:val="BodyText"/>
        <w:spacing w:lineRule="auto" w:line="360" w:before="0" w:after="120"/>
        <w:ind w:firstLine="283"/>
      </w:pPr>
      <w:r>
        <w:rPr>
          <w:rFonts w:ascii="Times New Roman" w:hAnsi="Times New Roman"/>
          <w:b w:val="0"/>
          <w:i w:val="0"/>
          <w:sz w:val="24"/>
        </w:rPr>
        <w:t>The starting point is not the scenario — it is the regulatory risk landscape. Regulators and government bodies (FATF, FinCEN, FFIEC, FBI, and the Egmont Group) publish typology reports, red flag lists, and examination guidance that identify financial crime risks an institution is expected to address. The analyst's first task is to catalogue these red flags and assess which ones are relevant to the institution's customer base and product mix. This is the foundational input to the entire scenario design chain. A scenario built without reference to documented red flags cannot be defended in an examination.</w:t>
      </w:r>
    </w:p>
    <w:p>
      <w:pPr>
        <w:pStyle w:val="Heading3"/>
      </w:pPr>
      <w:r>
        <w:rPr>
          <w:rFonts w:ascii="Times New Roman" w:hAnsi="Times New Roman"/>
        </w:rPr>
        <w:t>Step 2: Select or Design Typologies from Red Flags</w:t>
      </w:r>
    </w:p>
    <w:p>
      <w:pPr>
        <w:pStyle w:val="BodyText"/>
        <w:spacing w:lineRule="auto" w:line="360" w:before="0" w:after="120"/>
        <w:ind w:firstLine="283"/>
      </w:pPr>
      <w:r>
        <w:rPr>
          <w:rFonts w:ascii="Times New Roman" w:hAnsi="Times New Roman"/>
          <w:b w:val="0"/>
          <w:i w:val="0"/>
          <w:sz w:val="24"/>
        </w:rPr>
        <w:t>A typology is a documented pattern of money laundering behaviour that corresponds to one or more red flags. From the red flags identified in Step 1, the analyst selects or constructs typologies that describe how the financial crime risk manifests in transaction behaviour. Typologies should reference their source: FATF report, FinCEN Advisory, prosecution records, or law enforcement intelligence. The typology defines what the criminal is doing and why — it is the analytical bridge between the regulatory risk and the detection logic.</w:t>
      </w:r>
    </w:p>
    <w:p>
      <w:pPr>
        <w:pStyle w:val="Heading3"/>
      </w:pPr>
      <w:r>
        <w:rPr>
          <w:rFonts w:ascii="Times New Roman" w:hAnsi="Times New Roman"/>
        </w:rPr>
        <w:t>Step 3: Design Scenarios from Typologies</w:t>
      </w:r>
    </w:p>
    <w:p>
      <w:pPr>
        <w:pStyle w:val="BodyText"/>
        <w:spacing w:lineRule="auto" w:line="360" w:before="0" w:after="120"/>
        <w:ind w:firstLine="283"/>
      </w:pPr>
      <w:r>
        <w:rPr>
          <w:rFonts w:ascii="Times New Roman" w:hAnsi="Times New Roman"/>
          <w:b w:val="0"/>
          <w:i w:val="0"/>
          <w:sz w:val="24"/>
        </w:rPr>
        <w:t>The scenario is the operational translation of the typology into detection logic. It specifies the conditional statement that, when met, generates an alert. The scenario logic should be testable, auditable, and explainable to a non-technical compliance officer in plain English. The discipline here is to be explicit: which red flags are being encoded, which are not, and why. Not all red flags from a typology will be detectable from transactional data alone — some require customer context, market intelligence, or law enforcement information that the TMS cannot access.</w:t>
      </w:r>
    </w:p>
    <w:p>
      <w:pPr>
        <w:pStyle w:val="Heading3"/>
      </w:pPr>
      <w:r>
        <w:rPr>
          <w:rFonts w:ascii="Times New Roman" w:hAnsi="Times New Roman"/>
        </w:rPr>
        <w:t>Step 4: Set the Parameters</w:t>
      </w:r>
    </w:p>
    <w:p>
      <w:pPr>
        <w:pStyle w:val="BodyText"/>
        <w:spacing w:lineRule="auto" w:line="360" w:before="0" w:after="120"/>
        <w:ind w:firstLine="283"/>
      </w:pPr>
      <w:r>
        <w:rPr>
          <w:rFonts w:ascii="Times New Roman" w:hAnsi="Times New Roman"/>
          <w:b w:val="0"/>
          <w:i w:val="0"/>
          <w:sz w:val="24"/>
        </w:rPr>
        <w:t>Parameters give the scenario logic its operational specificity. A structuring scenario has parameters for the threshold amount, the lookback window, and the minimum number of transactions. Parameters are calibrated through tuning — a process covered in Chapter 6. Every parameter must have a documented rationale: 'we set the threshold at USD 7,500 because...' is a sentence that must have an answer. The entire Risks → Red Flags → Typologies → Scenarios chain must be traceable through the parameter documentation — a regulator reviewing a parameter must be able to trace it back to the risk and red flag it is designed to detect.</w:t>
      </w:r>
    </w:p>
    <w:p>
      <w:pPr>
        <w:pStyle w:val="Heading3"/>
      </w:pPr>
      <w:r>
        <w:rPr>
          <w:rFonts w:ascii="Times New Roman" w:hAnsi="Times New Roman"/>
        </w:rPr>
        <w:t>Step 5: Test and Validate</w:t>
      </w:r>
    </w:p>
    <w:p>
      <w:pPr>
        <w:pStyle w:val="BodyText"/>
        <w:spacing w:lineRule="auto" w:line="360" w:before="0" w:after="120"/>
        <w:ind w:firstLine="283"/>
      </w:pPr>
      <w:r>
        <w:rPr>
          <w:rFonts w:ascii="Times New Roman" w:hAnsi="Times New Roman"/>
          <w:b w:val="0"/>
          <w:i w:val="0"/>
          <w:sz w:val="24"/>
        </w:rPr>
        <w:t>Before deployment, a scenario should be tested against historical data: how many alerts would it have generated, what proportion would have been suspicious, and are there known cases of the target typology that it would have missed? Testing is not one-off — it should be repeated whenever parameters are changed or data feeds are updated. Scenario design evaluation — including whether the scenario achieves adequate coverage of its target typology — is covered in Chapter 9 (Model Validation), which provides the formal validation framework for assessing deployed scenarios.</w:t>
      </w:r>
    </w:p>
    <w:p>
      <w:pPr>
        <w:pStyle w:val="Heading2"/>
      </w:pPr>
      <w:r>
        <w:rPr>
          <w:rFonts w:ascii="Times New Roman" w:hAnsi="Times New Roman"/>
        </w:rPr>
        <w:t>4.7 The Northgate Structuring Scenario: Formal Rule Specification</w:t>
      </w:r>
    </w:p>
    <w:p>
      <w:pPr>
        <w:pStyle w:val="BodyText"/>
        <w:spacing w:lineRule="auto" w:line="360" w:before="0" w:after="120"/>
        <w:ind w:firstLine="283"/>
      </w:pPr>
      <w:r>
        <w:rPr>
          <w:rFonts w:ascii="Times New Roman" w:hAnsi="Times New Roman"/>
          <w:b w:val="0"/>
          <w:i w:val="0"/>
          <w:sz w:val="24"/>
        </w:rPr>
        <w:t>We can now set out the formal rule specification for the scenario that would detect the Northgate structuring pattern. This specification is the output of the five-step design methodology applied to the structuring typology.</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Scenario 4.7  </w:t>
            </w:r>
            <w:r>
              <w:rPr>
                <w:rFonts w:ascii="Times New Roman" w:hAnsi="Times New Roman"/>
                <w:b/>
                <w:i/>
                <w:sz w:val="22"/>
              </w:rPr>
              <w:t>Scenario Specification: NRB-STRUCT-001 — Cash Deposit Structuring</w:t>
            </w:r>
          </w:p>
          <w:p>
            <w:pPr>
              <w:spacing w:lineRule="auto" w:line="312" w:before="20" w:after="40"/>
              <w:ind w:left="113"/>
            </w:pPr>
            <w:r>
              <w:rPr>
                <w:rFonts w:ascii="Times New Roman" w:hAnsi="Times New Roman"/>
                <w:b w:val="0"/>
                <w:i w:val="0"/>
                <w:sz w:val="22"/>
              </w:rPr>
              <w:t>Scenario Name: NRB-STRUCT-001 — Repeated Cash Deposits Below Reporting Threshold</w:t>
            </w:r>
          </w:p>
          <w:p>
            <w:pPr>
              <w:spacing w:lineRule="auto" w:line="312" w:before="20" w:after="40"/>
              <w:ind w:left="113"/>
            </w:pPr>
            <w:r>
              <w:rPr>
                <w:rFonts w:ascii="Times New Roman" w:hAnsi="Times New Roman"/>
                <w:b w:val="0"/>
                <w:i w:val="0"/>
                <w:sz w:val="22"/>
              </w:rPr>
              <w:t>Typology: Structuring (also known as 'smurfing'). The deliberate fragmentation of cash deposits to avoid reporting thresholds, as documented in FATF Typology Report on Cash Intensive Businesses and FinCEN Advisory FIN-2014-A010.</w:t>
            </w:r>
          </w:p>
          <w:p>
            <w:pPr>
              <w:spacing w:lineRule="auto" w:line="312" w:before="20" w:after="40"/>
              <w:ind w:left="113"/>
            </w:pPr>
            <w:r>
              <w:rPr>
                <w:rFonts w:ascii="Times New Roman" w:hAnsi="Times New Roman"/>
                <w:b w:val="0"/>
                <w:i w:val="0"/>
                <w:sz w:val="22"/>
              </w:rPr>
              <w:t>Red Flags Encoded:</w:t>
            </w:r>
          </w:p>
          <w:p>
            <w:pPr>
              <w:spacing w:lineRule="auto" w:line="312" w:before="20" w:after="40"/>
              <w:ind w:left="113"/>
            </w:pPr>
            <w:r>
              <w:rPr>
                <w:rFonts w:ascii="Times New Roman" w:hAnsi="Times New Roman"/>
                <w:b w:val="0"/>
                <w:i w:val="0"/>
                <w:sz w:val="22"/>
              </w:rPr>
              <w:t>Multiple cash deposits within a rolling 30-day window.</w:t>
            </w:r>
          </w:p>
          <w:p>
            <w:pPr>
              <w:spacing w:lineRule="auto" w:line="312" w:before="20" w:after="40"/>
              <w:ind w:left="113"/>
            </w:pPr>
            <w:r>
              <w:rPr>
                <w:rFonts w:ascii="Times New Roman" w:hAnsi="Times New Roman"/>
                <w:b w:val="0"/>
                <w:i w:val="0"/>
                <w:sz w:val="22"/>
              </w:rPr>
              <w:t>Each individual deposit below USD 10,000 (the UK reporting reference point for high-value cash dealings).</w:t>
            </w:r>
          </w:p>
          <w:p>
            <w:pPr>
              <w:spacing w:lineRule="auto" w:line="312" w:before="20" w:after="40"/>
              <w:ind w:left="113"/>
            </w:pPr>
            <w:r>
              <w:rPr>
                <w:rFonts w:ascii="Times New Roman" w:hAnsi="Times New Roman"/>
                <w:b w:val="0"/>
                <w:i w:val="0"/>
                <w:sz w:val="22"/>
              </w:rPr>
              <w:t>Aggregate of deposits within the window exceeds the scenario threshold.</w:t>
            </w:r>
          </w:p>
          <w:p>
            <w:pPr>
              <w:spacing w:lineRule="auto" w:line="312" w:before="20" w:after="40"/>
              <w:ind w:left="113"/>
            </w:pPr>
            <w:r>
              <w:rPr>
                <w:rFonts w:ascii="Times New Roman" w:hAnsi="Times New Roman"/>
                <w:b w:val="0"/>
                <w:i w:val="0"/>
                <w:sz w:val="22"/>
              </w:rPr>
              <w:t>Pattern inconsistent with stated customer occupation and income.</w:t>
            </w:r>
          </w:p>
          <w:p>
            <w:pPr>
              <w:spacing w:lineRule="auto" w:line="312" w:before="20" w:after="40"/>
              <w:ind w:left="113"/>
            </w:pPr>
            <w:r>
              <w:rPr>
                <w:rFonts w:ascii="Times New Roman" w:hAnsi="Times New Roman"/>
                <w:b w:val="0"/>
                <w:i w:val="0"/>
                <w:sz w:val="22"/>
              </w:rPr>
              <w:t>Rule Logic: SUM(cash_deposit_amount) WHERE transaction_type = 'CASH_IN' AND individual_amount &lt; 10,000 OVER ROLLING 30 DAYS &gt; THRESHOLD_AMOUNT AND COUNT(transactions) &gt;= MIN_TXN_COUNT.</w:t>
            </w:r>
          </w:p>
          <w:p>
            <w:pPr>
              <w:spacing w:lineRule="auto" w:line="312" w:before="20" w:after="40"/>
              <w:ind w:left="113"/>
            </w:pPr>
            <w:r>
              <w:rPr>
                <w:rFonts w:ascii="Times New Roman" w:hAnsi="Times New Roman"/>
                <w:b w:val="0"/>
                <w:i w:val="0"/>
                <w:sz w:val="22"/>
              </w:rPr>
              <w:t>Parameters:</w:t>
            </w:r>
          </w:p>
          <w:p>
            <w:pPr>
              <w:spacing w:lineRule="auto" w:line="312" w:before="20" w:after="40"/>
              <w:ind w:left="113"/>
            </w:pPr>
            <w:r>
              <w:rPr>
                <w:rFonts w:ascii="Times New Roman" w:hAnsi="Times New Roman"/>
                <w:b w:val="0"/>
                <w:i w:val="0"/>
                <w:sz w:val="22"/>
              </w:rPr>
              <w:t>THRESHOLD_AMOUNT: USD 7,500 (set at 75% of the reporting reference point to capture structuring patterns with a margin below the USD 10,000 threshold; subject to tuning — see Chapter 6).</w:t>
            </w:r>
          </w:p>
          <w:p>
            <w:pPr>
              <w:spacing w:lineRule="auto" w:line="312" w:before="20" w:after="40"/>
              <w:ind w:left="113"/>
            </w:pPr>
            <w:r>
              <w:rPr>
                <w:rFonts w:ascii="Times New Roman" w:hAnsi="Times New Roman"/>
                <w:b w:val="0"/>
                <w:i w:val="0"/>
                <w:sz w:val="22"/>
              </w:rPr>
              <w:t>MIN_TXN_COUNT: 3 (minimum three cash deposits in the lookback window).</w:t>
            </w:r>
          </w:p>
          <w:p>
            <w:pPr>
              <w:spacing w:lineRule="auto" w:line="312" w:before="20" w:after="40"/>
              <w:ind w:left="113"/>
            </w:pPr>
            <w:r>
              <w:rPr>
                <w:rFonts w:ascii="Times New Roman" w:hAnsi="Times New Roman"/>
                <w:b w:val="0"/>
                <w:i w:val="0"/>
                <w:sz w:val="22"/>
              </w:rPr>
              <w:t>LOOKBACK_WINDOW: 30 calendar days, rolling (recalculated daily).</w:t>
            </w:r>
          </w:p>
          <w:p>
            <w:pPr>
              <w:spacing w:lineRule="auto" w:line="312" w:before="20" w:after="40"/>
              <w:ind w:left="113"/>
            </w:pPr>
            <w:r>
              <w:rPr>
                <w:rFonts w:ascii="Times New Roman" w:hAnsi="Times New Roman"/>
                <w:b w:val="0"/>
                <w:i w:val="0"/>
                <w:sz w:val="22"/>
              </w:rPr>
              <w:t>Customer Scope: All personal current accounts with an active cash transaction capability. Excludes business accounts (covered by a separate scenario). Applies to all customer risk rating segments (CRR 1-5); alert priority scales with CRR.</w:t>
            </w:r>
          </w:p>
          <w:p>
            <w:pPr>
              <w:spacing w:lineRule="auto" w:line="312" w:before="20" w:after="40"/>
              <w:ind w:left="113"/>
            </w:pPr>
            <w:r>
              <w:rPr>
                <w:rFonts w:ascii="Times New Roman" w:hAnsi="Times New Roman"/>
                <w:b w:val="0"/>
                <w:i w:val="0"/>
                <w:sz w:val="22"/>
              </w:rPr>
              <w:t>Data Prerequisites: Three source feeds must be active and validated before deployment: (1) the cash transaction feed, including transaction type, amount, date, branch, and account identifier; (2) the customer reference data feed, including CRR, occupation, and stated income; (3) the account status feed, confirming cash-enabled accounts. All three are Critical Data Elements (CDEs) for this scenario. Absence or staleness of any feed will cause systematic false negatives.</w:t>
            </w:r>
          </w:p>
          <w:p>
            <w:pPr>
              <w:spacing w:lineRule="auto" w:line="312" w:before="20" w:after="40"/>
              <w:ind w:left="113"/>
            </w:pPr>
            <w:r>
              <w:rPr>
                <w:rFonts w:ascii="Times New Roman" w:hAnsi="Times New Roman"/>
                <w:b w:val="0"/>
                <w:i w:val="0"/>
                <w:sz w:val="22"/>
              </w:rPr>
              <w:t>Governance Prerequisites: Scenario approved by the Financial Crime Risk second-line function and signed off by the Head of Financial Crime. Deployment requires a documented scenario approval record referencing the typology source, the data validation results, and the initial testing output.</w:t>
            </w:r>
          </w:p>
          <w:p>
            <w:pPr>
              <w:spacing w:lineRule="auto" w:line="312" w:before="20" w:after="40"/>
              <w:ind w:left="113"/>
            </w:pPr>
            <w:r>
              <w:rPr>
                <w:rFonts w:ascii="Times New Roman" w:hAnsi="Times New Roman"/>
                <w:b w:val="0"/>
                <w:i w:val="0"/>
                <w:sz w:val="22"/>
              </w:rPr>
              <w:t>Documentation Output: This specification document, the scenario approval record, the pre-deployment test results (alert volume projection, estimated noisy alert rate, SAR hit rate against historical population), and the scheduled review date. All artefacts retained in the scenario governance register.</w:t>
            </w:r>
          </w:p>
          <w:p>
            <w:pPr>
              <w:spacing w:lineRule="auto" w:line="312" w:before="20" w:after="40"/>
              <w:ind w:left="113"/>
            </w:pPr>
            <w:r>
              <w:rPr>
                <w:rFonts w:ascii="Times New Roman" w:hAnsi="Times New Roman"/>
                <w:b w:val="0"/>
                <w:i w:val="0"/>
                <w:sz w:val="22"/>
              </w:rPr>
              <w:t>Common Pitfalls:</w:t>
            </w:r>
          </w:p>
          <w:p>
            <w:pPr>
              <w:spacing w:lineRule="auto" w:line="312" w:before="20" w:after="40"/>
              <w:ind w:left="113"/>
            </w:pPr>
            <w:r>
              <w:rPr>
                <w:rFonts w:ascii="Times New Roman" w:hAnsi="Times New Roman"/>
                <w:b w:val="0"/>
                <w:i w:val="0"/>
                <w:sz w:val="22"/>
              </w:rPr>
              <w:t>If the cash transaction feed excludes ATM deposits, the rule will miss structuring conducted via ATM withdrawals reversed through deposits. Confirm feed scope with the data team before deployment.</w:t>
            </w:r>
          </w:p>
          <w:p>
            <w:pPr>
              <w:spacing w:lineRule="auto" w:line="312" w:before="20" w:after="40"/>
              <w:ind w:left="113"/>
            </w:pPr>
            <w:r>
              <w:rPr>
                <w:rFonts w:ascii="Times New Roman" w:hAnsi="Times New Roman"/>
                <w:b w:val="0"/>
                <w:i w:val="0"/>
                <w:sz w:val="22"/>
              </w:rPr>
              <w:t>If CRR data is stale, alert priority scaling will be inaccurate. CRR must be recalculated on a schedule that matches the monitoring window.</w:t>
            </w:r>
          </w:p>
          <w:p>
            <w:pPr>
              <w:spacing w:lineRule="auto" w:line="312" w:before="20" w:after="40"/>
              <w:ind w:left="113"/>
            </w:pPr>
            <w:r>
              <w:rPr>
                <w:rFonts w:ascii="Times New Roman" w:hAnsi="Times New Roman"/>
                <w:b w:val="0"/>
                <w:i w:val="0"/>
                <w:sz w:val="22"/>
              </w:rPr>
              <w:t>The rule operates at the individual account level. It will not detect the mule network structure — multiple accounts forwarding to the same recipient. Network-level detection requires Entity Consolidation and graph analysis, as described in Section 4.5.4.</w:t>
            </w:r>
          </w:p>
          <w:p>
            <w:pPr>
              <w:spacing w:lineRule="auto" w:line="312" w:before="20" w:after="40"/>
              <w:ind w:left="113"/>
            </w:pPr>
            <w:r>
              <w:rPr>
                <w:rFonts w:ascii="Times New Roman" w:hAnsi="Times New Roman"/>
                <w:b w:val="0"/>
                <w:i w:val="0"/>
                <w:sz w:val="22"/>
              </w:rPr>
              <w:t>Owner: Financial Crime Advisory — Scenario Management. Review cycle: annual, or following any material change in typology guidance or customer population composition.</w:t>
            </w:r>
          </w:p>
          <w:p>
            <w:pPr>
              <w:spacing w:lineRule="auto" w:line="312" w:before="20" w:after="40"/>
              <w:ind w:left="113"/>
            </w:pPr>
            <w:r>
              <w:rPr>
                <w:rFonts w:ascii="Times New Roman" w:hAnsi="Times New Roman"/>
                <w:b w:val="0"/>
                <w:i w:val="0"/>
                <w:sz w:val="22"/>
              </w:rPr>
              <w:t>A note on network scope: NRB-STRUCT-001 operates at the individual account level. Among the beneficiary accounts receiving faster payment transfers from the six Northgate Accounts over the monitoring period, one entity appears consistently: Meridian Trading Ltd, a business current account holder at Northgate Retail Bank, registered under SIC code 46690 (Wholesale of other machinery and equipment). NRB-STRUCT-001 does not and cannot detect this connection — it sees each mule account in isolation. The significance of this observation is developed in Chapter 6.</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Scenario design evaluation — how to assess whether a scenario achieves adequate coverage of its target typology — is covered in Chapter 9: Model Validation.</w:t>
      </w:r>
    </w:p>
    <w:p>
      <w:pPr>
        <w:pStyle w:val="Heading2"/>
      </w:pPr>
      <w:r>
        <w:rPr>
          <w:rFonts w:ascii="Times New Roman" w:hAnsi="Times New Roman"/>
        </w:rPr>
        <w:t>4.8 Colab Walkthrough: Rule 1 in Python</w:t>
      </w:r>
    </w:p>
    <w:p>
      <w:pPr>
        <w:pStyle w:val="BodyText"/>
        <w:spacing w:lineRule="auto" w:line="360" w:before="0" w:after="120"/>
        <w:ind w:firstLine="283"/>
      </w:pPr>
      <w:r>
        <w:rPr>
          <w:rFonts w:ascii="Times New Roman" w:hAnsi="Times New Roman"/>
          <w:b w:val="0"/>
          <w:i w:val="0"/>
          <w:sz w:val="24"/>
        </w:rPr>
        <w:t>The specification above defines the rule in business terms. Below is Rule 1 implemented in Python — the exact logic the TMS would execute on every daily batch. This is the codebase you will extend in Exercise 4.1. Open the Chapter 4 Colab notebook to run it against the Northgate dataset and see the alert output for yourself.</w:t>
      </w:r>
    </w:p>
    <w:p>
      <w:pPr>
        <w:spacing w:lineRule="auto" w:line="240" w:before="60" w:after="120"/>
        <w:ind w:firstLine="0"/>
        <w:jc w:val="left"/>
      </w:pPr>
      <w:r>
        <w:rPr>
          <w:rFonts w:ascii="Times New Roman" w:hAnsi="Times New Roman"/>
          <w:b w:val="0"/>
          <w:i/>
          <w:sz w:val="20"/>
        </w:rPr>
        <w:t>Listing 4.1  Python code — 📊 Colab Preview: Implementing Rule 1 (Cash Threshold Structu</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Implementing Rule 1 (Cash Threshold Structuring)</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def apply_rule_1(df_txn, threshold=7500, min_txns=3, window_days=30):</w:t>
            </w:r>
          </w:p>
          <w:p>
            <w:pPr>
              <w:spacing w:lineRule="auto" w:line="240" w:before="0" w:after="20"/>
              <w:ind w:left="142"/>
            </w:pPr>
            <w:r>
              <w:rPr>
                <w:rFonts w:ascii="Courier New" w:hAnsi="Courier New"/>
                <w:b w:val="0"/>
                <w:i w:val="0"/>
                <w:sz w:val="18"/>
              </w:rPr>
              <w:t>"""Rule NRB-STRUCT-001: rolling cash deposits &gt; threshold."""</w:t>
            </w:r>
          </w:p>
          <w:p>
            <w:pPr>
              <w:spacing w:lineRule="auto" w:line="240" w:before="0" w:after="20"/>
              <w:ind w:left="142"/>
            </w:pPr>
            <w:r>
              <w:rPr>
                <w:rFonts w:ascii="Courier New" w:hAnsi="Courier New"/>
                <w:b w:val="0"/>
                <w:i w:val="0"/>
                <w:sz w:val="18"/>
              </w:rPr>
              <w:t>cash = df_txn[</w:t>
            </w:r>
          </w:p>
          <w:p>
            <w:pPr>
              <w:spacing w:lineRule="auto" w:line="240" w:before="0" w:after="20"/>
              <w:ind w:left="142"/>
            </w:pPr>
            <w:r>
              <w:rPr>
                <w:rFonts w:ascii="Courier New" w:hAnsi="Courier New"/>
                <w:b w:val="0"/>
                <w:i w:val="0"/>
                <w:sz w:val="18"/>
              </w:rPr>
              <w:t>(df_txn['txn_type'] == 'CASH_IN') &amp;</w:t>
            </w:r>
          </w:p>
          <w:p>
            <w:pPr>
              <w:spacing w:lineRule="auto" w:line="240" w:before="0" w:after="20"/>
              <w:ind w:left="142"/>
            </w:pPr>
            <w:r>
              <w:rPr>
                <w:rFonts w:ascii="Courier New" w:hAnsi="Courier New"/>
                <w:b w:val="0"/>
                <w:i w:val="0"/>
                <w:sz w:val="18"/>
              </w:rPr>
              <w:t>(df_txn['amount'] &lt; 10_000)   # each deposit below reporting limit</w:t>
            </w:r>
          </w:p>
          <w:p>
            <w:pPr>
              <w:spacing w:lineRule="auto" w:line="240" w:before="0" w:after="20"/>
              <w:ind w:left="142"/>
            </w:pPr>
            <w:r>
              <w:rPr>
                <w:rFonts w:ascii="Courier New" w:hAnsi="Courier New"/>
                <w:b w:val="0"/>
                <w:i w:val="0"/>
                <w:sz w:val="18"/>
              </w:rPr>
              <w:t>].copy()</w:t>
            </w:r>
          </w:p>
          <w:p>
            <w:pPr>
              <w:spacing w:lineRule="auto" w:line="240" w:before="0" w:after="20"/>
              <w:ind w:left="142"/>
            </w:pPr>
            <w:r>
              <w:rPr>
                <w:rFonts w:ascii="Courier New" w:hAnsi="Courier New"/>
                <w:b w:val="0"/>
                <w:i w:val="0"/>
                <w:sz w:val="18"/>
              </w:rPr>
              <w:t>cash = cash.sort_values(['account_id', 'txn_date'])</w:t>
            </w:r>
          </w:p>
          <w:p>
            <w:pPr>
              <w:spacing w:lineRule="auto" w:line="240" w:before="0" w:after="20"/>
              <w:ind w:left="142"/>
            </w:pPr>
            <w:r>
              <w:rPr>
                <w:rFonts w:ascii="Courier New" w:hAnsi="Courier New"/>
                <w:b w:val="0"/>
                <w:i w:val="0"/>
                <w:sz w:val="18"/>
              </w:rPr>
              <w:t>cash['rolling_sum'] = (</w:t>
            </w:r>
          </w:p>
          <w:p>
            <w:pPr>
              <w:spacing w:lineRule="auto" w:line="240" w:before="0" w:after="20"/>
              <w:ind w:left="142"/>
            </w:pPr>
            <w:r>
              <w:rPr>
                <w:rFonts w:ascii="Courier New" w:hAnsi="Courier New"/>
                <w:b w:val="0"/>
                <w:i w:val="0"/>
                <w:sz w:val="18"/>
              </w:rPr>
              <w:t>cash.groupby('account_id', group_keys=False)</w:t>
            </w:r>
          </w:p>
          <w:p>
            <w:pPr>
              <w:spacing w:lineRule="auto" w:line="240" w:before="0" w:after="20"/>
              <w:ind w:left="142"/>
            </w:pPr>
            <w:r>
              <w:rPr>
                <w:rFonts w:ascii="Courier New" w:hAnsi="Courier New"/>
                <w:b w:val="0"/>
                <w:i w:val="0"/>
                <w:sz w:val="18"/>
              </w:rPr>
              <w:t>.apply(lambda g: g.set_index('txn_date')['amount']</w:t>
            </w:r>
          </w:p>
          <w:p>
            <w:pPr>
              <w:spacing w:lineRule="auto" w:line="240" w:before="0" w:after="20"/>
              <w:ind w:left="142"/>
            </w:pPr>
            <w:r>
              <w:rPr>
                <w:rFonts w:ascii="Courier New" w:hAnsi="Courier New"/>
                <w:b w:val="0"/>
                <w:i w:val="0"/>
                <w:sz w:val="18"/>
              </w:rPr>
              <w:t>.rolling(f'{window_days}D').sum()</w:t>
            </w:r>
          </w:p>
          <w:p>
            <w:pPr>
              <w:spacing w:lineRule="auto" w:line="240" w:before="0" w:after="20"/>
              <w:ind w:left="142"/>
            </w:pPr>
            <w:r>
              <w:rPr>
                <w:rFonts w:ascii="Courier New" w:hAnsi="Courier New"/>
                <w:b w:val="0"/>
                <w:i w:val="0"/>
                <w:sz w:val="18"/>
              </w:rPr>
              <w:t>.reset_index(drop=True))</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cash['rolling_cnt'] = (</w:t>
            </w:r>
          </w:p>
          <w:p>
            <w:pPr>
              <w:spacing w:lineRule="auto" w:line="240" w:before="0" w:after="20"/>
              <w:ind w:left="142"/>
            </w:pPr>
            <w:r>
              <w:rPr>
                <w:rFonts w:ascii="Courier New" w:hAnsi="Courier New"/>
                <w:b w:val="0"/>
                <w:i w:val="0"/>
                <w:sz w:val="18"/>
              </w:rPr>
              <w:t>cash.groupby('account_id', group_keys=False)</w:t>
            </w:r>
          </w:p>
          <w:p>
            <w:pPr>
              <w:spacing w:lineRule="auto" w:line="240" w:before="0" w:after="20"/>
              <w:ind w:left="142"/>
            </w:pPr>
            <w:r>
              <w:rPr>
                <w:rFonts w:ascii="Courier New" w:hAnsi="Courier New"/>
                <w:b w:val="0"/>
                <w:i w:val="0"/>
                <w:sz w:val="18"/>
              </w:rPr>
              <w:t>.apply(lambda g: g.set_index('txn_date')['amount']</w:t>
            </w:r>
          </w:p>
          <w:p>
            <w:pPr>
              <w:spacing w:lineRule="auto" w:line="240" w:before="0" w:after="20"/>
              <w:ind w:left="142"/>
            </w:pPr>
            <w:r>
              <w:rPr>
                <w:rFonts w:ascii="Courier New" w:hAnsi="Courier New"/>
                <w:b w:val="0"/>
                <w:i w:val="0"/>
                <w:sz w:val="18"/>
              </w:rPr>
              <w:t>.rolling(f'{window_days}D').count()</w:t>
            </w:r>
          </w:p>
          <w:p>
            <w:pPr>
              <w:spacing w:lineRule="auto" w:line="240" w:before="0" w:after="20"/>
              <w:ind w:left="142"/>
            </w:pPr>
            <w:r>
              <w:rPr>
                <w:rFonts w:ascii="Courier New" w:hAnsi="Courier New"/>
                <w:b w:val="0"/>
                <w:i w:val="0"/>
                <w:sz w:val="18"/>
              </w:rPr>
              <w:t>.reset_index(drop=True))</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alerts = (</w:t>
            </w:r>
          </w:p>
          <w:p>
            <w:pPr>
              <w:spacing w:lineRule="auto" w:line="240" w:before="0" w:after="20"/>
              <w:ind w:left="142"/>
            </w:pPr>
            <w:r>
              <w:rPr>
                <w:rFonts w:ascii="Courier New" w:hAnsi="Courier New"/>
                <w:b w:val="0"/>
                <w:i w:val="0"/>
                <w:sz w:val="18"/>
              </w:rPr>
              <w:t>cash[(cash['rolling_sum'] &gt; threshold) &amp; (cash['rolling_cnt'] &gt;= min_txns)]</w:t>
            </w:r>
          </w:p>
          <w:p>
            <w:pPr>
              <w:spacing w:lineRule="auto" w:line="240" w:before="0" w:after="20"/>
              <w:ind w:left="142"/>
            </w:pPr>
            <w:r>
              <w:rPr>
                <w:rFonts w:ascii="Courier New" w:hAnsi="Courier New"/>
                <w:b w:val="0"/>
                <w:i w:val="0"/>
                <w:sz w:val="18"/>
              </w:rPr>
              <w:t>.groupby('account_id')</w:t>
            </w:r>
          </w:p>
          <w:p>
            <w:pPr>
              <w:spacing w:lineRule="auto" w:line="240" w:before="0" w:after="20"/>
              <w:ind w:left="142"/>
            </w:pPr>
            <w:r>
              <w:rPr>
                <w:rFonts w:ascii="Courier New" w:hAnsi="Courier New"/>
                <w:b w:val="0"/>
                <w:i w:val="0"/>
                <w:sz w:val="18"/>
              </w:rPr>
              <w:t>.agg(peak_rolling_sum=('rolling_sum', 'max'),</w:t>
            </w:r>
          </w:p>
          <w:p>
            <w:pPr>
              <w:spacing w:lineRule="auto" w:line="240" w:before="0" w:after="20"/>
              <w:ind w:left="142"/>
            </w:pPr>
            <w:r>
              <w:rPr>
                <w:rFonts w:ascii="Courier New" w:hAnsi="Courier New"/>
                <w:b w:val="0"/>
                <w:i w:val="0"/>
                <w:sz w:val="18"/>
              </w:rPr>
              <w:t>alert_txn_count=('rolling_cnt', 'max'))</w:t>
            </w:r>
          </w:p>
          <w:p>
            <w:pPr>
              <w:spacing w:lineRule="auto" w:line="240" w:before="0" w:after="20"/>
              <w:ind w:left="142"/>
            </w:pPr>
            <w:r>
              <w:rPr>
                <w:rFonts w:ascii="Courier New" w:hAnsi="Courier New"/>
                <w:b w:val="0"/>
                <w:i w:val="0"/>
                <w:sz w:val="18"/>
              </w:rPr>
              <w:t>.reset_index()</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return alerts</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alerts = apply_rule_1(df_txn)</w:t>
            </w:r>
          </w:p>
          <w:p>
            <w:pPr>
              <w:spacing w:lineRule="auto" w:line="240" w:before="0" w:after="20"/>
              <w:ind w:left="142"/>
            </w:pPr>
            <w:r>
              <w:rPr>
                <w:rFonts w:ascii="Courier New" w:hAnsi="Courier New"/>
                <w:b w:val="0"/>
                <w:i w:val="0"/>
                <w:sz w:val="18"/>
              </w:rPr>
              <w:t>print(f'Rule 1 generated {len(alerts)} alerts')</w:t>
            </w:r>
          </w:p>
          <w:p>
            <w:pPr>
              <w:spacing w:lineRule="auto" w:line="240" w:before="0" w:after="20"/>
              <w:ind w:left="142"/>
            </w:pPr>
            <w:r>
              <w:rPr>
                <w:rFonts w:ascii="Courier New" w:hAnsi="Courier New"/>
                <w:b w:val="0"/>
                <w:i w:val="0"/>
                <w:sz w:val="18"/>
              </w:rPr>
              <w:t>alerts.head(10)</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Rule 1 Alerts (threshold USD 7,500, 30-day window)</w:t>
            </w:r>
          </w:p>
          <w:p>
            <w:pPr>
              <w:spacing w:lineRule="auto" w:line="240" w:before="0" w:after="20"/>
              <w:ind w:left="113"/>
            </w:pPr>
            <w:r>
              <w:rPr>
                <w:rFonts w:ascii="Courier New" w:hAnsi="Courier New"/>
                <w:b w:val="0"/>
                <w:i w:val="0"/>
                <w:sz w:val="18"/>
              </w:rPr>
              <w:t>Rule 1 generated 47 alerts</w:t>
            </w:r>
          </w:p>
          <w:p>
            <w:pPr>
              <w:spacing w:lineRule="auto" w:line="240" w:before="0" w:after="20"/>
              <w:ind w:left="113"/>
            </w:pPr>
            <w:r>
              <w:rPr>
                <w:rFonts w:ascii="Courier New" w:hAnsi="Courier New"/>
                <w:b w:val="0"/>
                <w:i w:val="0"/>
                <w:sz w:val="18"/>
              </w:rPr>
              <w:t>account_id  peak_rolling_sum  alert_txn_count</w:t>
            </w:r>
          </w:p>
          <w:p>
            <w:pPr>
              <w:spacing w:lineRule="auto" w:line="240" w:before="0" w:after="20"/>
              <w:ind w:left="113"/>
            </w:pPr>
            <w:r>
              <w:rPr>
                <w:rFonts w:ascii="Courier New" w:hAnsi="Courier New"/>
                <w:b w:val="0"/>
                <w:i w:val="0"/>
                <w:sz w:val="18"/>
              </w:rPr>
              <w:t>ACC0003         106250.82               12</w:t>
            </w:r>
          </w:p>
          <w:p>
            <w:pPr>
              <w:spacing w:lineRule="auto" w:line="240" w:before="0" w:after="20"/>
              <w:ind w:left="113"/>
            </w:pPr>
            <w:r>
              <w:rPr>
                <w:rFonts w:ascii="Courier New" w:hAnsi="Courier New"/>
                <w:b w:val="0"/>
                <w:i w:val="0"/>
                <w:sz w:val="18"/>
              </w:rPr>
              <w:t>ACC0006          88003.61               10</w:t>
            </w:r>
          </w:p>
          <w:p>
            <w:pPr>
              <w:spacing w:lineRule="auto" w:line="240" w:before="0" w:after="20"/>
              <w:ind w:left="113"/>
            </w:pPr>
            <w:r>
              <w:rPr>
                <w:rFonts w:ascii="Courier New" w:hAnsi="Courier New"/>
                <w:b w:val="0"/>
                <w:i w:val="0"/>
                <w:sz w:val="18"/>
              </w:rPr>
              <w:t>ACC0005          87504.73               10</w:t>
            </w:r>
          </w:p>
          <w:p>
            <w:pPr>
              <w:spacing w:lineRule="auto" w:line="240" w:before="0" w:after="20"/>
              <w:ind w:left="113"/>
            </w:pPr>
            <w:r>
              <w:rPr>
                <w:rFonts w:ascii="Courier New" w:hAnsi="Courier New"/>
                <w:b w:val="0"/>
                <w:i w:val="0"/>
                <w:sz w:val="18"/>
              </w:rPr>
              <w:t>ACC0004          82093.09                9</w:t>
            </w:r>
          </w:p>
          <w:p>
            <w:pPr>
              <w:spacing w:lineRule="auto" w:line="240" w:before="0" w:after="20"/>
              <w:ind w:left="113"/>
            </w:pPr>
            <w:r>
              <w:rPr>
                <w:rFonts w:ascii="Courier New" w:hAnsi="Courier New"/>
                <w:b w:val="0"/>
                <w:i w:val="0"/>
                <w:sz w:val="18"/>
              </w:rPr>
              <w:t>ACC0001          80375.32                9</w:t>
            </w:r>
          </w:p>
          <w:p>
            <w:pPr>
              <w:spacing w:lineRule="auto" w:line="240" w:before="0" w:after="20"/>
              <w:ind w:left="113"/>
            </w:pPr>
            <w:r>
              <w:rPr>
                <w:rFonts w:ascii="Courier New" w:hAnsi="Courier New"/>
                <w:b w:val="0"/>
                <w:i w:val="0"/>
                <w:sz w:val="18"/>
              </w:rPr>
              <w:t>ACC0002          71978.38                8</w:t>
            </w:r>
          </w:p>
          <w:p>
            <w:pPr>
              <w:spacing w:lineRule="auto" w:line="240" w:before="0" w:after="20"/>
              <w:ind w:left="113"/>
            </w:pPr>
            <w:r>
              <w:rPr>
                <w:rFonts w:ascii="Courier New" w:hAnsi="Courier New"/>
                <w:b w:val="0"/>
                <w:i w:val="0"/>
                <w:sz w:val="18"/>
              </w:rPr>
              <w:t>ACC0431          13302.07                3</w:t>
            </w:r>
          </w:p>
          <w:p>
            <w:pPr>
              <w:spacing w:lineRule="auto" w:line="240" w:before="0" w:after="20"/>
              <w:ind w:left="113"/>
            </w:pPr>
            <w:r>
              <w:rPr>
                <w:rFonts w:ascii="Courier New" w:hAnsi="Courier New"/>
                <w:b w:val="0"/>
                <w:i w:val="0"/>
                <w:sz w:val="18"/>
              </w:rPr>
              <w:t>ACC0381          12325.71                5</w:t>
            </w:r>
          </w:p>
          <w:p>
            <w:pPr>
              <w:spacing w:lineRule="auto" w:line="240" w:before="0" w:after="20"/>
              <w:ind w:left="113"/>
            </w:pPr>
            <w:r>
              <w:rPr>
                <w:rFonts w:ascii="Courier New" w:hAnsi="Courier New"/>
                <w:b w:val="0"/>
                <w:i w:val="0"/>
                <w:sz w:val="18"/>
              </w:rPr>
              <w:t>ACC0354          11652.20                4</w:t>
            </w:r>
          </w:p>
          <w:p>
            <w:pPr>
              <w:spacing w:lineRule="auto" w:line="240" w:before="0" w:after="20"/>
              <w:ind w:left="113"/>
            </w:pPr>
            <w:r>
              <w:rPr>
                <w:rFonts w:ascii="Courier New" w:hAnsi="Courier New"/>
                <w:b w:val="0"/>
                <w:i w:val="0"/>
                <w:sz w:val="18"/>
              </w:rPr>
              <w:t>ACC0122          10814.49                4</w:t>
            </w:r>
          </w:p>
        </w:tc>
      </w:tr>
    </w:tbl>
    <w:p>
      <w:pPr>
        <w:spacing w:lineRule="auto" w:line="240" w:before="0" w:after="160"/>
      </w:pPr>
    </w:p>
    <w:p>
      <w:pPr>
        <w:spacing w:lineRule="auto" w:line="240" w:before="200" w:after="80"/>
        <w:jc w:val="center"/>
      </w:pPr>
      <w:r>
        <w:drawing>
          <wp:inline xmlns:a="http://schemas.openxmlformats.org/drawingml/2006/main" xmlns:pic="http://schemas.openxmlformats.org/drawingml/2006/picture">
            <wp:extent cx="4680000" cy="2673529"/>
            <wp:docPr id="1" name="Picture 1"/>
            <wp:cNvGraphicFramePr>
              <a:graphicFrameLocks noChangeAspect="1"/>
            </wp:cNvGraphicFramePr>
            <a:graphic>
              <a:graphicData uri="http://schemas.openxmlformats.org/drawingml/2006/picture">
                <pic:pic>
                  <pic:nvPicPr>
                    <pic:cNvPr id="0" name="ch4.png"/>
                    <pic:cNvPicPr/>
                  </pic:nvPicPr>
                  <pic:blipFill>
                    <a:blip r:embed="rId9"/>
                    <a:stretch>
                      <a:fillRect/>
                    </a:stretch>
                  </pic:blipFill>
                  <pic:spPr>
                    <a:xfrm>
                      <a:off x="0" y="0"/>
                      <a:ext cx="4680000" cy="2673529"/>
                    </a:xfrm>
                    <a:prstGeom prst="rect"/>
                  </pic:spPr>
                </pic:pic>
              </a:graphicData>
            </a:graphic>
          </wp:inline>
        </w:drawing>
      </w:r>
    </w:p>
    <w:p>
      <w:pPr>
        <w:spacing w:lineRule="auto" w:line="240" w:before="40" w:after="240"/>
        <w:jc w:val="center"/>
      </w:pPr>
      <w:r>
        <w:rPr>
          <w:rFonts w:ascii="Times New Roman" w:hAnsi="Times New Roman"/>
          <w:b w:val="0"/>
          <w:i/>
          <w:sz w:val="20"/>
        </w:rPr>
        <w:t>Fig. 4.1  Rule 1 (NRB-STRUCT-001) alert distribution by account</w:t>
      </w:r>
    </w:p>
    <w:p>
      <w:pPr>
        <w:pStyle w:val="BodyText"/>
        <w:spacing w:lineRule="auto" w:line="360" w:before="0" w:after="120"/>
        <w:ind w:firstLine="283"/>
      </w:pPr>
      <w:r>
        <w:rPr>
          <w:rFonts w:ascii="Times New Roman" w:hAnsi="Times New Roman"/>
          <w:b w:val="0"/>
          <w:i w:val="0"/>
          <w:sz w:val="24"/>
        </w:rPr>
        <w:t>The output shows 47 alerts. Six mule accounts (ACC0001–ACC0006) sit at the top of the list — their peak 30-day rolling sums reach USD 106,000, an order of magnitude above the threshold. The bar chart shows how alert volume responds to threshold changes: raising the threshold to USD 9,000 cuts the queue from 47 to fewer alerts, while dropping to USD 6,000 expands it. This sensitivity is the central question in Exercise 4.1. The apply_rule_1() function above is the starting point you will extend in Chapter 6 when you add the velocity rule.</w:t>
      </w:r>
    </w:p>
    <w:p>
      <w:pPr>
        <w:pStyle w:val="Heading2"/>
      </w:pPr>
      <w:r>
        <w:rPr>
          <w:rFonts w:ascii="Times New Roman" w:hAnsi="Times New Roman"/>
        </w:rPr>
        <w:t>4.9 Risk Considerations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4.8  </w:t>
            </w:r>
            <w:r>
              <w:rPr>
                <w:rFonts w:ascii="Times New Roman" w:hAnsi="Times New Roman"/>
                <w:b/>
                <w:i/>
                <w:sz w:val="22"/>
              </w:rPr>
              <w:t>Poorly designed scenarios</w:t>
            </w:r>
          </w:p>
          <w:p>
            <w:pPr>
              <w:spacing w:lineRule="auto" w:line="312" w:before="20" w:after="40"/>
              <w:ind w:left="113"/>
            </w:pPr>
            <w:r>
              <w:rPr>
                <w:rFonts w:ascii="Times New Roman" w:hAnsi="Times New Roman"/>
                <w:b w:val="0"/>
                <w:i w:val="0"/>
                <w:sz w:val="22"/>
              </w:rPr>
              <w:t>Poorly designed scenarios: A scenario that does not correctly encode the underlying typology will generate alerts that do not correspond to suspicious activity (false positives) or will miss suspicious activity entirely (false negatives). Both errors have regulatory consequences. Design quality must be documented and defensible.</w:t>
            </w:r>
          </w:p>
          <w:p>
            <w:pPr>
              <w:spacing w:lineRule="auto" w:line="312" w:before="20" w:after="40"/>
              <w:ind w:left="113"/>
            </w:pPr>
            <w:r>
              <w:rPr>
                <w:rFonts w:ascii="Times New Roman" w:hAnsi="Times New Roman"/>
                <w:b w:val="0"/>
                <w:i w:val="0"/>
                <w:sz w:val="22"/>
              </w:rPr>
              <w:t>Over-reliance on rules: Rule-based systems cannot detect novel typologies that have not been encoded in a rule. Institutions that rely exclusively on rule-based monitoring risk being blind to emerging money laundering methods. A layered approach — rules complemented by anomaly detection — provides more robust coverage.</w:t>
            </w:r>
          </w:p>
          <w:p>
            <w:pPr>
              <w:spacing w:lineRule="auto" w:line="312" w:before="20" w:after="40"/>
              <w:ind w:left="113"/>
            </w:pPr>
            <w:r>
              <w:rPr>
                <w:rFonts w:ascii="Times New Roman" w:hAnsi="Times New Roman"/>
                <w:b w:val="0"/>
                <w:i w:val="0"/>
                <w:sz w:val="22"/>
              </w:rPr>
              <w:t>Explainability of ML: Where ML techniques are used to generate or score alerts, the institution must be able to explain the output to a regulator or in a court proceeding. 'The model said so' is not an adequate explanation. Model governance frameworks must include documentation of the model's logic, its training data, its validation results, and its limitations.</w:t>
            </w:r>
          </w:p>
          <w:p>
            <w:pPr>
              <w:spacing w:lineRule="auto" w:line="312" w:before="20" w:after="40"/>
              <w:ind w:left="113"/>
            </w:pPr>
            <w:r>
              <w:rPr>
                <w:rFonts w:ascii="Times New Roman" w:hAnsi="Times New Roman"/>
                <w:b w:val="0"/>
                <w:i w:val="0"/>
                <w:sz w:val="22"/>
              </w:rPr>
              <w:t>Scenario creep: Over time, institutions accumulate scenarios without retiring obsolete ones. A library of hundreds of poorly maintained scenarios generates noise, consumes analyst capacity, and obscures the signals that matter. Scenario governance — regular review and rationalisation — is a risk management discipline in its own right.</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4.9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TMS has evolved through four generations: manual review, profiling-based systems, rule-based engines, and AI/ML-driven platforms. Profiling-based approaches (exemplified by Searchspace) fell out of favour in practice — due to scalability constraints at growing customer volumes, increasing regulatory demands for explainability, and the high ongoing cost of expert judgement required for peer-group maintenance; rule-based systems remain the dominant deployed architecture.</w:t>
            </w:r>
          </w:p>
          <w:p>
            <w:pPr>
              <w:spacing w:lineRule="auto" w:line="312" w:before="20" w:after="40"/>
              <w:ind w:left="113"/>
            </w:pPr>
            <w:r>
              <w:rPr>
                <w:rFonts w:ascii="Times New Roman" w:hAnsi="Times New Roman"/>
                <w:b w:val="0"/>
                <w:i w:val="0"/>
                <w:sz w:val="22"/>
              </w:rPr>
              <w:t>Each generation added capability but introduced new trade-offs: profiling required human-defined peer groups that were impractical to maintain; rule-based systems encode human judgement explicitly but cannot detect novel typologies; ML systems add detection power but sacrifice explainability.</w:t>
            </w:r>
          </w:p>
          <w:p>
            <w:pPr>
              <w:spacing w:lineRule="auto" w:line="312" w:before="20" w:after="40"/>
              <w:ind w:left="113"/>
            </w:pPr>
            <w:r>
              <w:rPr>
                <w:rFonts w:ascii="Times New Roman" w:hAnsi="Times New Roman"/>
                <w:b w:val="0"/>
                <w:i w:val="0"/>
                <w:sz w:val="22"/>
              </w:rPr>
              <w:t>The current frontier combines four capabilities: Entity Consolidation, unsupervised ML, graph and network analysis, and event triage. These are foundational to modern platforms such as Quantexa and Ayasdi, and cannot be replicated by adding ML scoring to a legacy rule engine.</w:t>
            </w:r>
          </w:p>
          <w:p>
            <w:pPr>
              <w:spacing w:lineRule="auto" w:line="312" w:before="20" w:after="40"/>
              <w:ind w:left="113"/>
            </w:pPr>
            <w:r>
              <w:rPr>
                <w:rFonts w:ascii="Times New Roman" w:hAnsi="Times New Roman"/>
                <w:b w:val="0"/>
                <w:i w:val="0"/>
                <w:sz w:val="22"/>
              </w:rPr>
              <w:t>TMS generation does not determine programme maturity. A bank using a frontier ML platform can still be at the Nascent maturity stage if it has no documentation, no tuning framework, and no governance. The system is one component; the programme is everything else.</w:t>
            </w:r>
          </w:p>
          <w:p>
            <w:pPr>
              <w:spacing w:lineRule="auto" w:line="312" w:before="20" w:after="40"/>
              <w:ind w:left="113"/>
            </w:pPr>
            <w:r>
              <w:rPr>
                <w:rFonts w:ascii="Times New Roman" w:hAnsi="Times New Roman"/>
                <w:b w:val="0"/>
                <w:i w:val="0"/>
                <w:sz w:val="22"/>
              </w:rPr>
              <w:t>Scenario design follows a five-step methodology: identify the typology, extract red flags, define the logic, set the parameters, test and validate.</w:t>
            </w:r>
          </w:p>
          <w:p>
            <w:pPr>
              <w:spacing w:lineRule="auto" w:line="312" w:before="20" w:after="40"/>
              <w:ind w:left="113"/>
            </w:pPr>
            <w:r>
              <w:rPr>
                <w:rFonts w:ascii="Times New Roman" w:hAnsi="Times New Roman"/>
                <w:b w:val="0"/>
                <w:i w:val="0"/>
                <w:sz w:val="22"/>
              </w:rPr>
              <w:t>A scenario is not a classifier — it encodes expert judgement, not optimised weights. Validation proceeds by reference to typology coverage, not prediction accuracy on a holdout set.</w:t>
            </w:r>
          </w:p>
          <w:p>
            <w:pPr>
              <w:spacing w:lineRule="auto" w:line="312" w:before="20" w:after="40"/>
              <w:ind w:left="113"/>
            </w:pPr>
            <w:r>
              <w:rPr>
                <w:rFonts w:ascii="Times New Roman" w:hAnsi="Times New Roman"/>
                <w:b w:val="0"/>
                <w:i w:val="0"/>
                <w:sz w:val="22"/>
              </w:rPr>
              <w:t>The Northgate structuring scenario (NRB-STRUCT-001) monitors rolling 30-day cash deposits below USD 10,000. Initial threshold: USD 7,500; minimum transaction count: 3.</w:t>
            </w:r>
          </w:p>
          <w:p>
            <w:pPr>
              <w:spacing w:lineRule="auto" w:line="312" w:before="20" w:after="40"/>
              <w:ind w:left="113"/>
            </w:pPr>
            <w:r>
              <w:rPr>
                <w:rFonts w:ascii="Times New Roman" w:hAnsi="Times New Roman"/>
                <w:b w:val="0"/>
                <w:i w:val="0"/>
                <w:sz w:val="22"/>
              </w:rPr>
              <w:t>Coverage, precision, and recall are the three dimensions of scenario evaluation. Recall is the hardest to measure in AML because the true suspicious population is unknown.</w:t>
            </w:r>
          </w:p>
          <w:p>
            <w:pPr>
              <w:spacing w:lineRule="auto" w:line="312" w:before="20" w:after="40"/>
              <w:ind w:left="113"/>
            </w:pPr>
            <w:r>
              <w:rPr>
                <w:rFonts w:ascii="Times New Roman" w:hAnsi="Times New Roman"/>
                <w:b w:val="0"/>
                <w:i w:val="0"/>
                <w:sz w:val="22"/>
              </w:rPr>
              <w:t>Tuning is expected and structured. Initial parameters are a starting point. Chapter 6 provides the full tuning methodology.</w:t>
            </w:r>
          </w:p>
          <w:p>
            <w:pPr>
              <w:spacing w:lineRule="auto" w:line="312" w:before="20" w:after="40"/>
              <w:ind w:left="113"/>
            </w:pPr>
            <w:r>
              <w:rPr>
                <w:rFonts w:ascii="Times New Roman" w:hAnsi="Times New Roman"/>
                <w:b w:val="0"/>
                <w:i w:val="0"/>
                <w:sz w:val="22"/>
              </w:rPr>
              <w:t>Scenario governance — regular review, rationalisation, and retirement of obsolete rules — is a risk management discipline, not a housekeeping exercise.</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4.1 — Designing the Northgate Structuring Rule  [Intermediate]</w:t>
            </w:r>
          </w:p>
          <w:p>
            <w:pPr>
              <w:spacing w:lineRule="auto" w:line="312" w:before="20" w:after="40"/>
              <w:ind w:left="113"/>
            </w:pPr>
            <w:r>
              <w:rPr>
                <w:rFonts w:ascii="Times New Roman" w:hAnsi="Times New Roman"/>
                <w:b w:val="0"/>
                <w:i w:val="0"/>
                <w:sz w:val="22"/>
              </w:rPr>
              <w:t>Recap: In Exercise 3.1 you traced the Northgate structuring scenario through the full TM lifecycle. Now design the rule that would have generated the alert.</w:t>
            </w:r>
          </w:p>
          <w:p>
            <w:pPr>
              <w:spacing w:lineRule="auto" w:line="312" w:before="20" w:after="40"/>
              <w:ind w:left="113"/>
            </w:pPr>
            <w:r>
              <w:rPr>
                <w:rFonts w:ascii="Times New Roman" w:hAnsi="Times New Roman"/>
                <w:b w:val="0"/>
                <w:i w:val="0"/>
                <w:sz w:val="22"/>
              </w:rPr>
              <w:t>Task: Using the formal scenario design methodology from Section 4.6, write a complete rule specification for the Northgate structuring scenario. Your specification should include all of the following elements:</w:t>
            </w:r>
          </w:p>
          <w:p>
            <w:pPr>
              <w:spacing w:lineRule="auto" w:line="312" w:before="20" w:after="40"/>
              <w:ind w:left="113"/>
            </w:pPr>
            <w:r>
              <w:rPr>
                <w:rFonts w:ascii="Times New Roman" w:hAnsi="Times New Roman"/>
                <w:b w:val="0"/>
                <w:i w:val="0"/>
                <w:sz w:val="22"/>
              </w:rPr>
              <w:t>The typology being targeted, with a reference to at least one published typology document.</w:t>
            </w:r>
          </w:p>
          <w:p>
            <w:pPr>
              <w:spacing w:lineRule="auto" w:line="312" w:before="20" w:after="40"/>
              <w:ind w:left="113"/>
            </w:pPr>
            <w:r>
              <w:rPr>
                <w:rFonts w:ascii="Times New Roman" w:hAnsi="Times New Roman"/>
                <w:b w:val="0"/>
                <w:i w:val="0"/>
                <w:sz w:val="22"/>
              </w:rPr>
              <w:t>At least four red flags that are detectable from transactional and customer data.</w:t>
            </w:r>
          </w:p>
          <w:p>
            <w:pPr>
              <w:spacing w:lineRule="auto" w:line="312" w:before="20" w:after="40"/>
              <w:ind w:left="113"/>
            </w:pPr>
            <w:r>
              <w:rPr>
                <w:rFonts w:ascii="Times New Roman" w:hAnsi="Times New Roman"/>
                <w:b w:val="0"/>
                <w:i w:val="0"/>
                <w:sz w:val="22"/>
              </w:rPr>
              <w:t>The complete rule logic, written in plain English and in pseudo-code (matching the format in Section 4.7).</w:t>
            </w:r>
          </w:p>
          <w:p>
            <w:pPr>
              <w:spacing w:lineRule="auto" w:line="312" w:before="20" w:after="40"/>
              <w:ind w:left="113"/>
            </w:pPr>
            <w:r>
              <w:rPr>
                <w:rFonts w:ascii="Times New Roman" w:hAnsi="Times New Roman"/>
                <w:b w:val="0"/>
                <w:i w:val="0"/>
                <w:sz w:val="22"/>
              </w:rPr>
              <w:t>All three parameters (threshold amount, lookback window, minimum transaction count) with a brief justification for your initial values.</w:t>
            </w:r>
          </w:p>
          <w:p>
            <w:pPr>
              <w:spacing w:lineRule="auto" w:line="312" w:before="20" w:after="40"/>
              <w:ind w:left="113"/>
            </w:pPr>
            <w:r>
              <w:rPr>
                <w:rFonts w:ascii="Times New Roman" w:hAnsi="Times New Roman"/>
                <w:b w:val="0"/>
                <w:i w:val="0"/>
                <w:sz w:val="22"/>
              </w:rPr>
              <w:t>The customer scope, specifying which accounts the rule applies to and which are excluded.</w:t>
            </w:r>
          </w:p>
          <w:p>
            <w:pPr>
              <w:spacing w:lineRule="auto" w:line="312" w:before="20" w:after="40"/>
              <w:ind w:left="113"/>
            </w:pPr>
            <w:r>
              <w:rPr>
                <w:rFonts w:ascii="Times New Roman" w:hAnsi="Times New Roman"/>
                <w:b w:val="0"/>
                <w:i w:val="0"/>
                <w:sz w:val="22"/>
              </w:rPr>
              <w:t>False Positive and False Negative Analysis: Once you have written the specification, answer the following:</w:t>
            </w:r>
          </w:p>
          <w:p>
            <w:pPr>
              <w:spacing w:lineRule="auto" w:line="312" w:before="20" w:after="40"/>
              <w:ind w:left="113"/>
            </w:pPr>
            <w:r>
              <w:rPr>
                <w:rFonts w:ascii="Times New Roman" w:hAnsi="Times New Roman"/>
                <w:b w:val="0"/>
                <w:i w:val="0"/>
                <w:sz w:val="22"/>
              </w:rPr>
              <w:t>What would a false positive look like under this rule? Describe a realistic customer scenario that would trigger your rule but is not suspicious.</w:t>
            </w:r>
          </w:p>
          <w:p>
            <w:pPr>
              <w:spacing w:lineRule="auto" w:line="312" w:before="20" w:after="40"/>
              <w:ind w:left="113"/>
            </w:pPr>
            <w:r>
              <w:rPr>
                <w:rFonts w:ascii="Times New Roman" w:hAnsi="Times New Roman"/>
                <w:b w:val="0"/>
                <w:i w:val="0"/>
                <w:sz w:val="22"/>
              </w:rPr>
              <w:t>What would a false negative look like? Describe a structuring pattern that is genuinely suspicious but would not be detected by your rule as specified.</w:t>
            </w:r>
          </w:p>
          <w:p>
            <w:pPr>
              <w:spacing w:lineRule="auto" w:line="312" w:before="20" w:after="40"/>
              <w:ind w:left="113"/>
            </w:pPr>
            <w:r>
              <w:rPr>
                <w:rFonts w:ascii="Times New Roman" w:hAnsi="Times New Roman"/>
                <w:b w:val="0"/>
                <w:i w:val="0"/>
                <w:sz w:val="22"/>
              </w:rPr>
              <w:t>What change to the rule logic or parameters would address each error type? What is the trade-off of making that change?</w:t>
            </w:r>
          </w:p>
          <w:p>
            <w:pPr>
              <w:spacing w:lineRule="auto" w:line="312" w:before="20" w:after="40"/>
              <w:ind w:left="113"/>
            </w:pPr>
            <w:r>
              <w:rPr>
                <w:rFonts w:ascii="Times New Roman" w:hAnsi="Times New Roman"/>
                <w:b w:val="0"/>
                <w:i w:val="0"/>
                <w:sz w:val="22"/>
              </w:rPr>
              <w:t>Colab Extension: Open the Chapter 4 Colab notebook. The apply_rule_1() function from Section 4.8 is pre-loaded. Run Cell 1 to apply the rule at the default threshold (USD 7,500) and observe the alert count. Then change the threshold parameter to USD 6,000 and USD 9,000 and record how alert volume changes. In Cell 3, examine the flagged accounts: are the six Northgate mule accounts all captured? What threshold first detects all six? Answer the discussion questions in the notebook before returning to Part B.</w:t>
            </w:r>
          </w:p>
          <w:p>
            <w:pPr>
              <w:spacing w:lineRule="auto" w:line="312" w:before="20" w:after="40"/>
              <w:ind w:left="113"/>
            </w:pPr>
            <w:r>
              <w:rPr>
                <w:rFonts w:ascii="Times New Roman" w:hAnsi="Times New Roman"/>
                <w:b w:val="0"/>
                <w:i w:val="0"/>
                <w:sz w:val="22"/>
              </w:rPr>
              <w:t>In Chapter 5, we will segment the customer population and use the resulting peer groups to refine the threshold applied to each segment. In Chapter 6, we calibrate the threshold using empirical performance data.</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4.2 — Meridian Trading Ltd: Design a TBML Scenario  [Applied / Out-of-the-Box]</w:t>
            </w:r>
          </w:p>
          <w:p>
            <w:pPr>
              <w:spacing w:lineRule="auto" w:line="312" w:before="20" w:after="40"/>
              <w:ind w:left="113"/>
            </w:pPr>
            <w:r>
              <w:rPr>
                <w:rFonts w:ascii="Times New Roman" w:hAnsi="Times New Roman"/>
                <w:b w:val="0"/>
                <w:i w:val="0"/>
                <w:sz w:val="22"/>
              </w:rPr>
              <w:t>We now know that Meridian Trading Ltd is the consistent beneficiary of the Northgate structuring funds. A review of Meridian's account activity reveals an additional pattern: Meridian regularly pays overseas suppliers invoices for 'industrial machinery components,' but invoice amounts are substantially above market price benchmarks for the declared commodity type. This is a trade-based money laundering (TBML) indicator — specifically, the over-invoicing variant. Using the same five-step scenario design methodology from Section 4.6, design a rule that would detect Meridian's TBML activity.</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Write the typology description for TBML (over-invoicing variant) with a reference to at least one FATF or FinCEN published typology source. Identify the red flags that are detectable from Meridian's transaction and invoice data.</w:t>
            </w:r>
          </w:p>
          <w:p>
            <w:pPr>
              <w:spacing w:lineRule="auto" w:line="312" w:before="20" w:after="40"/>
              <w:ind w:left="113"/>
            </w:pPr>
            <w:r>
              <w:rPr>
                <w:rFonts w:ascii="Times New Roman" w:hAnsi="Times New Roman"/>
                <w:b w:val="0"/>
                <w:i w:val="0"/>
                <w:sz w:val="22"/>
              </w:rPr>
              <w:t>Write the formal rule specification for scenario TBML-INVOICE-001. Include: scope (which accounts), logic (what comparison is made between invoice amount and market benchmark), parameters (threshold ratio, minimum transaction count), and data prerequisites (what data sources beyond the standard transaction feed are required).</w:t>
            </w:r>
          </w:p>
          <w:p>
            <w:pPr>
              <w:spacing w:lineRule="auto" w:line="312" w:before="20" w:after="40"/>
              <w:ind w:left="113"/>
            </w:pPr>
            <w:r>
              <w:rPr>
                <w:rFonts w:ascii="Times New Roman" w:hAnsi="Times New Roman"/>
                <w:b w:val="0"/>
                <w:i w:val="0"/>
                <w:sz w:val="22"/>
              </w:rPr>
              <w:t>Compare TBML-INVOICE-001 to NRB-STRUCT-001 on four dimensions: (a) data requirements, (b) false positive risk, (c) regulatory defensibility, and (d) dependency on data sources outside the core banking system. What does this comparison tell you about the relative difficulty of commercial vs. retail monitoring?</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4.3 — Project Sentinel: The Link Rule  [Synthesis / Stretch]</w:t>
            </w:r>
          </w:p>
          <w:p>
            <w:pPr>
              <w:spacing w:lineRule="auto" w:line="312" w:before="20" w:after="40"/>
              <w:ind w:left="113"/>
            </w:pPr>
            <w:r>
              <w:rPr>
                <w:rFonts w:ascii="Times New Roman" w:hAnsi="Times New Roman"/>
                <w:b w:val="0"/>
                <w:i w:val="0"/>
                <w:sz w:val="22"/>
              </w:rPr>
              <w:t>LINK-CROSS-001 is the cross-case link rule: it fires when a Northgate-alerted account appears as a beneficiary in Meridian's incoming payment ledger within a 90-day window — the moment the two cases become one. Your task is to design LINK-CROSS-001.</w:t>
            </w:r>
          </w:p>
          <w:p>
            <w:pPr>
              <w:spacing w:lineRule="auto" w:line="312" w:before="20" w:after="40"/>
              <w:ind w:left="113"/>
            </w:pPr>
            <w:r>
              <w:rPr>
                <w:rFonts w:ascii="Times New Roman" w:hAnsi="Times New Roman"/>
                <w:b w:val="0"/>
                <w:i w:val="0"/>
                <w:sz w:val="22"/>
              </w:rPr>
              <w:t>Task:</w:t>
            </w:r>
          </w:p>
          <w:p>
            <w:pPr>
              <w:spacing w:lineRule="auto" w:line="312" w:before="20" w:after="40"/>
              <w:ind w:left="113"/>
            </w:pPr>
            <w:r>
              <w:rPr>
                <w:rFonts w:ascii="Times New Roman" w:hAnsi="Times New Roman"/>
                <w:b w:val="0"/>
                <w:i w:val="0"/>
                <w:sz w:val="22"/>
              </w:rPr>
              <w:t>Write the rule logic for LINK-CROSS-001 in plain English (two to three sentences) and in the pseudo-code format used in Section 4.7. The rule must specify: the trigger condition (what must already be true), the detection logic (what transaction pattern is detected), the lookback window, and the output (what alert or case linkage is generated).</w:t>
            </w:r>
          </w:p>
          <w:p>
            <w:pPr>
              <w:spacing w:lineRule="auto" w:line="312" w:before="20" w:after="40"/>
              <w:ind w:left="113"/>
            </w:pPr>
            <w:r>
              <w:rPr>
                <w:rFonts w:ascii="Times New Roman" w:hAnsi="Times New Roman"/>
                <w:b w:val="0"/>
                <w:i w:val="0"/>
                <w:sz w:val="22"/>
              </w:rPr>
              <w:t>What are the main false positive risks for LINK-CROSS-001? Consider: (a) legitimate commercial customers who receive payments from accounts that happen to have been alerted for unrelated reasons, (b) the impact of a high noisy alert rate in NRB-STRUCT-001 on LINK-CROSS-001's precision. How would you mitigate each risk?</w:t>
            </w:r>
          </w:p>
          <w:p>
            <w:pPr>
              <w:spacing w:lineRule="auto" w:line="312" w:before="20" w:after="40"/>
              <w:ind w:left="113"/>
            </w:pPr>
            <w:r>
              <w:rPr>
                <w:rFonts w:ascii="Times New Roman" w:hAnsi="Times New Roman"/>
                <w:b w:val="0"/>
                <w:i w:val="0"/>
                <w:sz w:val="22"/>
              </w:rPr>
              <w:t>LINK-CROSS-001 creates an organisational design question: who owns it? The Northgate structuring alerts are reviewed by Northgate's retail L1 team. Meridian's TBML alerts would be reviewed by a commercial financial crime team. When LINK-CROSS-001 fires and the two cases merge, which team leads the investigation? What governance mechanism should Project Sentinel implement to ensure neither team drops the case?</w:t>
            </w:r>
          </w:p>
          <w:p>
            <w:pPr>
              <w:spacing w:lineRule="auto" w:line="312" w:before="20" w:after="40"/>
              <w:ind w:left="113"/>
            </w:pPr>
            <w:r>
              <w:rPr>
                <w:rFonts w:ascii="Times New Roman" w:hAnsi="Times New Roman"/>
                <w:b w:val="0"/>
                <w:i w:val="0"/>
                <w:sz w:val="22"/>
              </w:rPr>
              <w:t>In Chapter 5, you will apply K-Means clustering to refine monitoring thresholds for the Northgate accounts. In Chapter 6, you will calibrate those thresholds — and see how the calibration of NRB-STRUCT-001 affects the probability that LINK-CROSS-001 fires.</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FATF Report on Trade-Based Money Laundering (2006, updated 2020 — freely available at fatf-gafi.org). Chapter 3 describes the over-invoicing typology and provides worked red flag examples. Compare the FATF red flags with those you identified for TBML-INVOICE-001.</w:t>
      </w:r>
    </w:p>
    <w:p>
      <w:pPr>
        <w:pStyle w:val="ListBullet"/>
        <w:spacing w:lineRule="auto" w:line="360" w:before="0" w:after="60"/>
      </w:pPr>
      <w:r>
        <w:rPr>
          <w:rFonts w:ascii="Times New Roman" w:hAnsi="Times New Roman"/>
          <w:b w:val="0"/>
          <w:i w:val="0"/>
          <w:sz w:val="24"/>
        </w:rPr>
        <w:t>[AUTHOR FLAG: 'FCG 8.2' is FCA Financial Crime Guide notation, not FFIEC manual notation. The FFIEC manual uses a different section structure. This sentence mixes two separate documents. Please confirm: is the intended reference (a) the FCA's Financial Crime Guide (FCG) 8.2, or (b) a specific section of the FFIEC BSA/AML Examination Manual? Replace with the correct document title, section number, and URL.] Read [correct document] on scenario design. [Correct regulator] expects firms to be able to demonstrate that scenarios are derived from a documented typology assessment. Review the guidance and assess whether your TBML-INVOICE-001 specification would satisfy the relevant standard.</w:t>
      </w:r>
    </w:p>
    <w:p>
      <w:pPr>
        <w:pStyle w:val="ListBullet"/>
        <w:spacing w:lineRule="auto" w:line="360" w:before="0" w:after="60"/>
      </w:pPr>
      <w:r>
        <w:rPr>
          <w:rFonts w:ascii="Times New Roman" w:hAnsi="Times New Roman"/>
          <w:b w:val="0"/>
          <w:i w:val="0"/>
          <w:sz w:val="24"/>
        </w:rPr>
        <w:t>Research Question: FinCEN's Financial Trend Analysis (FTA) reports periodically identify the most commonly reported typologies in US SARs. Download the most recent FTA report. Is trade-based money laundering among the top ten typologies? What does this tell you about the relative detection rate of TBML versus other typologies?</w:t>
      </w:r>
    </w:p>
    <w:p>
      <w:pPr>
        <w:pStyle w:val="ListBullet"/>
        <w:spacing w:lineRule="auto" w:line="360" w:before="0" w:after="60"/>
      </w:pPr>
      <w:r>
        <w:rPr>
          <w:rFonts w:ascii="Times New Roman" w:hAnsi="Times New Roman"/>
          <w:b w:val="0"/>
          <w:i w:val="0"/>
          <w:sz w:val="24"/>
        </w:rPr>
        <w:t>Design challenge: The EGMONT Group publishes case studies of cross-border financial intelligence sharing that uncovered TBML schemes (egmontgroup.org). Read two case studies. In each case, identify: what data source was decisive in linking the trade activity to the underlying crime, and whether that data source would be available to a US retail bank's Transaction Monitoring Framework.</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KPMG (2022) Global AML and Sanctions Technology Survey. KPMG International.</w:t>
      </w:r>
    </w:p>
    <w:p>
      <w:pPr>
        <w:pStyle w:val="ListBullet"/>
        <w:spacing w:lineRule="auto" w:line="288" w:before="0" w:after="80"/>
      </w:pPr>
      <w:r>
        <w:rPr>
          <w:rFonts w:ascii="Times New Roman" w:hAnsi="Times New Roman"/>
          <w:b w:val="0"/>
          <w:i w:val="0"/>
          <w:sz w:val="22"/>
        </w:rPr>
        <w:t>Verhage, A. (2009) Between the hammer and the anvil? Crime, Law and Social Change, 52(1), pp. 9–32.</w:t>
      </w:r>
    </w:p>
    <w:p>
      <w:pPr>
        <w:pStyle w:val="ListBullet"/>
        <w:spacing w:lineRule="auto" w:line="288" w:before="0" w:after="80"/>
      </w:pPr>
      <w:r>
        <w:rPr>
          <w:rFonts w:ascii="Times New Roman" w:hAnsi="Times New Roman"/>
          <w:b w:val="0"/>
          <w:i w:val="0"/>
          <w:sz w:val="22"/>
        </w:rPr>
        <w:t>Wolfsberg Group (2019) Wolfsberg AML Principles for Correspondent Banking. Wolfsberg Group.</w:t>
      </w:r>
    </w:p>
    <w:p>
      <w:r>
        <w:br w:type="page"/>
      </w:r>
    </w:p>
    <w:p>
      <w:pPr>
        <w:pStyle w:val="Heading1"/>
      </w:pPr>
      <w:r>
        <w:rPr>
          <w:rFonts w:ascii="Times New Roman" w:hAnsi="Times New Roman"/>
        </w:rPr>
        <w:t>Chapter 5: Segmentation</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A single threshold applied to all customers produces systematic errors. Segmentation addresses this by grouping customers into peer groups, allowing scenario parameters to be calibrated to typical behaviour within each group. This chapter develops a K-Means segmentation model on the Northgate dataset using three behavioural features: average monthly cash inflow, transaction frequency, and cash ratio.</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Customer segmentation · K-Means clustering · Peer group analysis · Behavioural features · Risk-based approach · Threshold personalisation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5.1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Explain why segmentation improves TM scenario performance and reduces false positives.</w:t>
            </w:r>
          </w:p>
          <w:p>
            <w:pPr>
              <w:spacing w:lineRule="auto" w:line="312" w:before="20" w:after="40"/>
              <w:ind w:left="113"/>
            </w:pPr>
            <w:r>
              <w:rPr>
                <w:rFonts w:ascii="Times New Roman" w:hAnsi="Times New Roman"/>
                <w:b w:val="0"/>
                <w:i w:val="0"/>
                <w:sz w:val="22"/>
              </w:rPr>
              <w:t>Apply K-Means clustering to a customer transaction dataset and interpret the results in a risk context.</w:t>
            </w:r>
          </w:p>
          <w:p>
            <w:pPr>
              <w:spacing w:lineRule="auto" w:line="312" w:before="20" w:after="40"/>
              <w:ind w:left="113"/>
            </w:pPr>
            <w:r>
              <w:rPr>
                <w:rFonts w:ascii="Times New Roman" w:hAnsi="Times New Roman"/>
                <w:b w:val="0"/>
                <w:i w:val="0"/>
                <w:sz w:val="22"/>
              </w:rPr>
              <w:t>Evaluate a segmentation model for regulatory defensibility.</w:t>
            </w:r>
          </w:p>
          <w:p>
            <w:pPr>
              <w:spacing w:lineRule="auto" w:line="312" w:before="20" w:after="40"/>
              <w:ind w:left="113"/>
            </w:pPr>
            <w:r>
              <w:rPr>
                <w:rFonts w:ascii="Times New Roman" w:hAnsi="Times New Roman"/>
                <w:b w:val="0"/>
                <w:i w:val="0"/>
                <w:sz w:val="22"/>
              </w:rPr>
              <w:t>Determine which segment the Northgate mule network belongs to and explain the implications for monitoring.</w:t>
            </w:r>
          </w:p>
        </w:tc>
      </w:tr>
    </w:tbl>
    <w:p>
      <w:pPr>
        <w:spacing w:lineRule="auto" w:line="240" w:before="0" w:after="160"/>
      </w:pPr>
    </w:p>
    <w:p>
      <w:pPr>
        <w:pStyle w:val="Heading2"/>
      </w:pPr>
      <w:r>
        <w:rPr>
          <w:rFonts w:ascii="Times New Roman" w:hAnsi="Times New Roman"/>
        </w:rPr>
        <w:t>5.1 Business Context: Why One Threshold Does Not Fit All Customers</w:t>
      </w:r>
    </w:p>
    <w:p>
      <w:pPr>
        <w:pStyle w:val="BodyText"/>
        <w:spacing w:lineRule="auto" w:line="360" w:before="0" w:after="120"/>
        <w:ind w:firstLine="283"/>
      </w:pPr>
      <w:r>
        <w:rPr>
          <w:rFonts w:ascii="Times New Roman" w:hAnsi="Times New Roman"/>
          <w:b w:val="0"/>
          <w:i w:val="0"/>
          <w:sz w:val="24"/>
        </w:rPr>
        <w:t>In Chapter 4, we designed a structuring rule with a single threshold: USD 7,500 in rolling 30-day cash deposits. That threshold was a starting point — a reasonable calibration for a typical personal current account customer. But Northgate Retail Bank does not serve only typical customers. Its portfolio includes low-income account holders, market traders, seasonal workers, cash-intensive sole traders, and high-net-worth individuals who maintain significant cash reserves.</w:t>
      </w:r>
    </w:p>
    <w:p>
      <w:pPr>
        <w:pStyle w:val="BodyText"/>
        <w:spacing w:lineRule="auto" w:line="360" w:before="0" w:after="120"/>
        <w:ind w:firstLine="283"/>
      </w:pPr>
      <w:r>
        <w:rPr>
          <w:rFonts w:ascii="Times New Roman" w:hAnsi="Times New Roman"/>
          <w:b w:val="0"/>
          <w:i w:val="0"/>
          <w:sz w:val="24"/>
        </w:rPr>
        <w:t>Applying the same threshold to all of them produces predictable problems. For a market trader whose weekly cash income legitimately exceeds USD 3,000, a USD 7,500 monthly threshold generates alerts on nearly every account — most of them false positives. For a low-income customer whose normal monthly cash transactions total USD 400, a USD 7,500 threshold is so high relative to their profile that it would miss substantial structuring activity.</w:t>
      </w:r>
    </w:p>
    <w:p>
      <w:pPr>
        <w:pStyle w:val="BodyText"/>
        <w:spacing w:lineRule="auto" w:line="360" w:before="0" w:after="120"/>
        <w:ind w:firstLine="283"/>
      </w:pPr>
      <w:r>
        <w:rPr>
          <w:rFonts w:ascii="Times New Roman" w:hAnsi="Times New Roman"/>
          <w:b w:val="0"/>
          <w:i w:val="0"/>
          <w:sz w:val="24"/>
        </w:rPr>
        <w:t>Segmentation solves this problem by grouping customers into peer groups and applying monitoring parameters appropriate to each group. A customer is assessed not against a universal standard but against the behaviour of their peers — customers who share relevant characteristics. This approach is both more precise (fewer noisy alerts) and more sensitive (better coverage of genuinely anomalous behaviour).</w:t>
      </w:r>
    </w:p>
    <w:p>
      <w:pPr>
        <w:pStyle w:val="BodyText"/>
        <w:spacing w:lineRule="auto" w:line="360" w:before="0" w:after="120"/>
        <w:ind w:firstLine="283"/>
      </w:pPr>
      <w:r>
        <w:rPr>
          <w:rFonts w:ascii="Times New Roman" w:hAnsi="Times New Roman"/>
          <w:b w:val="0"/>
          <w:i w:val="0"/>
          <w:sz w:val="24"/>
        </w:rPr>
        <w:t>Segmentation is not merely a technical optimisation. It is a regulatory expectation. 'Risk-based approach' is one of the most overused phrases in AML. Here is what it means in practice: proportionality. A risk-based approach — mandated by FATF and implemented in national AML legislation — requires that monitoring intensity be proportionate to risk. Proportionality requires differentiation. Differentiation requires segmentation.</w:t>
      </w:r>
    </w:p>
    <w:p>
      <w:pPr>
        <w:pStyle w:val="Heading2"/>
      </w:pPr>
      <w:r>
        <w:rPr>
          <w:rFonts w:ascii="Times New Roman" w:hAnsi="Times New Roman"/>
        </w:rPr>
        <w:t>5.2 What is Segmentation in AML Transaction Monitoring?</w:t>
      </w:r>
    </w:p>
    <w:p>
      <w:pPr>
        <w:pStyle w:val="BodyText"/>
        <w:spacing w:lineRule="auto" w:line="360" w:before="0" w:after="120"/>
        <w:ind w:firstLine="283"/>
      </w:pPr>
      <w:r>
        <w:rPr>
          <w:rFonts w:ascii="Times New Roman" w:hAnsi="Times New Roman"/>
          <w:b w:val="0"/>
          <w:i w:val="0"/>
          <w:sz w:val="24"/>
        </w:rPr>
        <w:t>In the context of AML, segmentation is the process of dividing the customer population into groups — peer groups — within which individual behaviour can be meaningfully compared. The key word is 'meaningfully'. A peer group is only useful if the customers in it are genuinely similar in their expected transaction behaviour. We use 'segment' and 'peer group' interchangeably throughout this book — both refer to a grouping of customers expected to exhibit similar transactional behaviour.</w:t>
      </w:r>
    </w:p>
    <w:p>
      <w:pPr>
        <w:pStyle w:val="BodyText"/>
        <w:spacing w:lineRule="auto" w:line="360" w:before="0" w:after="120"/>
        <w:ind w:firstLine="283"/>
      </w:pPr>
      <w:r>
        <w:rPr>
          <w:rFonts w:ascii="Times New Roman" w:hAnsi="Times New Roman"/>
          <w:b w:val="0"/>
          <w:i w:val="0"/>
          <w:sz w:val="24"/>
        </w:rPr>
        <w:t>Top-down segmentation starts with pre-defined categories based on customer attributes: account type, industry classification, geography, or customer relationship type. It applies expert judgement to define the groups and then assigns customers to them.</w:t>
      </w:r>
    </w:p>
    <w:p>
      <w:pPr>
        <w:pStyle w:val="BodyText"/>
        <w:spacing w:lineRule="auto" w:line="360" w:before="0" w:after="120"/>
        <w:ind w:firstLine="283"/>
      </w:pPr>
      <w:r>
        <w:rPr>
          <w:rFonts w:ascii="Times New Roman" w:hAnsi="Times New Roman"/>
          <w:b w:val="0"/>
          <w:i w:val="0"/>
          <w:sz w:val="24"/>
        </w:rPr>
        <w:t>Bottom-up segmentation starts with the data and allows groups to emerge from observed transaction behaviour. Clustering algorithms are the primary tool. Bottom-up segmentation can identify groups that expert judgement would not have anticipated — but it requires careful interpretation to be operationally meaningful and regulatorily defensible.</w:t>
      </w:r>
    </w:p>
    <w:p>
      <w:pPr>
        <w:pStyle w:val="BodyText"/>
        <w:spacing w:lineRule="auto" w:line="360" w:before="0" w:after="120"/>
        <w:ind w:firstLine="283"/>
      </w:pPr>
      <w:r>
        <w:rPr>
          <w:rFonts w:ascii="Times New Roman" w:hAnsi="Times New Roman"/>
          <w:b w:val="0"/>
          <w:i w:val="0"/>
          <w:sz w:val="24"/>
        </w:rPr>
        <w:t>In practice, most institutions use a hybrid approach: top-down categories as the primary segmentation structure, with bottom-up clustering used to refine groups within those categories or to identify anomalous sub-populations.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5.2  </w:t>
            </w:r>
            <w:r>
              <w:rPr>
                <w:rFonts w:ascii="Times New Roman" w:hAnsi="Times New Roman"/>
                <w:b/>
                <w:i/>
                <w:sz w:val="22"/>
              </w:rPr>
              <w:t>Concept: Orthogonality in Segmentation</w:t>
            </w:r>
          </w:p>
          <w:p>
            <w:pPr>
              <w:spacing w:lineRule="auto" w:line="312" w:before="20" w:after="40"/>
              <w:ind w:left="113"/>
            </w:pPr>
            <w:r>
              <w:rPr>
                <w:rFonts w:ascii="Times New Roman" w:hAnsi="Times New Roman"/>
                <w:b w:val="0"/>
                <w:i w:val="0"/>
                <w:sz w:val="22"/>
              </w:rPr>
              <w:t>Top-down and bottom-up segmentation must be orthogonal — they should be measuring different dimensions of the same customer population, not duplicating each other. Orthogonality means the two approaches are independent: knowing a customer's top-down segment (e.g. 'small business, medium risk') tells you nothing predictive about which bottom-up cluster they will fall into, and vice versa.</w:t>
            </w:r>
          </w:p>
          <w:p>
            <w:pPr>
              <w:spacing w:lineRule="auto" w:line="312" w:before="20" w:after="40"/>
              <w:ind w:left="113"/>
            </w:pPr>
            <w:r>
              <w:rPr>
                <w:rFonts w:ascii="Times New Roman" w:hAnsi="Times New Roman"/>
                <w:b w:val="0"/>
                <w:i w:val="0"/>
                <w:sz w:val="22"/>
              </w:rPr>
              <w:t>Why does orthogonality matter? Because if your top-down and bottom-up segments are correlated, you are not gaining additional information — you are producing redundant peer groups that converge on the same monitoring thresholds. The value of combining both approaches is that they catch different things: top-down catches structural risk (this customer type is inherently higher risk); bottom-up catches behavioural anomaly (this customer behaves differently from their structural peers).</w:t>
            </w:r>
          </w:p>
          <w:p>
            <w:pPr>
              <w:spacing w:lineRule="auto" w:line="312" w:before="20" w:after="40"/>
              <w:ind w:left="113"/>
            </w:pPr>
            <w:r>
              <w:rPr>
                <w:rFonts w:ascii="Times New Roman" w:hAnsi="Times New Roman"/>
                <w:b w:val="0"/>
                <w:i w:val="0"/>
                <w:sz w:val="22"/>
              </w:rPr>
              <w:t>Example — The Pizza Restaurant Problem: A money launderer opens a pizza restaurant as a front business. Top-down segmentation assigns them to the 'food and beverage, small business, medium risk' segment — a legitimate category with many genuine peers. Within that segment, bottom-up clustering reveals their transaction behaviour is an outlier: the cash-in volume is three standard deviations above the cluster centroid for similar restaurants in similar locations. The bottom-up anomaly is invisible to top-down analysis; the top-down category is the cover story. Only by combining orthogonal approaches — and looking for customers who are structurally normal but behaviourally anomalous — can the analyst surface the pattern.</w:t>
            </w:r>
          </w:p>
          <w:p>
            <w:pPr>
              <w:spacing w:lineRule="auto" w:line="312" w:before="20" w:after="40"/>
              <w:ind w:left="113"/>
            </w:pPr>
            <w:r>
              <w:rPr>
                <w:rFonts w:ascii="Times New Roman" w:hAnsi="Times New Roman"/>
                <w:b w:val="0"/>
                <w:i w:val="0"/>
                <w:sz w:val="22"/>
              </w:rPr>
              <w:t>The test for orthogonality: can you compute the bottom-up cluster assignment from the top-down attributes, or vice versa? If yes, your dimensions are not independent. Revisit your feature selection before proceeding.</w:t>
            </w:r>
          </w:p>
        </w:tc>
      </w:tr>
    </w:tbl>
    <w:p>
      <w:pPr>
        <w:spacing w:lineRule="auto" w:line="240" w:before="0" w:after="160"/>
      </w:pPr>
    </w:p>
    <w:p>
      <w:pPr>
        <w:pStyle w:val="Heading2"/>
      </w:pPr>
      <w:r>
        <w:rPr>
          <w:rFonts w:ascii="Times New Roman" w:hAnsi="Times New Roman"/>
        </w:rPr>
        <w:t>5.3 Top-Down Segmentation</w:t>
      </w:r>
    </w:p>
    <w:p>
      <w:pPr>
        <w:pStyle w:val="BodyText"/>
        <w:spacing w:lineRule="auto" w:line="360" w:before="0" w:after="120"/>
        <w:ind w:firstLine="283"/>
      </w:pPr>
      <w:r>
        <w:rPr>
          <w:rFonts w:ascii="Times New Roman" w:hAnsi="Times New Roman"/>
          <w:b w:val="0"/>
          <w:i w:val="0"/>
          <w:sz w:val="24"/>
        </w:rPr>
        <w:t>Top-down segmentation classifies customers into groups defined by the institution, using attributes available at account opening or updated during the customer relationship. The most common classification variables are:</w:t>
      </w:r>
    </w:p>
    <w:p>
      <w:pPr>
        <w:pStyle w:val="ListBullet"/>
        <w:spacing w:lineRule="auto" w:line="360" w:before="0" w:after="60"/>
      </w:pPr>
      <w:r>
        <w:rPr>
          <w:rFonts w:ascii="Times New Roman" w:hAnsi="Times New Roman"/>
          <w:b w:val="0"/>
          <w:i w:val="0"/>
          <w:sz w:val="24"/>
        </w:rPr>
        <w:t>Product type: Personal current account, business current account, savings account, mortgage offset account. Different products attract different transaction patterns and different regulatory requirements.</w:t>
      </w:r>
    </w:p>
    <w:p>
      <w:pPr>
        <w:pStyle w:val="ListBullet"/>
        <w:spacing w:lineRule="auto" w:line="360" w:before="0" w:after="60"/>
      </w:pPr>
      <w:r>
        <w:rPr>
          <w:rFonts w:ascii="Times New Roman" w:hAnsi="Times New Roman"/>
          <w:b w:val="0"/>
          <w:i w:val="0"/>
          <w:sz w:val="24"/>
        </w:rPr>
        <w:t>Industry or occupation: A cash-intensive business (market stall, taxi firm, convenience store) will have very different expected cash transaction volumes than a salaried employee. Industry classification using standard codes (SIC/NAICS) allows peer groups to be constructed at an appropriate level of granularity.</w:t>
      </w:r>
    </w:p>
    <w:p>
      <w:pPr>
        <w:pStyle w:val="ListBullet"/>
        <w:spacing w:lineRule="auto" w:line="360" w:before="0" w:after="60"/>
      </w:pPr>
      <w:r>
        <w:rPr>
          <w:rFonts w:ascii="Times New Roman" w:hAnsi="Times New Roman"/>
          <w:b w:val="0"/>
          <w:i w:val="0"/>
          <w:sz w:val="24"/>
        </w:rPr>
        <w:t>Geography: Customers operating in high-risk jurisdictions, or making frequent cross-border transactions, may warrant separate peer groups and different thresholds from domestic customers.</w:t>
      </w:r>
    </w:p>
    <w:p>
      <w:pPr>
        <w:pStyle w:val="ListBullet"/>
        <w:spacing w:lineRule="auto" w:line="360" w:before="0" w:after="60"/>
      </w:pPr>
      <w:r>
        <w:rPr>
          <w:rFonts w:ascii="Times New Roman" w:hAnsi="Times New Roman"/>
          <w:b w:val="0"/>
          <w:i w:val="0"/>
          <w:sz w:val="24"/>
        </w:rPr>
        <w:t>Customer risk rating (CRR): The customer's overall AML risk score, assigned at onboarding and updated through periodic review. CRR is an output of the KYC process and incorporates factors such as PEP status, high-risk jurisdiction exposure, and prior suspicious activity flags.</w:t>
      </w:r>
    </w:p>
    <w:p>
      <w:pPr>
        <w:pStyle w:val="BodyText"/>
        <w:spacing w:lineRule="auto" w:line="360" w:before="0" w:after="120"/>
        <w:ind w:firstLine="283"/>
      </w:pPr>
      <w:r>
        <w:rPr>
          <w:rFonts w:ascii="Times New Roman" w:hAnsi="Times New Roman"/>
          <w:b w:val="0"/>
          <w:i w:val="0"/>
          <w:sz w:val="24"/>
        </w:rPr>
        <w:t>Top-down segmentation is straightforward to implement and easy to explain to an examiner. Its limitation is that it relies on the accuracy of the attribute data — if occupation codes are stale, or industry classifications are inaccurate, the peer groups are misleading. Occupation codes and industry classifications are Critical Data Elements (CDEs) for top-down segmentation: if they fail data quality testing, the segment assignments are wrong from the start. Chapter 7 covers the DQ framework for identifying and testing CDEs. It also cannot capture behavioural variation within a category: not all market traders behave the same way, and treating them as a single peer group may mask genuine anomalies.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5.3  </w:t>
            </w:r>
            <w:r>
              <w:rPr>
                <w:rFonts w:ascii="Times New Roman" w:hAnsi="Times New Roman"/>
                <w:b/>
                <w:i/>
                <w:sz w:val="22"/>
              </w:rPr>
              <w:t>Risk Consideration — No Data is Bad Data</w:t>
            </w:r>
          </w:p>
          <w:p>
            <w:pPr>
              <w:spacing w:lineRule="auto" w:line="312" w:before="20" w:after="40"/>
              <w:ind w:left="113"/>
            </w:pPr>
            <w:r>
              <w:rPr>
                <w:rFonts w:ascii="Times New Roman" w:hAnsi="Times New Roman"/>
                <w:b w:val="0"/>
                <w:i w:val="0"/>
                <w:sz w:val="22"/>
              </w:rPr>
              <w:t>A blank occupation field is not simply missing data — it is information. It may indicate an incomplete onboarding process, a data migration error, or a customer who declined to provide the information. Each of these carries a different risk implication. Clustering algorithms handle missing values differently: some exclude the record from the analysis; some impute a default value. Neither approach accounts for what the missing data might signal. Before running any segmentation model, the analyst must decide: what does a missing occupation field mean in this population, and how should the model treat it? The wrong answer will misclassify customers from the outset.</w:t>
            </w:r>
          </w:p>
        </w:tc>
      </w:tr>
    </w:tbl>
    <w:p>
      <w:pPr>
        <w:spacing w:lineRule="auto" w:line="240" w:before="0" w:after="160"/>
      </w:pPr>
    </w:p>
    <w:p>
      <w:pPr>
        <w:pStyle w:val="Heading2"/>
      </w:pPr>
      <w:r>
        <w:rPr>
          <w:rFonts w:ascii="Times New Roman" w:hAnsi="Times New Roman"/>
        </w:rPr>
        <w:t>5.4 Bottom-Up Segmentation: Data-Driven Clustering</w:t>
      </w:r>
    </w:p>
    <w:p>
      <w:pPr>
        <w:pStyle w:val="BodyText"/>
        <w:spacing w:lineRule="auto" w:line="360" w:before="0" w:after="120"/>
        <w:ind w:firstLine="283"/>
      </w:pPr>
      <w:r>
        <w:rPr>
          <w:rFonts w:ascii="Times New Roman" w:hAnsi="Times New Roman"/>
          <w:b w:val="0"/>
          <w:i w:val="0"/>
          <w:sz w:val="24"/>
        </w:rPr>
        <w:t>Bottom-up segmentation uses statistical algorithms to group customers by the similarity of their observed transaction behaviour, without pre-defining what the groups should look like. The most widely used technique is K-Means clustering, but other algorithms — including hierarchical clustering and topological methods — have important roles in specific contexts.</w:t>
      </w:r>
    </w:p>
    <w:p>
      <w:pPr>
        <w:pStyle w:val="BodyText"/>
        <w:spacing w:lineRule="auto" w:line="360" w:before="0" w:after="120"/>
        <w:ind w:firstLine="283"/>
      </w:pPr>
      <w:r>
        <w:rPr>
          <w:rFonts w:ascii="Times New Roman" w:hAnsi="Times New Roman"/>
          <w:b w:val="0"/>
          <w:i w:val="0"/>
          <w:sz w:val="24"/>
        </w:rPr>
        <w:t>The appeal of bottom-up segmentation is that it is empirically grounded. The groups emerge from actual behaviour, not from classification categories that may be outdated or inaccurate. A customer classified as 'personal account, employed, low risk' may exhibit transaction behaviour that clusters with cash-intensive business accounts — a discrepancy that top-down segmentation would not surface but that bottom-up clustering would.</w:t>
      </w:r>
    </w:p>
    <w:p>
      <w:pPr>
        <w:pStyle w:val="BodyText"/>
        <w:spacing w:lineRule="auto" w:line="360" w:before="0" w:after="120"/>
        <w:ind w:firstLine="283"/>
      </w:pPr>
      <w:r>
        <w:rPr>
          <w:rFonts w:ascii="Times New Roman" w:hAnsi="Times New Roman"/>
          <w:b w:val="0"/>
          <w:i w:val="0"/>
          <w:sz w:val="24"/>
        </w:rPr>
        <w:t>The challenge is interpretability. An algorithm can produce a grouping; it cannot explain what the grouping means. That interpretation requires domain expertise. We examine the two most common techniques — K-Means and hierarchical clustering — in the following sections.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5.4  </w:t>
            </w:r>
            <w:r>
              <w:rPr>
                <w:rFonts w:ascii="Times New Roman" w:hAnsi="Times New Roman"/>
                <w:b/>
                <w:i/>
                <w:sz w:val="22"/>
              </w:rPr>
              <w:t>Standard 8-Dimension Monthly Summary Framework for Bottom-Up Segmentation</w:t>
            </w:r>
          </w:p>
          <w:p>
            <w:pPr>
              <w:spacing w:lineRule="auto" w:line="312" w:before="20" w:after="40"/>
              <w:ind w:left="113"/>
            </w:pPr>
            <w:r>
              <w:rPr>
                <w:rFonts w:ascii="Times New Roman" w:hAnsi="Times New Roman"/>
                <w:b w:val="0"/>
                <w:i w:val="0"/>
                <w:sz w:val="22"/>
              </w:rPr>
              <w:t>A practical starting point for bottom-up segmentation is an 8-dimension monthly summary framework built from transaction data. This framework captures four transaction type categories, each measured by both value and volume, yielding 8 dimensions per customer per month:</w:t>
            </w:r>
          </w:p>
          <w:p>
            <w:pPr>
              <w:spacing w:lineRule="auto" w:line="312" w:before="20" w:after="40"/>
              <w:ind w:left="113"/>
            </w:pPr>
            <w:r>
              <w:rPr>
                <w:rFonts w:ascii="Times New Roman" w:hAnsi="Times New Roman"/>
                <w:b w:val="0"/>
                <w:i w:val="0"/>
                <w:sz w:val="22"/>
              </w:rPr>
              <w:t>Top transaction type by volume — Value (e.g. total value of cash deposits if cash is the highest-volume type for this customer)</w:t>
            </w:r>
          </w:p>
          <w:p>
            <w:pPr>
              <w:spacing w:lineRule="auto" w:line="312" w:before="20" w:after="40"/>
              <w:ind w:left="113"/>
            </w:pPr>
            <w:r>
              <w:rPr>
                <w:rFonts w:ascii="Times New Roman" w:hAnsi="Times New Roman"/>
                <w:b w:val="0"/>
                <w:i w:val="0"/>
                <w:sz w:val="22"/>
              </w:rPr>
              <w:t>Top transaction type by volume — Volume (count of transactions in the highest-volume category)</w:t>
            </w:r>
          </w:p>
          <w:p>
            <w:pPr>
              <w:spacing w:lineRule="auto" w:line="312" w:before="20" w:after="40"/>
              <w:ind w:left="113"/>
            </w:pPr>
            <w:r>
              <w:rPr>
                <w:rFonts w:ascii="Times New Roman" w:hAnsi="Times New Roman"/>
                <w:b w:val="0"/>
                <w:i w:val="0"/>
                <w:sz w:val="22"/>
              </w:rPr>
              <w:t>Second transaction type by volume — Value</w:t>
            </w:r>
          </w:p>
          <w:p>
            <w:pPr>
              <w:spacing w:lineRule="auto" w:line="312" w:before="20" w:after="40"/>
              <w:ind w:left="113"/>
            </w:pPr>
            <w:r>
              <w:rPr>
                <w:rFonts w:ascii="Times New Roman" w:hAnsi="Times New Roman"/>
                <w:b w:val="0"/>
                <w:i w:val="0"/>
                <w:sz w:val="22"/>
              </w:rPr>
              <w:t>Second transaction type by volume — Volume</w:t>
            </w:r>
          </w:p>
          <w:p>
            <w:pPr>
              <w:spacing w:lineRule="auto" w:line="312" w:before="20" w:after="40"/>
              <w:ind w:left="113"/>
            </w:pPr>
            <w:r>
              <w:rPr>
                <w:rFonts w:ascii="Times New Roman" w:hAnsi="Times New Roman"/>
                <w:b w:val="0"/>
                <w:i w:val="0"/>
                <w:sz w:val="22"/>
              </w:rPr>
              <w:t>Third transaction type by volume — Value</w:t>
            </w:r>
          </w:p>
          <w:p>
            <w:pPr>
              <w:spacing w:lineRule="auto" w:line="312" w:before="20" w:after="40"/>
              <w:ind w:left="113"/>
            </w:pPr>
            <w:r>
              <w:rPr>
                <w:rFonts w:ascii="Times New Roman" w:hAnsi="Times New Roman"/>
                <w:b w:val="0"/>
                <w:i w:val="0"/>
                <w:sz w:val="22"/>
              </w:rPr>
              <w:t>Third transaction type by volume — Volume</w:t>
            </w:r>
          </w:p>
          <w:p>
            <w:pPr>
              <w:spacing w:lineRule="auto" w:line="312" w:before="20" w:after="40"/>
              <w:ind w:left="113"/>
            </w:pPr>
            <w:r>
              <w:rPr>
                <w:rFonts w:ascii="Times New Roman" w:hAnsi="Times New Roman"/>
                <w:b w:val="0"/>
                <w:i w:val="0"/>
                <w:sz w:val="22"/>
              </w:rPr>
              <w:t>All other transaction types combined — Value (aggregate of all remaining types)</w:t>
            </w:r>
          </w:p>
          <w:p>
            <w:pPr>
              <w:spacing w:lineRule="auto" w:line="312" w:before="20" w:after="40"/>
              <w:ind w:left="113"/>
            </w:pPr>
            <w:r>
              <w:rPr>
                <w:rFonts w:ascii="Times New Roman" w:hAnsi="Times New Roman"/>
                <w:b w:val="0"/>
                <w:i w:val="0"/>
                <w:sz w:val="22"/>
              </w:rPr>
              <w:t>All other transaction types combined — Volume</w:t>
            </w:r>
          </w:p>
          <w:p>
            <w:pPr>
              <w:spacing w:lineRule="auto" w:line="312" w:before="20" w:after="40"/>
              <w:ind w:left="113"/>
            </w:pPr>
            <w:r>
              <w:rPr>
                <w:rFonts w:ascii="Times New Roman" w:hAnsi="Times New Roman"/>
                <w:b w:val="0"/>
                <w:i w:val="0"/>
                <w:sz w:val="22"/>
              </w:rPr>
              <w:t>The 'top 3 by volume + everything else' structure ensures the framework is adaptive: it does not pre-define what transaction types matter for each customer. For a cash-intensive business, the top type will likely be cash; for an international trader, it may be wire transfers. This flexibility makes the 8-dimension framework applicable across diverse customer populations without requiring separate feature engineering per segment. The framework produces a compact, interpretable feature set that is well-suited to K-Means clustering.</w:t>
            </w:r>
          </w:p>
        </w:tc>
      </w:tr>
    </w:tbl>
    <w:p>
      <w:pPr>
        <w:spacing w:lineRule="auto" w:line="240" w:before="0" w:after="160"/>
      </w:pPr>
    </w:p>
    <w:p>
      <w:pPr>
        <w:pStyle w:val="Heading2"/>
      </w:pPr>
      <w:r>
        <w:rPr>
          <w:rFonts w:ascii="Times New Roman" w:hAnsi="Times New Roman"/>
        </w:rPr>
        <w:t>5.5 K-Means Clustering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5.5  </w:t>
            </w:r>
            <w:r>
              <w:rPr>
                <w:rFonts w:ascii="Times New Roman" w:hAnsi="Times New Roman"/>
                <w:b/>
                <w:i/>
                <w:sz w:val="22"/>
              </w:rPr>
              <w:t>From School to Practice: K-Means in AML</w:t>
            </w:r>
          </w:p>
          <w:p>
            <w:pPr>
              <w:spacing w:lineRule="auto" w:line="312" w:before="20" w:after="40"/>
              <w:ind w:left="113"/>
            </w:pPr>
            <w:r>
              <w:rPr>
                <w:rFonts w:ascii="Times New Roman" w:hAnsi="Times New Roman"/>
                <w:b w:val="0"/>
                <w:i w:val="0"/>
                <w:sz w:val="22"/>
              </w:rPr>
              <w:t>You know K-Means from your degree: assign K centroids, assign each data point to its nearest centroid, recalculate centroids, repeat until convergence. In AML, the output is not just a cluster label that tells you which group a data point belongs to. It is a peer group that will determine the threshold a customer is monitored against. A customer assigned to a high-volume cluster will be monitored against a higher threshold; one assigned to a low-volume cluster against a lower one. The stakes of a poorly formed cluster are therefore regulatory and financial: over-cluster a low-risk population into a high-risk group and you miss suspicious activity; under-cluster a high-risk population into a low-risk group and you generate alerts on legitimate customers while missing the ones you should be catching.</w:t>
            </w:r>
          </w:p>
        </w:tc>
      </w:tr>
    </w:tbl>
    <w:p>
      <w:pPr>
        <w:spacing w:lineRule="auto" w:line="240" w:before="0" w:after="160"/>
      </w:pPr>
    </w:p>
    <w:p>
      <w:pPr>
        <w:pStyle w:val="Heading3"/>
      </w:pPr>
      <w:r>
        <w:rPr>
          <w:rFonts w:ascii="Times New Roman" w:hAnsi="Times New Roman"/>
        </w:rPr>
        <w:t>5.5.1 The Algorithm</w:t>
      </w:r>
    </w:p>
    <w:p>
      <w:pPr>
        <w:pStyle w:val="BodyText"/>
        <w:spacing w:lineRule="auto" w:line="360" w:before="0" w:after="120"/>
        <w:ind w:firstLine="283"/>
      </w:pPr>
      <w:r>
        <w:rPr>
          <w:rFonts w:ascii="Times New Roman" w:hAnsi="Times New Roman"/>
          <w:b w:val="0"/>
          <w:i w:val="0"/>
          <w:sz w:val="24"/>
        </w:rPr>
        <w:t>K-Means partitions N observations into K clusters, where each observation belongs to the cluster with the nearest mean (centroid). The algorithm proceeds as follows:</w:t>
      </w:r>
    </w:p>
    <w:p>
      <w:pPr>
        <w:pStyle w:val="ListBullet"/>
        <w:spacing w:lineRule="auto" w:line="360" w:before="0" w:after="60"/>
      </w:pPr>
      <w:r>
        <w:rPr>
          <w:rFonts w:ascii="Times New Roman" w:hAnsi="Times New Roman"/>
          <w:b w:val="0"/>
          <w:i w:val="0"/>
          <w:sz w:val="24"/>
        </w:rPr>
        <w:t>Initialise K centroids, either randomly or using a deterministic method such as K-Means++ (which spreads initial centroids to reduce sensitivity to random initialisation).</w:t>
      </w:r>
    </w:p>
    <w:p>
      <w:pPr>
        <w:pStyle w:val="ListBullet"/>
        <w:spacing w:lineRule="auto" w:line="360" w:before="0" w:after="60"/>
      </w:pPr>
      <w:r>
        <w:rPr>
          <w:rFonts w:ascii="Times New Roman" w:hAnsi="Times New Roman"/>
          <w:b w:val="0"/>
          <w:i w:val="0"/>
          <w:sz w:val="24"/>
        </w:rPr>
        <w:t>Assign each customer to the cluster whose centroid is closest, using Euclidean distance in feature space.</w:t>
      </w:r>
    </w:p>
    <w:p>
      <w:pPr>
        <w:pStyle w:val="ListBullet"/>
        <w:spacing w:lineRule="auto" w:line="360" w:before="0" w:after="60"/>
      </w:pPr>
      <w:r>
        <w:rPr>
          <w:rFonts w:ascii="Times New Roman" w:hAnsi="Times New Roman"/>
          <w:b w:val="0"/>
          <w:i w:val="0"/>
          <w:sz w:val="24"/>
        </w:rPr>
        <w:t>Recalculate each centroid as the mean of all customers assigned to that cluster.</w:t>
      </w:r>
    </w:p>
    <w:p>
      <w:pPr>
        <w:pStyle w:val="ListBullet"/>
        <w:spacing w:lineRule="auto" w:line="360" w:before="0" w:after="60"/>
      </w:pPr>
      <w:r>
        <w:rPr>
          <w:rFonts w:ascii="Times New Roman" w:hAnsi="Times New Roman"/>
          <w:b w:val="0"/>
          <w:i w:val="0"/>
          <w:sz w:val="24"/>
        </w:rPr>
        <w:t>Repeat steps 2 and 3 until cluster assignments stabilise (convergence) or a maximum iteration count is reached.</w:t>
      </w:r>
    </w:p>
    <w:p>
      <w:pPr>
        <w:pStyle w:val="BodyText"/>
        <w:spacing w:lineRule="auto" w:line="360" w:before="0" w:after="120"/>
        <w:ind w:firstLine="283"/>
      </w:pPr>
      <w:r>
        <w:rPr>
          <w:rFonts w:ascii="Times New Roman" w:hAnsi="Times New Roman"/>
          <w:b w:val="0"/>
          <w:i w:val="0"/>
          <w:sz w:val="24"/>
        </w:rPr>
        <w:t>The algorithm minimises within-cluster variance — the sum of squared distances from each point to its cluster centroid (the 'inertia' or 'within-cluster sum of squares', WCSS). The resulting clusters are compact and well-separated in feature space, which in AML terms means customers within a cluster are behaviourally similar and customers across clusters are behaviourally different.</w:t>
      </w:r>
    </w:p>
    <w:p>
      <w:pPr>
        <w:pStyle w:val="Heading3"/>
      </w:pPr>
      <w:r>
        <w:rPr>
          <w:rFonts w:ascii="Times New Roman" w:hAnsi="Times New Roman"/>
        </w:rPr>
        <w:t>5.5.2 Choosing K</w:t>
      </w:r>
    </w:p>
    <w:p>
      <w:pPr>
        <w:pStyle w:val="BodyText"/>
        <w:spacing w:lineRule="auto" w:line="360" w:before="0" w:after="120"/>
        <w:ind w:firstLine="283"/>
      </w:pPr>
      <w:r>
        <w:rPr>
          <w:rFonts w:ascii="Times New Roman" w:hAnsi="Times New Roman"/>
          <w:b w:val="0"/>
          <w:i w:val="0"/>
          <w:sz w:val="24"/>
        </w:rPr>
        <w:t>Choosing K — the number of clusters — is the most consequential decision in a K-Means analysis. There is no universally correct value. Too few clusters (small K) groups behaviourally diverse customers together, producing imprecise peer comparisons. Too many clusters (large K) produces groups so small that individual anomalies are statistically unreliable.</w:t>
      </w:r>
    </w:p>
    <w:p>
      <w:pPr>
        <w:pStyle w:val="BodyText"/>
        <w:spacing w:lineRule="auto" w:line="360" w:before="0" w:after="120"/>
        <w:ind w:firstLine="283"/>
      </w:pPr>
      <w:r>
        <w:rPr>
          <w:rFonts w:ascii="Times New Roman" w:hAnsi="Times New Roman"/>
          <w:b w:val="0"/>
          <w:i w:val="0"/>
          <w:sz w:val="24"/>
        </w:rPr>
        <w:t>Two standard methods help identify appropriate values of K:</w:t>
      </w:r>
    </w:p>
    <w:p>
      <w:pPr>
        <w:pStyle w:val="ListBullet"/>
        <w:spacing w:lineRule="auto" w:line="360" w:before="0" w:after="60"/>
      </w:pPr>
      <w:r>
        <w:rPr>
          <w:rFonts w:ascii="Times New Roman" w:hAnsi="Times New Roman"/>
          <w:b w:val="0"/>
          <w:i w:val="0"/>
          <w:sz w:val="24"/>
        </w:rPr>
        <w:t>The elbow method: Plot inertia against K. As K increases, inertia decreases (more clusters always reduces within-cluster variance). The 'elbow' — the point where the rate of decrease markedly slows — indicates a reasonable K. In practice, the elbow is often ambiguous. Always interpret it alongside domain knowledge.</w:t>
      </w:r>
    </w:p>
    <w:p>
      <w:pPr>
        <w:pStyle w:val="ListBullet"/>
        <w:spacing w:lineRule="auto" w:line="360" w:before="0" w:after="60"/>
      </w:pPr>
      <w:r>
        <w:rPr>
          <w:rFonts w:ascii="Times New Roman" w:hAnsi="Times New Roman"/>
          <w:b w:val="0"/>
          <w:i w:val="0"/>
          <w:sz w:val="24"/>
        </w:rPr>
        <w:t>The silhouette score: For each point, the silhouette score measures how similar it is to its own cluster compared to neighbouring clusters. Scores range from -1 (point fits a neighbouring cluster better than its assigned cluster) to +1 (well-clustered). The average silhouette score across all points peaks at the optimal K. A mean score above 0.5 is often cited as a rule of thumb for relatively clean, low-dimensional data. In high-dimensional or noisy real-world datasets — such as AML transaction features — acceptable scores may be lower; domain context and business interpretability should inform the judgement alongside the metric.</w:t>
      </w:r>
    </w:p>
    <w:p>
      <w:pPr>
        <w:pStyle w:val="ListBullet"/>
        <w:spacing w:lineRule="auto" w:line="360" w:before="0" w:after="60"/>
      </w:pPr>
      <w:r>
        <w:rPr>
          <w:rFonts w:ascii="Times New Roman" w:hAnsi="Times New Roman"/>
          <w:b w:val="0"/>
          <w:i w:val="0"/>
          <w:sz w:val="24"/>
        </w:rPr>
        <w:t>The Pseudo F-Statistic (Calinski-Harabasz Index): This metric measures the ratio of between-cluster variance to within-cluster variance. A high Pseudo F indicates clusters that are well-separated from each other AND internally compact — exactly what good segmentation requires. Formally: Pseudo-F = [B/(K-1)] / [W/(N-K)], where B is the between-group sum of squares, W is the within-group sum of squares, K is the number of clusters, and N is the total number of observations. The optimal K maximises the Pseudo F. Unlike the elbow method, this metric gives a single objective value rather than requiring visual interpretation of a curve. In AML segmentation, the Pseudo F complements the silhouette score: silhouette measures how well individual points are assigned; Pseudo F measures how well the clustering structure as a whole separates distinct behavioural groups.</w:t>
      </w:r>
    </w:p>
    <w:p>
      <w:pPr>
        <w:pStyle w:val="Heading3"/>
      </w:pPr>
      <w:r>
        <w:rPr>
          <w:rFonts w:ascii="Times New Roman" w:hAnsi="Times New Roman"/>
        </w:rPr>
        <w:t>5.5.3 Interpreting Clusters in a Business Context</w:t>
      </w:r>
    </w:p>
    <w:p>
      <w:pPr>
        <w:pStyle w:val="BodyText"/>
        <w:spacing w:lineRule="auto" w:line="360" w:before="0" w:after="120"/>
        <w:ind w:firstLine="283"/>
      </w:pPr>
      <w:r>
        <w:rPr>
          <w:rFonts w:ascii="Times New Roman" w:hAnsi="Times New Roman"/>
          <w:b w:val="0"/>
          <w:i w:val="0"/>
          <w:sz w:val="24"/>
        </w:rPr>
        <w:t>A cluster is a mathematical construct. Its business meaning must be assigned by a practitioner. After running K-Means, the analyst should examine each cluster in terms of:</w:t>
      </w:r>
    </w:p>
    <w:p>
      <w:pPr>
        <w:pStyle w:val="ListBullet"/>
        <w:spacing w:lineRule="auto" w:line="360" w:before="0" w:after="60"/>
      </w:pPr>
      <w:r>
        <w:rPr>
          <w:rFonts w:ascii="Times New Roman" w:hAnsi="Times New Roman"/>
          <w:b w:val="0"/>
          <w:i w:val="0"/>
          <w:sz w:val="24"/>
        </w:rPr>
        <w:t>The centroid values: what is the average monthly cash-in, transaction count, account age, and risk score for customers in this cluster?</w:t>
      </w:r>
    </w:p>
    <w:p>
      <w:pPr>
        <w:pStyle w:val="ListBullet"/>
        <w:spacing w:lineRule="auto" w:line="360" w:before="0" w:after="60"/>
      </w:pPr>
      <w:r>
        <w:rPr>
          <w:rFonts w:ascii="Times New Roman" w:hAnsi="Times New Roman"/>
          <w:b w:val="0"/>
          <w:i w:val="0"/>
          <w:sz w:val="24"/>
        </w:rPr>
        <w:t>The spread within the cluster: are customers tightly grouped around the centroid, or is there substantial variation?</w:t>
      </w:r>
    </w:p>
    <w:p>
      <w:pPr>
        <w:pStyle w:val="ListBullet"/>
        <w:spacing w:lineRule="auto" w:line="360" w:before="0" w:after="60"/>
      </w:pPr>
      <w:r>
        <w:rPr>
          <w:rFonts w:ascii="Times New Roman" w:hAnsi="Times New Roman"/>
          <w:b w:val="0"/>
          <w:i w:val="0"/>
          <w:sz w:val="24"/>
        </w:rPr>
        <w:t>The composition of the cluster: is it dominated by a particular customer type, occupation, or product?</w:t>
      </w:r>
    </w:p>
    <w:p>
      <w:pPr>
        <w:pStyle w:val="ListBullet"/>
        <w:spacing w:lineRule="auto" w:line="360" w:before="0" w:after="60"/>
      </w:pPr>
      <w:r>
        <w:rPr>
          <w:rFonts w:ascii="Times New Roman" w:hAnsi="Times New Roman"/>
          <w:b w:val="0"/>
          <w:i w:val="0"/>
          <w:sz w:val="24"/>
        </w:rPr>
        <w:t>The alignment with known risk categories: does the cluster correspond to a recognisable risk profile — for example, cash-intensive small businesses, dormant accounts, or high-frequency transactors?</w:t>
      </w:r>
    </w:p>
    <w:p>
      <w:pPr>
        <w:pStyle w:val="BodyText"/>
        <w:spacing w:lineRule="auto" w:line="360" w:before="0" w:after="120"/>
        <w:ind w:firstLine="283"/>
      </w:pPr>
      <w:r>
        <w:rPr>
          <w:rFonts w:ascii="Times New Roman" w:hAnsi="Times New Roman"/>
          <w:b w:val="0"/>
          <w:i w:val="0"/>
          <w:sz w:val="24"/>
        </w:rPr>
        <w:t>Once each cluster has a business interpretation, it can be assigned a monitoring threshold. The threshold for a cluster of low-volume, low-frequency personal account holders will be different — and should be lower — than the threshold for a cluster of cash-intensive business accounts.</w:t>
      </w:r>
    </w:p>
    <w:p>
      <w:pPr>
        <w:pStyle w:val="Heading3"/>
      </w:pPr>
      <w:r>
        <w:rPr>
          <w:rFonts w:ascii="Times New Roman" w:hAnsi="Times New Roman"/>
        </w:rPr>
        <w:t>5.5.4 Regulatory Defensibility</w:t>
      </w:r>
    </w:p>
    <w:p>
      <w:pPr>
        <w:pStyle w:val="BodyText"/>
        <w:spacing w:lineRule="auto" w:line="360" w:before="0" w:after="120"/>
        <w:ind w:firstLine="283"/>
      </w:pPr>
      <w:r>
        <w:rPr>
          <w:rFonts w:ascii="Times New Roman" w:hAnsi="Times New Roman"/>
          <w:b w:val="0"/>
          <w:i w:val="0"/>
          <w:sz w:val="24"/>
        </w:rPr>
        <w:t>Regulators expect institutions to be able to explain their segmentation approach. 'The algorithm produced four clusters' is not an adequate explanation. The institution must be able to articulate what each cluster represents, why the cluster boundaries are appropriate, how thresholds were set for each cluster, and what quality assurance was performed on the clustering output.</w:t>
      </w:r>
    </w:p>
    <w:p>
      <w:pPr>
        <w:pStyle w:val="BodyText"/>
        <w:spacing w:lineRule="auto" w:line="360" w:before="0" w:after="120"/>
        <w:ind w:firstLine="283"/>
      </w:pPr>
      <w:r>
        <w:rPr>
          <w:rFonts w:ascii="Times New Roman" w:hAnsi="Times New Roman"/>
          <w:b w:val="0"/>
          <w:i w:val="0"/>
          <w:sz w:val="24"/>
        </w:rPr>
        <w:t>This requires documentation. A segmentation model should have a model development document (MDD) that covers: the data used, the features selected and why, the algorithm chosen and why, the K selection methodology, the business interpretation of each cluster, and the validation results. The MDD is a key artefact under model risk management frameworks — SR 26-2 (US) and PRA SS1/23 (UK), both introduced in Chapter 2. It is subject to independent model validation before deployment and periodic review thereafter. Chapter 9 covers the full validation framework. The governance lifecycle for a segmentation model runs: design → validate → approve → deploy → monitor → periodic review → retire or update. Each step must be documented and auditable.</w:t>
      </w:r>
    </w:p>
    <w:p>
      <w:pPr>
        <w:pStyle w:val="Heading2"/>
      </w:pPr>
      <w:r>
        <w:rPr>
          <w:rFonts w:ascii="Times New Roman" w:hAnsi="Times New Roman"/>
        </w:rPr>
        <w:t>5.6 Hierarchical Clustering</w:t>
      </w:r>
    </w:p>
    <w:p>
      <w:pPr>
        <w:pStyle w:val="BodyText"/>
        <w:spacing w:lineRule="auto" w:line="360" w:before="0" w:after="120"/>
        <w:ind w:firstLine="283"/>
      </w:pPr>
      <w:r>
        <w:rPr>
          <w:rFonts w:ascii="Times New Roman" w:hAnsi="Times New Roman"/>
          <w:b w:val="0"/>
          <w:i w:val="0"/>
          <w:sz w:val="24"/>
        </w:rPr>
        <w:t>K-Means requires you to specify K in advance. Hierarchical clustering does not. Instead, it builds a tree of cluster merges (agglomerative) or splits (divisive) and outputs a dendrogram — a diagram that shows how clusters merge as the distance threshold increases.</w:t>
      </w:r>
    </w:p>
    <w:p>
      <w:pPr>
        <w:pStyle w:val="BodyText"/>
        <w:spacing w:lineRule="auto" w:line="360" w:before="0" w:after="120"/>
        <w:ind w:firstLine="283"/>
      </w:pPr>
      <w:r>
        <w:rPr>
          <w:rFonts w:ascii="Times New Roman" w:hAnsi="Times New Roman"/>
          <w:b w:val="0"/>
          <w:i w:val="0"/>
          <w:sz w:val="24"/>
        </w:rPr>
        <w:t>Agglomerative hierarchical clustering starts with each customer as its own cluster and merges the two most similar clusters at each step, until all customers belong to a single cluster. The analyst then cuts the dendrogram at a height that produces the desired number of clusters — or uses a statistical criterion to identify the optimal cut.</w:t>
      </w:r>
    </w:p>
    <w:p>
      <w:pPr>
        <w:pStyle w:val="BodyText"/>
        <w:spacing w:lineRule="auto" w:line="360" w:before="0" w:after="120"/>
        <w:ind w:firstLine="283"/>
      </w:pPr>
      <w:r>
        <w:rPr>
          <w:rFonts w:ascii="Times New Roman" w:hAnsi="Times New Roman"/>
          <w:b w:val="0"/>
          <w:i w:val="0"/>
          <w:sz w:val="24"/>
        </w:rPr>
        <w:t>The advantage of hierarchical clustering over K-Means in AML contexts is that it is particularly well-suited to small populations where the structure of relationships matters more than the geometry of cluster centroids. For example, when segmenting a population of private banking clients — a small, diverse group — hierarchical clustering may reveal a dendrogram structure that provides more actionable intelligence than K-Means centroids.</w:t>
      </w:r>
    </w:p>
    <w:p>
      <w:pPr>
        <w:pStyle w:val="BodyText"/>
        <w:spacing w:lineRule="auto" w:line="360" w:before="0" w:after="120"/>
        <w:ind w:firstLine="283"/>
      </w:pPr>
      <w:r>
        <w:rPr>
          <w:rFonts w:ascii="Times New Roman" w:hAnsi="Times New Roman"/>
          <w:b w:val="0"/>
          <w:i w:val="0"/>
          <w:sz w:val="24"/>
        </w:rPr>
        <w:t>The limitation is computational: agglomerative hierarchical clustering scales as O(n^2) in memory and O(n^3) in time for naive implementations, making it impractical for customer populations of hundreds of thousands. For large populations, K-Means is preferred; hierarchical clustering is reserved for sub-populations or specialist analyses.</w:t>
      </w:r>
    </w:p>
    <w:p>
      <w:pPr>
        <w:pStyle w:val="Heading2"/>
      </w:pPr>
      <w:r>
        <w:rPr>
          <w:rFonts w:ascii="Times New Roman" w:hAnsi="Times New Roman"/>
        </w:rPr>
        <w:t>5.7 Topological Data Analysis (TDA) [Advanced]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5.6  </w:t>
            </w:r>
            <w:r>
              <w:rPr>
                <w:rFonts w:ascii="Times New Roman" w:hAnsi="Times New Roman"/>
                <w:b/>
                <w:i/>
                <w:sz w:val="22"/>
              </w:rPr>
              <w:t>From School to Practice — Topological Data Analysis</w:t>
            </w:r>
          </w:p>
          <w:p>
            <w:pPr>
              <w:spacing w:lineRule="auto" w:line="312" w:before="20" w:after="40"/>
              <w:ind w:left="113"/>
            </w:pPr>
            <w:r>
              <w:rPr>
                <w:rFonts w:ascii="Times New Roman" w:hAnsi="Times New Roman"/>
                <w:b w:val="0"/>
                <w:i w:val="0"/>
                <w:sz w:val="22"/>
              </w:rPr>
              <w:t>Topological Data Analysis applies tools from algebraic topology — specifically persistent homology — to detect structural features in high-dimensional data that traditional distance-based methods miss. The intuition is this: where clustering asks 'which points are close together?', TDA asks 'what is the shape of the data?' In AML, this distinction matters when the structure of suspicious activity is not a compact cluster but a ring, a loop, or a connected chain.</w:t>
            </w:r>
          </w:p>
          <w:p>
            <w:pPr>
              <w:spacing w:lineRule="auto" w:line="312" w:before="20" w:after="40"/>
              <w:ind w:left="113"/>
            </w:pPr>
            <w:r>
              <w:rPr>
                <w:rFonts w:ascii="Times New Roman" w:hAnsi="Times New Roman"/>
                <w:b w:val="0"/>
                <w:i w:val="0"/>
                <w:sz w:val="22"/>
              </w:rPr>
              <w:t>Example — Correspondent Banking Pseudo-Customers: A large bank maintains correspondent banking relationships with dozens of overseas institutions, each represented in the transaction data as a single account ('pseudo-customer'). K-Means clustering groups these pseudo-customers by transaction volume and frequency — but TDA applied to the transaction graph reveals a structural pattern invisible to clustering: three correspondent accounts, geographically unrelated and in different volume clusters, consistently route funds through an intermediate jurisdiction before settlement. The three accounts form a topological structure — a connected chain — in the transaction graph, even though they are statistically distant in feature space. TDA identifies this chain as a persistent structural feature. K-Means would classify the three accounts as belonging to separate, normal clusters. This is the core advantage of TDA for AML network analysis: it surfaces coordination patterns that cluster-based methods, by design, cannot detect. This remains an emerging technique in operational AML, but its theoretical advantages for network analysis are well-established.</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In practical AML deployments, TDA is most often used in conjunction with graph analytics to identify structural anomalies in transaction networks. Rather than replacing clustering, it complements it: clustering identifies unusual individual customer profiles; TDA identifies unusual network structures that span multiple customers.</w:t>
      </w:r>
    </w:p>
    <w:p>
      <w:pPr>
        <w:pStyle w:val="BodyText"/>
        <w:spacing w:lineRule="auto" w:line="360" w:before="0" w:after="120"/>
        <w:ind w:firstLine="283"/>
      </w:pPr>
      <w:r>
        <w:rPr>
          <w:rFonts w:ascii="Times New Roman" w:hAnsi="Times New Roman"/>
          <w:b w:val="0"/>
          <w:i w:val="0"/>
          <w:sz w:val="24"/>
        </w:rPr>
        <w:t>A full treatment of TDA mathematics — including simplicial complexes, Betti numbers, and persistence diagrams — is beyond the scope of this chapter. Interested readers should consult the Further Reading references. The operational takeaway is that TDA offers a qualitatively different lens on transaction data and is particularly valuable when the suspicious activity involves coordination across multiple accounts. TDA's ability to detect structural network features — rings, loops, connected chains — complements the graph neural network (GNN) approach introduced in Chapter 10 §10.3, where the Northgate mule network is analysed as a connected subgraph; both techniques identify coordination that individual-account methods cannot see.</w:t>
      </w:r>
    </w:p>
    <w:p>
      <w:pPr>
        <w:pStyle w:val="Heading2"/>
      </w:pPr>
      <w:r>
        <w:rPr>
          <w:rFonts w:ascii="Times New Roman" w:hAnsi="Times New Roman"/>
        </w:rPr>
        <w:t>5.8 Applying Segmentation to the Northgate Scenario</w:t>
      </w:r>
    </w:p>
    <w:p>
      <w:pPr>
        <w:pStyle w:val="Heading3"/>
      </w:pPr>
      <w:r>
        <w:rPr>
          <w:rFonts w:ascii="Times New Roman" w:hAnsi="Times New Roman"/>
        </w:rPr>
        <w:t>5.8.1 The Dataset</w:t>
      </w:r>
    </w:p>
    <w:p>
      <w:pPr>
        <w:pStyle w:val="BodyText"/>
        <w:spacing w:lineRule="auto" w:line="360" w:before="0" w:after="120"/>
        <w:ind w:firstLine="283"/>
      </w:pPr>
      <w:r>
        <w:rPr>
          <w:rFonts w:ascii="Times New Roman" w:hAnsi="Times New Roman"/>
          <w:b w:val="0"/>
          <w:i w:val="0"/>
          <w:sz w:val="24"/>
        </w:rPr>
        <w:t>For the exercises in this chapter and Chapter 6, we use a synthetic dataset representing 500 personal current account customers at Northgate Retail Bank. The dataset is structured in two categories, reflecting the two types of data used in TM analytics:</w:t>
      </w:r>
    </w:p>
    <w:p>
      <w:pPr>
        <w:pStyle w:val="BodyText"/>
        <w:spacing w:lineRule="auto" w:line="360" w:before="0" w:after="120"/>
        <w:ind w:firstLine="283"/>
      </w:pPr>
      <w:r>
        <w:rPr>
          <w:rFonts w:ascii="Times New Roman" w:hAnsi="Times New Roman"/>
          <w:b w:val="0"/>
          <w:i w:val="0"/>
          <w:sz w:val="24"/>
        </w:rPr>
        <w:t>Category 1 — Reference Data: Customer attributes that describe who the customer is, their risk classification, and their relationship to the institution. Reference data is typically static or slow-moving.</w:t>
      </w:r>
    </w:p>
    <w:p>
      <w:pPr>
        <w:spacing w:lineRule="auto" w:line="240" w:before="60" w:after="120"/>
        <w:ind w:firstLine="0"/>
        <w:jc w:val="left"/>
      </w:pPr>
      <w:r>
        <w:rPr>
          <w:rFonts w:ascii="Times New Roman" w:hAnsi="Times New Roman"/>
          <w:b w:val="0"/>
          <w:i/>
          <w:sz w:val="20"/>
        </w:rPr>
        <w:t>Table 5.1  Column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Column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Type</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r>
      <w:tr>
        <w:tc>
          <w:tcPr>
            <w:tcW w:w="3024" w:type="dxa"/>
          </w:tcPr>
          <w:p>
            <w:pPr>
              <w:spacing w:lineRule="auto" w:line="288" w:before="60" w:after="60"/>
              <w:ind w:left="57" w:right="57"/>
            </w:pPr>
            <w:r>
              <w:rPr>
                <w:rFonts w:ascii="Times New Roman" w:hAnsi="Times New Roman"/>
                <w:b w:val="0"/>
                <w:i w:val="0"/>
                <w:sz w:val="20"/>
              </w:rPr>
              <w:t>customer_id</w:t>
            </w:r>
          </w:p>
        </w:tc>
        <w:tc>
          <w:tcPr>
            <w:tcW w:w="3024" w:type="dxa"/>
          </w:tcPr>
          <w:p>
            <w:pPr>
              <w:spacing w:lineRule="auto" w:line="288" w:before="60" w:after="60"/>
              <w:ind w:left="57" w:right="57"/>
            </w:pPr>
            <w:r>
              <w:rPr>
                <w:rFonts w:ascii="Times New Roman" w:hAnsi="Times New Roman"/>
                <w:b w:val="0"/>
                <w:i w:val="0"/>
                <w:sz w:val="20"/>
              </w:rPr>
              <w:t>String</w:t>
            </w:r>
          </w:p>
        </w:tc>
        <w:tc>
          <w:tcPr>
            <w:tcW w:w="3024" w:type="dxa"/>
          </w:tcPr>
          <w:p>
            <w:pPr>
              <w:spacing w:lineRule="auto" w:line="288" w:before="60" w:after="60"/>
              <w:ind w:left="57" w:right="57"/>
            </w:pPr>
            <w:r>
              <w:rPr>
                <w:rFonts w:ascii="Times New Roman" w:hAnsi="Times New Roman"/>
                <w:b w:val="0"/>
                <w:i w:val="0"/>
                <w:sz w:val="20"/>
              </w:rPr>
              <w:t>Unique customer identifier (NRB_001 to NRB_500)</w:t>
            </w:r>
          </w:p>
        </w:tc>
      </w:tr>
      <w:tr>
        <w:tc>
          <w:tcPr>
            <w:tcW w:w="3024" w:type="dxa"/>
          </w:tcPr>
          <w:p>
            <w:pPr>
              <w:spacing w:lineRule="auto" w:line="288" w:before="60" w:after="60"/>
              <w:ind w:left="57" w:right="57"/>
            </w:pPr>
            <w:r>
              <w:rPr>
                <w:rFonts w:ascii="Times New Roman" w:hAnsi="Times New Roman"/>
                <w:b w:val="0"/>
                <w:i w:val="0"/>
                <w:sz w:val="20"/>
              </w:rPr>
              <w:t>customer_type</w:t>
            </w:r>
          </w:p>
        </w:tc>
        <w:tc>
          <w:tcPr>
            <w:tcW w:w="3024" w:type="dxa"/>
          </w:tcPr>
          <w:p>
            <w:pPr>
              <w:spacing w:lineRule="auto" w:line="288" w:before="60" w:after="60"/>
              <w:ind w:left="57" w:right="57"/>
            </w:pPr>
            <w:r>
              <w:rPr>
                <w:rFonts w:ascii="Times New Roman" w:hAnsi="Times New Roman"/>
                <w:b w:val="0"/>
                <w:i w:val="0"/>
                <w:sz w:val="20"/>
              </w:rPr>
              <w:t>Categorical</w:t>
            </w:r>
          </w:p>
        </w:tc>
        <w:tc>
          <w:tcPr>
            <w:tcW w:w="3024" w:type="dxa"/>
          </w:tcPr>
          <w:p>
            <w:pPr>
              <w:spacing w:lineRule="auto" w:line="288" w:before="60" w:after="60"/>
              <w:ind w:left="57" w:right="57"/>
            </w:pPr>
            <w:r>
              <w:rPr>
                <w:rFonts w:ascii="Times New Roman" w:hAnsi="Times New Roman"/>
                <w:b w:val="0"/>
                <w:i w:val="0"/>
                <w:sz w:val="20"/>
              </w:rPr>
              <w:t>Account holder type: 'personal' or 'business'</w:t>
            </w:r>
          </w:p>
        </w:tc>
      </w:tr>
      <w:tr>
        <w:tc>
          <w:tcPr>
            <w:tcW w:w="3024" w:type="dxa"/>
          </w:tcPr>
          <w:p>
            <w:pPr>
              <w:spacing w:lineRule="auto" w:line="288" w:before="60" w:after="60"/>
              <w:ind w:left="57" w:right="57"/>
            </w:pPr>
            <w:r>
              <w:rPr>
                <w:rFonts w:ascii="Times New Roman" w:hAnsi="Times New Roman"/>
                <w:b w:val="0"/>
                <w:i w:val="0"/>
                <w:sz w:val="20"/>
              </w:rPr>
              <w:t>account_type</w:t>
            </w:r>
          </w:p>
        </w:tc>
        <w:tc>
          <w:tcPr>
            <w:tcW w:w="3024" w:type="dxa"/>
          </w:tcPr>
          <w:p>
            <w:pPr>
              <w:spacing w:lineRule="auto" w:line="288" w:before="60" w:after="60"/>
              <w:ind w:left="57" w:right="57"/>
            </w:pPr>
            <w:r>
              <w:rPr>
                <w:rFonts w:ascii="Times New Roman" w:hAnsi="Times New Roman"/>
                <w:b w:val="0"/>
                <w:i w:val="0"/>
                <w:sz w:val="20"/>
              </w:rPr>
              <w:t>Categorical</w:t>
            </w:r>
          </w:p>
        </w:tc>
        <w:tc>
          <w:tcPr>
            <w:tcW w:w="3024" w:type="dxa"/>
          </w:tcPr>
          <w:p>
            <w:pPr>
              <w:spacing w:lineRule="auto" w:line="288" w:before="60" w:after="60"/>
              <w:ind w:left="57" w:right="57"/>
            </w:pPr>
            <w:r>
              <w:rPr>
                <w:rFonts w:ascii="Times New Roman" w:hAnsi="Times New Roman"/>
                <w:b w:val="0"/>
                <w:i w:val="0"/>
                <w:sz w:val="20"/>
              </w:rPr>
              <w:t>Product type: current account, savings, etc.</w:t>
            </w:r>
          </w:p>
        </w:tc>
      </w:tr>
      <w:tr>
        <w:tc>
          <w:tcPr>
            <w:tcW w:w="3024" w:type="dxa"/>
          </w:tcPr>
          <w:p>
            <w:pPr>
              <w:spacing w:lineRule="auto" w:line="288" w:before="60" w:after="60"/>
              <w:ind w:left="57" w:right="57"/>
            </w:pPr>
            <w:r>
              <w:rPr>
                <w:rFonts w:ascii="Times New Roman" w:hAnsi="Times New Roman"/>
                <w:b w:val="0"/>
                <w:i w:val="0"/>
                <w:sz w:val="20"/>
              </w:rPr>
              <w:t>geography</w:t>
            </w:r>
          </w:p>
        </w:tc>
        <w:tc>
          <w:tcPr>
            <w:tcW w:w="3024" w:type="dxa"/>
          </w:tcPr>
          <w:p>
            <w:pPr>
              <w:spacing w:lineRule="auto" w:line="288" w:before="60" w:after="60"/>
              <w:ind w:left="57" w:right="57"/>
            </w:pPr>
            <w:r>
              <w:rPr>
                <w:rFonts w:ascii="Times New Roman" w:hAnsi="Times New Roman"/>
                <w:b w:val="0"/>
                <w:i w:val="0"/>
                <w:sz w:val="20"/>
              </w:rPr>
              <w:t>Categorical</w:t>
            </w:r>
          </w:p>
        </w:tc>
        <w:tc>
          <w:tcPr>
            <w:tcW w:w="3024" w:type="dxa"/>
          </w:tcPr>
          <w:p>
            <w:pPr>
              <w:spacing w:lineRule="auto" w:line="288" w:before="60" w:after="60"/>
              <w:ind w:left="57" w:right="57"/>
            </w:pPr>
            <w:r>
              <w:rPr>
                <w:rFonts w:ascii="Times New Roman" w:hAnsi="Times New Roman"/>
                <w:b w:val="0"/>
                <w:i w:val="0"/>
                <w:sz w:val="20"/>
              </w:rPr>
              <w:t>State or region of account registration</w:t>
            </w:r>
          </w:p>
        </w:tc>
      </w:tr>
      <w:tr>
        <w:tc>
          <w:tcPr>
            <w:tcW w:w="3024" w:type="dxa"/>
          </w:tcPr>
          <w:p>
            <w:pPr>
              <w:spacing w:lineRule="auto" w:line="288" w:before="60" w:after="60"/>
              <w:ind w:left="57" w:right="57"/>
            </w:pPr>
            <w:r>
              <w:rPr>
                <w:rFonts w:ascii="Times New Roman" w:hAnsi="Times New Roman"/>
                <w:b w:val="0"/>
                <w:i w:val="0"/>
                <w:sz w:val="20"/>
              </w:rPr>
              <w:t>crr_score</w:t>
            </w:r>
          </w:p>
        </w:tc>
        <w:tc>
          <w:tcPr>
            <w:tcW w:w="3024" w:type="dxa"/>
          </w:tcPr>
          <w:p>
            <w:pPr>
              <w:spacing w:lineRule="auto" w:line="288" w:before="60" w:after="60"/>
              <w:ind w:left="57" w:right="57"/>
            </w:pPr>
            <w:r>
              <w:rPr>
                <w:rFonts w:ascii="Times New Roman" w:hAnsi="Times New Roman"/>
                <w:b w:val="0"/>
                <w:i w:val="0"/>
                <w:sz w:val="20"/>
              </w:rPr>
              <w:t>Integer</w:t>
            </w:r>
          </w:p>
        </w:tc>
        <w:tc>
          <w:tcPr>
            <w:tcW w:w="3024" w:type="dxa"/>
          </w:tcPr>
          <w:p>
            <w:pPr>
              <w:spacing w:lineRule="auto" w:line="288" w:before="60" w:after="60"/>
              <w:ind w:left="57" w:right="57"/>
            </w:pPr>
            <w:r>
              <w:rPr>
                <w:rFonts w:ascii="Times New Roman" w:hAnsi="Times New Roman"/>
                <w:b w:val="0"/>
                <w:i w:val="0"/>
                <w:sz w:val="20"/>
              </w:rPr>
              <w:t>Customer risk rating: 1 (low) to 5 (high) — output of KYC process</w:t>
            </w:r>
          </w:p>
        </w:tc>
      </w:tr>
      <w:tr>
        <w:tc>
          <w:tcPr>
            <w:tcW w:w="3024" w:type="dxa"/>
          </w:tcPr>
          <w:p>
            <w:pPr>
              <w:spacing w:lineRule="auto" w:line="288" w:before="60" w:after="60"/>
              <w:ind w:left="57" w:right="57"/>
            </w:pPr>
            <w:r>
              <w:rPr>
                <w:rFonts w:ascii="Times New Roman" w:hAnsi="Times New Roman"/>
                <w:b w:val="0"/>
                <w:i w:val="0"/>
                <w:sz w:val="20"/>
              </w:rPr>
              <w:t>risk_category</w:t>
            </w:r>
          </w:p>
        </w:tc>
        <w:tc>
          <w:tcPr>
            <w:tcW w:w="3024" w:type="dxa"/>
          </w:tcPr>
          <w:p>
            <w:pPr>
              <w:spacing w:lineRule="auto" w:line="288" w:before="60" w:after="60"/>
              <w:ind w:left="57" w:right="57"/>
            </w:pPr>
            <w:r>
              <w:rPr>
                <w:rFonts w:ascii="Times New Roman" w:hAnsi="Times New Roman"/>
                <w:b w:val="0"/>
                <w:i w:val="0"/>
                <w:sz w:val="20"/>
              </w:rPr>
              <w:t>Categorical</w:t>
            </w:r>
          </w:p>
        </w:tc>
        <w:tc>
          <w:tcPr>
            <w:tcW w:w="3024" w:type="dxa"/>
          </w:tcPr>
          <w:p>
            <w:pPr>
              <w:spacing w:lineRule="auto" w:line="288" w:before="60" w:after="60"/>
              <w:ind w:left="57" w:right="57"/>
            </w:pPr>
            <w:r>
              <w:rPr>
                <w:rFonts w:ascii="Times New Roman" w:hAnsi="Times New Roman"/>
                <w:b w:val="0"/>
                <w:i w:val="0"/>
                <w:sz w:val="20"/>
              </w:rPr>
              <w:t>Risk band derived from CRR: Low / Medium / High</w:t>
            </w:r>
          </w:p>
        </w:tc>
      </w:tr>
      <w:tr>
        <w:tc>
          <w:tcPr>
            <w:tcW w:w="3024" w:type="dxa"/>
          </w:tcPr>
          <w:p>
            <w:pPr>
              <w:spacing w:lineRule="auto" w:line="288" w:before="60" w:after="60"/>
              <w:ind w:left="57" w:right="57"/>
            </w:pPr>
            <w:r>
              <w:rPr>
                <w:rFonts w:ascii="Times New Roman" w:hAnsi="Times New Roman"/>
                <w:b w:val="0"/>
                <w:i w:val="0"/>
                <w:sz w:val="20"/>
              </w:rPr>
              <w:t>account_age_months</w:t>
            </w:r>
          </w:p>
        </w:tc>
        <w:tc>
          <w:tcPr>
            <w:tcW w:w="3024" w:type="dxa"/>
          </w:tcPr>
          <w:p>
            <w:pPr>
              <w:spacing w:lineRule="auto" w:line="288" w:before="60" w:after="60"/>
              <w:ind w:left="57" w:right="57"/>
            </w:pPr>
            <w:r>
              <w:rPr>
                <w:rFonts w:ascii="Times New Roman" w:hAnsi="Times New Roman"/>
                <w:b w:val="0"/>
                <w:i w:val="0"/>
                <w:sz w:val="20"/>
              </w:rPr>
              <w:t>Integer</w:t>
            </w:r>
          </w:p>
        </w:tc>
        <w:tc>
          <w:tcPr>
            <w:tcW w:w="3024" w:type="dxa"/>
          </w:tcPr>
          <w:p>
            <w:pPr>
              <w:spacing w:lineRule="auto" w:line="288" w:before="60" w:after="60"/>
              <w:ind w:left="57" w:right="57"/>
            </w:pPr>
            <w:r>
              <w:rPr>
                <w:rFonts w:ascii="Times New Roman" w:hAnsi="Times New Roman"/>
                <w:b w:val="0"/>
                <w:i w:val="0"/>
                <w:sz w:val="20"/>
              </w:rPr>
              <w:t>Number of months since account opening (tenure indicator)</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Category 2 — Transactional Data / Transaction Summaries: Numeric behavioural metrics derived from transaction history. These are the features used in bottom-up clustering. They are numeric, time-windowed, and updated periodically.</w:t>
      </w:r>
    </w:p>
    <w:p>
      <w:pPr>
        <w:spacing w:lineRule="auto" w:line="240" w:before="60" w:after="120"/>
        <w:ind w:firstLine="0"/>
        <w:jc w:val="left"/>
      </w:pPr>
      <w:r>
        <w:rPr>
          <w:rFonts w:ascii="Times New Roman" w:hAnsi="Times New Roman"/>
          <w:b w:val="0"/>
          <w:i/>
          <w:sz w:val="20"/>
        </w:rPr>
        <w:t>Table 5.2  Column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Column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Type</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r>
      <w:tr>
        <w:tc>
          <w:tcPr>
            <w:tcW w:w="3024" w:type="dxa"/>
          </w:tcPr>
          <w:p>
            <w:pPr>
              <w:spacing w:lineRule="auto" w:line="288" w:before="60" w:after="60"/>
              <w:ind w:left="57" w:right="57"/>
            </w:pPr>
            <w:r>
              <w:rPr>
                <w:rFonts w:ascii="Times New Roman" w:hAnsi="Times New Roman"/>
                <w:b w:val="0"/>
                <w:i w:val="0"/>
                <w:sz w:val="20"/>
              </w:rPr>
              <w:t>avg_monthly_cash_in</w:t>
            </w:r>
          </w:p>
        </w:tc>
        <w:tc>
          <w:tcPr>
            <w:tcW w:w="3024" w:type="dxa"/>
          </w:tcPr>
          <w:p>
            <w:pPr>
              <w:spacing w:lineRule="auto" w:line="288" w:before="60" w:after="60"/>
              <w:ind w:left="57" w:right="57"/>
            </w:pPr>
            <w:r>
              <w:rPr>
                <w:rFonts w:ascii="Times New Roman" w:hAnsi="Times New Roman"/>
                <w:b w:val="0"/>
                <w:i w:val="0"/>
                <w:sz w:val="20"/>
              </w:rPr>
              <w:t>Numeric</w:t>
            </w:r>
          </w:p>
        </w:tc>
        <w:tc>
          <w:tcPr>
            <w:tcW w:w="3024" w:type="dxa"/>
          </w:tcPr>
          <w:p>
            <w:pPr>
              <w:spacing w:lineRule="auto" w:line="288" w:before="60" w:after="60"/>
              <w:ind w:left="57" w:right="57"/>
            </w:pPr>
            <w:r>
              <w:rPr>
                <w:rFonts w:ascii="Times New Roman" w:hAnsi="Times New Roman"/>
                <w:b w:val="0"/>
                <w:i w:val="0"/>
                <w:sz w:val="20"/>
              </w:rPr>
              <w:t>Average monthly cash deposit total (USD) over the prior 12 months</w:t>
            </w:r>
          </w:p>
        </w:tc>
      </w:tr>
      <w:tr>
        <w:tc>
          <w:tcPr>
            <w:tcW w:w="3024" w:type="dxa"/>
          </w:tcPr>
          <w:p>
            <w:pPr>
              <w:spacing w:lineRule="auto" w:line="288" w:before="60" w:after="60"/>
              <w:ind w:left="57" w:right="57"/>
            </w:pPr>
            <w:r>
              <w:rPr>
                <w:rFonts w:ascii="Times New Roman" w:hAnsi="Times New Roman"/>
                <w:b w:val="0"/>
                <w:i w:val="0"/>
                <w:sz w:val="20"/>
              </w:rPr>
              <w:t>avg_transaction_count</w:t>
            </w:r>
          </w:p>
        </w:tc>
        <w:tc>
          <w:tcPr>
            <w:tcW w:w="3024" w:type="dxa"/>
          </w:tcPr>
          <w:p>
            <w:pPr>
              <w:spacing w:lineRule="auto" w:line="288" w:before="60" w:after="60"/>
              <w:ind w:left="57" w:right="57"/>
            </w:pPr>
            <w:r>
              <w:rPr>
                <w:rFonts w:ascii="Times New Roman" w:hAnsi="Times New Roman"/>
                <w:b w:val="0"/>
                <w:i w:val="0"/>
                <w:sz w:val="20"/>
              </w:rPr>
              <w:t>Numeric</w:t>
            </w:r>
          </w:p>
        </w:tc>
        <w:tc>
          <w:tcPr>
            <w:tcW w:w="3024" w:type="dxa"/>
          </w:tcPr>
          <w:p>
            <w:pPr>
              <w:spacing w:lineRule="auto" w:line="288" w:before="60" w:after="60"/>
              <w:ind w:left="57" w:right="57"/>
            </w:pPr>
            <w:r>
              <w:rPr>
                <w:rFonts w:ascii="Times New Roman" w:hAnsi="Times New Roman"/>
                <w:b w:val="0"/>
                <w:i w:val="0"/>
                <w:sz w:val="20"/>
              </w:rPr>
              <w:t>Average number of cash deposit transactions per month</w:t>
            </w:r>
          </w:p>
        </w:tc>
      </w:tr>
      <w:tr>
        <w:tc>
          <w:tcPr>
            <w:tcW w:w="3024" w:type="dxa"/>
          </w:tcPr>
          <w:p>
            <w:pPr>
              <w:spacing w:lineRule="auto" w:line="288" w:before="60" w:after="60"/>
              <w:ind w:left="57" w:right="57"/>
            </w:pPr>
            <w:r>
              <w:rPr>
                <w:rFonts w:ascii="Times New Roman" w:hAnsi="Times New Roman"/>
                <w:b w:val="0"/>
                <w:i w:val="0"/>
                <w:sz w:val="20"/>
              </w:rPr>
              <w:t>avg_monthly_wire_out</w:t>
            </w:r>
          </w:p>
        </w:tc>
        <w:tc>
          <w:tcPr>
            <w:tcW w:w="3024" w:type="dxa"/>
          </w:tcPr>
          <w:p>
            <w:pPr>
              <w:spacing w:lineRule="auto" w:line="288" w:before="60" w:after="60"/>
              <w:ind w:left="57" w:right="57"/>
            </w:pPr>
            <w:r>
              <w:rPr>
                <w:rFonts w:ascii="Times New Roman" w:hAnsi="Times New Roman"/>
                <w:b w:val="0"/>
                <w:i w:val="0"/>
                <w:sz w:val="20"/>
              </w:rPr>
              <w:t>Numeric</w:t>
            </w:r>
          </w:p>
        </w:tc>
        <w:tc>
          <w:tcPr>
            <w:tcW w:w="3024" w:type="dxa"/>
          </w:tcPr>
          <w:p>
            <w:pPr>
              <w:spacing w:lineRule="auto" w:line="288" w:before="60" w:after="60"/>
              <w:ind w:left="57" w:right="57"/>
            </w:pPr>
            <w:r>
              <w:rPr>
                <w:rFonts w:ascii="Times New Roman" w:hAnsi="Times New Roman"/>
                <w:b w:val="0"/>
                <w:i w:val="0"/>
                <w:sz w:val="20"/>
              </w:rPr>
              <w:t>Average monthly outbound wire transfer value (USD)</w:t>
            </w:r>
          </w:p>
        </w:tc>
      </w:tr>
      <w:tr>
        <w:tc>
          <w:tcPr>
            <w:tcW w:w="3024" w:type="dxa"/>
          </w:tcPr>
          <w:p>
            <w:pPr>
              <w:spacing w:lineRule="auto" w:line="288" w:before="60" w:after="60"/>
              <w:ind w:left="57" w:right="57"/>
            </w:pPr>
            <w:r>
              <w:rPr>
                <w:rFonts w:ascii="Times New Roman" w:hAnsi="Times New Roman"/>
                <w:b w:val="0"/>
                <w:i w:val="0"/>
                <w:sz w:val="20"/>
              </w:rPr>
              <w:t>unique_counterparties_30d</w:t>
            </w:r>
          </w:p>
        </w:tc>
        <w:tc>
          <w:tcPr>
            <w:tcW w:w="3024" w:type="dxa"/>
          </w:tcPr>
          <w:p>
            <w:pPr>
              <w:spacing w:lineRule="auto" w:line="288" w:before="60" w:after="60"/>
              <w:ind w:left="57" w:right="57"/>
            </w:pPr>
            <w:r>
              <w:rPr>
                <w:rFonts w:ascii="Times New Roman" w:hAnsi="Times New Roman"/>
                <w:b w:val="0"/>
                <w:i w:val="0"/>
                <w:sz w:val="20"/>
              </w:rPr>
              <w:t>Integer</w:t>
            </w:r>
          </w:p>
        </w:tc>
        <w:tc>
          <w:tcPr>
            <w:tcW w:w="3024" w:type="dxa"/>
          </w:tcPr>
          <w:p>
            <w:pPr>
              <w:spacing w:lineRule="auto" w:line="288" w:before="60" w:after="60"/>
              <w:ind w:left="57" w:right="57"/>
            </w:pPr>
            <w:r>
              <w:rPr>
                <w:rFonts w:ascii="Times New Roman" w:hAnsi="Times New Roman"/>
                <w:b w:val="0"/>
                <w:i w:val="0"/>
                <w:sz w:val="20"/>
              </w:rPr>
              <w:t>Number of distinct counterparties in the most recent 30-day window</w:t>
            </w:r>
          </w:p>
        </w:tc>
      </w:tr>
      <w:tr>
        <w:tc>
          <w:tcPr>
            <w:tcW w:w="3024" w:type="dxa"/>
          </w:tcPr>
          <w:p>
            <w:pPr>
              <w:spacing w:lineRule="auto" w:line="288" w:before="60" w:after="60"/>
              <w:ind w:left="57" w:right="57"/>
            </w:pPr>
            <w:r>
              <w:rPr>
                <w:rFonts w:ascii="Times New Roman" w:hAnsi="Times New Roman"/>
                <w:b w:val="0"/>
                <w:i w:val="0"/>
                <w:sz w:val="20"/>
              </w:rPr>
              <w:t>is_sar_worthy</w:t>
            </w:r>
          </w:p>
        </w:tc>
        <w:tc>
          <w:tcPr>
            <w:tcW w:w="3024" w:type="dxa"/>
          </w:tcPr>
          <w:p>
            <w:pPr>
              <w:spacing w:lineRule="auto" w:line="288" w:before="60" w:after="60"/>
              <w:ind w:left="57" w:right="57"/>
            </w:pPr>
            <w:r>
              <w:rPr>
                <w:rFonts w:ascii="Times New Roman" w:hAnsi="Times New Roman"/>
                <w:b w:val="0"/>
                <w:i w:val="0"/>
                <w:sz w:val="20"/>
              </w:rPr>
              <w:t>Binary</w:t>
            </w:r>
          </w:p>
        </w:tc>
        <w:tc>
          <w:tcPr>
            <w:tcW w:w="3024" w:type="dxa"/>
          </w:tcPr>
          <w:p>
            <w:pPr>
              <w:spacing w:lineRule="auto" w:line="288" w:before="60" w:after="60"/>
              <w:ind w:left="57" w:right="57"/>
            </w:pPr>
            <w:r>
              <w:rPr>
                <w:rFonts w:ascii="Times New Roman" w:hAnsi="Times New Roman"/>
                <w:b w:val="0"/>
                <w:i w:val="0"/>
                <w:sz w:val="20"/>
              </w:rPr>
              <w:t>Ground truth label: 1 = associated with a known SAR outcome (exercise use only — not available to the TMS in production)</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The dataset is generated synthetically to reflect realistic distributions for a US retail bank: most customers have low cash transaction volumes, a small proportion are cash-intensive, and a further small proportion exhibit the elevated volumes and risk scores associated with structuring behaviour.</w:t>
      </w:r>
    </w:p>
    <w:p>
      <w:pPr>
        <w:pStyle w:val="Heading3"/>
      </w:pPr>
      <w:r>
        <w:rPr>
          <w:rFonts w:ascii="Times New Roman" w:hAnsi="Times New Roman"/>
        </w:rPr>
        <w:t>5.8.2 The Mule Network in the Cluster Structure</w:t>
      </w:r>
    </w:p>
    <w:p>
      <w:pPr>
        <w:pStyle w:val="BodyText"/>
        <w:spacing w:lineRule="auto" w:line="360" w:before="0" w:after="120"/>
        <w:ind w:firstLine="283"/>
      </w:pPr>
      <w:r>
        <w:rPr>
          <w:rFonts w:ascii="Times New Roman" w:hAnsi="Times New Roman"/>
          <w:b w:val="0"/>
          <w:i w:val="0"/>
          <w:sz w:val="24"/>
        </w:rPr>
        <w:t>The Northgate mule network accounts have the following characteristics, based on the transaction data from earlier chapters:</w:t>
      </w:r>
    </w:p>
    <w:p>
      <w:pPr>
        <w:pStyle w:val="ListBullet"/>
        <w:spacing w:lineRule="auto" w:line="360" w:before="0" w:after="60"/>
      </w:pPr>
      <w:r>
        <w:rPr>
          <w:rFonts w:ascii="Times New Roman" w:hAnsi="Times New Roman"/>
          <w:b w:val="0"/>
          <w:i w:val="0"/>
          <w:sz w:val="24"/>
        </w:rPr>
        <w:t>avg_monthly_cash_in: USD 8,200</w:t>
      </w:r>
    </w:p>
    <w:p>
      <w:pPr>
        <w:pStyle w:val="ListBullet"/>
        <w:spacing w:lineRule="auto" w:line="360" w:before="0" w:after="60"/>
      </w:pPr>
      <w:r>
        <w:rPr>
          <w:rFonts w:ascii="Times New Roman" w:hAnsi="Times New Roman"/>
          <w:b w:val="0"/>
          <w:i w:val="0"/>
          <w:sz w:val="24"/>
        </w:rPr>
        <w:t>avg_transaction_count: 4.2 deposits per month</w:t>
      </w:r>
    </w:p>
    <w:p>
      <w:pPr>
        <w:pStyle w:val="ListBullet"/>
        <w:spacing w:lineRule="auto" w:line="360" w:before="0" w:after="60"/>
      </w:pPr>
      <w:r>
        <w:rPr>
          <w:rFonts w:ascii="Times New Roman" w:hAnsi="Times New Roman"/>
          <w:b w:val="0"/>
          <w:i w:val="0"/>
          <w:sz w:val="24"/>
        </w:rPr>
        <w:t>account_age_months: 8 months</w:t>
      </w:r>
    </w:p>
    <w:p>
      <w:pPr>
        <w:pStyle w:val="ListBullet"/>
        <w:spacing w:lineRule="auto" w:line="360" w:before="0" w:after="60"/>
      </w:pPr>
      <w:r>
        <w:rPr>
          <w:rFonts w:ascii="Times New Roman" w:hAnsi="Times New Roman"/>
          <w:b w:val="0"/>
          <w:i w:val="0"/>
          <w:sz w:val="24"/>
        </w:rPr>
        <w:t>customer_type: personal</w:t>
      </w:r>
    </w:p>
    <w:p>
      <w:pPr>
        <w:pStyle w:val="ListBullet"/>
        <w:spacing w:lineRule="auto" w:line="360" w:before="0" w:after="60"/>
      </w:pPr>
      <w:r>
        <w:rPr>
          <w:rFonts w:ascii="Times New Roman" w:hAnsi="Times New Roman"/>
          <w:b w:val="0"/>
          <w:i w:val="0"/>
          <w:sz w:val="24"/>
        </w:rPr>
        <w:t>crr_score: 2 (medium)</w:t>
      </w:r>
    </w:p>
    <w:p>
      <w:pPr>
        <w:pStyle w:val="BodyText"/>
        <w:spacing w:lineRule="auto" w:line="360" w:before="0" w:after="120"/>
        <w:ind w:firstLine="283"/>
      </w:pPr>
      <w:r>
        <w:rPr>
          <w:rFonts w:ascii="Times New Roman" w:hAnsi="Times New Roman"/>
          <w:b w:val="0"/>
          <w:i w:val="0"/>
          <w:sz w:val="24"/>
        </w:rPr>
        <w:t>This profile places the mule accounts in an interesting position in the cluster structure. Their cash-in volume (USD 8,200 per month) is significantly above the typical personal account customer, whose average monthly cash-in is around USD 650. But their transaction count (4.2 per month) is relatively low — suggesting that each deposit is relatively large. Their account age (8 months) is short relative to the general population, which skews toward accounts of 3 or more years. Their CRR of 2 reflects a medium risk profile: not the highest-risk segment, but elevated relative to a standard retail customer.</w:t>
      </w:r>
    </w:p>
    <w:p>
      <w:pPr>
        <w:pStyle w:val="BodyText"/>
        <w:spacing w:lineRule="auto" w:line="360" w:before="0" w:after="120"/>
        <w:ind w:firstLine="283"/>
      </w:pPr>
      <w:r>
        <w:rPr>
          <w:rFonts w:ascii="Times New Roman" w:hAnsi="Times New Roman"/>
          <w:b w:val="0"/>
          <w:i w:val="0"/>
          <w:sz w:val="24"/>
        </w:rPr>
        <w:t>In a K=3 clustering exercise on the full dataset, these characteristics typically place the mule accounts in a 'medium-volume, elevated-risk' cluster — not in the cash-intensive business cluster (which has much higher transaction counts) and not in the standard retail cluster (which has much lower volumes). This matters for threshold calibration: the threshold applied to this cluster will be higher than the standard retail threshold, potentially allowing the mule accounts to continue accumulating cash without triggering the structuring rule.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5.7  </w:t>
            </w:r>
            <w:r>
              <w:rPr>
                <w:rFonts w:ascii="Times New Roman" w:hAnsi="Times New Roman"/>
                <w:b/>
                <w:i/>
                <w:sz w:val="22"/>
              </w:rPr>
              <w:t>Key Insight — Segmentation and Calibration Must Be Done Together</w:t>
            </w:r>
          </w:p>
          <w:p>
            <w:pPr>
              <w:spacing w:lineRule="auto" w:line="312" w:before="20" w:after="40"/>
              <w:ind w:left="113"/>
            </w:pPr>
            <w:r>
              <w:rPr>
                <w:rFonts w:ascii="Times New Roman" w:hAnsi="Times New Roman"/>
                <w:b w:val="0"/>
                <w:i w:val="0"/>
                <w:sz w:val="22"/>
              </w:rPr>
              <w:t>Segmentation can inadvertently make detection harder if thresholds are not recalibrated per segment. Assigning the Northgate mule accounts to a medium-volume cluster — and applying that cluster's threshold — may raise the bar that their behaviour needs to cross before triggering an alert. A threshold appropriate for the cluster's typical member is not necessarily appropriate for detecting the most suspicious members of that cluster. This is precisely why segmentation and threshold calibration must be performed together, not sequentially. Chapter 6 addresses this directly.</w:t>
            </w:r>
          </w:p>
        </w:tc>
      </w:tr>
    </w:tbl>
    <w:p>
      <w:pPr>
        <w:spacing w:lineRule="auto" w:line="240" w:before="0" w:after="160"/>
      </w:pPr>
    </w:p>
    <w:p>
      <w:pPr>
        <w:pStyle w:val="Heading2"/>
      </w:pPr>
      <w:r>
        <w:rPr>
          <w:rFonts w:ascii="Times New Roman" w:hAnsi="Times New Roman"/>
        </w:rPr>
        <w:t>5.9 Colab Walkthrough: K-Means in Practice</w:t>
      </w:r>
    </w:p>
    <w:p>
      <w:pPr>
        <w:pStyle w:val="BodyText"/>
        <w:spacing w:lineRule="auto" w:line="360" w:before="0" w:after="120"/>
        <w:ind w:firstLine="283"/>
      </w:pPr>
      <w:r>
        <w:rPr>
          <w:rFonts w:ascii="Times New Roman" w:hAnsi="Times New Roman"/>
          <w:b w:val="0"/>
          <w:i w:val="0"/>
          <w:sz w:val="24"/>
        </w:rPr>
        <w:t>The following code applies K-Means (K=3) to the Northgate customer population using three behavioural features: average monthly cash in, transaction frequency, and cash-to-total ratio. Run it in the Chapter 5 Colab notebook to see which cluster each customer falls into — and crucially, which cluster contains the six mule accounts. The cluster labels from this step feed directly into the threshold tuning exercise in Chapter 6.</w:t>
      </w:r>
    </w:p>
    <w:p>
      <w:pPr>
        <w:spacing w:lineRule="auto" w:line="240" w:before="60" w:after="120"/>
        <w:ind w:firstLine="0"/>
        <w:jc w:val="left"/>
      </w:pPr>
      <w:r>
        <w:rPr>
          <w:rFonts w:ascii="Times New Roman" w:hAnsi="Times New Roman"/>
          <w:b w:val="0"/>
          <w:i/>
          <w:sz w:val="20"/>
        </w:rPr>
        <w:t>Listing 5.1  Python code — 📊 Colab Preview: Segmenting the Northgate Customer Populatio</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Segmenting the Northgate Customer Population</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from sklearn.cluster import KMeans</w:t>
            </w:r>
          </w:p>
          <w:p>
            <w:pPr>
              <w:spacing w:lineRule="auto" w:line="240" w:before="0" w:after="20"/>
              <w:ind w:left="142"/>
            </w:pPr>
            <w:r>
              <w:rPr>
                <w:rFonts w:ascii="Courier New" w:hAnsi="Courier New"/>
                <w:b w:val="0"/>
                <w:i w:val="0"/>
                <w:sz w:val="18"/>
              </w:rPr>
              <w:t>from sklearn.preprocessing import StandardScaler</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df_cust = pd.read_csv('nb_customers.csv')</w:t>
            </w:r>
          </w:p>
          <w:p>
            <w:pPr>
              <w:spacing w:lineRule="auto" w:line="240" w:before="0" w:after="20"/>
              <w:ind w:left="142"/>
            </w:pPr>
            <w:r>
              <w:rPr>
                <w:rFonts w:ascii="Courier New" w:hAnsi="Courier New"/>
                <w:b w:val="0"/>
                <w:i w:val="0"/>
                <w:sz w:val="18"/>
              </w:rPr>
              <w:t># Build customer-level behavioural features</w:t>
            </w:r>
          </w:p>
          <w:p>
            <w:pPr>
              <w:spacing w:lineRule="auto" w:line="240" w:before="0" w:after="20"/>
              <w:ind w:left="142"/>
            </w:pPr>
            <w:r>
              <w:rPr>
                <w:rFonts w:ascii="Courier New" w:hAnsi="Courier New"/>
                <w:b w:val="0"/>
                <w:i w:val="0"/>
                <w:sz w:val="18"/>
              </w:rPr>
              <w:t>feats = df_txn.groupby('account_id').agg(</w:t>
            </w:r>
          </w:p>
          <w:p>
            <w:pPr>
              <w:spacing w:lineRule="auto" w:line="240" w:before="0" w:after="20"/>
              <w:ind w:left="142"/>
            </w:pPr>
            <w:r>
              <w:rPr>
                <w:rFonts w:ascii="Courier New" w:hAnsi="Courier New"/>
                <w:b w:val="0"/>
                <w:i w:val="0"/>
                <w:sz w:val="18"/>
              </w:rPr>
              <w:t>avg_monthly_cash_in = ('amount',</w:t>
            </w:r>
          </w:p>
          <w:p>
            <w:pPr>
              <w:spacing w:lineRule="auto" w:line="240" w:before="0" w:after="20"/>
              <w:ind w:left="142"/>
            </w:pPr>
            <w:r>
              <w:rPr>
                <w:rFonts w:ascii="Courier New" w:hAnsi="Courier New"/>
                <w:b w:val="0"/>
                <w:i w:val="0"/>
                <w:sz w:val="18"/>
              </w:rPr>
              <w:t>lambda x: x[df_txn.loc[x.index,'txn_type']=='CASH_IN'].sum() / 12),</w:t>
            </w:r>
          </w:p>
          <w:p>
            <w:pPr>
              <w:spacing w:lineRule="auto" w:line="240" w:before="0" w:after="20"/>
              <w:ind w:left="142"/>
            </w:pPr>
            <w:r>
              <w:rPr>
                <w:rFonts w:ascii="Courier New" w:hAnsi="Courier New"/>
                <w:b w:val="0"/>
                <w:i w:val="0"/>
                <w:sz w:val="18"/>
              </w:rPr>
              <w:t>txn_frequency       = ('txn_id', 'count'),</w:t>
            </w:r>
          </w:p>
          <w:p>
            <w:pPr>
              <w:spacing w:lineRule="auto" w:line="240" w:before="0" w:after="20"/>
              <w:ind w:left="142"/>
            </w:pPr>
            <w:r>
              <w:rPr>
                <w:rFonts w:ascii="Courier New" w:hAnsi="Courier New"/>
                <w:b w:val="0"/>
                <w:i w:val="0"/>
                <w:sz w:val="18"/>
              </w:rPr>
              <w:t>cash_ratio          = ('txn_type',</w:t>
            </w:r>
          </w:p>
          <w:p>
            <w:pPr>
              <w:spacing w:lineRule="auto" w:line="240" w:before="0" w:after="20"/>
              <w:ind w:left="142"/>
            </w:pPr>
            <w:r>
              <w:rPr>
                <w:rFonts w:ascii="Courier New" w:hAnsi="Courier New"/>
                <w:b w:val="0"/>
                <w:i w:val="0"/>
                <w:sz w:val="18"/>
              </w:rPr>
              <w:t>lambda x: (x == 'CASH_IN').mean()),</w:t>
            </w:r>
          </w:p>
          <w:p>
            <w:pPr>
              <w:spacing w:lineRule="auto" w:line="240" w:before="0" w:after="20"/>
              <w:ind w:left="142"/>
            </w:pPr>
            <w:r>
              <w:rPr>
                <w:rFonts w:ascii="Courier New" w:hAnsi="Courier New"/>
                <w:b w:val="0"/>
                <w:i w:val="0"/>
                <w:sz w:val="18"/>
              </w:rPr>
              <w:t>).fillna(0)</w:t>
            </w:r>
          </w:p>
          <w:p>
            <w:pPr>
              <w:spacing w:lineRule="auto" w:line="240" w:before="0" w:after="20"/>
              <w:ind w:left="142"/>
            </w:pPr>
            <w:r>
              <w:rPr>
                <w:rFonts w:ascii="Courier New" w:hAnsi="Courier New"/>
                <w:b w:val="0"/>
                <w:i w:val="0"/>
                <w:sz w:val="18"/>
              </w:rPr>
              <w:t># Standardise before clustering</w:t>
            </w:r>
          </w:p>
          <w:p>
            <w:pPr>
              <w:spacing w:lineRule="auto" w:line="240" w:before="0" w:after="20"/>
              <w:ind w:left="142"/>
            </w:pPr>
            <w:r>
              <w:rPr>
                <w:rFonts w:ascii="Courier New" w:hAnsi="Courier New"/>
                <w:b w:val="0"/>
                <w:i w:val="0"/>
                <w:sz w:val="18"/>
              </w:rPr>
              <w:t>scaler = StandardScaler()</w:t>
            </w:r>
          </w:p>
          <w:p>
            <w:pPr>
              <w:spacing w:lineRule="auto" w:line="240" w:before="0" w:after="20"/>
              <w:ind w:left="142"/>
            </w:pPr>
            <w:r>
              <w:rPr>
                <w:rFonts w:ascii="Courier New" w:hAnsi="Courier New"/>
                <w:b w:val="0"/>
                <w:i w:val="0"/>
                <w:sz w:val="18"/>
              </w:rPr>
              <w:t>X = scaler.fit_transform(feats)</w:t>
            </w:r>
          </w:p>
          <w:p>
            <w:pPr>
              <w:spacing w:lineRule="auto" w:line="240" w:before="0" w:after="20"/>
              <w:ind w:left="142"/>
            </w:pPr>
            <w:r>
              <w:rPr>
                <w:rFonts w:ascii="Courier New" w:hAnsi="Courier New"/>
                <w:b w:val="0"/>
                <w:i w:val="0"/>
                <w:sz w:val="18"/>
              </w:rPr>
              <w:t># Fit K-Means with K=3</w:t>
            </w:r>
          </w:p>
          <w:p>
            <w:pPr>
              <w:spacing w:lineRule="auto" w:line="240" w:before="0" w:after="20"/>
              <w:ind w:left="142"/>
            </w:pPr>
            <w:r>
              <w:rPr>
                <w:rFonts w:ascii="Courier New" w:hAnsi="Courier New"/>
                <w:b w:val="0"/>
                <w:i w:val="0"/>
                <w:sz w:val="18"/>
              </w:rPr>
              <w:t>km = KMeans(n_clusters=3, random_state=42, n_init='auto')</w:t>
            </w:r>
          </w:p>
          <w:p>
            <w:pPr>
              <w:spacing w:lineRule="auto" w:line="240" w:before="0" w:after="20"/>
              <w:ind w:left="142"/>
            </w:pPr>
            <w:r>
              <w:rPr>
                <w:rFonts w:ascii="Courier New" w:hAnsi="Courier New"/>
                <w:b w:val="0"/>
                <w:i w:val="0"/>
                <w:sz w:val="18"/>
              </w:rPr>
              <w:t>feats['segment'] = km.fit_predict(X)</w:t>
            </w:r>
          </w:p>
          <w:p>
            <w:pPr>
              <w:spacing w:lineRule="auto" w:line="240" w:before="0" w:after="20"/>
              <w:ind w:left="142"/>
            </w:pPr>
            <w:r>
              <w:rPr>
                <w:rFonts w:ascii="Courier New" w:hAnsi="Courier New"/>
                <w:b w:val="0"/>
                <w:i w:val="0"/>
                <w:sz w:val="18"/>
              </w:rPr>
              <w:t># Summarise each segment</w:t>
            </w:r>
          </w:p>
          <w:p>
            <w:pPr>
              <w:spacing w:lineRule="auto" w:line="240" w:before="0" w:after="20"/>
              <w:ind w:left="142"/>
            </w:pPr>
            <w:r>
              <w:rPr>
                <w:rFonts w:ascii="Courier New" w:hAnsi="Courier New"/>
                <w:b w:val="0"/>
                <w:i w:val="0"/>
                <w:sz w:val="18"/>
              </w:rPr>
              <w:t>print(feats.groupby('segment').agg(</w:t>
            </w:r>
          </w:p>
          <w:p>
            <w:pPr>
              <w:spacing w:lineRule="auto" w:line="240" w:before="0" w:after="20"/>
              <w:ind w:left="142"/>
            </w:pPr>
            <w:r>
              <w:rPr>
                <w:rFonts w:ascii="Courier New" w:hAnsi="Courier New"/>
                <w:b w:val="0"/>
                <w:i w:val="0"/>
                <w:sz w:val="18"/>
              </w:rPr>
              <w:t>n_customers = ('txn_frequency', 'count'),</w:t>
            </w:r>
          </w:p>
          <w:p>
            <w:pPr>
              <w:spacing w:lineRule="auto" w:line="240" w:before="0" w:after="20"/>
              <w:ind w:left="142"/>
            </w:pPr>
            <w:r>
              <w:rPr>
                <w:rFonts w:ascii="Courier New" w:hAnsi="Courier New"/>
                <w:b w:val="0"/>
                <w:i w:val="0"/>
                <w:sz w:val="18"/>
              </w:rPr>
              <w:t>avg_cash_in = ('avg_monthly_cash_in', 'mean'),</w:t>
            </w:r>
          </w:p>
          <w:p>
            <w:pPr>
              <w:spacing w:lineRule="auto" w:line="240" w:before="0" w:after="20"/>
              <w:ind w:left="142"/>
            </w:pPr>
            <w:r>
              <w:rPr>
                <w:rFonts w:ascii="Courier New" w:hAnsi="Courier New"/>
                <w:b w:val="0"/>
                <w:i w:val="0"/>
                <w:sz w:val="18"/>
              </w:rPr>
              <w:t>avg_freq    = ('txn_frequency', 'mean'),</w:t>
            </w:r>
          </w:p>
          <w:p>
            <w:pPr>
              <w:spacing w:lineRule="auto" w:line="240" w:before="0" w:after="20"/>
              <w:ind w:left="142"/>
            </w:pPr>
            <w:r>
              <w:rPr>
                <w:rFonts w:ascii="Courier New" w:hAnsi="Courier New"/>
                <w:b w:val="0"/>
                <w:i w:val="0"/>
                <w:sz w:val="18"/>
              </w:rPr>
              <w:t>).round(0))</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K-Means Cluster Summary (K=3)</w:t>
            </w:r>
          </w:p>
          <w:p>
            <w:pPr>
              <w:spacing w:lineRule="auto" w:line="240" w:before="0" w:after="20"/>
              <w:ind w:left="113"/>
            </w:pPr>
            <w:r>
              <w:rPr>
                <w:rFonts w:ascii="Courier New" w:hAnsi="Courier New"/>
                <w:b w:val="0"/>
                <w:i w:val="0"/>
                <w:sz w:val="18"/>
              </w:rPr>
              <w:t>n_customers  avg_cash_in  avg_freq</w:t>
            </w:r>
          </w:p>
          <w:p>
            <w:pPr>
              <w:spacing w:lineRule="auto" w:line="240" w:before="0" w:after="20"/>
              <w:ind w:left="113"/>
            </w:pPr>
            <w:r>
              <w:rPr>
                <w:rFonts w:ascii="Courier New" w:hAnsi="Courier New"/>
                <w:b w:val="0"/>
                <w:i w:val="0"/>
                <w:sz w:val="18"/>
              </w:rPr>
              <w:t>segment</w:t>
            </w:r>
          </w:p>
          <w:p>
            <w:pPr>
              <w:spacing w:lineRule="auto" w:line="240" w:before="0" w:after="20"/>
              <w:ind w:left="113"/>
            </w:pPr>
            <w:r>
              <w:rPr>
                <w:rFonts w:ascii="Courier New" w:hAnsi="Courier New"/>
                <w:b w:val="0"/>
                <w:i w:val="0"/>
                <w:sz w:val="18"/>
              </w:rPr>
              <w:t>0                 235        452.0      28.0</w:t>
            </w:r>
          </w:p>
          <w:p>
            <w:pPr>
              <w:spacing w:lineRule="auto" w:line="240" w:before="0" w:after="20"/>
              <w:ind w:left="113"/>
            </w:pPr>
            <w:r>
              <w:rPr>
                <w:rFonts w:ascii="Courier New" w:hAnsi="Courier New"/>
                <w:b w:val="0"/>
                <w:i w:val="0"/>
                <w:sz w:val="18"/>
              </w:rPr>
              <w:t>1                 259        967.0      63.0</w:t>
            </w:r>
          </w:p>
          <w:p>
            <w:pPr>
              <w:spacing w:lineRule="auto" w:line="240" w:before="0" w:after="20"/>
              <w:ind w:left="113"/>
            </w:pPr>
            <w:r>
              <w:rPr>
                <w:rFonts w:ascii="Courier New" w:hAnsi="Courier New"/>
                <w:b w:val="0"/>
                <w:i w:val="0"/>
                <w:sz w:val="18"/>
              </w:rPr>
              <w:t>2                   6      48473.0      66.0</w:t>
            </w:r>
          </w:p>
          <w:p>
            <w:pPr>
              <w:spacing w:lineRule="auto" w:line="240" w:before="0" w:after="20"/>
              <w:ind w:left="113"/>
            </w:pPr>
            <w:r>
              <w:rPr>
                <w:rFonts w:ascii="Courier New" w:hAnsi="Courier New"/>
                <w:b w:val="0"/>
                <w:i w:val="0"/>
                <w:sz w:val="18"/>
              </w:rPr>
              <w:t>Mule account segments: [2 2 2 2 2 2]</w:t>
            </w:r>
          </w:p>
        </w:tc>
      </w:tr>
    </w:tbl>
    <w:p>
      <w:pPr>
        <w:spacing w:lineRule="auto" w:line="240" w:before="0" w:after="160"/>
      </w:pPr>
    </w:p>
    <w:p>
      <w:pPr>
        <w:spacing w:lineRule="auto" w:line="240" w:before="200" w:after="80"/>
        <w:jc w:val="center"/>
      </w:pPr>
      <w:r>
        <w:drawing>
          <wp:inline xmlns:a="http://schemas.openxmlformats.org/drawingml/2006/main" xmlns:pic="http://schemas.openxmlformats.org/drawingml/2006/picture">
            <wp:extent cx="4680000" cy="3086471"/>
            <wp:docPr id="2" name="Picture 2"/>
            <wp:cNvGraphicFramePr>
              <a:graphicFrameLocks noChangeAspect="1"/>
            </wp:cNvGraphicFramePr>
            <a:graphic>
              <a:graphicData uri="http://schemas.openxmlformats.org/drawingml/2006/picture">
                <pic:pic>
                  <pic:nvPicPr>
                    <pic:cNvPr id="0" name="ch5.png"/>
                    <pic:cNvPicPr/>
                  </pic:nvPicPr>
                  <pic:blipFill>
                    <a:blip r:embed="rId10"/>
                    <a:stretch>
                      <a:fillRect/>
                    </a:stretch>
                  </pic:blipFill>
                  <pic:spPr>
                    <a:xfrm>
                      <a:off x="0" y="0"/>
                      <a:ext cx="4680000" cy="3086471"/>
                    </a:xfrm>
                    <a:prstGeom prst="rect"/>
                  </pic:spPr>
                </pic:pic>
              </a:graphicData>
            </a:graphic>
          </wp:inline>
        </w:drawing>
      </w:r>
    </w:p>
    <w:p>
      <w:pPr>
        <w:spacing w:lineRule="auto" w:line="240" w:before="40" w:after="240"/>
        <w:jc w:val="center"/>
      </w:pPr>
      <w:r>
        <w:rPr>
          <w:rFonts w:ascii="Times New Roman" w:hAnsi="Times New Roman"/>
          <w:b w:val="0"/>
          <w:i/>
          <w:sz w:val="20"/>
        </w:rPr>
        <w:t>Fig. 5.1  K-Means cluster visualisation — Northgate customer segments</w:t>
      </w:r>
    </w:p>
    <w:p>
      <w:pPr>
        <w:pStyle w:val="BodyText"/>
        <w:spacing w:lineRule="auto" w:line="360" w:before="0" w:after="120"/>
        <w:ind w:firstLine="283"/>
      </w:pPr>
      <w:r>
        <w:rPr>
          <w:rFonts w:ascii="Times New Roman" w:hAnsi="Times New Roman"/>
          <w:b w:val="0"/>
          <w:i w:val="0"/>
          <w:sz w:val="24"/>
        </w:rPr>
        <w:t>The output shows three behavioural segments. Segment 2 contains exactly six customers — all six mule accounts (ACC0001–ACC0006) — with an average monthly cash-in of USD 48,473, an order of magnitude higher than the other two segments. The scatter chart makes this separation visually clear: the mule accounts (★) cluster in an isolated region of high cash volume and high transaction frequency. Exercise 5.1 asks you to label each segment with a business description and assign monitoring parameters appropriate to the risk level of each group.</w:t>
      </w:r>
    </w:p>
    <w:p>
      <w:pPr>
        <w:pStyle w:val="Heading2"/>
      </w:pPr>
      <w:r>
        <w:rPr>
          <w:rFonts w:ascii="Times New Roman" w:hAnsi="Times New Roman"/>
        </w:rPr>
        <w:t>5.10 Risk Considerations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5.8  </w:t>
            </w:r>
            <w:r>
              <w:rPr>
                <w:rFonts w:ascii="Times New Roman" w:hAnsi="Times New Roman"/>
                <w:b/>
                <w:i/>
                <w:sz w:val="22"/>
              </w:rPr>
              <w:t>Over-segmentation</w:t>
            </w:r>
          </w:p>
          <w:p>
            <w:pPr>
              <w:spacing w:lineRule="auto" w:line="312" w:before="20" w:after="40"/>
              <w:ind w:left="113"/>
            </w:pPr>
            <w:r>
              <w:rPr>
                <w:rFonts w:ascii="Times New Roman" w:hAnsi="Times New Roman"/>
                <w:b w:val="0"/>
                <w:i w:val="0"/>
                <w:sz w:val="22"/>
              </w:rPr>
              <w:t>Over-segmentation: Too many segments produces peer groups so small that the peer comparison loses statistical power. A cluster of twelve customers cannot reliably establish what 'normal' looks like for that group. Minimum cluster sizes should be defined as part of the segmentation governance framework.</w:t>
            </w:r>
          </w:p>
          <w:p>
            <w:pPr>
              <w:spacing w:lineRule="auto" w:line="312" w:before="20" w:after="40"/>
              <w:ind w:left="113"/>
            </w:pPr>
            <w:r>
              <w:rPr>
                <w:rFonts w:ascii="Times New Roman" w:hAnsi="Times New Roman"/>
                <w:b w:val="0"/>
                <w:i w:val="0"/>
                <w:sz w:val="22"/>
              </w:rPr>
              <w:t>Under-segmentation: Too few segments groups behaviourally diverse customers together. Thresholds calibrated for the average of a diverse group will be too high for the low-end customers and too low for the high-end customers. The result is simultaneously over-alerting in some sub-populations and under-alerting in others.</w:t>
            </w:r>
          </w:p>
          <w:p>
            <w:pPr>
              <w:spacing w:lineRule="auto" w:line="312" w:before="20" w:after="40"/>
              <w:ind w:left="113"/>
            </w:pPr>
            <w:r>
              <w:rPr>
                <w:rFonts w:ascii="Times New Roman" w:hAnsi="Times New Roman"/>
                <w:b w:val="0"/>
                <w:i w:val="0"/>
                <w:sz w:val="22"/>
              </w:rPr>
              <w:t>Gaming: If a customer becomes aware that monitoring thresholds vary by segment, and that they can influence their segment assignment by manipulating the characteristics used for clustering, they may do so. This is a known risk in any segmented monitoring system. Mitigation involves using multiple segmentation features, including some that are difficult to manipulate (such as account age), and reviewing segment assignments periodically against behavioural change.</w:t>
            </w:r>
          </w:p>
          <w:p>
            <w:pPr>
              <w:spacing w:lineRule="auto" w:line="312" w:before="20" w:after="40"/>
              <w:ind w:left="113"/>
            </w:pPr>
            <w:r>
              <w:rPr>
                <w:rFonts w:ascii="Times New Roman" w:hAnsi="Times New Roman"/>
                <w:b w:val="0"/>
                <w:i w:val="0"/>
                <w:sz w:val="22"/>
              </w:rPr>
              <w:t>Regulatory examination of clusters: Examiners will want to understand not just the clustering methodology but the business interpretation of each cluster and the thresholds assigned to it. Institutions should maintain clear documentation of the segmentation rationale and be prepared to demonstrate that each cluster is interpretable, defensible, and consistently applied.</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5.9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Segmentation divides the customer population into peer groups and applies monitoring parameters appropriate to each group. It reduces false positives and improves coverage simultaneously.</w:t>
            </w:r>
          </w:p>
          <w:p>
            <w:pPr>
              <w:spacing w:lineRule="auto" w:line="312" w:before="20" w:after="40"/>
              <w:ind w:left="113"/>
            </w:pPr>
            <w:r>
              <w:rPr>
                <w:rFonts w:ascii="Times New Roman" w:hAnsi="Times New Roman"/>
                <w:b w:val="0"/>
                <w:i w:val="0"/>
                <w:sz w:val="22"/>
              </w:rPr>
              <w:t>Top-down segmentation uses pre-defined attributes (product, industry, CRR). Bottom-up segmentation uses clustering algorithms to derive groups from observed behaviour.</w:t>
            </w:r>
          </w:p>
          <w:p>
            <w:pPr>
              <w:spacing w:lineRule="auto" w:line="312" w:before="20" w:after="40"/>
              <w:ind w:left="113"/>
            </w:pPr>
            <w:r>
              <w:rPr>
                <w:rFonts w:ascii="Times New Roman" w:hAnsi="Times New Roman"/>
                <w:b w:val="0"/>
                <w:i w:val="0"/>
                <w:sz w:val="22"/>
              </w:rPr>
              <w:t>K-Means is the most widely used clustering algorithm in AML. It partitions customers into K groups by minimising within-cluster variance. Choosing K requires both statistical analysis (elbow method, silhouette score) and business judgement.</w:t>
            </w:r>
          </w:p>
          <w:p>
            <w:pPr>
              <w:spacing w:lineRule="auto" w:line="312" w:before="20" w:after="40"/>
              <w:ind w:left="113"/>
            </w:pPr>
            <w:r>
              <w:rPr>
                <w:rFonts w:ascii="Times New Roman" w:hAnsi="Times New Roman"/>
                <w:b w:val="0"/>
                <w:i w:val="0"/>
                <w:sz w:val="22"/>
              </w:rPr>
              <w:t>Clusters must be interpreted in business terms: what type of customer does each cluster represent, what transaction behaviour is normal in that cluster, and what threshold is appropriate?</w:t>
            </w:r>
          </w:p>
          <w:p>
            <w:pPr>
              <w:spacing w:lineRule="auto" w:line="312" w:before="20" w:after="40"/>
              <w:ind w:left="113"/>
            </w:pPr>
            <w:r>
              <w:rPr>
                <w:rFonts w:ascii="Times New Roman" w:hAnsi="Times New Roman"/>
                <w:b w:val="0"/>
                <w:i w:val="0"/>
                <w:sz w:val="22"/>
              </w:rPr>
              <w:t>Regulatory defensibility requires documentation: data used, features selected, algorithm chosen, K selection rationale, cluster interpretation, and validation results.</w:t>
            </w:r>
          </w:p>
          <w:p>
            <w:pPr>
              <w:spacing w:lineRule="auto" w:line="312" w:before="20" w:after="40"/>
              <w:ind w:left="113"/>
            </w:pPr>
            <w:r>
              <w:rPr>
                <w:rFonts w:ascii="Times New Roman" w:hAnsi="Times New Roman"/>
                <w:b w:val="0"/>
                <w:i w:val="0"/>
                <w:sz w:val="22"/>
              </w:rPr>
              <w:t>Hierarchical clustering is suited to small populations and provides a dendrogram that reveals the structure of cluster relationships without requiring K to be specified in advance.</w:t>
            </w:r>
          </w:p>
          <w:p>
            <w:pPr>
              <w:spacing w:lineRule="auto" w:line="312" w:before="20" w:after="40"/>
              <w:ind w:left="113"/>
            </w:pPr>
            <w:r>
              <w:rPr>
                <w:rFonts w:ascii="Times New Roman" w:hAnsi="Times New Roman"/>
                <w:b w:val="0"/>
                <w:i w:val="0"/>
                <w:sz w:val="22"/>
              </w:rPr>
              <w:t>TDA identifies structural features in high-dimensional data — including ring structures in transaction networks — that distance-based clustering methods miss.</w:t>
            </w:r>
          </w:p>
          <w:p>
            <w:pPr>
              <w:spacing w:lineRule="auto" w:line="312" w:before="20" w:after="40"/>
              <w:ind w:left="113"/>
            </w:pPr>
            <w:r>
              <w:rPr>
                <w:rFonts w:ascii="Times New Roman" w:hAnsi="Times New Roman"/>
                <w:b w:val="0"/>
                <w:i w:val="0"/>
                <w:sz w:val="22"/>
              </w:rPr>
              <w:t>The Northgate mule accounts fall in a medium-volume, elevated-risk cluster. Their cluster assignment affects the threshold they are monitored against, which is why segmentation and threshold calibration must be done together.</w:t>
            </w:r>
          </w:p>
          <w:p>
            <w:pPr>
              <w:spacing w:lineRule="auto" w:line="312" w:before="20" w:after="40"/>
              <w:ind w:left="113"/>
            </w:pPr>
            <w:r>
              <w:rPr>
                <w:rFonts w:ascii="Times New Roman" w:hAnsi="Times New Roman"/>
                <w:b w:val="0"/>
                <w:i w:val="0"/>
                <w:sz w:val="22"/>
              </w:rPr>
              <w:t>An institution implementing its first segmentation model is transitioning from Basic to Established maturity. Institutions at the Advanced stage have completed multiple rounds of segmentation review and validation, with documented evidence that segment boundaries remain appropriate as the customer population evolves.</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5.1 — Segmenting the Northgate Customer Population  [Intermediate / Advanced]</w:t>
            </w:r>
          </w:p>
          <w:p>
            <w:pPr>
              <w:spacing w:lineRule="auto" w:line="312" w:before="20" w:after="40"/>
              <w:ind w:left="113"/>
            </w:pPr>
            <w:r>
              <w:rPr>
                <w:rFonts w:ascii="Times New Roman" w:hAnsi="Times New Roman"/>
                <w:b w:val="0"/>
                <w:i w:val="0"/>
                <w:sz w:val="22"/>
              </w:rPr>
              <w:t>Recap: In Exercise 4.1 you designed the structuring rule. Now we add segmentation to improve its precision and ensure that monitoring thresholds are appropriate for each customer group.</w:t>
            </w:r>
          </w:p>
          <w:p>
            <w:pPr>
              <w:spacing w:lineRule="auto" w:line="312" w:before="20" w:after="40"/>
              <w:ind w:left="113"/>
            </w:pPr>
            <w:r>
              <w:rPr>
                <w:rFonts w:ascii="Times New Roman" w:hAnsi="Times New Roman"/>
                <w:b w:val="0"/>
                <w:i w:val="0"/>
                <w:sz w:val="22"/>
              </w:rPr>
              <w:t>Colab Extension: Section 5.9 of the text showed K-Means applied to three behavioural features. This exercise extends that codebase. Open the Chapter 5 Colab notebook: the feats DataFrame and the fitted km model from Section 5.9 are already in memory in Cell 1. Part A asks you to experiment with K and additional features. Part B uses the cluster labels produced by the notebook to set segment-specific thresholds for Rule 1.</w:t>
            </w:r>
          </w:p>
          <w:p>
            <w:pPr>
              <w:spacing w:lineRule="auto" w:line="312" w:before="20" w:after="40"/>
              <w:ind w:left="113"/>
            </w:pPr>
            <w:r>
              <w:rPr>
                <w:rFonts w:ascii="Times New Roman" w:hAnsi="Times New Roman"/>
                <w:b w:val="0"/>
                <w:i w:val="0"/>
                <w:sz w:val="22"/>
              </w:rPr>
              <w:t>Use the code below to generate the synthetic Northgate dataset and apply K-Means clustering with K=3 and K=5. Plot the clusters using a scatter plot of avg_monthly_cash_in vs avg_transaction_count, with cluster membership shown by colour. Then answer:</w:t>
            </w:r>
          </w:p>
          <w:p>
            <w:pPr>
              <w:spacing w:lineRule="auto" w:line="312" w:before="20" w:after="40"/>
              <w:ind w:left="113"/>
            </w:pPr>
            <w:r>
              <w:rPr>
                <w:rFonts w:ascii="Times New Roman" w:hAnsi="Times New Roman"/>
                <w:b w:val="0"/>
                <w:i w:val="0"/>
                <w:sz w:val="22"/>
              </w:rPr>
              <w:t>Note on ground truth: In this exercise, is_sar_worthy = 1 is concentrated in the elevated-risk sub-population for clarity of illustration. In a real dataset, suspicious activity appears in any segment — genuine SARs emerge from standard retail customers; some elevated-risk accounts are legitimately active. This is precisely why below-the-line sampling (Chapter 6) is essential: segment assignment alone cannot confirm where the suspicious activity is hiding.</w:t>
            </w:r>
          </w:p>
          <w:p>
            <w:pPr>
              <w:spacing w:lineRule="auto" w:line="312" w:before="20" w:after="40"/>
              <w:ind w:left="113"/>
            </w:pPr>
            <w:r>
              <w:rPr>
                <w:rFonts w:ascii="Times New Roman" w:hAnsi="Times New Roman"/>
                <w:b w:val="0"/>
                <w:i w:val="0"/>
                <w:sz w:val="22"/>
              </w:rPr>
              <w:t>Which value of K produces more interpretable peer groups? Justify your choice using the elbow method, silhouette score, and business interpretation of the clusters.</w:t>
            </w:r>
          </w:p>
          <w:p>
            <w:pPr>
              <w:spacing w:lineRule="auto" w:line="312" w:before="20" w:after="40"/>
              <w:ind w:left="113"/>
            </w:pPr>
            <w:r>
              <w:rPr>
                <w:rFonts w:ascii="Times New Roman" w:hAnsi="Times New Roman"/>
                <w:b w:val="0"/>
                <w:i w:val="0"/>
                <w:sz w:val="22"/>
              </w:rPr>
              <w:t>Name each cluster based on its centroid characteristics and propose a monitoring threshold appropriate to each cluster.</w:t>
            </w:r>
          </w:p>
        </w:tc>
      </w:tr>
    </w:tbl>
    <w:p>
      <w:pPr>
        <w:spacing w:lineRule="auto" w:line="240" w:before="0" w:after="80"/>
      </w:pPr>
    </w:p>
    <w:p>
      <w:pPr>
        <w:spacing w:lineRule="auto" w:line="240" w:before="120" w:after="40"/>
        <w:ind w:left="227"/>
      </w:pPr>
      <w:r>
        <w:rPr>
          <w:rFonts w:ascii="Courier New" w:hAnsi="Courier New"/>
          <w:b/>
          <w:i w:val="0"/>
          <w:sz w:val="18"/>
        </w:rPr>
        <w:t>Python code: (save as generate_and_cluster.py)</w:t>
      </w:r>
    </w:p>
    <w:tbl>
      <w:tblPr>
        <w:tblLayout w:type="fixed"/>
        <w:tblLook w:firstColumn="1" w:firstRow="1" w:lastColumn="0" w:lastRow="0" w:noHBand="0" w:noVBand="1" w:val="04A0"/>
        <w:tblW w:w="8845"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Ind w:w="226" w:type="dxa"/>
      </w:tblPr>
      <w:tblGrid>
        <w:gridCol w:w="9072"/>
      </w:tblGrid>
      <w:tr>
        <w:tc>
          <w:tcPr>
            <w:tcW w:w="8845" w:type="dxa"/>
            <w:shd w:val="clear" w:color="auto" w:fill="F2F2F2"/>
          </w:tcPr>
          <w:p>
            <w:pPr>
              <w:spacing w:lineRule="auto" w:line="240" w:before="0" w:after="20"/>
              <w:ind w:left="142"/>
            </w:pPr>
            <w:r>
              <w:rPr>
                <w:rFonts w:ascii="Courier New" w:hAnsi="Courier New"/>
                <w:b w:val="0"/>
                <w:i w:val="0"/>
                <w:sz w:val="18"/>
              </w:rPr>
              <w:t>import numpy as np, pandas as pd, matplotlib.pyplot as plt</w:t>
            </w:r>
          </w:p>
          <w:p>
            <w:pPr>
              <w:spacing w:lineRule="auto" w:line="240" w:before="0" w:after="20"/>
              <w:ind w:left="142"/>
            </w:pPr>
            <w:r>
              <w:rPr>
                <w:rFonts w:ascii="Courier New" w:hAnsi="Courier New"/>
                <w:b w:val="0"/>
                <w:i w:val="0"/>
                <w:sz w:val="18"/>
              </w:rPr>
              <w:t>from sklearn.cluster import KMeans</w:t>
            </w:r>
          </w:p>
          <w:p>
            <w:pPr>
              <w:spacing w:lineRule="auto" w:line="240" w:before="0" w:after="20"/>
              <w:ind w:left="142"/>
            </w:pPr>
            <w:r>
              <w:rPr>
                <w:rFonts w:ascii="Courier New" w:hAnsi="Courier New"/>
                <w:b w:val="0"/>
                <w:i w:val="0"/>
                <w:sz w:val="18"/>
              </w:rPr>
              <w:t>from sklearn.preprocessing import StandardScaler</w:t>
            </w:r>
          </w:p>
          <w:p>
            <w:pPr>
              <w:spacing w:lineRule="auto" w:line="240" w:before="0" w:after="20"/>
              <w:ind w:left="142"/>
            </w:pPr>
            <w:r>
              <w:rPr>
                <w:rFonts w:ascii="Courier New" w:hAnsi="Courier New"/>
                <w:b w:val="0"/>
                <w:i w:val="0"/>
                <w:sz w:val="18"/>
              </w:rPr>
              <w:t>from sklearn.metrics import silhouette_score</w:t>
            </w:r>
          </w:p>
          <w:p>
            <w:pPr>
              <w:spacing w:lineRule="auto" w:line="240" w:before="0" w:after="20"/>
              <w:ind w:left="142"/>
            </w:pPr>
            <w:r>
              <w:rPr>
                <w:rFonts w:ascii="Courier New" w:hAnsi="Courier New"/>
                <w:b w:val="0"/>
                <w:i w:val="0"/>
                <w:sz w:val="18"/>
              </w:rPr>
              <w:t>np.random.seed(42)</w:t>
            </w:r>
          </w:p>
          <w:p>
            <w:pPr>
              <w:spacing w:lineRule="auto" w:line="240" w:before="0" w:after="20"/>
              <w:ind w:left="142"/>
            </w:pPr>
            <w:r>
              <w:rPr>
                <w:rFonts w:ascii="Courier New" w:hAnsi="Courier New"/>
                <w:b w:val="0"/>
                <w:i w:val="0"/>
                <w:sz w:val="18"/>
              </w:rPr>
              <w:t>n = 500</w:t>
            </w:r>
          </w:p>
          <w:p>
            <w:pPr>
              <w:spacing w:lineRule="auto" w:line="240" w:before="0" w:after="20"/>
              <w:ind w:left="142"/>
            </w:pPr>
            <w:r>
              <w:rPr>
                <w:rFonts w:ascii="Courier New" w:hAnsi="Courier New"/>
                <w:b w:val="0"/>
                <w:i w:val="0"/>
                <w:sz w:val="18"/>
              </w:rPr>
              <w:t># Generate synthetic customer population</w:t>
            </w:r>
          </w:p>
          <w:p>
            <w:pPr>
              <w:spacing w:lineRule="auto" w:line="240" w:before="0" w:after="20"/>
              <w:ind w:left="142"/>
            </w:pPr>
            <w:r>
              <w:rPr>
                <w:rFonts w:ascii="Courier New" w:hAnsi="Courier New"/>
                <w:b w:val="0"/>
                <w:i w:val="0"/>
                <w:sz w:val="18"/>
              </w:rPr>
              <w:t>cash_in = np.concatenate([</w:t>
            </w:r>
          </w:p>
          <w:p>
            <w:pPr>
              <w:spacing w:lineRule="auto" w:line="240" w:before="0" w:after="20"/>
              <w:ind w:left="142"/>
            </w:pPr>
            <w:r>
              <w:rPr>
                <w:rFonts w:ascii="Courier New" w:hAnsi="Courier New"/>
                <w:b w:val="0"/>
                <w:i w:val="0"/>
                <w:sz w:val="18"/>
              </w:rPr>
              <w:t>np.random.lognormal(6.0, 0.5, 350),   # Standard retail: low-medium volume</w:t>
            </w:r>
          </w:p>
          <w:p>
            <w:pPr>
              <w:spacing w:lineRule="auto" w:line="240" w:before="0" w:after="20"/>
              <w:ind w:left="142"/>
            </w:pPr>
            <w:r>
              <w:rPr>
                <w:rFonts w:ascii="Courier New" w:hAnsi="Courier New"/>
                <w:b w:val="0"/>
                <w:i w:val="0"/>
                <w:sz w:val="18"/>
              </w:rPr>
              <w:t>np.random.lognormal(8.2, 0.4, 100),   # Cash-intensive: high volume</w:t>
            </w:r>
          </w:p>
          <w:p>
            <w:pPr>
              <w:spacing w:lineRule="auto" w:line="240" w:before="0" w:after="20"/>
              <w:ind w:left="142"/>
            </w:pPr>
            <w:r>
              <w:rPr>
                <w:rFonts w:ascii="Courier New" w:hAnsi="Courier New"/>
                <w:b w:val="0"/>
                <w:i w:val="0"/>
                <w:sz w:val="18"/>
              </w:rPr>
              <w:t>np.random.lognormal(9.0, 0.3, 50)     # Elevated risk: very high volume</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txn_count = np.concatenate([</w:t>
            </w:r>
          </w:p>
          <w:p>
            <w:pPr>
              <w:spacing w:lineRule="auto" w:line="240" w:before="0" w:after="20"/>
              <w:ind w:left="142"/>
            </w:pPr>
            <w:r>
              <w:rPr>
                <w:rFonts w:ascii="Courier New" w:hAnsi="Courier New"/>
                <w:b w:val="0"/>
                <w:i w:val="0"/>
                <w:sz w:val="18"/>
              </w:rPr>
              <w:t>np.random.poisson(2.1, 350),</w:t>
            </w:r>
          </w:p>
          <w:p>
            <w:pPr>
              <w:spacing w:lineRule="auto" w:line="240" w:before="0" w:after="20"/>
              <w:ind w:left="142"/>
            </w:pPr>
            <w:r>
              <w:rPr>
                <w:rFonts w:ascii="Courier New" w:hAnsi="Courier New"/>
                <w:b w:val="0"/>
                <w:i w:val="0"/>
                <w:sz w:val="18"/>
              </w:rPr>
              <w:t>np.random.poisson(8.5, 100),</w:t>
            </w:r>
          </w:p>
          <w:p>
            <w:pPr>
              <w:spacing w:lineRule="auto" w:line="240" w:before="0" w:after="20"/>
              <w:ind w:left="142"/>
            </w:pPr>
            <w:r>
              <w:rPr>
                <w:rFonts w:ascii="Courier New" w:hAnsi="Courier New"/>
                <w:b w:val="0"/>
                <w:i w:val="0"/>
                <w:sz w:val="18"/>
              </w:rPr>
              <w:t>np.random.poisson(4.3, 50)</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age = np.concatenate([</w:t>
            </w:r>
          </w:p>
          <w:p>
            <w:pPr>
              <w:spacing w:lineRule="auto" w:line="240" w:before="0" w:after="20"/>
              <w:ind w:left="142"/>
            </w:pPr>
            <w:r>
              <w:rPr>
                <w:rFonts w:ascii="Courier New" w:hAnsi="Courier New"/>
                <w:b w:val="0"/>
                <w:i w:val="0"/>
                <w:sz w:val="18"/>
              </w:rPr>
              <w:t>np.random.randint(12, 120, 350),</w:t>
            </w:r>
          </w:p>
          <w:p>
            <w:pPr>
              <w:spacing w:lineRule="auto" w:line="240" w:before="0" w:after="20"/>
              <w:ind w:left="142"/>
            </w:pPr>
            <w:r>
              <w:rPr>
                <w:rFonts w:ascii="Courier New" w:hAnsi="Courier New"/>
                <w:b w:val="0"/>
                <w:i w:val="0"/>
                <w:sz w:val="18"/>
              </w:rPr>
              <w:t>np.random.randint(6, 60, 100),</w:t>
            </w:r>
          </w:p>
          <w:p>
            <w:pPr>
              <w:spacing w:lineRule="auto" w:line="240" w:before="0" w:after="20"/>
              <w:ind w:left="142"/>
            </w:pPr>
            <w:r>
              <w:rPr>
                <w:rFonts w:ascii="Courier New" w:hAnsi="Courier New"/>
                <w:b w:val="0"/>
                <w:i w:val="0"/>
                <w:sz w:val="18"/>
              </w:rPr>
              <w:t>np.random.randint(3, 18, 50)</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cust_type = ['personal']*350 + ['business']*100 + ['personal']*50</w:t>
            </w:r>
          </w:p>
          <w:p>
            <w:pPr>
              <w:spacing w:lineRule="auto" w:line="240" w:before="0" w:after="20"/>
              <w:ind w:left="142"/>
            </w:pPr>
            <w:r>
              <w:rPr>
                <w:rFonts w:ascii="Courier New" w:hAnsi="Courier New"/>
                <w:b w:val="0"/>
                <w:i w:val="0"/>
                <w:sz w:val="18"/>
              </w:rPr>
              <w:t>crr = np.concatenate([</w:t>
            </w:r>
          </w:p>
          <w:p>
            <w:pPr>
              <w:spacing w:lineRule="auto" w:line="240" w:before="0" w:after="20"/>
              <w:ind w:left="142"/>
            </w:pPr>
            <w:r>
              <w:rPr>
                <w:rFonts w:ascii="Courier New" w:hAnsi="Courier New"/>
                <w:b w:val="0"/>
                <w:i w:val="0"/>
                <w:sz w:val="18"/>
              </w:rPr>
              <w:t>np.random.choice([1,2], 350, p=[0.7,0.3]),</w:t>
            </w:r>
          </w:p>
          <w:p>
            <w:pPr>
              <w:spacing w:lineRule="auto" w:line="240" w:before="0" w:after="20"/>
              <w:ind w:left="142"/>
            </w:pPr>
            <w:r>
              <w:rPr>
                <w:rFonts w:ascii="Courier New" w:hAnsi="Courier New"/>
                <w:b w:val="0"/>
                <w:i w:val="0"/>
                <w:sz w:val="18"/>
              </w:rPr>
              <w:t>np.random.choice([2,3], 100, p=[0.4,0.6]),</w:t>
            </w:r>
          </w:p>
          <w:p>
            <w:pPr>
              <w:spacing w:lineRule="auto" w:line="240" w:before="0" w:after="20"/>
              <w:ind w:left="142"/>
            </w:pPr>
            <w:r>
              <w:rPr>
                <w:rFonts w:ascii="Courier New" w:hAnsi="Courier New"/>
                <w:b w:val="0"/>
                <w:i w:val="0"/>
                <w:sz w:val="18"/>
              </w:rPr>
              <w:t>np.random.choice([2,3,4], 50, p=[0.3,0.4,0.3])</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is_sar = np.concatenate([np.zeros(350), np.zeros(100), np.ones(50)]).astype(int)</w:t>
            </w:r>
          </w:p>
          <w:p>
            <w:pPr>
              <w:spacing w:lineRule="auto" w:line="240" w:before="0" w:after="20"/>
              <w:ind w:left="142"/>
            </w:pPr>
            <w:r>
              <w:rPr>
                <w:rFonts w:ascii="Courier New" w:hAnsi="Courier New"/>
                <w:b w:val="0"/>
                <w:i w:val="0"/>
                <w:sz w:val="18"/>
              </w:rPr>
              <w:t>ids = [f'NRB_{str(i+1).zfill(3)}' for i in range(n)]</w:t>
            </w:r>
          </w:p>
          <w:p>
            <w:pPr>
              <w:spacing w:lineRule="auto" w:line="240" w:before="0" w:after="20"/>
              <w:ind w:left="142"/>
            </w:pPr>
            <w:r>
              <w:rPr>
                <w:rFonts w:ascii="Courier New" w:hAnsi="Courier New"/>
                <w:b w:val="0"/>
                <w:i w:val="0"/>
                <w:sz w:val="18"/>
              </w:rPr>
              <w:t>df = pd.DataFrame({'customer_id': ids, 'avg_monthly_cash_in': np.round(cash_in,2),</w:t>
            </w:r>
          </w:p>
          <w:p>
            <w:pPr>
              <w:spacing w:lineRule="auto" w:line="240" w:before="0" w:after="20"/>
              <w:ind w:left="142"/>
            </w:pPr>
            <w:r>
              <w:rPr>
                <w:rFonts w:ascii="Courier New" w:hAnsi="Courier New"/>
                <w:b w:val="0"/>
                <w:i w:val="0"/>
                <w:sz w:val="18"/>
              </w:rPr>
              <w:t>'avg_transaction_count': np.round(np.maximum(txn_count,1).astype(float),1),</w:t>
            </w:r>
          </w:p>
          <w:p>
            <w:pPr>
              <w:spacing w:lineRule="auto" w:line="240" w:before="0" w:after="20"/>
              <w:ind w:left="142"/>
            </w:pPr>
            <w:r>
              <w:rPr>
                <w:rFonts w:ascii="Courier New" w:hAnsi="Courier New"/>
                <w:b w:val="0"/>
                <w:i w:val="0"/>
                <w:sz w:val="18"/>
              </w:rPr>
              <w:t>'account_age_months': age, 'customer_type': cust_type,</w:t>
            </w:r>
          </w:p>
          <w:p>
            <w:pPr>
              <w:spacing w:lineRule="auto" w:line="240" w:before="0" w:after="20"/>
              <w:ind w:left="142"/>
            </w:pPr>
            <w:r>
              <w:rPr>
                <w:rFonts w:ascii="Courier New" w:hAnsi="Courier New"/>
                <w:b w:val="0"/>
                <w:i w:val="0"/>
                <w:sz w:val="18"/>
              </w:rPr>
              <w:t>'crr_score': crr, 'is_sar_worthy': is_sar})</w:t>
            </w:r>
          </w:p>
          <w:p>
            <w:pPr>
              <w:spacing w:lineRule="auto" w:line="240" w:before="0" w:after="20"/>
              <w:ind w:left="142"/>
            </w:pPr>
            <w:r>
              <w:rPr>
                <w:rFonts w:ascii="Courier New" w:hAnsi="Courier New"/>
                <w:b w:val="0"/>
                <w:i w:val="0"/>
                <w:sz w:val="18"/>
              </w:rPr>
              <w:t>df.to_csv('northgate_customers.csv', index=False)</w:t>
            </w:r>
          </w:p>
          <w:p>
            <w:pPr>
              <w:spacing w:lineRule="auto" w:line="240" w:before="0" w:after="20"/>
              <w:ind w:left="142"/>
            </w:pPr>
            <w:r>
              <w:rPr>
                <w:rFonts w:ascii="Courier New" w:hAnsi="Courier New"/>
                <w:b w:val="0"/>
                <w:i w:val="0"/>
                <w:sz w:val="18"/>
              </w:rPr>
              <w:t># Cluster on numeric features only</w:t>
            </w:r>
          </w:p>
          <w:p>
            <w:pPr>
              <w:spacing w:lineRule="auto" w:line="240" w:before="0" w:after="20"/>
              <w:ind w:left="142"/>
            </w:pPr>
            <w:r>
              <w:rPr>
                <w:rFonts w:ascii="Courier New" w:hAnsi="Courier New"/>
                <w:b w:val="0"/>
                <w:i w:val="0"/>
                <w:sz w:val="18"/>
              </w:rPr>
              <w:t>features = df[['avg_monthly_cash_in','avg_transaction_count',</w:t>
            </w:r>
          </w:p>
          <w:p>
            <w:pPr>
              <w:spacing w:lineRule="auto" w:line="240" w:before="0" w:after="20"/>
              <w:ind w:left="142"/>
            </w:pPr>
            <w:r>
              <w:rPr>
                <w:rFonts w:ascii="Courier New" w:hAnsi="Courier New"/>
                <w:b w:val="0"/>
                <w:i w:val="0"/>
                <w:sz w:val="18"/>
              </w:rPr>
              <w:t>'account_age_months','crr_score']]</w:t>
            </w:r>
          </w:p>
          <w:p>
            <w:pPr>
              <w:spacing w:lineRule="auto" w:line="240" w:before="0" w:after="20"/>
              <w:ind w:left="142"/>
            </w:pPr>
            <w:r>
              <w:rPr>
                <w:rFonts w:ascii="Courier New" w:hAnsi="Courier New"/>
                <w:b w:val="0"/>
                <w:i w:val="0"/>
                <w:sz w:val="18"/>
              </w:rPr>
              <w:t>scaler = StandardScaler()</w:t>
            </w:r>
          </w:p>
          <w:p>
            <w:pPr>
              <w:spacing w:lineRule="auto" w:line="240" w:before="0" w:after="20"/>
              <w:ind w:left="142"/>
            </w:pPr>
            <w:r>
              <w:rPr>
                <w:rFonts w:ascii="Courier New" w:hAnsi="Courier New"/>
                <w:b w:val="0"/>
                <w:i w:val="0"/>
                <w:sz w:val="18"/>
              </w:rPr>
              <w:t>X = scaler.fit_transform(features)</w:t>
            </w:r>
          </w:p>
          <w:p>
            <w:pPr>
              <w:spacing w:lineRule="auto" w:line="240" w:before="0" w:after="20"/>
              <w:ind w:left="142"/>
            </w:pPr>
            <w:r>
              <w:rPr>
                <w:rFonts w:ascii="Courier New" w:hAnsi="Courier New"/>
                <w:b w:val="0"/>
                <w:i w:val="0"/>
                <w:sz w:val="18"/>
              </w:rPr>
              <w:t># Elbow method</w:t>
            </w:r>
          </w:p>
          <w:p>
            <w:pPr>
              <w:spacing w:lineRule="auto" w:line="240" w:before="0" w:after="20"/>
              <w:ind w:left="142"/>
            </w:pPr>
            <w:r>
              <w:rPr>
                <w:rFonts w:ascii="Courier New" w:hAnsi="Courier New"/>
                <w:b w:val="0"/>
                <w:i w:val="0"/>
                <w:sz w:val="18"/>
              </w:rPr>
              <w:t>inertias = []</w:t>
            </w:r>
          </w:p>
          <w:p>
            <w:pPr>
              <w:spacing w:lineRule="auto" w:line="240" w:before="0" w:after="20"/>
              <w:ind w:left="142"/>
            </w:pPr>
            <w:r>
              <w:rPr>
                <w:rFonts w:ascii="Courier New" w:hAnsi="Courier New"/>
                <w:b w:val="0"/>
                <w:i w:val="0"/>
                <w:sz w:val="18"/>
              </w:rPr>
              <w:t>for k in range(2,9):</w:t>
            </w:r>
          </w:p>
          <w:p>
            <w:pPr>
              <w:spacing w:lineRule="auto" w:line="240" w:before="0" w:after="20"/>
              <w:ind w:left="142"/>
            </w:pPr>
            <w:r>
              <w:rPr>
                <w:rFonts w:ascii="Courier New" w:hAnsi="Courier New"/>
                <w:b w:val="0"/>
                <w:i w:val="0"/>
                <w:sz w:val="18"/>
              </w:rPr>
              <w:t>km = KMeans(n_clusters=k, random_state=42, n_init=10)</w:t>
            </w:r>
          </w:p>
          <w:p>
            <w:pPr>
              <w:spacing w:lineRule="auto" w:line="240" w:before="0" w:after="20"/>
              <w:ind w:left="142"/>
            </w:pPr>
            <w:r>
              <w:rPr>
                <w:rFonts w:ascii="Courier New" w:hAnsi="Courier New"/>
                <w:b w:val="0"/>
                <w:i w:val="0"/>
                <w:sz w:val="18"/>
              </w:rPr>
              <w:t>km.fit(X)</w:t>
            </w:r>
          </w:p>
          <w:p>
            <w:pPr>
              <w:spacing w:lineRule="auto" w:line="240" w:before="0" w:after="20"/>
              <w:ind w:left="142"/>
            </w:pPr>
            <w:r>
              <w:rPr>
                <w:rFonts w:ascii="Courier New" w:hAnsi="Courier New"/>
                <w:b w:val="0"/>
                <w:i w:val="0"/>
                <w:sz w:val="18"/>
              </w:rPr>
              <w:t>inertias.append(km.inertia_)</w:t>
            </w:r>
          </w:p>
          <w:p>
            <w:pPr>
              <w:spacing w:lineRule="auto" w:line="240" w:before="0" w:after="20"/>
              <w:ind w:left="142"/>
            </w:pPr>
            <w:r>
              <w:rPr>
                <w:rFonts w:ascii="Courier New" w:hAnsi="Courier New"/>
                <w:b w:val="0"/>
                <w:i w:val="0"/>
                <w:sz w:val="18"/>
              </w:rPr>
              <w:t>plt.figure(); plt.plot(range(2,9), inertias, 'bo-')</w:t>
            </w:r>
          </w:p>
          <w:p>
            <w:pPr>
              <w:spacing w:lineRule="auto" w:line="240" w:before="0" w:after="20"/>
              <w:ind w:left="142"/>
            </w:pPr>
            <w:r>
              <w:rPr>
                <w:rFonts w:ascii="Courier New" w:hAnsi="Courier New"/>
                <w:b w:val="0"/>
                <w:i w:val="0"/>
                <w:sz w:val="18"/>
              </w:rPr>
              <w:t>plt.xlabel('K'); plt.ylabel('Inertia'); plt.title('Elbow Method')</w:t>
            </w:r>
          </w:p>
          <w:p>
            <w:pPr>
              <w:spacing w:lineRule="auto" w:line="240" w:before="0" w:after="20"/>
              <w:ind w:left="142"/>
            </w:pPr>
            <w:r>
              <w:rPr>
                <w:rFonts w:ascii="Courier New" w:hAnsi="Courier New"/>
                <w:b w:val="0"/>
                <w:i w:val="0"/>
                <w:sz w:val="18"/>
              </w:rPr>
              <w:t>plt.savefig('elbow.png', dpi=150); plt.close()</w:t>
            </w:r>
          </w:p>
          <w:p>
            <w:pPr>
              <w:spacing w:lineRule="auto" w:line="240" w:before="0" w:after="20"/>
              <w:ind w:left="142"/>
            </w:pPr>
            <w:r>
              <w:rPr>
                <w:rFonts w:ascii="Courier New" w:hAnsi="Courier New"/>
                <w:b w:val="0"/>
                <w:i w:val="0"/>
                <w:sz w:val="18"/>
              </w:rPr>
              <w:t># Fit K=3 and K=5</w:t>
            </w:r>
          </w:p>
          <w:p>
            <w:pPr>
              <w:spacing w:lineRule="auto" w:line="240" w:before="0" w:after="20"/>
              <w:ind w:left="142"/>
            </w:pPr>
            <w:r>
              <w:rPr>
                <w:rFonts w:ascii="Courier New" w:hAnsi="Courier New"/>
                <w:b w:val="0"/>
                <w:i w:val="0"/>
                <w:sz w:val="18"/>
              </w:rPr>
              <w:t>for k in [3, 5]:</w:t>
            </w:r>
          </w:p>
          <w:p>
            <w:pPr>
              <w:spacing w:lineRule="auto" w:line="240" w:before="0" w:after="20"/>
              <w:ind w:left="142"/>
            </w:pPr>
            <w:r>
              <w:rPr>
                <w:rFonts w:ascii="Courier New" w:hAnsi="Courier New"/>
                <w:b w:val="0"/>
                <w:i w:val="0"/>
                <w:sz w:val="18"/>
              </w:rPr>
              <w:t>km = KMeans(n_clusters=k, random_state=42, n_init=10)</w:t>
            </w:r>
          </w:p>
          <w:p>
            <w:pPr>
              <w:spacing w:lineRule="auto" w:line="240" w:before="0" w:after="20"/>
              <w:ind w:left="142"/>
            </w:pPr>
            <w:r>
              <w:rPr>
                <w:rFonts w:ascii="Courier New" w:hAnsi="Courier New"/>
                <w:b w:val="0"/>
                <w:i w:val="0"/>
                <w:sz w:val="18"/>
              </w:rPr>
              <w:t>labels = km.fit_predict(X)</w:t>
            </w:r>
          </w:p>
          <w:p>
            <w:pPr>
              <w:spacing w:lineRule="auto" w:line="240" w:before="0" w:after="20"/>
              <w:ind w:left="142"/>
            </w:pPr>
            <w:r>
              <w:rPr>
                <w:rFonts w:ascii="Courier New" w:hAnsi="Courier New"/>
                <w:b w:val="0"/>
                <w:i w:val="0"/>
                <w:sz w:val="18"/>
              </w:rPr>
              <w:t>sil = silhouette_score(X, labels)</w:t>
            </w:r>
          </w:p>
          <w:p>
            <w:pPr>
              <w:spacing w:lineRule="auto" w:line="240" w:before="0" w:after="20"/>
              <w:ind w:left="142"/>
            </w:pPr>
            <w:r>
              <w:rPr>
                <w:rFonts w:ascii="Courier New" w:hAnsi="Courier New"/>
                <w:b w:val="0"/>
                <w:i w:val="0"/>
                <w:sz w:val="18"/>
              </w:rPr>
              <w:t>print(f'K={k} | Silhouette: {sil:.3f}')</w:t>
            </w:r>
          </w:p>
          <w:p>
            <w:pPr>
              <w:spacing w:lineRule="auto" w:line="240" w:before="0" w:after="20"/>
              <w:ind w:left="142"/>
            </w:pPr>
            <w:r>
              <w:rPr>
                <w:rFonts w:ascii="Courier New" w:hAnsi="Courier New"/>
                <w:b w:val="0"/>
                <w:i w:val="0"/>
                <w:sz w:val="18"/>
              </w:rPr>
              <w:t>df[f'cluster_k{k}'] = labels</w:t>
            </w:r>
          </w:p>
          <w:p>
            <w:pPr>
              <w:spacing w:lineRule="auto" w:line="240" w:before="0" w:after="20"/>
              <w:ind w:left="142"/>
            </w:pPr>
            <w:r>
              <w:rPr>
                <w:rFonts w:ascii="Courier New" w:hAnsi="Courier New"/>
                <w:b w:val="0"/>
                <w:i w:val="0"/>
                <w:sz w:val="18"/>
              </w:rPr>
              <w:t>plt.figure(figsize=(8,5))</w:t>
            </w:r>
          </w:p>
          <w:p>
            <w:pPr>
              <w:spacing w:lineRule="auto" w:line="240" w:before="0" w:after="20"/>
              <w:ind w:left="142"/>
            </w:pPr>
            <w:r>
              <w:rPr>
                <w:rFonts w:ascii="Courier New" w:hAnsi="Courier New"/>
                <w:b w:val="0"/>
                <w:i w:val="0"/>
                <w:sz w:val="18"/>
              </w:rPr>
              <w:t>for c in range(k):</w:t>
            </w:r>
          </w:p>
          <w:p>
            <w:pPr>
              <w:spacing w:lineRule="auto" w:line="240" w:before="0" w:after="20"/>
              <w:ind w:left="142"/>
            </w:pPr>
            <w:r>
              <w:rPr>
                <w:rFonts w:ascii="Courier New" w:hAnsi="Courier New"/>
                <w:b w:val="0"/>
                <w:i w:val="0"/>
                <w:sz w:val="18"/>
              </w:rPr>
              <w:t>mask = labels == c</w:t>
            </w:r>
          </w:p>
          <w:p>
            <w:pPr>
              <w:spacing w:lineRule="auto" w:line="240" w:before="0" w:after="20"/>
              <w:ind w:left="142"/>
            </w:pPr>
            <w:r>
              <w:rPr>
                <w:rFonts w:ascii="Courier New" w:hAnsi="Courier New"/>
                <w:b w:val="0"/>
                <w:i w:val="0"/>
                <w:sz w:val="18"/>
              </w:rPr>
              <w:t>plt.scatter(df.loc[mask,'avg_monthly_cash_in'],</w:t>
            </w:r>
          </w:p>
          <w:p>
            <w:pPr>
              <w:spacing w:lineRule="auto" w:line="240" w:before="0" w:after="20"/>
              <w:ind w:left="142"/>
            </w:pPr>
            <w:r>
              <w:rPr>
                <w:rFonts w:ascii="Courier New" w:hAnsi="Courier New"/>
                <w:b w:val="0"/>
                <w:i w:val="0"/>
                <w:sz w:val="18"/>
              </w:rPr>
              <w:t>df.loc[mask,'avg_transaction_count'],</w:t>
            </w:r>
          </w:p>
          <w:p>
            <w:pPr>
              <w:spacing w:lineRule="auto" w:line="240" w:before="0" w:after="20"/>
              <w:ind w:left="142"/>
            </w:pPr>
            <w:r>
              <w:rPr>
                <w:rFonts w:ascii="Courier New" w:hAnsi="Courier New"/>
                <w:b w:val="0"/>
                <w:i w:val="0"/>
                <w:sz w:val="18"/>
              </w:rPr>
              <w:t>label=f'Cluster {c}', alpha=0.6, s=30)</w:t>
            </w:r>
          </w:p>
          <w:p>
            <w:pPr>
              <w:spacing w:lineRule="auto" w:line="240" w:before="0" w:after="20"/>
              <w:ind w:left="142"/>
            </w:pPr>
            <w:r>
              <w:rPr>
                <w:rFonts w:ascii="Courier New" w:hAnsi="Courier New"/>
                <w:b w:val="0"/>
                <w:i w:val="0"/>
                <w:sz w:val="18"/>
              </w:rPr>
              <w:t># Plot mule network point</w:t>
            </w:r>
          </w:p>
          <w:p>
            <w:pPr>
              <w:spacing w:lineRule="auto" w:line="240" w:before="0" w:after="20"/>
              <w:ind w:left="142"/>
            </w:pPr>
            <w:r>
              <w:rPr>
                <w:rFonts w:ascii="Courier New" w:hAnsi="Courier New"/>
                <w:b w:val="0"/>
                <w:i w:val="0"/>
                <w:sz w:val="18"/>
              </w:rPr>
              <w:t>plt.scatter([8200],[4.2], color='red', marker='*', s=200,</w:t>
            </w:r>
          </w:p>
          <w:p>
            <w:pPr>
              <w:spacing w:lineRule="auto" w:line="240" w:before="0" w:after="20"/>
              <w:ind w:left="142"/>
            </w:pPr>
            <w:r>
              <w:rPr>
                <w:rFonts w:ascii="Courier New" w:hAnsi="Courier New"/>
                <w:b w:val="0"/>
                <w:i w:val="0"/>
                <w:sz w:val="18"/>
              </w:rPr>
              <w:t>label='Mule accounts', zorder=5)</w:t>
            </w:r>
          </w:p>
          <w:p>
            <w:pPr>
              <w:spacing w:lineRule="auto" w:line="240" w:before="0" w:after="20"/>
              <w:ind w:left="142"/>
            </w:pPr>
            <w:r>
              <w:rPr>
                <w:rFonts w:ascii="Courier New" w:hAnsi="Courier New"/>
                <w:b w:val="0"/>
                <w:i w:val="0"/>
                <w:sz w:val="18"/>
              </w:rPr>
              <w:t>plt.xlabel('Avg Monthly Cash-In (USD)')</w:t>
            </w:r>
          </w:p>
          <w:p>
            <w:pPr>
              <w:spacing w:lineRule="auto" w:line="240" w:before="0" w:after="20"/>
              <w:ind w:left="142"/>
            </w:pPr>
            <w:r>
              <w:rPr>
                <w:rFonts w:ascii="Courier New" w:hAnsi="Courier New"/>
                <w:b w:val="0"/>
                <w:i w:val="0"/>
                <w:sz w:val="18"/>
              </w:rPr>
              <w:t>plt.ylabel('Avg Transaction Count / Month')</w:t>
            </w:r>
          </w:p>
          <w:p>
            <w:pPr>
              <w:spacing w:lineRule="auto" w:line="240" w:before="0" w:after="20"/>
              <w:ind w:left="142"/>
            </w:pPr>
            <w:r>
              <w:rPr>
                <w:rFonts w:ascii="Courier New" w:hAnsi="Courier New"/>
                <w:b w:val="0"/>
                <w:i w:val="0"/>
                <w:sz w:val="18"/>
              </w:rPr>
              <w:t>plt.title(f'K-Means K={k} — Northgate Customer Segmentation')</w:t>
            </w:r>
          </w:p>
          <w:p>
            <w:pPr>
              <w:spacing w:lineRule="auto" w:line="240" w:before="0" w:after="20"/>
              <w:ind w:left="142"/>
            </w:pPr>
            <w:r>
              <w:rPr>
                <w:rFonts w:ascii="Courier New" w:hAnsi="Courier New"/>
                <w:b w:val="0"/>
                <w:i w:val="0"/>
                <w:sz w:val="18"/>
              </w:rPr>
              <w:t>plt.legend(); plt.tight_layout()</w:t>
            </w:r>
          </w:p>
          <w:p>
            <w:pPr>
              <w:spacing w:lineRule="auto" w:line="240" w:before="0" w:after="20"/>
              <w:ind w:left="142"/>
            </w:pPr>
            <w:r>
              <w:rPr>
                <w:rFonts w:ascii="Courier New" w:hAnsi="Courier New"/>
                <w:b w:val="0"/>
                <w:i w:val="0"/>
                <w:sz w:val="18"/>
              </w:rPr>
              <w:t>plt.savefig(f'clusters_k{k}.png', dpi=150); plt.close()</w:t>
            </w:r>
          </w:p>
          <w:p>
            <w:pPr>
              <w:spacing w:lineRule="auto" w:line="240" w:before="0" w:after="20"/>
              <w:ind w:left="142"/>
            </w:pPr>
            <w:r>
              <w:rPr>
                <w:rFonts w:ascii="Courier New" w:hAnsi="Courier New"/>
                <w:b w:val="0"/>
                <w:i w:val="0"/>
                <w:sz w:val="18"/>
              </w:rPr>
              <w:t>print('Dataset saved. Plots saved.')</w:t>
            </w:r>
          </w:p>
        </w:tc>
      </w:tr>
    </w:tbl>
    <w:p>
      <w:pPr>
        <w:spacing w:lineRule="auto" w:line="240" w:before="0" w:after="1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5.2 — The Mule Network in the Cluster Structure  [Advanced]</w:t>
            </w:r>
          </w:p>
          <w:p>
            <w:pPr>
              <w:spacing w:lineRule="auto" w:line="312" w:before="20" w:after="40"/>
              <w:ind w:left="113"/>
            </w:pPr>
            <w:r>
              <w:rPr>
                <w:rFonts w:ascii="Times New Roman" w:hAnsi="Times New Roman"/>
                <w:b w:val="0"/>
                <w:i w:val="0"/>
                <w:sz w:val="22"/>
              </w:rPr>
              <w:t>The Northgate mule accounts have the following characteristics: avg_monthly_cash_in = USD 8,200; avg_transaction_count = 4.2/month; account_age_months = 8; customer_type = personal; crr_score = 2.</w:t>
            </w:r>
          </w:p>
          <w:p>
            <w:pPr>
              <w:spacing w:lineRule="auto" w:line="312" w:before="20" w:after="40"/>
              <w:ind w:left="113"/>
            </w:pPr>
            <w:r>
              <w:rPr>
                <w:rFonts w:ascii="Times New Roman" w:hAnsi="Times New Roman"/>
                <w:b w:val="0"/>
                <w:i w:val="0"/>
                <w:sz w:val="22"/>
              </w:rPr>
              <w:t>Using the K=3 or K=5 solution from Part A (whichever you judged superior), determine which cluster the mule accounts would be assigned to. Show your calculation: project the mule account characteristics into the standardised feature space and compute the distance to each centroid.</w:t>
            </w:r>
          </w:p>
          <w:p>
            <w:pPr>
              <w:spacing w:lineRule="auto" w:line="312" w:before="20" w:after="40"/>
              <w:ind w:left="113"/>
            </w:pPr>
            <w:r>
              <w:rPr>
                <w:rFonts w:ascii="Times New Roman" w:hAnsi="Times New Roman"/>
                <w:b w:val="0"/>
                <w:i w:val="0"/>
                <w:sz w:val="22"/>
              </w:rPr>
              <w:t>What does the cluster assignment tell you about the monitoring threshold that would be applied to these accounts? Is this threshold appropriate for detecting their behaviour? Explain the risk.</w:t>
            </w:r>
          </w:p>
          <w:p>
            <w:pPr>
              <w:spacing w:lineRule="auto" w:line="312" w:before="20" w:after="40"/>
              <w:ind w:left="113"/>
            </w:pPr>
            <w:r>
              <w:rPr>
                <w:rFonts w:ascii="Times New Roman" w:hAnsi="Times New Roman"/>
                <w:b w:val="0"/>
                <w:i w:val="0"/>
                <w:sz w:val="22"/>
              </w:rPr>
              <w:t>Propose a modification to the segmentation approach — either to the feature set, the value of K, or the threshold assignment methodology — that would improve detection of the mule network without substantially increasing noisy alert rates for legitimate customers in the same cluster.</w:t>
            </w:r>
          </w:p>
          <w:p>
            <w:pPr>
              <w:spacing w:lineRule="auto" w:line="312" w:before="20" w:after="40"/>
              <w:ind w:left="113"/>
            </w:pPr>
            <w:r>
              <w:rPr>
                <w:rFonts w:ascii="Times New Roman" w:hAnsi="Times New Roman"/>
                <w:b w:val="0"/>
                <w:i w:val="0"/>
                <w:sz w:val="22"/>
              </w:rPr>
              <w:t>In Chapter 6, we calibrate the threshold for each segment using hypergeometric sampling and responsiveness analysis.</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5.3 — Meridian Trading Ltd: Commercial Peer Group Design  [Applied / Out-of-the-Box]</w:t>
            </w:r>
          </w:p>
          <w:p>
            <w:pPr>
              <w:spacing w:lineRule="auto" w:line="312" w:before="20" w:after="40"/>
              <w:ind w:left="113"/>
            </w:pPr>
            <w:r>
              <w:rPr>
                <w:rFonts w:ascii="Times New Roman" w:hAnsi="Times New Roman"/>
                <w:b w:val="0"/>
                <w:i w:val="0"/>
                <w:sz w:val="22"/>
              </w:rPr>
              <w:t>The K-Means clustering in Parts A and B segmented Northgate's personal current account population. Meridian Trading Ltd — a business current account — falls outside that segmentation entirely. Project Sentinel's data scientist must design a separate peer group for commercial accounts. Meridian's profile: SIC code 46690 (Wholesale of other machinery/equipment), annual turnover USD 2.1 million (self-declared), 14 months trading history, two directors, primarily international wire activity.</w:t>
            </w:r>
          </w:p>
          <w:p>
            <w:pPr>
              <w:spacing w:lineRule="auto" w:line="312" w:before="20" w:after="40"/>
              <w:ind w:left="113"/>
            </w:pPr>
            <w:r>
              <w:rPr>
                <w:rFonts w:ascii="Times New Roman" w:hAnsi="Times New Roman"/>
                <w:b w:val="0"/>
                <w:i w:val="0"/>
                <w:sz w:val="22"/>
              </w:rPr>
              <w:t>What variables would you use to construct a peer group for Meridian? Propose five features (including at least one that is specific to commercial accounts and not available for retail accounts). For each, state the data source, the CDE classification (yes/no), and the main quality risk.</w:t>
            </w:r>
          </w:p>
          <w:p>
            <w:pPr>
              <w:spacing w:lineRule="auto" w:line="312" w:before="20" w:after="40"/>
              <w:ind w:left="113"/>
            </w:pPr>
            <w:r>
              <w:rPr>
                <w:rFonts w:ascii="Times New Roman" w:hAnsi="Times New Roman"/>
                <w:b w:val="0"/>
                <w:i w:val="0"/>
                <w:sz w:val="22"/>
              </w:rPr>
              <w:t>The data scientist cannot find a sufficient number of US import/export businesses with similar SIC code and turnover in the bank's customer population to form a statistically meaningful peer group. She proposes a proxy: use SEC/State business registry data to identify all UK-registered SIC 46690 businesses with turnover between USD 1 million and USD 5 million and treat them as the peer universe, supplementing with internal account data where available. Identify at least three survivorship biases or selection biases in this proxy approach that could distort the peer comparison.</w:t>
            </w:r>
          </w:p>
          <w:p>
            <w:pPr>
              <w:spacing w:lineRule="auto" w:line="312" w:before="20" w:after="40"/>
              <w:ind w:left="113"/>
            </w:pPr>
            <w:r>
              <w:rPr>
                <w:rFonts w:ascii="Times New Roman" w:hAnsi="Times New Roman"/>
                <w:b w:val="0"/>
                <w:i w:val="0"/>
                <w:sz w:val="22"/>
              </w:rPr>
              <w:t>Given the difficulty of constructing a statistically robust peer group for Meridian, Project Sentinel's compliance officer suggests applying a fixed absolute threshold to all commercial accounts rather than a peer-relative threshold. Evaluate this proposal. What are the false positive and false negative risks? Is a fixed threshold regulatory defensible under a risk-based approach? What would you recommend instead?</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FCA Guidance Consultation GC19/3: Guidance on the use of algorithms in financial services. This document sets out the FCA's expectations for the governance, validation, and documentation of algorithmic models — including segmentation models that determine which customers are subject to enhanced monitoring. Pay particular attention to Section 3 on explainability requirements.</w:t>
      </w:r>
    </w:p>
    <w:p>
      <w:pPr>
        <w:pStyle w:val="ListBullet"/>
        <w:spacing w:lineRule="auto" w:line="360" w:before="0" w:after="60"/>
      </w:pPr>
      <w:r>
        <w:rPr>
          <w:rFonts w:ascii="Times New Roman" w:hAnsi="Times New Roman"/>
          <w:b w:val="0"/>
          <w:i w:val="0"/>
          <w:sz w:val="24"/>
        </w:rPr>
        <w:t>Hartigan, J.A. and Wong, M.A. (1979), 'Algorithm AS 136: A K-Means Clustering Algorithm', Applied Statistics, 28(1), 100–108. This is the original paper describing the K-Means algorithm. Read Section 2 (the algorithm) and Section 4 (convergence). What does the original paper say about initialisation sensitivity — and what does this imply for reproducibility of AML segmentation runs?</w:t>
      </w:r>
    </w:p>
    <w:p>
      <w:pPr>
        <w:pStyle w:val="ListBullet"/>
        <w:spacing w:lineRule="auto" w:line="360" w:before="0" w:after="60"/>
      </w:pPr>
      <w:r>
        <w:rPr>
          <w:rFonts w:ascii="Times New Roman" w:hAnsi="Times New Roman"/>
          <w:b w:val="0"/>
          <w:i w:val="0"/>
          <w:sz w:val="24"/>
        </w:rPr>
        <w:t>Research Question: The Basel Committee on Banking Supervision's 'Sound management of risks related to money laundering and financing of terrorism' (2020) states that banks should use a risk-based approach when determining monitoring intensity. How does customer segmentation operationalise this requirement? Write a one-paragraph explanation in the style of a model governance document.</w:t>
      </w:r>
    </w:p>
    <w:p>
      <w:pPr>
        <w:pStyle w:val="ListBullet"/>
        <w:spacing w:lineRule="auto" w:line="360" w:before="0" w:after="60"/>
      </w:pPr>
      <w:r>
        <w:rPr>
          <w:rFonts w:ascii="Times New Roman" w:hAnsi="Times New Roman"/>
          <w:b w:val="0"/>
          <w:i w:val="0"/>
          <w:sz w:val="24"/>
        </w:rPr>
        <w:t>The FCA's Financial Crime Guide section 8.1.3 discusses the use of peer group analysis in AML programmes. Download and read it. The FCA states that peer groups should be 'meaningful and appropriate.' Evaluate whether your Chapter 5 K-Means peer groups would satisfy this standard — and what evidence you would need to produce to demonstrate it to an examiner.</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Baesens, B., Van Vlasselaer, V. and Verbeke, W. (2015) Fraud Analytics. Wiley, NJ.</w:t>
      </w:r>
    </w:p>
    <w:p>
      <w:pPr>
        <w:pStyle w:val="ListBullet"/>
        <w:spacing w:lineRule="auto" w:line="288" w:before="0" w:after="80"/>
      </w:pPr>
      <w:r>
        <w:rPr>
          <w:rFonts w:ascii="Times New Roman" w:hAnsi="Times New Roman"/>
          <w:b w:val="0"/>
          <w:i w:val="0"/>
          <w:sz w:val="22"/>
        </w:rPr>
        <w:t>Jain, A.K. (2010) Data clustering: 50 years beyond K-means. Pattern Recognition Letters, 31(8), pp. 651–666.</w:t>
      </w:r>
    </w:p>
    <w:p>
      <w:pPr>
        <w:pStyle w:val="ListBullet"/>
        <w:spacing w:lineRule="auto" w:line="288" w:before="0" w:after="80"/>
      </w:pPr>
      <w:r>
        <w:rPr>
          <w:rFonts w:ascii="Times New Roman" w:hAnsi="Times New Roman"/>
          <w:b w:val="0"/>
          <w:i w:val="0"/>
          <w:sz w:val="22"/>
        </w:rPr>
        <w:t>Pedregosa, F. et al. (2011) Scikit-learn. JMLR, 12, pp. 2825–2830.</w:t>
      </w:r>
    </w:p>
    <w:p>
      <w:r>
        <w:br w:type="page"/>
      </w:r>
    </w:p>
    <w:p>
      <w:pPr>
        <w:pStyle w:val="Heading1"/>
      </w:pPr>
      <w:r>
        <w:rPr>
          <w:rFonts w:ascii="Times New Roman" w:hAnsi="Times New Roman"/>
        </w:rPr>
        <w:t>Chapter 6: Tuning and Calibration</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Threshold calibration is the process of setting and adjusting scenario parameters to achieve an appropriate balance between alert volume and detection coverage. This chapter introduces the velocity rule (NRB-VEL-002), performs a responsiveness analysis, and examines alert overlap between the structuring and velocity rules.</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Threshold calibration · Alert tuning · False positive rate · Responsiveness analysis · Velocity rule · Model governance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6.1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Explain the ATL/BTL framework and the regulatory and operational trade-offs in threshold setting.</w:t>
            </w:r>
          </w:p>
          <w:p>
            <w:pPr>
              <w:spacing w:lineRule="auto" w:line="312" w:before="20" w:after="40"/>
              <w:ind w:left="113"/>
            </w:pPr>
            <w:r>
              <w:rPr>
                <w:rFonts w:ascii="Times New Roman" w:hAnsi="Times New Roman"/>
                <w:b w:val="0"/>
                <w:i w:val="0"/>
                <w:sz w:val="22"/>
              </w:rPr>
              <w:t>Apply hypergeometric sampling to estimate the suspicious activity rate below the line.</w:t>
            </w:r>
          </w:p>
          <w:p>
            <w:pPr>
              <w:spacing w:lineRule="auto" w:line="312" w:before="20" w:after="40"/>
              <w:ind w:left="113"/>
            </w:pPr>
            <w:r>
              <w:rPr>
                <w:rFonts w:ascii="Times New Roman" w:hAnsi="Times New Roman"/>
                <w:b w:val="0"/>
                <w:i w:val="0"/>
                <w:sz w:val="22"/>
              </w:rPr>
              <w:t>Conduct a rule responsiveness analysis and interpret the results.</w:t>
            </w:r>
          </w:p>
          <w:p>
            <w:pPr>
              <w:spacing w:lineRule="auto" w:line="312" w:before="20" w:after="40"/>
              <w:ind w:left="113"/>
            </w:pPr>
            <w:r>
              <w:rPr>
                <w:rFonts w:ascii="Times New Roman" w:hAnsi="Times New Roman"/>
                <w:b w:val="0"/>
                <w:i w:val="0"/>
                <w:sz w:val="22"/>
              </w:rPr>
              <w:t>Calibrate the Northgate structuring scenario threshold using sampling and responsiveness data.</w:t>
            </w:r>
          </w:p>
        </w:tc>
      </w:tr>
    </w:tbl>
    <w:p>
      <w:pPr>
        <w:spacing w:lineRule="auto" w:line="240" w:before="0" w:after="160"/>
      </w:pPr>
    </w:p>
    <w:p>
      <w:pPr>
        <w:pStyle w:val="Heading2"/>
      </w:pPr>
      <w:r>
        <w:rPr>
          <w:rFonts w:ascii="Times New Roman" w:hAnsi="Times New Roman"/>
        </w:rPr>
        <w:t>6.1 Business Context: Why Thresholds Matter and What it Means to Set Them Wrong</w:t>
      </w:r>
    </w:p>
    <w:p>
      <w:pPr>
        <w:pStyle w:val="BodyText"/>
        <w:spacing w:lineRule="auto" w:line="360" w:before="0" w:after="120"/>
        <w:ind w:firstLine="283"/>
      </w:pPr>
      <w:r>
        <w:rPr>
          <w:rFonts w:ascii="Times New Roman" w:hAnsi="Times New Roman"/>
          <w:b w:val="0"/>
          <w:i w:val="0"/>
          <w:sz w:val="24"/>
        </w:rPr>
        <w:t>Every threshold in a transaction monitoring scenario is a policy decision. Set it too low and you generate thousands of alerts per week, most of which are noisy alerts, consuming analyst capacity and masking the genuine signals beneath the noise. Set it too high and you miss suspicious activity that falls below the line, creating coverage gaps that may allow financial crime to proceed undetected — with consequences for the bank, for the financial system, and for the integrity of the intelligence the bank provides to law enforcement.</w:t>
      </w:r>
    </w:p>
    <w:p>
      <w:pPr>
        <w:pStyle w:val="BodyText"/>
        <w:spacing w:lineRule="auto" w:line="360" w:before="0" w:after="120"/>
        <w:ind w:firstLine="283"/>
      </w:pPr>
      <w:r>
        <w:rPr>
          <w:rFonts w:ascii="Times New Roman" w:hAnsi="Times New Roman"/>
          <w:b w:val="0"/>
          <w:i w:val="0"/>
          <w:sz w:val="24"/>
        </w:rPr>
        <w:t>Neither error is cost-free. The operational cost of over-alerting is measurable: staff hours, technology costs, and the opportunity cost of analysts spending time on noisy alerts instead of genuine investigations. The regulatory cost of under-alerting is potentially existential: enforcement action, civil money penalties, reputational damage, and in extreme cases, loss of banking licence.</w:t>
      </w:r>
    </w:p>
    <w:p>
      <w:pPr>
        <w:pStyle w:val="BodyText"/>
        <w:spacing w:lineRule="auto" w:line="360" w:before="0" w:after="120"/>
        <w:ind w:firstLine="283"/>
      </w:pPr>
      <w:r>
        <w:rPr>
          <w:rFonts w:ascii="Times New Roman" w:hAnsi="Times New Roman"/>
          <w:b w:val="0"/>
          <w:i w:val="0"/>
          <w:sz w:val="24"/>
        </w:rPr>
        <w:t>Threshold calibration — the process of setting and adjusting scenario parameters to achieve the appropriate balance between coverage and precision — is therefore one of the most consequential activities in the Transaction Monitoring Framework. It is also one of the most scrutinised. Regulators expect institutions to document their calibration methodology, justify their threshold choices with data, and demonstrate that they have tested what they are missing below the line.</w:t>
      </w:r>
    </w:p>
    <w:p>
      <w:pPr>
        <w:pStyle w:val="BodyText"/>
        <w:spacing w:lineRule="auto" w:line="360" w:before="0" w:after="120"/>
        <w:ind w:firstLine="283"/>
      </w:pPr>
      <w:r>
        <w:rPr>
          <w:rFonts w:ascii="Times New Roman" w:hAnsi="Times New Roman"/>
          <w:b w:val="0"/>
          <w:i w:val="0"/>
          <w:sz w:val="24"/>
        </w:rPr>
        <w:t>This chapter provides the methodology for doing exactly that. We cover the ATL/BTL framework, hypergeometric sampling for below-the-line risk estimation, responsiveness analysis, the L1/L2/L3 review workflow, and the documentation standards required to defend a calibration exercise to a regulator. We then apply the full methodology to the Northgate structuring scenario.</w:t>
      </w:r>
    </w:p>
    <w:p>
      <w:pPr>
        <w:pStyle w:val="Heading2"/>
      </w:pPr>
      <w:r>
        <w:rPr>
          <w:rFonts w:ascii="Times New Roman" w:hAnsi="Times New Roman"/>
        </w:rPr>
        <w:t>6.2 The ATL/BTL Framework</w:t>
      </w:r>
    </w:p>
    <w:p>
      <w:pPr>
        <w:pStyle w:val="BodyText"/>
        <w:spacing w:lineRule="auto" w:line="360" w:before="0" w:after="120"/>
        <w:ind w:firstLine="283"/>
      </w:pPr>
      <w:r>
        <w:rPr>
          <w:rFonts w:ascii="Times New Roman" w:hAnsi="Times New Roman"/>
          <w:b w:val="0"/>
          <w:i w:val="0"/>
          <w:sz w:val="24"/>
        </w:rPr>
        <w:t>We introduced the above-the-line and below-the-line distinction in Chapter 3. Here we develop it in full.</w:t>
      </w:r>
    </w:p>
    <w:p>
      <w:pPr>
        <w:pStyle w:val="BodyText"/>
        <w:spacing w:lineRule="auto" w:line="360" w:before="0" w:after="120"/>
        <w:ind w:firstLine="283"/>
      </w:pPr>
      <w:r>
        <w:rPr>
          <w:rFonts w:ascii="Times New Roman" w:hAnsi="Times New Roman"/>
          <w:b w:val="0"/>
          <w:i w:val="0"/>
          <w:sz w:val="24"/>
        </w:rPr>
        <w:t>Above the line (ATL) is the population of transactions or accounts that generate an alert under a given scenario at a given threshold. Every entity in the ATL is reviewed by an analyst. The ATL has a measurable SAR rate: the proportion of reviewed alerts that result in a SAR being filed. This is the institution's primary precision metric.</w:t>
      </w:r>
    </w:p>
    <w:p>
      <w:pPr>
        <w:pStyle w:val="BodyText"/>
        <w:spacing w:lineRule="auto" w:line="360" w:before="0" w:after="120"/>
        <w:ind w:firstLine="283"/>
      </w:pPr>
      <w:r>
        <w:rPr>
          <w:rFonts w:ascii="Times New Roman" w:hAnsi="Times New Roman"/>
          <w:b w:val="0"/>
          <w:i w:val="0"/>
          <w:sz w:val="24"/>
        </w:rPr>
        <w:t>Below the line (BTL) is the population of transactions or accounts that do not generate an alert. This population is, by definition, unreviewed — unless a specific sampling exercise is conducted. The BTL is where the institution's coverage risk lives. If the threshold is set too high, genuine suspicious activity accumulates in the BTL, undetected.</w:t>
      </w:r>
    </w:p>
    <w:p>
      <w:pPr>
        <w:pStyle w:val="BodyText"/>
        <w:spacing w:lineRule="auto" w:line="360" w:before="0" w:after="120"/>
        <w:ind w:firstLine="283"/>
      </w:pPr>
      <w:r>
        <w:rPr>
          <w:rFonts w:ascii="Times New Roman" w:hAnsi="Times New Roman"/>
          <w:b w:val="0"/>
          <w:i w:val="0"/>
          <w:sz w:val="24"/>
        </w:rPr>
        <w:t>The threshold is the dividing line between ATL and BTL. Lowering the threshold moves accounts from BTL to ATL: more accounts are reviewed, more alerts are generated, but more suspicious activity is caught. Raising the threshold does the reverse.</w:t>
      </w:r>
    </w:p>
    <w:p>
      <w:pPr>
        <w:spacing w:lineRule="auto" w:line="240" w:before="60" w:after="120"/>
        <w:ind w:firstLine="0"/>
        <w:jc w:val="left"/>
      </w:pPr>
      <w:r>
        <w:rPr>
          <w:rFonts w:ascii="Times New Roman" w:hAnsi="Times New Roman"/>
          <w:b w:val="0"/>
          <w:i/>
          <w:sz w:val="20"/>
        </w:rPr>
        <w:t>Table 6.1  Population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2268"/>
        <w:gridCol w:w="2268"/>
        <w:gridCol w:w="2268"/>
        <w:gridCol w:w="2268"/>
      </w:tblGrid>
      <w:tr>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Population</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Definition</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Measurable?</w:t>
            </w:r>
          </w:p>
        </w:tc>
        <w:tc>
          <w:tcPr>
            <w:tcW w:w="2268"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Key Metric</w:t>
            </w:r>
          </w:p>
        </w:tc>
      </w:tr>
      <w:tr>
        <w:tc>
          <w:tcPr>
            <w:tcW w:w="2268" w:type="dxa"/>
          </w:tcPr>
          <w:p>
            <w:pPr>
              <w:spacing w:lineRule="auto" w:line="288" w:before="60" w:after="60"/>
              <w:ind w:left="57" w:right="57"/>
            </w:pPr>
            <w:r>
              <w:rPr>
                <w:rFonts w:ascii="Times New Roman" w:hAnsi="Times New Roman"/>
                <w:b w:val="0"/>
                <w:i w:val="0"/>
                <w:sz w:val="20"/>
              </w:rPr>
              <w:t>ATL</w:t>
            </w:r>
          </w:p>
        </w:tc>
        <w:tc>
          <w:tcPr>
            <w:tcW w:w="2268" w:type="dxa"/>
          </w:tcPr>
          <w:p>
            <w:pPr>
              <w:spacing w:lineRule="auto" w:line="288" w:before="60" w:after="60"/>
              <w:ind w:left="57" w:right="57"/>
            </w:pPr>
            <w:r>
              <w:rPr>
                <w:rFonts w:ascii="Times New Roman" w:hAnsi="Times New Roman"/>
                <w:b w:val="0"/>
                <w:i w:val="0"/>
                <w:sz w:val="20"/>
              </w:rPr>
              <w:t>Accounts/transactions that triggered an alert</w:t>
            </w:r>
          </w:p>
        </w:tc>
        <w:tc>
          <w:tcPr>
            <w:tcW w:w="2268" w:type="dxa"/>
          </w:tcPr>
          <w:p>
            <w:pPr>
              <w:spacing w:lineRule="auto" w:line="288" w:before="60" w:after="60"/>
              <w:ind w:left="57" w:right="57"/>
            </w:pPr>
            <w:r>
              <w:rPr>
                <w:rFonts w:ascii="Times New Roman" w:hAnsi="Times New Roman"/>
                <w:b w:val="0"/>
                <w:i w:val="0"/>
                <w:sz w:val="20"/>
              </w:rPr>
              <w:t>Yes — fully reviewed</w:t>
            </w:r>
          </w:p>
        </w:tc>
        <w:tc>
          <w:tcPr>
            <w:tcW w:w="2268" w:type="dxa"/>
          </w:tcPr>
          <w:p>
            <w:pPr>
              <w:spacing w:lineRule="auto" w:line="288" w:before="60" w:after="60"/>
              <w:ind w:left="57" w:right="57"/>
            </w:pPr>
            <w:r>
              <w:rPr>
                <w:rFonts w:ascii="Times New Roman" w:hAnsi="Times New Roman"/>
                <w:b w:val="0"/>
                <w:i w:val="0"/>
                <w:sz w:val="20"/>
              </w:rPr>
              <w:t>SAR rate in alerts (precision)</w:t>
            </w:r>
          </w:p>
        </w:tc>
      </w:tr>
      <w:tr>
        <w:tc>
          <w:tcPr>
            <w:tcW w:w="2268" w:type="dxa"/>
          </w:tcPr>
          <w:p>
            <w:pPr>
              <w:spacing w:lineRule="auto" w:line="288" w:before="60" w:after="60"/>
              <w:ind w:left="57" w:right="57"/>
            </w:pPr>
            <w:r>
              <w:rPr>
                <w:rFonts w:ascii="Times New Roman" w:hAnsi="Times New Roman"/>
                <w:b w:val="0"/>
                <w:i w:val="0"/>
                <w:sz w:val="20"/>
              </w:rPr>
              <w:t>BTL</w:t>
            </w:r>
          </w:p>
        </w:tc>
        <w:tc>
          <w:tcPr>
            <w:tcW w:w="2268" w:type="dxa"/>
          </w:tcPr>
          <w:p>
            <w:pPr>
              <w:spacing w:lineRule="auto" w:line="288" w:before="60" w:after="60"/>
              <w:ind w:left="57" w:right="57"/>
            </w:pPr>
            <w:r>
              <w:rPr>
                <w:rFonts w:ascii="Times New Roman" w:hAnsi="Times New Roman"/>
                <w:b w:val="0"/>
                <w:i w:val="0"/>
                <w:sz w:val="20"/>
              </w:rPr>
              <w:t>Accounts/transactions below the alert threshold</w:t>
            </w:r>
          </w:p>
        </w:tc>
        <w:tc>
          <w:tcPr>
            <w:tcW w:w="2268" w:type="dxa"/>
          </w:tcPr>
          <w:p>
            <w:pPr>
              <w:spacing w:lineRule="auto" w:line="288" w:before="60" w:after="60"/>
              <w:ind w:left="57" w:right="57"/>
            </w:pPr>
            <w:r>
              <w:rPr>
                <w:rFonts w:ascii="Times New Roman" w:hAnsi="Times New Roman"/>
                <w:b w:val="0"/>
                <w:i w:val="0"/>
                <w:sz w:val="20"/>
              </w:rPr>
              <w:t>Partially — via sampling</w:t>
            </w:r>
          </w:p>
        </w:tc>
        <w:tc>
          <w:tcPr>
            <w:tcW w:w="2268" w:type="dxa"/>
          </w:tcPr>
          <w:p>
            <w:pPr>
              <w:spacing w:lineRule="auto" w:line="288" w:before="60" w:after="60"/>
              <w:ind w:left="57" w:right="57"/>
            </w:pPr>
            <w:r>
              <w:rPr>
                <w:rFonts w:ascii="Times New Roman" w:hAnsi="Times New Roman"/>
                <w:b w:val="0"/>
                <w:i w:val="0"/>
                <w:sz w:val="20"/>
              </w:rPr>
              <w:t>Estimated SAR rate below the line</w:t>
            </w:r>
          </w:p>
        </w:tc>
      </w:tr>
      <w:tr>
        <w:tc>
          <w:tcPr>
            <w:tcW w:w="2268" w:type="dxa"/>
          </w:tcPr>
          <w:p>
            <w:pPr>
              <w:spacing w:lineRule="auto" w:line="288" w:before="60" w:after="60"/>
              <w:ind w:left="57" w:right="57"/>
            </w:pPr>
            <w:r>
              <w:rPr>
                <w:rFonts w:ascii="Times New Roman" w:hAnsi="Times New Roman"/>
                <w:b w:val="0"/>
                <w:i w:val="0"/>
                <w:sz w:val="20"/>
              </w:rPr>
              <w:t>True Positives</w:t>
            </w:r>
          </w:p>
        </w:tc>
        <w:tc>
          <w:tcPr>
            <w:tcW w:w="2268" w:type="dxa"/>
          </w:tcPr>
          <w:p>
            <w:pPr>
              <w:spacing w:lineRule="auto" w:line="288" w:before="60" w:after="60"/>
              <w:ind w:left="57" w:right="57"/>
            </w:pPr>
            <w:r>
              <w:rPr>
                <w:rFonts w:ascii="Times New Roman" w:hAnsi="Times New Roman"/>
                <w:b w:val="0"/>
                <w:i w:val="0"/>
                <w:sz w:val="20"/>
              </w:rPr>
              <w:t>ATL accounts that are genuinely suspicious</w:t>
            </w:r>
          </w:p>
        </w:tc>
        <w:tc>
          <w:tcPr>
            <w:tcW w:w="2268" w:type="dxa"/>
          </w:tcPr>
          <w:p>
            <w:pPr>
              <w:spacing w:lineRule="auto" w:line="288" w:before="60" w:after="60"/>
              <w:ind w:left="57" w:right="57"/>
            </w:pPr>
            <w:r>
              <w:rPr>
                <w:rFonts w:ascii="Times New Roman" w:hAnsi="Times New Roman"/>
                <w:b w:val="0"/>
                <w:i w:val="0"/>
                <w:sz w:val="20"/>
              </w:rPr>
              <w:t>Yes — if correctly identified at review</w:t>
            </w:r>
          </w:p>
        </w:tc>
        <w:tc>
          <w:tcPr>
            <w:tcW w:w="2268" w:type="dxa"/>
          </w:tcPr>
          <w:p>
            <w:pPr>
              <w:spacing w:lineRule="auto" w:line="288" w:before="60" w:after="60"/>
              <w:ind w:left="57" w:right="57"/>
            </w:pPr>
            <w:r>
              <w:rPr>
                <w:rFonts w:ascii="Times New Roman" w:hAnsi="Times New Roman"/>
                <w:b w:val="0"/>
                <w:i w:val="0"/>
                <w:sz w:val="20"/>
              </w:rPr>
              <w:t>SAR count, SAR rate</w:t>
            </w:r>
          </w:p>
        </w:tc>
      </w:tr>
      <w:tr>
        <w:tc>
          <w:tcPr>
            <w:tcW w:w="2268" w:type="dxa"/>
          </w:tcPr>
          <w:p>
            <w:pPr>
              <w:spacing w:lineRule="auto" w:line="288" w:before="60" w:after="60"/>
              <w:ind w:left="57" w:right="57"/>
            </w:pPr>
            <w:r>
              <w:rPr>
                <w:rFonts w:ascii="Times New Roman" w:hAnsi="Times New Roman"/>
                <w:b w:val="0"/>
                <w:i w:val="0"/>
                <w:sz w:val="20"/>
              </w:rPr>
              <w:t>False Positives</w:t>
            </w:r>
          </w:p>
        </w:tc>
        <w:tc>
          <w:tcPr>
            <w:tcW w:w="2268" w:type="dxa"/>
          </w:tcPr>
          <w:p>
            <w:pPr>
              <w:spacing w:lineRule="auto" w:line="288" w:before="60" w:after="60"/>
              <w:ind w:left="57" w:right="57"/>
            </w:pPr>
            <w:r>
              <w:rPr>
                <w:rFonts w:ascii="Times New Roman" w:hAnsi="Times New Roman"/>
                <w:b w:val="0"/>
                <w:i w:val="0"/>
                <w:sz w:val="20"/>
              </w:rPr>
              <w:t>ATL accounts that are not genuinely suspicious</w:t>
            </w:r>
          </w:p>
        </w:tc>
        <w:tc>
          <w:tcPr>
            <w:tcW w:w="2268" w:type="dxa"/>
          </w:tcPr>
          <w:p>
            <w:pPr>
              <w:spacing w:lineRule="auto" w:line="288" w:before="60" w:after="60"/>
              <w:ind w:left="57" w:right="57"/>
            </w:pPr>
            <w:r>
              <w:rPr>
                <w:rFonts w:ascii="Times New Roman" w:hAnsi="Times New Roman"/>
                <w:b w:val="0"/>
                <w:i w:val="0"/>
                <w:sz w:val="20"/>
              </w:rPr>
              <w:t>Yes — dismissed at review</w:t>
            </w:r>
          </w:p>
        </w:tc>
        <w:tc>
          <w:tcPr>
            <w:tcW w:w="2268" w:type="dxa"/>
          </w:tcPr>
          <w:p>
            <w:pPr>
              <w:spacing w:lineRule="auto" w:line="288" w:before="60" w:after="60"/>
              <w:ind w:left="57" w:right="57"/>
            </w:pPr>
            <w:r>
              <w:rPr>
                <w:rFonts w:ascii="Times New Roman" w:hAnsi="Times New Roman"/>
                <w:b w:val="0"/>
                <w:i w:val="0"/>
                <w:sz w:val="20"/>
              </w:rPr>
              <w:t>Alert dismiss rate, (1 - SAR rate)</w:t>
            </w:r>
          </w:p>
        </w:tc>
      </w:tr>
      <w:tr>
        <w:tc>
          <w:tcPr>
            <w:tcW w:w="2268" w:type="dxa"/>
          </w:tcPr>
          <w:p>
            <w:pPr>
              <w:spacing w:lineRule="auto" w:line="288" w:before="60" w:after="60"/>
              <w:ind w:left="57" w:right="57"/>
            </w:pPr>
            <w:r>
              <w:rPr>
                <w:rFonts w:ascii="Times New Roman" w:hAnsi="Times New Roman"/>
                <w:b w:val="0"/>
                <w:i w:val="0"/>
                <w:sz w:val="20"/>
              </w:rPr>
              <w:t>Noisy Alerts (above line)</w:t>
            </w:r>
          </w:p>
        </w:tc>
        <w:tc>
          <w:tcPr>
            <w:tcW w:w="2268" w:type="dxa"/>
          </w:tcPr>
          <w:p>
            <w:pPr>
              <w:spacing w:lineRule="auto" w:line="288" w:before="60" w:after="60"/>
              <w:ind w:left="57" w:right="57"/>
            </w:pPr>
            <w:r>
              <w:rPr>
                <w:rFonts w:ascii="Times New Roman" w:hAnsi="Times New Roman"/>
                <w:b w:val="0"/>
                <w:i w:val="0"/>
                <w:sz w:val="20"/>
              </w:rPr>
              <w:t>ATL accounts investigation finds non-suspicious</w:t>
            </w:r>
          </w:p>
        </w:tc>
        <w:tc>
          <w:tcPr>
            <w:tcW w:w="2268" w:type="dxa"/>
          </w:tcPr>
          <w:p>
            <w:pPr>
              <w:spacing w:lineRule="auto" w:line="288" w:before="60" w:after="60"/>
              <w:ind w:left="57" w:right="57"/>
            </w:pPr>
            <w:r>
              <w:rPr>
                <w:rFonts w:ascii="Times New Roman" w:hAnsi="Times New Roman"/>
                <w:b w:val="0"/>
                <w:i w:val="0"/>
                <w:sz w:val="20"/>
              </w:rPr>
              <w:t>Yes — reviewed above the line</w:t>
            </w:r>
          </w:p>
        </w:tc>
        <w:tc>
          <w:tcPr>
            <w:tcW w:w="2268" w:type="dxa"/>
          </w:tcPr>
          <w:p>
            <w:pPr>
              <w:spacing w:lineRule="auto" w:line="288" w:before="60" w:after="60"/>
              <w:ind w:left="57" w:right="57"/>
            </w:pPr>
            <w:r>
              <w:rPr>
                <w:rFonts w:ascii="Times New Roman" w:hAnsi="Times New Roman"/>
                <w:b w:val="0"/>
                <w:i w:val="0"/>
                <w:sz w:val="20"/>
              </w:rPr>
              <w:t>Noisy alert rate = Noisy alerts / Total ATL alerts</w:t>
            </w:r>
          </w:p>
        </w:tc>
      </w:tr>
      <w:tr>
        <w:tc>
          <w:tcPr>
            <w:tcW w:w="2268" w:type="dxa"/>
          </w:tcPr>
          <w:p>
            <w:pPr>
              <w:spacing w:lineRule="auto" w:line="288" w:before="60" w:after="60"/>
              <w:ind w:left="57" w:right="57"/>
            </w:pPr>
            <w:r>
              <w:rPr>
                <w:rFonts w:ascii="Times New Roman" w:hAnsi="Times New Roman"/>
                <w:b w:val="0"/>
                <w:i w:val="0"/>
                <w:sz w:val="20"/>
              </w:rPr>
              <w:t>False Negatives</w:t>
            </w:r>
          </w:p>
        </w:tc>
        <w:tc>
          <w:tcPr>
            <w:tcW w:w="2268" w:type="dxa"/>
          </w:tcPr>
          <w:p>
            <w:pPr>
              <w:spacing w:lineRule="auto" w:line="288" w:before="60" w:after="60"/>
              <w:ind w:left="57" w:right="57"/>
            </w:pPr>
            <w:r>
              <w:rPr>
                <w:rFonts w:ascii="Times New Roman" w:hAnsi="Times New Roman"/>
                <w:b w:val="0"/>
                <w:i w:val="0"/>
                <w:sz w:val="20"/>
              </w:rPr>
              <w:t>BTL accounts that are genuinely suspicious</w:t>
            </w:r>
          </w:p>
        </w:tc>
        <w:tc>
          <w:tcPr>
            <w:tcW w:w="2268" w:type="dxa"/>
          </w:tcPr>
          <w:p>
            <w:pPr>
              <w:spacing w:lineRule="auto" w:line="288" w:before="60" w:after="60"/>
              <w:ind w:left="57" w:right="57"/>
            </w:pPr>
            <w:r>
              <w:rPr>
                <w:rFonts w:ascii="Times New Roman" w:hAnsi="Times New Roman"/>
                <w:b w:val="0"/>
                <w:i w:val="0"/>
                <w:sz w:val="20"/>
              </w:rPr>
              <w:t>Only via sampling or hindsight</w:t>
            </w:r>
          </w:p>
        </w:tc>
        <w:tc>
          <w:tcPr>
            <w:tcW w:w="2268" w:type="dxa"/>
          </w:tcPr>
          <w:p>
            <w:pPr>
              <w:spacing w:lineRule="auto" w:line="288" w:before="60" w:after="60"/>
              <w:ind w:left="57" w:right="57"/>
            </w:pPr>
            <w:r>
              <w:rPr>
                <w:rFonts w:ascii="Times New Roman" w:hAnsi="Times New Roman"/>
                <w:b w:val="0"/>
                <w:i w:val="0"/>
                <w:sz w:val="20"/>
              </w:rPr>
              <w:t>Estimated via hypergeometric sampling</w:t>
            </w:r>
          </w:p>
        </w:tc>
      </w:tr>
    </w:tbl>
    <w:p>
      <w:pPr>
        <w:spacing w:lineRule="auto" w:line="240" w:before="0" w:after="200"/>
      </w:pPr>
    </w:p>
    <w:p>
      <w:pPr>
        <w:pStyle w:val="Heading2"/>
      </w:pPr>
      <w:r>
        <w:rPr>
          <w:rFonts w:ascii="Times New Roman" w:hAnsi="Times New Roman"/>
        </w:rPr>
        <w:t>6.3 The Noisy Alert Problem — and Why 'False Positive' Is the Wrong Frame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6.2  </w:t>
            </w:r>
            <w:r>
              <w:rPr>
                <w:rFonts w:ascii="Times New Roman" w:hAnsi="Times New Roman"/>
                <w:b/>
                <w:i/>
                <w:sz w:val="22"/>
              </w:rPr>
              <w:t>Terminology Correction: Noisy Alert vs False Positive</w:t>
            </w:r>
          </w:p>
          <w:p>
            <w:pPr>
              <w:spacing w:lineRule="auto" w:line="312" w:before="20" w:after="40"/>
              <w:ind w:left="113"/>
            </w:pPr>
            <w:r>
              <w:rPr>
                <w:rFonts w:ascii="Times New Roman" w:hAnsi="Times New Roman"/>
                <w:b w:val="0"/>
                <w:i w:val="0"/>
                <w:sz w:val="22"/>
              </w:rPr>
              <w:t>The AML industry routinely misuses the term 'false positive.' Before examining the problem, this distinction must be established:</w:t>
            </w:r>
          </w:p>
          <w:p>
            <w:pPr>
              <w:spacing w:lineRule="auto" w:line="312" w:before="20" w:after="40"/>
              <w:ind w:left="113"/>
            </w:pPr>
            <w:r>
              <w:rPr>
                <w:rFonts w:ascii="Times New Roman" w:hAnsi="Times New Roman"/>
                <w:b w:val="0"/>
                <w:i w:val="0"/>
                <w:sz w:val="22"/>
              </w:rPr>
              <w:t>Noisy alert (correct term for most cases): An alert that fits the design intent of the scenario — the scenario fired correctly — but investigation determines the activity is non-suspicious. The alert was legitimate. The scenario did its job. Non-SAR-worthy alerts are noise, not false positives in the technical sense. Calling them 'false positives' implies the scenario malfunctioned. It did not.</w:t>
            </w:r>
          </w:p>
          <w:p>
            <w:pPr>
              <w:spacing w:lineRule="auto" w:line="312" w:before="20" w:after="40"/>
              <w:ind w:left="113"/>
            </w:pPr>
            <w:r>
              <w:rPr>
                <w:rFonts w:ascii="Times New Roman" w:hAnsi="Times New Roman"/>
                <w:b w:val="0"/>
                <w:i w:val="0"/>
                <w:sz w:val="22"/>
              </w:rPr>
              <w:t>False positive (as used in AML operations): An alert caused by code bugs, data errors, or scenario design flaws that does not fit the spirit of the scenario. In standard ML/statistics usage, a false positive is any negative-class instance classified as positive regardless of cause; in AML operations, the term is reserved for alerts where the system failed — not for alerts the scenario correctly fired but investigation closed as non-suspicious. For example: a scenario designed to catch large cash deposits fires on a salary payment because the transaction type code was mapped incorrectly. This is a false positive — the system failed. It is a materially different problem from noise.</w:t>
            </w:r>
          </w:p>
          <w:p>
            <w:pPr>
              <w:spacing w:lineRule="auto" w:line="312" w:before="20" w:after="40"/>
              <w:ind w:left="113"/>
            </w:pPr>
            <w:r>
              <w:rPr>
                <w:rFonts w:ascii="Times New Roman" w:hAnsi="Times New Roman"/>
                <w:b w:val="0"/>
                <w:i w:val="0"/>
                <w:sz w:val="22"/>
              </w:rPr>
              <w:t>Well-defined models and well-calibrated scenarios produce legitimate alerts — even if most of those alerts are closed as non-suspicious. The industry's habit of calling all closed alerts 'false positives' mischaracterises a coverage trade-off as a system malfunction, and drives threshold-raising decisions that create genuine coverage gaps. This book uses 'noisy alert' for the former and reserves 'false positive' for the latter.</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With that distinction established: high noisy alert rates are a real operational problem. Every noisy alert consumes analyst time without generating useful intelligence. When noisy alert rates are high, they create three compounding problems.</w:t>
      </w:r>
    </w:p>
    <w:p>
      <w:pPr>
        <w:pStyle w:val="BodyText"/>
        <w:spacing w:lineRule="auto" w:line="360" w:before="0" w:after="120"/>
        <w:ind w:firstLine="283"/>
      </w:pPr>
      <w:r>
        <w:rPr>
          <w:rFonts w:ascii="Times New Roman" w:hAnsi="Times New Roman"/>
          <w:b w:val="0"/>
          <w:i w:val="0"/>
          <w:sz w:val="24"/>
        </w:rPr>
        <w:t>The claim that '90% of AML alerts are false positives' is one of the most repeated statistics in the industry. It is also one of the least precise. The noisy alert rate depends on the scenario, the threshold, the segmentation, and the quality of the underlying data. A poorly calibrated structuring rule applied to an unsegmented population will have a very different noisy alert rate from a well-tuned rule applied to a properly segmented personal account cluster. Citing a single number across all scenarios and all institutions obscures more than it reveals. Throughout this chapter, we treat the noisy alert rate as a scenario-specific, segment-specific metric — not an industry-wide generality.</w:t>
      </w:r>
    </w:p>
    <w:p>
      <w:pPr>
        <w:pStyle w:val="ListBullet"/>
        <w:spacing w:lineRule="auto" w:line="360" w:before="0" w:after="60"/>
      </w:pPr>
      <w:r>
        <w:rPr>
          <w:rFonts w:ascii="Times New Roman" w:hAnsi="Times New Roman"/>
          <w:b w:val="0"/>
          <w:i w:val="0"/>
          <w:sz w:val="24"/>
        </w:rPr>
        <w:t>Operational cost: Analyst time is finite. At 45 minutes per alert review, a team of 10 analysts can process approximately 90 alerts per day, or around 1,900 per month. If the TMS generates 5,000 alerts per month, the team has a structural capacity deficit regardless of how efficient individual reviews are.</w:t>
      </w:r>
    </w:p>
    <w:p>
      <w:pPr>
        <w:pStyle w:val="ListBullet"/>
        <w:spacing w:lineRule="auto" w:line="360" w:before="0" w:after="60"/>
      </w:pPr>
      <w:r>
        <w:rPr>
          <w:rFonts w:ascii="Times New Roman" w:hAnsi="Times New Roman"/>
          <w:b w:val="0"/>
          <w:i w:val="0"/>
          <w:sz w:val="24"/>
        </w:rPr>
        <w:t>Alert fatigue: As described in Chapter 3, high noisy alert rates degrade the quality of individual alert reviews. Analysts who review 95 noisy alerts before reaching a genuine case are less likely to identify the genuine case with full rigour.</w:t>
      </w:r>
    </w:p>
    <w:p>
      <w:pPr>
        <w:pStyle w:val="ListBullet"/>
        <w:spacing w:lineRule="auto" w:line="360" w:before="0" w:after="60"/>
      </w:pPr>
      <w:r>
        <w:rPr>
          <w:rFonts w:ascii="Times New Roman" w:hAnsi="Times New Roman"/>
          <w:b w:val="0"/>
          <w:i w:val="0"/>
          <w:sz w:val="24"/>
        </w:rPr>
        <w:t>Regulatory risk: Paradoxically, an excessively high alert volume can itself create regulatory risk. If an institution cannot demonstrate that it has the capacity to review all alerts within required timeframes, examiners may conclude that the Transaction Monitoring Framework is inadequate — even if the scenarios are well-designed.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6.3  </w:t>
            </w:r>
            <w:r>
              <w:rPr>
                <w:rFonts w:ascii="Times New Roman" w:hAnsi="Times New Roman"/>
                <w:b/>
                <w:i/>
                <w:sz w:val="22"/>
              </w:rPr>
              <w:t>Risk Consideration</w:t>
            </w:r>
          </w:p>
          <w:p>
            <w:pPr>
              <w:spacing w:lineRule="auto" w:line="312" w:before="20" w:after="40"/>
              <w:ind w:left="113"/>
            </w:pPr>
            <w:r>
              <w:rPr>
                <w:rFonts w:ascii="Times New Roman" w:hAnsi="Times New Roman"/>
                <w:b w:val="0"/>
                <w:i w:val="0"/>
                <w:sz w:val="22"/>
              </w:rPr>
              <w:t>A common institutional response to high noisy alert rates is to raise thresholds — reducing alert volume by moving accounts from ATL to BTL. This addresses the operational problem but creates a coverage problem. The correct response is to investigate the root cause: is the threshold too low? Is the scenario logic imprecise? Is the customer population poorly segmented? Raising thresholds without investigation is tuning by volume target, not by risk.</w:t>
            </w:r>
          </w:p>
        </w:tc>
      </w:tr>
    </w:tbl>
    <w:p>
      <w:pPr>
        <w:spacing w:lineRule="auto" w:line="240" w:before="0" w:after="160"/>
      </w:pPr>
    </w:p>
    <w:p>
      <w:pPr>
        <w:pStyle w:val="Heading2"/>
      </w:pPr>
      <w:r>
        <w:rPr>
          <w:rFonts w:ascii="Times New Roman" w:hAnsi="Times New Roman"/>
        </w:rPr>
        <w:t>6.4 The False Negative Problem</w:t>
      </w:r>
    </w:p>
    <w:p>
      <w:pPr>
        <w:pStyle w:val="BodyText"/>
        <w:spacing w:lineRule="auto" w:line="360" w:before="0" w:after="120"/>
        <w:ind w:firstLine="283"/>
      </w:pPr>
      <w:r>
        <w:rPr>
          <w:rFonts w:ascii="Times New Roman" w:hAnsi="Times New Roman"/>
          <w:b w:val="0"/>
          <w:i w:val="0"/>
          <w:sz w:val="24"/>
        </w:rPr>
        <w:t>A false negative is a genuinely suspicious account or transaction that falls below the alert threshold and is therefore never reviewed. False negatives are harder to identify than false positives — by definition, they are invisible unless specifically sought out.</w:t>
      </w:r>
    </w:p>
    <w:p>
      <w:pPr>
        <w:pStyle w:val="BodyText"/>
        <w:spacing w:lineRule="auto" w:line="360" w:before="0" w:after="120"/>
        <w:ind w:firstLine="283"/>
      </w:pPr>
      <w:r>
        <w:rPr>
          <w:rFonts w:ascii="Times New Roman" w:hAnsi="Times New Roman"/>
          <w:b w:val="0"/>
          <w:i w:val="0"/>
          <w:sz w:val="24"/>
        </w:rPr>
        <w:t>The regulatory consequence of false negatives is severe. If a regulator discovers — through a law enforcement inquiry, an SAR tipoff, or an examination — that the institution was missing substantial suspicious activity because its thresholds were set too high, the institution faces enforcement action for failing to maintain an effective monitoring programme. The defence 'we didn't know because our threshold was set this way' is not available — the institution is expected to have tested what it is missing.</w:t>
      </w:r>
    </w:p>
    <w:p>
      <w:pPr>
        <w:pStyle w:val="BodyText"/>
        <w:spacing w:lineRule="auto" w:line="360" w:before="0" w:after="120"/>
        <w:ind w:firstLine="283"/>
      </w:pPr>
      <w:r>
        <w:rPr>
          <w:rFonts w:ascii="Times New Roman" w:hAnsi="Times New Roman"/>
          <w:b w:val="0"/>
          <w:i w:val="0"/>
          <w:sz w:val="24"/>
        </w:rPr>
        <w:t>This is why BTL sampling is not optional. The correct goal of BTL sampling is not simply to estimate how much suspicious activity the institution is missing — it is to estimate the probability of missing the minimum required number of SARs within the institution's defined risk appetite. Risk appetite, as defined in this book, is the institution's documented tolerance for financial crime risk, including an acceptable level of false negatives. The BTL sampling exercise produces a statistical estimate of the BTL SAR rate; the institution then assesses whether that rate falls within its defined risk appetite. If it does, the threshold is defensible. If it does not, the threshold must be adjusted. The methodology for this estimation is hypergeometric sampling.</w:t>
      </w:r>
    </w:p>
    <w:p>
      <w:pPr>
        <w:pStyle w:val="Heading2"/>
      </w:pPr>
      <w:r>
        <w:rPr>
          <w:rFonts w:ascii="Times New Roman" w:hAnsi="Times New Roman"/>
        </w:rPr>
        <w:t>6.5 Hypergeometric Sampling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6.4  </w:t>
            </w:r>
            <w:r>
              <w:rPr>
                <w:rFonts w:ascii="Times New Roman" w:hAnsi="Times New Roman"/>
                <w:b/>
                <w:i/>
                <w:sz w:val="22"/>
              </w:rPr>
              <w:t>From School to Practice: Hypergeometric Sampling in AML</w:t>
            </w:r>
          </w:p>
          <w:p>
            <w:pPr>
              <w:spacing w:lineRule="auto" w:line="312" w:before="20" w:after="40"/>
              <w:ind w:left="113"/>
            </w:pPr>
            <w:r>
              <w:rPr>
                <w:rFonts w:ascii="Times New Roman" w:hAnsi="Times New Roman"/>
                <w:b w:val="0"/>
                <w:i w:val="0"/>
                <w:sz w:val="22"/>
              </w:rPr>
              <w:t>In statistics, hypergeometric sampling is used to estimate population parameters from a sample drawn without replacement — that is, once a unit is selected, it is removed from the sampling pool. You may have encountered it in quality control or survey sampling contexts. In AML tuning, we apply it to the below-the-line population: the transactions that did NOT generate an alert. Our goal is to estimate how much suspicious activity we are missing — and to do so with a defined level of statistical confidence. The key challenge is that we do not know the size of the 'defective' sub-population (genuinely suspicious accounts) within the BTL. We are estimating it from a sample. The hypergeometric distribution gives us the probability framework for that estimation.</w:t>
            </w:r>
          </w:p>
        </w:tc>
      </w:tr>
    </w:tbl>
    <w:p>
      <w:pPr>
        <w:spacing w:lineRule="auto" w:line="240" w:before="0" w:after="160"/>
      </w:pPr>
    </w:p>
    <w:p>
      <w:pPr>
        <w:pStyle w:val="Heading3"/>
      </w:pPr>
      <w:r>
        <w:rPr>
          <w:rFonts w:ascii="Times New Roman" w:hAnsi="Times New Roman"/>
        </w:rPr>
        <w:t>6.5.1 The Mathematics of Hypergeometric Sampling in AML</w:t>
      </w:r>
    </w:p>
    <w:p>
      <w:pPr>
        <w:pStyle w:val="BodyText"/>
        <w:spacing w:lineRule="auto" w:line="360" w:before="0" w:after="120"/>
        <w:ind w:firstLine="283"/>
      </w:pPr>
      <w:r>
        <w:rPr>
          <w:rFonts w:ascii="Times New Roman" w:hAnsi="Times New Roman"/>
          <w:b w:val="0"/>
          <w:i w:val="0"/>
          <w:sz w:val="24"/>
        </w:rPr>
        <w:t>Consider a BTL population of N accounts. We hypothesise that M of these accounts are genuinely suspicious (M is unknown). We draw a sample of n accounts from the BTL, without replacement, and review each one. We find k accounts that appear suspicious.</w:t>
      </w:r>
    </w:p>
    <w:p>
      <w:pPr>
        <w:pStyle w:val="BodyText"/>
        <w:spacing w:lineRule="auto" w:line="360" w:before="0" w:after="120"/>
        <w:ind w:firstLine="283"/>
      </w:pPr>
      <w:r>
        <w:rPr>
          <w:rFonts w:ascii="Times New Roman" w:hAnsi="Times New Roman"/>
          <w:b w:val="0"/>
          <w:i w:val="0"/>
          <w:sz w:val="24"/>
        </w:rPr>
        <w:t>The hypergeometric distribution models the probability of finding exactly k suspicious accounts in a sample of n, given a population of N with M truly suspicious accounts:</w:t>
      </w:r>
    </w:p>
    <w:p>
      <w:pPr>
        <w:spacing w:lineRule="auto" w:line="240" w:before="60" w:after="120"/>
        <w:ind w:firstLine="0"/>
        <w:jc w:val="left"/>
      </w:pPr>
      <w:r>
        <w:rPr>
          <w:rFonts w:ascii="Times New Roman" w:hAnsi="Times New Roman"/>
          <w:b w:val="0"/>
          <w:i/>
          <w:sz w:val="20"/>
        </w:rPr>
        <w:t>Listing 6.1  Python code — Hypergeometric Probability Formula</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Hypergeometric Probability Formula</w:t>
            </w:r>
          </w:p>
          <w:p>
            <w:pPr>
              <w:spacing w:lineRule="auto" w:line="240" w:before="0" w:after="20"/>
              <w:ind w:left="142"/>
            </w:pPr>
            <w:r>
              <w:rPr>
                <w:rFonts w:ascii="Courier New" w:hAnsi="Courier New"/>
                <w:b w:val="0"/>
                <w:i w:val="0"/>
                <w:sz w:val="18"/>
              </w:rPr>
              <w:t>P(X = k) = C(M, k) * C(N-M, n-k) / C(N, n)</w:t>
            </w:r>
          </w:p>
          <w:p>
            <w:pPr>
              <w:spacing w:lineRule="auto" w:line="240" w:before="0" w:after="20"/>
              <w:ind w:left="142"/>
            </w:pPr>
            <w:r>
              <w:rPr>
                <w:rFonts w:ascii="Courier New" w:hAnsi="Courier New"/>
                <w:b w:val="0"/>
                <w:i w:val="0"/>
                <w:sz w:val="18"/>
              </w:rPr>
              <w:t>Where: N = BTL population size; M = unknown number of truly suspicious accounts in BTL; n = sample size; k = observed suspicious accounts in sample; C(a,b) = binomial coefficient ('a choose b').</w:t>
            </w:r>
          </w:p>
          <w:p>
            <w:pPr>
              <w:spacing w:lineRule="auto" w:line="240" w:before="0" w:after="20"/>
              <w:ind w:left="142"/>
            </w:pPr>
            <w:r>
              <w:rPr>
                <w:rFonts w:ascii="Courier New" w:hAnsi="Courier New"/>
                <w:b w:val="0"/>
                <w:i w:val="0"/>
                <w:sz w:val="18"/>
              </w:rPr>
              <w:t>In practice, we use this distribution to construct a confidence interval around our estimate of M/N (the true BTL SAR rate). We observe k/n in the sample and use the hypergeometric distribution to determine the range of M values that would have produced our observed sample with a given probability.</w:t>
            </w:r>
          </w:p>
        </w:tc>
      </w:tr>
    </w:tbl>
    <w:p>
      <w:pPr>
        <w:spacing w:lineRule="auto" w:line="240" w:before="0" w:after="200"/>
      </w:pPr>
    </w:p>
    <w:p>
      <w:pPr>
        <w:pStyle w:val="Heading3"/>
      </w:pPr>
      <w:r>
        <w:rPr>
          <w:rFonts w:ascii="Times New Roman" w:hAnsi="Times New Roman"/>
        </w:rPr>
        <w:t>6.5.2 Designing a Sampling Exercise</w:t>
      </w:r>
    </w:p>
    <w:p>
      <w:pPr>
        <w:pStyle w:val="BodyText"/>
        <w:spacing w:lineRule="auto" w:line="360" w:before="0" w:after="120"/>
        <w:ind w:firstLine="283"/>
      </w:pPr>
      <w:r>
        <w:rPr>
          <w:rFonts w:ascii="Times New Roman" w:hAnsi="Times New Roman"/>
          <w:b w:val="0"/>
          <w:i w:val="0"/>
          <w:sz w:val="24"/>
        </w:rPr>
        <w:t>Before conducting a BTL sampling exercise, the institution must define:</w:t>
      </w:r>
    </w:p>
    <w:p>
      <w:pPr>
        <w:pStyle w:val="ListBullet"/>
        <w:spacing w:lineRule="auto" w:line="360" w:before="0" w:after="60"/>
      </w:pPr>
      <w:r>
        <w:rPr>
          <w:rFonts w:ascii="Times New Roman" w:hAnsi="Times New Roman"/>
          <w:b w:val="0"/>
          <w:i w:val="0"/>
          <w:sz w:val="24"/>
        </w:rPr>
        <w:t>Sample scope: Which scenario's BTL population is being sampled? For a rolling cash deposit rule at a given threshold, the BTL population is all accounts that had cash transaction activity in the review period but did not trigger an alert.</w:t>
      </w:r>
    </w:p>
    <w:p>
      <w:pPr>
        <w:pStyle w:val="ListBullet"/>
        <w:spacing w:lineRule="auto" w:line="360" w:before="0" w:after="60"/>
      </w:pPr>
      <w:r>
        <w:rPr>
          <w:rFonts w:ascii="Times New Roman" w:hAnsi="Times New Roman"/>
          <w:b w:val="0"/>
          <w:i w:val="0"/>
          <w:sz w:val="24"/>
        </w:rPr>
        <w:t>Sample size: The minimum sample size required to achieve a given confidence level and precision. This is calculated using the hypergeometric (or, for large populations, binomial) approximation. For a population of N=2,000 BTL accounts, to achieve 95% confidence that the true SAR rate is within +/- 2%, a sample of approximately 238 accounts is required (using the conservative assumption of 50% base rate for maximum variance).</w:t>
      </w:r>
    </w:p>
    <w:p>
      <w:pPr>
        <w:pStyle w:val="ListBullet"/>
        <w:spacing w:lineRule="auto" w:line="360" w:before="0" w:after="60"/>
      </w:pPr>
      <w:r>
        <w:rPr>
          <w:rFonts w:ascii="Times New Roman" w:hAnsi="Times New Roman"/>
          <w:b w:val="0"/>
          <w:i w:val="0"/>
          <w:sz w:val="24"/>
        </w:rPr>
        <w:t>Selection methodology: Random selection, using a documented random number generator. The selection must be truly random — not convenience-based — to ensure the sample is representative of the full BTL population.</w:t>
      </w:r>
    </w:p>
    <w:p>
      <w:pPr>
        <w:pStyle w:val="ListBullet"/>
        <w:spacing w:lineRule="auto" w:line="360" w:before="0" w:after="60"/>
      </w:pPr>
      <w:r>
        <w:rPr>
          <w:rFonts w:ascii="Times New Roman" w:hAnsi="Times New Roman"/>
          <w:b w:val="0"/>
          <w:i w:val="0"/>
          <w:sz w:val="24"/>
        </w:rPr>
        <w:t>Review criteria: Each sampled account is reviewed by a qualified analyst using the same criteria as a standard L2 investigation. The review outcome is recorded as: no suspicion, possible suspicion, or confirmed suspicion (SAR-worthy). The institution must define in advance what constitutes a SAR-worthy finding in this context.</w:t>
      </w:r>
    </w:p>
    <w:p>
      <w:pPr>
        <w:pStyle w:val="Heading3"/>
      </w:pPr>
      <w:r>
        <w:rPr>
          <w:rFonts w:ascii="Times New Roman" w:hAnsi="Times New Roman"/>
        </w:rPr>
        <w:t>6.5.3 Sample Size Calculation</w:t>
      </w:r>
    </w:p>
    <w:p>
      <w:pPr>
        <w:pStyle w:val="BodyText"/>
        <w:spacing w:lineRule="auto" w:line="360" w:before="0" w:after="120"/>
        <w:ind w:firstLine="283"/>
      </w:pPr>
      <w:r>
        <w:rPr>
          <w:rFonts w:ascii="Times New Roman" w:hAnsi="Times New Roman"/>
          <w:b w:val="0"/>
          <w:i w:val="0"/>
          <w:sz w:val="24"/>
        </w:rPr>
        <w:t>For large BTL populations, the required sample size can be approximated using the formula for estimating a proportion with a given margin of error and confidence level:</w:t>
      </w:r>
    </w:p>
    <w:p>
      <w:pPr>
        <w:spacing w:lineRule="auto" w:line="240" w:before="60" w:after="120"/>
        <w:ind w:firstLine="0"/>
        <w:jc w:val="left"/>
      </w:pPr>
      <w:r>
        <w:rPr>
          <w:rFonts w:ascii="Times New Roman" w:hAnsi="Times New Roman"/>
          <w:b w:val="0"/>
          <w:i/>
          <w:sz w:val="20"/>
        </w:rPr>
        <w:t>Listing 6.2  Python code — Sample Size Formula (Binomial Approximation for Large Popula</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Sample Size Formula (Binomial Approximation for Large Populations)</w:t>
            </w:r>
          </w:p>
          <w:p>
            <w:pPr>
              <w:spacing w:lineRule="auto" w:line="240" w:before="0" w:after="20"/>
              <w:ind w:left="142"/>
            </w:pPr>
            <w:r>
              <w:rPr>
                <w:rFonts w:ascii="Courier New" w:hAnsi="Courier New"/>
                <w:b w:val="0"/>
                <w:i w:val="0"/>
                <w:sz w:val="18"/>
              </w:rPr>
              <w:t>n = (Z^2 * p * (1-p)) / E^2</w:t>
            </w:r>
          </w:p>
          <w:p>
            <w:pPr>
              <w:spacing w:lineRule="auto" w:line="240" w:before="0" w:after="20"/>
              <w:ind w:left="142"/>
            </w:pPr>
            <w:r>
              <w:rPr>
                <w:rFonts w:ascii="Courier New" w:hAnsi="Courier New"/>
                <w:b w:val="0"/>
                <w:i w:val="0"/>
                <w:sz w:val="18"/>
              </w:rPr>
              <w:t>Where: Z = z-score for desired confidence level (1.96 for 95%); p = estimated population proportion (use 0.5 for maximum conservatism if unknown); E = acceptable margin of error (e.g. 0.02 for +/- 2%).</w:t>
            </w:r>
          </w:p>
          <w:p>
            <w:pPr>
              <w:spacing w:lineRule="auto" w:line="240" w:before="0" w:after="20"/>
              <w:ind w:left="142"/>
            </w:pPr>
            <w:r>
              <w:rPr>
                <w:rFonts w:ascii="Courier New" w:hAnsi="Courier New"/>
                <w:b w:val="0"/>
                <w:i w:val="0"/>
                <w:sz w:val="18"/>
              </w:rPr>
              <w:t>Example: 95% confidence, +/- 2% margin, p = 0.5: n = (1.96^2 * 0.5 * 0.5) / 0.02^2 = 3.8416 * 0.25 / 0.0004 = 2401. For finite populations, apply the finite population correction: n_adj = n / (1 + (n-1)/N). For N = 2000: n_adj = 2401 / (1 + 2400/2000) = 2401 / 2.2 = 1091.</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Using p=0.5 produces the most conservative — and largest — sample size. At 45 minutes per review, the FPC-adjusted sample of 1,091 accounts requires approximately 818 analyst hours — roughly 5 FTE-months. This is operationally significant. In practice, institutions with prior tuning data may use a lower p value based on historical BTL SAR rates (for example, p=0.02 if prior exercises have consistently found a 2% BTL SAR rate), substantially reducing the required sample. However, the institution must be prepared to justify its choice of p to an examiner — particularly if the lower p produces a materially smaller sample that turns out to have underestimated the true BTL SAR rate.</w:t>
      </w:r>
    </w:p>
    <w:p>
      <w:pPr>
        <w:pStyle w:val="Heading3"/>
      </w:pPr>
      <w:r>
        <w:rPr>
          <w:rFonts w:ascii="Times New Roman" w:hAnsi="Times New Roman"/>
        </w:rPr>
        <w:t>6.5.4 Interpreting the Results</w:t>
      </w:r>
    </w:p>
    <w:p>
      <w:pPr>
        <w:pStyle w:val="BodyText"/>
        <w:spacing w:lineRule="auto" w:line="360" w:before="0" w:after="120"/>
        <w:ind w:firstLine="283"/>
      </w:pPr>
      <w:r>
        <w:rPr>
          <w:rFonts w:ascii="Times New Roman" w:hAnsi="Times New Roman"/>
          <w:b w:val="0"/>
          <w:i w:val="0"/>
          <w:sz w:val="24"/>
        </w:rPr>
        <w:t>After reviewing the sample, the institution calculates the observed SAR rate (k/n). It then constructs a 95% confidence interval around this estimate. If the confidence interval falls within the institution's acceptable BTL SAR rate — typically defined in the TM policy as a threshold below which the risk of missing suspicious activity is considered manageable — then the threshold is defensible.</w:t>
      </w:r>
    </w:p>
    <w:p>
      <w:pPr>
        <w:pStyle w:val="BodyText"/>
        <w:spacing w:lineRule="auto" w:line="360" w:before="0" w:after="120"/>
        <w:ind w:firstLine="283"/>
      </w:pPr>
      <w:r>
        <w:rPr>
          <w:rFonts w:ascii="Times New Roman" w:hAnsi="Times New Roman"/>
          <w:b w:val="0"/>
          <w:i w:val="0"/>
          <w:sz w:val="24"/>
        </w:rPr>
        <w:t>What constitutes an acceptable BTL SAR rate? There is no universal regulatory standard. The institution must make a documented judgement — based on the BTL sampling results, the responsiveness curve, and the risk profile of the BTL population — that the estimated BTL SAR rate is proportionate to the coverage risk the institution is prepared to accept. A BTL SAR rate above 1-2% is typically considered an indicator that the threshold should be lowered. The institution must also consider the absolute number of suspicious accounts potentially missed — a 0.5% SAR rate in a BTL of 50,000 accounts implies 250 suspicious accounts going unreviewed.</w:t>
      </w:r>
    </w:p>
    <w:p>
      <w:pPr>
        <w:pStyle w:val="Heading2"/>
      </w:pPr>
      <w:r>
        <w:rPr>
          <w:rFonts w:ascii="Times New Roman" w:hAnsi="Times New Roman"/>
        </w:rPr>
        <w:t>6.6 Rule Responsiveness Analysis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6.5  </w:t>
            </w:r>
            <w:r>
              <w:rPr>
                <w:rFonts w:ascii="Times New Roman" w:hAnsi="Times New Roman"/>
                <w:b/>
                <w:i/>
                <w:sz w:val="22"/>
              </w:rPr>
              <w:t>Step 0: Validate Critical Data Elements Before Tuning</w:t>
            </w:r>
          </w:p>
          <w:p>
            <w:pPr>
              <w:spacing w:lineRule="auto" w:line="312" w:before="20" w:after="40"/>
              <w:ind w:left="113"/>
            </w:pPr>
            <w:r>
              <w:rPr>
                <w:rFonts w:ascii="Times New Roman" w:hAnsi="Times New Roman"/>
                <w:b w:val="0"/>
                <w:i w:val="0"/>
                <w:sz w:val="22"/>
              </w:rPr>
              <w:t>Before running any responsiveness analysis, confirm that the data the rule depends on is present, accurate, and complete. For NRB-STRUCT-001, the Critical Data Elements (CDEs) are: transaction type (cash vs. non-cash), transaction amount, transaction date, account identifier, customer CRR score, and account type. If any CDE is failing — missing from the feed, stale, or mapped incorrectly — the responsiveness results are unreliable. A rule run on corrupted data produces a corrupted alert count.</w:t>
            </w:r>
          </w:p>
          <w:p>
            <w:pPr>
              <w:spacing w:lineRule="auto" w:line="312" w:before="20" w:after="40"/>
              <w:ind w:left="113"/>
            </w:pPr>
            <w:r>
              <w:rPr>
                <w:rFonts w:ascii="Times New Roman" w:hAnsi="Times New Roman"/>
                <w:b w:val="0"/>
                <w:i w:val="0"/>
                <w:sz w:val="22"/>
              </w:rPr>
              <w:t>CDE validation follows the four-step DQ framework introduced in Chapter 3: (1) Lineage — confirm each CDE originates from the correct source system and is mapped accurately into the TMS feed; (2) Reconciliation — verify that the volume and values of records received match the source system for the analysis period; (3) CDE Testing — check each CDE for completeness (% populated), accuracy (spot-check against source), and timeliness (feed latency vs. monitoring window); (4) Feedback Loop — route any data quality findings to the source system owners for remediation, and document the finding in the tuning rationale.</w:t>
            </w:r>
          </w:p>
          <w:p>
            <w:pPr>
              <w:spacing w:lineRule="auto" w:line="312" w:before="20" w:after="40"/>
              <w:ind w:left="113"/>
            </w:pPr>
            <w:r>
              <w:rPr>
                <w:rFonts w:ascii="Times New Roman" w:hAnsi="Times New Roman"/>
                <w:b w:val="0"/>
                <w:i w:val="0"/>
                <w:sz w:val="22"/>
              </w:rPr>
              <w:t>If material CDE failures are found — for example, if the cash transaction feed excludes ATM deposits, or if 20% of CRR scores are stale — the tuning exercise should be paused until remediation is confirmed. Tuning on bad data produces a defensible-looking document and an indefensible threshold.</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A responsiveness analysis examines how sensitive the alert volume is to changes in threshold. The goal is to understand the shape of the alert curve: does a small change in threshold produce a large change in alert volume, or a small one? This is operationally important because it determines how much 'room' the institution has to tune the threshold in either direction.</w:t>
      </w:r>
    </w:p>
    <w:p>
      <w:pPr>
        <w:pStyle w:val="Heading3"/>
      </w:pPr>
      <w:r>
        <w:rPr>
          <w:rFonts w:ascii="Times New Roman" w:hAnsi="Times New Roman"/>
        </w:rPr>
        <w:t>6.6.1 Conducting a Responsiveness Analysis</w:t>
      </w:r>
    </w:p>
    <w:p>
      <w:pPr>
        <w:pStyle w:val="BodyText"/>
        <w:spacing w:lineRule="auto" w:line="360" w:before="0" w:after="120"/>
        <w:ind w:firstLine="283"/>
      </w:pPr>
      <w:r>
        <w:rPr>
          <w:rFonts w:ascii="Times New Roman" w:hAnsi="Times New Roman"/>
          <w:b w:val="0"/>
          <w:i w:val="0"/>
          <w:sz w:val="24"/>
        </w:rPr>
        <w:t>To conduct a responsiveness analysis for the Northgate structuring scenario, we run the scenario at multiple threshold values and record the alert count at each. We plot the results as a responsiveness curve — alert count on the y-axis, threshold on the x-axis.</w:t>
      </w:r>
    </w:p>
    <w:p>
      <w:pPr>
        <w:pStyle w:val="BodyText"/>
        <w:spacing w:lineRule="auto" w:line="360" w:before="0" w:after="120"/>
        <w:ind w:firstLine="283"/>
      </w:pPr>
      <w:r>
        <w:rPr>
          <w:rFonts w:ascii="Times New Roman" w:hAnsi="Times New Roman"/>
          <w:b w:val="0"/>
          <w:i w:val="0"/>
          <w:sz w:val="24"/>
        </w:rPr>
        <w:t>For the Northgate dataset, running the structuring rule at three threshold values gives the following illustrative results:</w:t>
      </w:r>
    </w:p>
    <w:p>
      <w:pPr>
        <w:spacing w:lineRule="auto" w:line="240" w:before="60" w:after="120"/>
        <w:ind w:firstLine="0"/>
        <w:jc w:val="left"/>
      </w:pPr>
      <w:r>
        <w:rPr>
          <w:rFonts w:ascii="Times New Roman" w:hAnsi="Times New Roman"/>
          <w:b w:val="0"/>
          <w:i/>
          <w:sz w:val="20"/>
        </w:rPr>
        <w:t>Table 6.2  Threshold (USD)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1512"/>
        <w:gridCol w:w="1512"/>
        <w:gridCol w:w="1512"/>
        <w:gridCol w:w="1512"/>
        <w:gridCol w:w="1512"/>
        <w:gridCol w:w="1512"/>
      </w:tblGrid>
      <w:tr>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Threshold (USD)</w:t>
            </w:r>
          </w:p>
        </w:tc>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Alert Count</w:t>
            </w:r>
          </w:p>
        </w:tc>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Est. SAR Rate</w:t>
            </w:r>
          </w:p>
        </w:tc>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SAR Count</w:t>
            </w:r>
          </w:p>
        </w:tc>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Analyst Hours</w:t>
            </w:r>
          </w:p>
        </w:tc>
        <w:tc>
          <w:tcPr>
            <w:tcW w:w="1512"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BTL Population</w:t>
            </w:r>
          </w:p>
        </w:tc>
      </w:tr>
      <w:tr>
        <w:tc>
          <w:tcPr>
            <w:tcW w:w="1512" w:type="dxa"/>
          </w:tcPr>
          <w:p>
            <w:pPr>
              <w:spacing w:lineRule="auto" w:line="288" w:before="60" w:after="60"/>
              <w:ind w:left="57" w:right="57"/>
            </w:pPr>
            <w:r>
              <w:rPr>
                <w:rFonts w:ascii="Times New Roman" w:hAnsi="Times New Roman"/>
                <w:b w:val="0"/>
                <w:i w:val="0"/>
                <w:sz w:val="20"/>
              </w:rPr>
              <w:t>5,000</w:t>
            </w:r>
          </w:p>
        </w:tc>
        <w:tc>
          <w:tcPr>
            <w:tcW w:w="1512" w:type="dxa"/>
          </w:tcPr>
          <w:p>
            <w:pPr>
              <w:spacing w:lineRule="auto" w:line="288" w:before="60" w:after="60"/>
              <w:ind w:left="57" w:right="57"/>
            </w:pPr>
            <w:r>
              <w:rPr>
                <w:rFonts w:ascii="Times New Roman" w:hAnsi="Times New Roman"/>
                <w:b w:val="0"/>
                <w:i w:val="0"/>
                <w:sz w:val="20"/>
              </w:rPr>
              <w:t>142</w:t>
            </w:r>
          </w:p>
        </w:tc>
        <w:tc>
          <w:tcPr>
            <w:tcW w:w="1512" w:type="dxa"/>
          </w:tcPr>
          <w:p>
            <w:pPr>
              <w:spacing w:lineRule="auto" w:line="288" w:before="60" w:after="60"/>
              <w:ind w:left="57" w:right="57"/>
            </w:pPr>
            <w:r>
              <w:rPr>
                <w:rFonts w:ascii="Times New Roman" w:hAnsi="Times New Roman"/>
                <w:b w:val="0"/>
                <w:i w:val="0"/>
                <w:sz w:val="20"/>
              </w:rPr>
              <w:t>12%</w:t>
            </w:r>
          </w:p>
        </w:tc>
        <w:tc>
          <w:tcPr>
            <w:tcW w:w="1512" w:type="dxa"/>
          </w:tcPr>
          <w:p>
            <w:pPr>
              <w:spacing w:lineRule="auto" w:line="288" w:before="60" w:after="60"/>
              <w:ind w:left="57" w:right="57"/>
            </w:pPr>
            <w:r>
              <w:rPr>
                <w:rFonts w:ascii="Times New Roman" w:hAnsi="Times New Roman"/>
                <w:b w:val="0"/>
                <w:i w:val="0"/>
                <w:sz w:val="20"/>
              </w:rPr>
              <w:t>17</w:t>
            </w:r>
          </w:p>
        </w:tc>
        <w:tc>
          <w:tcPr>
            <w:tcW w:w="1512" w:type="dxa"/>
          </w:tcPr>
          <w:p>
            <w:pPr>
              <w:spacing w:lineRule="auto" w:line="288" w:before="60" w:after="60"/>
              <w:ind w:left="57" w:right="57"/>
            </w:pPr>
            <w:r>
              <w:rPr>
                <w:rFonts w:ascii="Times New Roman" w:hAnsi="Times New Roman"/>
                <w:b w:val="0"/>
                <w:i w:val="0"/>
                <w:sz w:val="20"/>
              </w:rPr>
              <w:t>107</w:t>
            </w:r>
          </w:p>
        </w:tc>
        <w:tc>
          <w:tcPr>
            <w:tcW w:w="1512" w:type="dxa"/>
          </w:tcPr>
          <w:p>
            <w:pPr>
              <w:spacing w:lineRule="auto" w:line="288" w:before="60" w:after="60"/>
              <w:ind w:left="57" w:right="57"/>
            </w:pPr>
            <w:r>
              <w:rPr>
                <w:rFonts w:ascii="Times New Roman" w:hAnsi="Times New Roman"/>
                <w:b w:val="0"/>
                <w:i w:val="0"/>
                <w:sz w:val="20"/>
              </w:rPr>
              <w:t>358</w:t>
            </w:r>
          </w:p>
        </w:tc>
      </w:tr>
      <w:tr>
        <w:tc>
          <w:tcPr>
            <w:tcW w:w="1512" w:type="dxa"/>
          </w:tcPr>
          <w:p>
            <w:pPr>
              <w:spacing w:lineRule="auto" w:line="288" w:before="60" w:after="60"/>
              <w:ind w:left="57" w:right="57"/>
            </w:pPr>
            <w:r>
              <w:rPr>
                <w:rFonts w:ascii="Times New Roman" w:hAnsi="Times New Roman"/>
                <w:b w:val="0"/>
                <w:i w:val="0"/>
                <w:sz w:val="20"/>
              </w:rPr>
              <w:t>7,500</w:t>
            </w:r>
          </w:p>
        </w:tc>
        <w:tc>
          <w:tcPr>
            <w:tcW w:w="1512" w:type="dxa"/>
          </w:tcPr>
          <w:p>
            <w:pPr>
              <w:spacing w:lineRule="auto" w:line="288" w:before="60" w:after="60"/>
              <w:ind w:left="57" w:right="57"/>
            </w:pPr>
            <w:r>
              <w:rPr>
                <w:rFonts w:ascii="Times New Roman" w:hAnsi="Times New Roman"/>
                <w:b w:val="0"/>
                <w:i w:val="0"/>
                <w:sz w:val="20"/>
              </w:rPr>
              <w:t>86</w:t>
            </w:r>
          </w:p>
        </w:tc>
        <w:tc>
          <w:tcPr>
            <w:tcW w:w="1512" w:type="dxa"/>
          </w:tcPr>
          <w:p>
            <w:pPr>
              <w:spacing w:lineRule="auto" w:line="288" w:before="60" w:after="60"/>
              <w:ind w:left="57" w:right="57"/>
            </w:pPr>
            <w:r>
              <w:rPr>
                <w:rFonts w:ascii="Times New Roman" w:hAnsi="Times New Roman"/>
                <w:b w:val="0"/>
                <w:i w:val="0"/>
                <w:sz w:val="20"/>
              </w:rPr>
              <w:t>12%</w:t>
            </w:r>
          </w:p>
        </w:tc>
        <w:tc>
          <w:tcPr>
            <w:tcW w:w="1512" w:type="dxa"/>
          </w:tcPr>
          <w:p>
            <w:pPr>
              <w:spacing w:lineRule="auto" w:line="288" w:before="60" w:after="60"/>
              <w:ind w:left="57" w:right="57"/>
            </w:pPr>
            <w:r>
              <w:rPr>
                <w:rFonts w:ascii="Times New Roman" w:hAnsi="Times New Roman"/>
                <w:b w:val="0"/>
                <w:i w:val="0"/>
                <w:sz w:val="20"/>
              </w:rPr>
              <w:t>10</w:t>
            </w:r>
          </w:p>
        </w:tc>
        <w:tc>
          <w:tcPr>
            <w:tcW w:w="1512" w:type="dxa"/>
          </w:tcPr>
          <w:p>
            <w:pPr>
              <w:spacing w:lineRule="auto" w:line="288" w:before="60" w:after="60"/>
              <w:ind w:left="57" w:right="57"/>
            </w:pPr>
            <w:r>
              <w:rPr>
                <w:rFonts w:ascii="Times New Roman" w:hAnsi="Times New Roman"/>
                <w:b w:val="0"/>
                <w:i w:val="0"/>
                <w:sz w:val="20"/>
              </w:rPr>
              <w:t>65</w:t>
            </w:r>
          </w:p>
        </w:tc>
        <w:tc>
          <w:tcPr>
            <w:tcW w:w="1512" w:type="dxa"/>
          </w:tcPr>
          <w:p>
            <w:pPr>
              <w:spacing w:lineRule="auto" w:line="288" w:before="60" w:after="60"/>
              <w:ind w:left="57" w:right="57"/>
            </w:pPr>
            <w:r>
              <w:rPr>
                <w:rFonts w:ascii="Times New Roman" w:hAnsi="Times New Roman"/>
                <w:b w:val="0"/>
                <w:i w:val="0"/>
                <w:sz w:val="20"/>
              </w:rPr>
              <w:t>414</w:t>
            </w:r>
          </w:p>
        </w:tc>
      </w:tr>
      <w:tr>
        <w:tc>
          <w:tcPr>
            <w:tcW w:w="1512" w:type="dxa"/>
          </w:tcPr>
          <w:p>
            <w:pPr>
              <w:spacing w:lineRule="auto" w:line="288" w:before="60" w:after="60"/>
              <w:ind w:left="57" w:right="57"/>
            </w:pPr>
            <w:r>
              <w:rPr>
                <w:rFonts w:ascii="Times New Roman" w:hAnsi="Times New Roman"/>
                <w:b w:val="0"/>
                <w:i w:val="0"/>
                <w:sz w:val="20"/>
              </w:rPr>
              <w:t>9,000</w:t>
            </w:r>
          </w:p>
        </w:tc>
        <w:tc>
          <w:tcPr>
            <w:tcW w:w="1512" w:type="dxa"/>
          </w:tcPr>
          <w:p>
            <w:pPr>
              <w:spacing w:lineRule="auto" w:line="288" w:before="60" w:after="60"/>
              <w:ind w:left="57" w:right="57"/>
            </w:pPr>
            <w:r>
              <w:rPr>
                <w:rFonts w:ascii="Times New Roman" w:hAnsi="Times New Roman"/>
                <w:b w:val="0"/>
                <w:i w:val="0"/>
                <w:sz w:val="20"/>
              </w:rPr>
              <w:t>51</w:t>
            </w:r>
          </w:p>
        </w:tc>
        <w:tc>
          <w:tcPr>
            <w:tcW w:w="1512" w:type="dxa"/>
          </w:tcPr>
          <w:p>
            <w:pPr>
              <w:spacing w:lineRule="auto" w:line="288" w:before="60" w:after="60"/>
              <w:ind w:left="57" w:right="57"/>
            </w:pPr>
            <w:r>
              <w:rPr>
                <w:rFonts w:ascii="Times New Roman" w:hAnsi="Times New Roman"/>
                <w:b w:val="0"/>
                <w:i w:val="0"/>
                <w:sz w:val="20"/>
              </w:rPr>
              <w:t>12%</w:t>
            </w:r>
          </w:p>
        </w:tc>
        <w:tc>
          <w:tcPr>
            <w:tcW w:w="1512" w:type="dxa"/>
          </w:tcPr>
          <w:p>
            <w:pPr>
              <w:spacing w:lineRule="auto" w:line="288" w:before="60" w:after="60"/>
              <w:ind w:left="57" w:right="57"/>
            </w:pPr>
            <w:r>
              <w:rPr>
                <w:rFonts w:ascii="Times New Roman" w:hAnsi="Times New Roman"/>
                <w:b w:val="0"/>
                <w:i w:val="0"/>
                <w:sz w:val="20"/>
              </w:rPr>
              <w:t>6</w:t>
            </w:r>
          </w:p>
        </w:tc>
        <w:tc>
          <w:tcPr>
            <w:tcW w:w="1512" w:type="dxa"/>
          </w:tcPr>
          <w:p>
            <w:pPr>
              <w:spacing w:lineRule="auto" w:line="288" w:before="60" w:after="60"/>
              <w:ind w:left="57" w:right="57"/>
            </w:pPr>
            <w:r>
              <w:rPr>
                <w:rFonts w:ascii="Times New Roman" w:hAnsi="Times New Roman"/>
                <w:b w:val="0"/>
                <w:i w:val="0"/>
                <w:sz w:val="20"/>
              </w:rPr>
              <w:t>38</w:t>
            </w:r>
          </w:p>
        </w:tc>
        <w:tc>
          <w:tcPr>
            <w:tcW w:w="1512" w:type="dxa"/>
          </w:tcPr>
          <w:p>
            <w:pPr>
              <w:spacing w:lineRule="auto" w:line="288" w:before="60" w:after="60"/>
              <w:ind w:left="57" w:right="57"/>
            </w:pPr>
            <w:r>
              <w:rPr>
                <w:rFonts w:ascii="Times New Roman" w:hAnsi="Times New Roman"/>
                <w:b w:val="0"/>
                <w:i w:val="0"/>
                <w:sz w:val="20"/>
              </w:rPr>
              <w:t>449</w:t>
            </w:r>
          </w:p>
        </w:tc>
      </w:tr>
    </w:tbl>
    <w:p>
      <w:pPr>
        <w:spacing w:lineRule="auto" w:line="240" w:before="0" w:after="20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6.6  </w:t>
            </w:r>
            <w:r>
              <w:rPr>
                <w:rFonts w:ascii="Times New Roman" w:hAnsi="Times New Roman"/>
                <w:b/>
                <w:i/>
                <w:sz w:val="22"/>
              </w:rPr>
              <w:t>Note — Constant SAR Rate Assumption</w:t>
            </w:r>
          </w:p>
          <w:p>
            <w:pPr>
              <w:spacing w:lineRule="auto" w:line="312" w:before="20" w:after="40"/>
              <w:ind w:left="113"/>
            </w:pPr>
            <w:r>
              <w:rPr>
                <w:rFonts w:ascii="Times New Roman" w:hAnsi="Times New Roman"/>
                <w:b w:val="0"/>
                <w:i w:val="0"/>
                <w:sz w:val="22"/>
              </w:rPr>
              <w:t>For simplicity, this table holds the SAR rate constant at 12% across all three thresholds. In practice, the SAR rate typically increases as the threshold increases for many scenario types, because higher thresholds filter out more non-suspicious activity, concentrating genuine suspicion in the ATL population. For cash structuring rules specifically, this relationship may be reversed: sophisticated structuring deliberately clusters transactions near the detection threshold, so raising it can filter out the suspicious activity itself rather than the noise. A responsiveness analysis that shows a falling SAR rate as the threshold rises is a diagnostic signal — it may indicate a structuring population that is adapting to the threshold rather than a miscalibrated scenario. Empirical testing via the responsiveness analysis is essential before assuming the standard direction applies. A realistic responsiveness analysis for a general scenario might show SAR rates of 8% at USD 5,000, 12% at USD 7,500, and 18% at USD 9,000. The exercise code invites you to model this by varying SAR_RATE with threshold rather than holding it fixed. The analytical principles in this chapter apply regardless of which assumption you use.</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responsiveness curve for this scenario is relatively smooth: each USD 2,500 increase in threshold reduces alert volume by approximately 40%. This is a moderately sensitive scenario — the threshold has meaningful leverage over alert volume, but changes are not so sharp that small adjustments produce large swings in analyst workload.</w:t>
      </w:r>
    </w:p>
    <w:p>
      <w:pPr>
        <w:pStyle w:val="BodyText"/>
        <w:spacing w:lineRule="auto" w:line="360" w:before="0" w:after="120"/>
        <w:ind w:firstLine="283"/>
      </w:pPr>
      <w:r>
        <w:rPr>
          <w:rFonts w:ascii="Times New Roman" w:hAnsi="Times New Roman"/>
          <w:b w:val="0"/>
          <w:i w:val="0"/>
          <w:sz w:val="24"/>
        </w:rPr>
        <w:t>A steep responsiveness curve — where a small threshold change produces a large change in alert volume — indicates that many accounts are clustered near the threshold. This can indicate poor segmentation (accounts with very different risk profiles are being evaluated against the same threshold) or a threshold that sits at a natural concentration point in the transaction distribution.</w:t>
      </w:r>
    </w:p>
    <w:p>
      <w:pPr>
        <w:pStyle w:val="Heading2"/>
      </w:pPr>
      <w:r>
        <w:rPr>
          <w:rFonts w:ascii="Times New Roman" w:hAnsi="Times New Roman"/>
        </w:rPr>
        <w:t>6.7 The Tuning Decision: Documenting and Defending Threshold Calibration</w:t>
      </w:r>
    </w:p>
    <w:p>
      <w:pPr>
        <w:pStyle w:val="BodyText"/>
        <w:spacing w:lineRule="auto" w:line="360" w:before="0" w:after="120"/>
        <w:ind w:firstLine="283"/>
      </w:pPr>
      <w:r>
        <w:rPr>
          <w:rFonts w:ascii="Times New Roman" w:hAnsi="Times New Roman"/>
          <w:b w:val="0"/>
          <w:i w:val="0"/>
          <w:sz w:val="24"/>
        </w:rPr>
        <w:t>A threshold calibration exercise is not complete until it is documented. The documentation must satisfy two audiences: the internal governance process (model risk management, audit, senior management) and the regulatory examiner.</w:t>
      </w:r>
    </w:p>
    <w:p>
      <w:pPr>
        <w:pStyle w:val="BodyText"/>
        <w:spacing w:lineRule="auto" w:line="360" w:before="0" w:after="120"/>
        <w:ind w:firstLine="283"/>
      </w:pPr>
      <w:r>
        <w:rPr>
          <w:rFonts w:ascii="Times New Roman" w:hAnsi="Times New Roman"/>
          <w:b w:val="0"/>
          <w:i w:val="0"/>
          <w:sz w:val="24"/>
        </w:rPr>
        <w:t>The tuning rationale document should include:</w:t>
      </w:r>
    </w:p>
    <w:p>
      <w:pPr>
        <w:pStyle w:val="ListBullet"/>
        <w:spacing w:lineRule="auto" w:line="360" w:before="0" w:after="60"/>
      </w:pPr>
      <w:r>
        <w:rPr>
          <w:rFonts w:ascii="Times New Roman" w:hAnsi="Times New Roman"/>
          <w:b w:val="0"/>
          <w:i w:val="0"/>
          <w:sz w:val="24"/>
        </w:rPr>
        <w:t>Objective: What is the purpose of this calibration exercise? Is it the initial deployment of a new scenario, an annual review, or a response to a specific performance concern?</w:t>
      </w:r>
    </w:p>
    <w:p>
      <w:pPr>
        <w:pStyle w:val="ListBullet"/>
        <w:spacing w:lineRule="auto" w:line="360" w:before="0" w:after="60"/>
      </w:pPr>
      <w:r>
        <w:rPr>
          <w:rFonts w:ascii="Times New Roman" w:hAnsi="Times New Roman"/>
          <w:b w:val="0"/>
          <w:i w:val="0"/>
          <w:sz w:val="24"/>
        </w:rPr>
        <w:t>Data period: Over what time period was the analysis conducted? The analysis period should be long enough to capture seasonal variation and at least one full monitoring cycle.</w:t>
      </w:r>
    </w:p>
    <w:p>
      <w:pPr>
        <w:pStyle w:val="ListBullet"/>
        <w:spacing w:lineRule="auto" w:line="360" w:before="0" w:after="60"/>
      </w:pPr>
      <w:r>
        <w:rPr>
          <w:rFonts w:ascii="Times New Roman" w:hAnsi="Times New Roman"/>
          <w:b w:val="0"/>
          <w:i w:val="0"/>
          <w:sz w:val="24"/>
        </w:rPr>
        <w:t>Responsiveness analysis: Present the alert counts, SAR rates, and analyst hours at each threshold tested. Show the responsiveness curve.</w:t>
      </w:r>
    </w:p>
    <w:p>
      <w:pPr>
        <w:pStyle w:val="ListBullet"/>
        <w:spacing w:lineRule="auto" w:line="360" w:before="0" w:after="60"/>
      </w:pPr>
      <w:r>
        <w:rPr>
          <w:rFonts w:ascii="Times New Roman" w:hAnsi="Times New Roman"/>
          <w:b w:val="0"/>
          <w:i w:val="0"/>
          <w:sz w:val="24"/>
        </w:rPr>
        <w:t>BTL sampling results: Present the sampling methodology, sample size, observed BTL SAR rate, and confidence interval. State explicitly whether the result is within the institution's acceptable BTL SAR rate.</w:t>
      </w:r>
    </w:p>
    <w:p>
      <w:pPr>
        <w:pStyle w:val="ListBullet"/>
        <w:spacing w:lineRule="auto" w:line="360" w:before="0" w:after="60"/>
      </w:pPr>
      <w:r>
        <w:rPr>
          <w:rFonts w:ascii="Times New Roman" w:hAnsi="Times New Roman"/>
          <w:b w:val="0"/>
          <w:i w:val="0"/>
          <w:sz w:val="24"/>
        </w:rPr>
        <w:t>Threshold decision: State the chosen threshold and the rationale. If multiple thresholds were within acceptable parameters, explain why this one was selected. If a trade-off was made between coverage and capacity, document it explicitly.</w:t>
      </w:r>
    </w:p>
    <w:p>
      <w:pPr>
        <w:pStyle w:val="ListBullet"/>
        <w:spacing w:lineRule="auto" w:line="360" w:before="0" w:after="60"/>
      </w:pPr>
      <w:r>
        <w:rPr>
          <w:rFonts w:ascii="Times New Roman" w:hAnsi="Times New Roman"/>
          <w:b w:val="0"/>
          <w:i w:val="0"/>
          <w:sz w:val="24"/>
        </w:rPr>
        <w:t>Data quality findings: Record the results of the CDE validation step (Step 0). If any data quality issues were identified during the exercise, state the finding, its impact on the tuning results, and the remediation action taken or planned. This closes the DQ feedback loop and ensures the governance record reflects the data conditions under which the threshold was set.</w:t>
      </w:r>
    </w:p>
    <w:p>
      <w:pPr>
        <w:pStyle w:val="ListBullet"/>
        <w:spacing w:lineRule="auto" w:line="360" w:before="0" w:after="60"/>
      </w:pPr>
      <w:r>
        <w:rPr>
          <w:rFonts w:ascii="Times New Roman" w:hAnsi="Times New Roman"/>
          <w:b w:val="0"/>
          <w:i w:val="0"/>
          <w:sz w:val="24"/>
        </w:rPr>
        <w:t>Approval: Record who approved the tuning decision, at what level of governance, and on what date. This document is retained as part of the institution's model risk management records under SR 26-2 (US) / PRA SS1/23 (UK) and is subject to independent model validation.</w:t>
      </w:r>
    </w:p>
    <w:p>
      <w:pPr>
        <w:pStyle w:val="ListBullet"/>
        <w:spacing w:lineRule="auto" w:line="360" w:before="0" w:after="60"/>
      </w:pPr>
      <w:r>
        <w:rPr>
          <w:rFonts w:ascii="Times New Roman" w:hAnsi="Times New Roman"/>
          <w:b w:val="0"/>
          <w:i w:val="0"/>
          <w:sz w:val="24"/>
        </w:rPr>
        <w:t>Next review date: State when the threshold will next be reviewed. Most institutions conduct annual tuning reviews as a minimum; more frequent reviews are appropriate when the customer population is changing rapidly.</w:t>
      </w:r>
    </w:p>
    <w:p>
      <w:pPr>
        <w:pStyle w:val="Heading2"/>
      </w:pPr>
      <w:r>
        <w:rPr>
          <w:rFonts w:ascii="Times New Roman" w:hAnsi="Times New Roman"/>
        </w:rPr>
        <w:t>6.8 L1/L2/L3 Investigation Levels</w:t>
      </w:r>
    </w:p>
    <w:p>
      <w:pPr>
        <w:pStyle w:val="BodyText"/>
        <w:spacing w:lineRule="auto" w:line="360" w:before="0" w:after="120"/>
        <w:ind w:firstLine="283"/>
      </w:pPr>
      <w:r>
        <w:rPr>
          <w:rFonts w:ascii="Times New Roman" w:hAnsi="Times New Roman"/>
          <w:b w:val="0"/>
          <w:i w:val="0"/>
          <w:sz w:val="24"/>
        </w:rPr>
        <w:t>We described L1, L2, and L3 review in full in Chapter 3. Here we focus on how tuning decisions affect the workload and risk profile at each level.</w:t>
      </w:r>
    </w:p>
    <w:p>
      <w:pPr>
        <w:pStyle w:val="Heading3"/>
      </w:pPr>
      <w:r>
        <w:rPr>
          <w:rFonts w:ascii="Times New Roman" w:hAnsi="Times New Roman"/>
        </w:rPr>
        <w:t>6.8.1 Level 1 Review</w:t>
      </w:r>
    </w:p>
    <w:p>
      <w:pPr>
        <w:pStyle w:val="BodyText"/>
        <w:spacing w:lineRule="auto" w:line="360" w:before="0" w:after="120"/>
        <w:ind w:firstLine="283"/>
      </w:pPr>
      <w:r>
        <w:rPr>
          <w:rFonts w:ascii="Times New Roman" w:hAnsi="Times New Roman"/>
          <w:b w:val="0"/>
          <w:i w:val="0"/>
          <w:sz w:val="24"/>
        </w:rPr>
        <w:t>L1 triage is the first human checkpoint. Tuning that reduces alert volume at L1 frees capacity for more thorough review per alert. But it also concentrates risk: a higher threshold means the scenario is doing more of the filtering, and errors in the scenario design have greater consequence. An over-tuned scenario (threshold set too high) may produce an L1 queue that appears productive — most alerts escalate — but only because the obvious noisy alerts have been removed, not because the scenario is detecting more suspicious activity.</w:t>
      </w:r>
    </w:p>
    <w:p>
      <w:pPr>
        <w:pStyle w:val="Heading3"/>
      </w:pPr>
      <w:r>
        <w:rPr>
          <w:rFonts w:ascii="Times New Roman" w:hAnsi="Times New Roman"/>
        </w:rPr>
        <w:t>6.8.2 Level 2 Review</w:t>
      </w:r>
    </w:p>
    <w:p>
      <w:pPr>
        <w:pStyle w:val="BodyText"/>
        <w:spacing w:lineRule="auto" w:line="360" w:before="0" w:after="120"/>
        <w:ind w:firstLine="283"/>
      </w:pPr>
      <w:r>
        <w:rPr>
          <w:rFonts w:ascii="Times New Roman" w:hAnsi="Times New Roman"/>
          <w:b w:val="0"/>
          <w:i w:val="0"/>
          <w:sz w:val="24"/>
        </w:rPr>
        <w:t>Tuning affects L2 through its effect on L1 escalation rates. If L1 analysts are overwhelmed and making hasty decisions, L2 receives cases that should have been closed at L1. If L1 dismissal rates are too high — because a precise, high-threshold scenario gives analysts over-confidence in dismissal — L2 receives a concentrated caseload but risks systematic under-escalation of borderline cases.</w:t>
      </w:r>
    </w:p>
    <w:p>
      <w:pPr>
        <w:pStyle w:val="Heading3"/>
      </w:pPr>
      <w:r>
        <w:rPr>
          <w:rFonts w:ascii="Times New Roman" w:hAnsi="Times New Roman"/>
        </w:rPr>
        <w:t>6.8.3 Level 3 Review</w:t>
      </w:r>
    </w:p>
    <w:p>
      <w:pPr>
        <w:pStyle w:val="BodyText"/>
        <w:spacing w:lineRule="auto" w:line="360" w:before="0" w:after="120"/>
        <w:ind w:firstLine="283"/>
      </w:pPr>
      <w:r>
        <w:rPr>
          <w:rFonts w:ascii="Times New Roman" w:hAnsi="Times New Roman"/>
          <w:b w:val="0"/>
          <w:i w:val="0"/>
          <w:sz w:val="24"/>
        </w:rPr>
        <w:t>L3 covers specialist review: complex multi-jurisdiction cases, high-profile customers, and cases with supervisory notification obligations. Tuning does not directly affect L3 volume except through the escalation chain from L2.</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6.7  </w:t>
            </w:r>
            <w:r>
              <w:rPr>
                <w:rFonts w:ascii="Times New Roman" w:hAnsi="Times New Roman"/>
                <w:b/>
                <w:i/>
                <w:sz w:val="22"/>
              </w:rPr>
              <w:t>Note — L1/L2/L3 and the Three Lines of Defence</w:t>
            </w:r>
          </w:p>
          <w:p>
            <w:pPr>
              <w:spacing w:lineRule="auto" w:line="312" w:before="20" w:after="40"/>
              <w:ind w:left="113"/>
            </w:pPr>
            <w:r>
              <w:rPr>
                <w:rFonts w:ascii="Times New Roman" w:hAnsi="Times New Roman"/>
                <w:b w:val="0"/>
                <w:i w:val="0"/>
                <w:sz w:val="22"/>
              </w:rPr>
              <w:t>The L1/L2/L3 levels are investigation tiers — not the Three Lines of Defence (3LoD). L1, L2, and L3 review sits within the 1.5th Line (Operations). The tuning rationale is reviewed and challenged by FinCrime Risk (2nd Line). Independent model review — validating the tuning methodology and results — is conducted by Internal Audit or Model Risk (3rd Line). Understanding this governance chain matters: when a tuning failure is identified, the question is not just 'which review tier missed it?' but 'which line of defence failed to catch it?'</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6.8  </w:t>
            </w:r>
            <w:r>
              <w:rPr>
                <w:rFonts w:ascii="Times New Roman" w:hAnsi="Times New Roman"/>
                <w:b/>
                <w:i/>
                <w:sz w:val="22"/>
              </w:rPr>
              <w:t>From School to Practice — Precision, Recall, and Tuning</w:t>
            </w:r>
          </w:p>
          <w:p>
            <w:pPr>
              <w:spacing w:lineRule="auto" w:line="312" w:before="20" w:after="40"/>
              <w:ind w:left="113"/>
            </w:pPr>
            <w:r>
              <w:rPr>
                <w:rFonts w:ascii="Times New Roman" w:hAnsi="Times New Roman"/>
                <w:b w:val="0"/>
                <w:i w:val="0"/>
                <w:sz w:val="22"/>
              </w:rPr>
              <w:t>Precision and recall from machine learning map directly onto the tuning concepts we have been discussing. Precision is the proportion of alerts (ATL accounts) that are genuinely suspicious — equivalently, the SAR rate in alerts. Recall is the proportion of all genuinely suspicious accounts that generate an alert — equivalently, the coverage of the truly suspicious population. The difference from standard ML is that in AML you cannot compute recall directly, because you do not know the true size of the suspicious population. You do not have a labelled test set. Hypergeometric sampling is one way to estimate recall — or more precisely, to estimate how much of the suspicious population you are missing. The precision-recall trade-off framework applies just as it does in ML: raising the threshold increases precision (fewer noisy alerts per alert) but reduces recall (more suspicious accounts fall below the line). The AML practitioner must navigate this trade-off with a regulatory constraint: recall cannot fall below the level at which the institution is deemed to have a material surveillance gap.</w:t>
            </w:r>
          </w:p>
        </w:tc>
      </w:tr>
    </w:tbl>
    <w:p>
      <w:pPr>
        <w:spacing w:lineRule="auto" w:line="240" w:before="0" w:after="160"/>
      </w:pPr>
    </w:p>
    <w:p>
      <w:pPr>
        <w:pStyle w:val="Heading2"/>
      </w:pPr>
      <w:r>
        <w:rPr>
          <w:rFonts w:ascii="Times New Roman" w:hAnsi="Times New Roman"/>
        </w:rPr>
        <w:t>6.9 Applying Tuning to the Northgate Scenario</w:t>
      </w:r>
    </w:p>
    <w:p>
      <w:pPr>
        <w:pStyle w:val="BodyText"/>
        <w:spacing w:lineRule="auto" w:line="360" w:before="0" w:after="120"/>
        <w:ind w:firstLine="283"/>
      </w:pPr>
      <w:r>
        <w:rPr>
          <w:rFonts w:ascii="Times New Roman" w:hAnsi="Times New Roman"/>
          <w:b w:val="0"/>
          <w:i w:val="0"/>
          <w:sz w:val="24"/>
        </w:rPr>
        <w:t>We now apply the full tuning methodology to the Northgate structuring scenario, using the customer dataset from Chapter 5 and the scenario specification from Chapter 4.</w:t>
      </w:r>
    </w:p>
    <w:p>
      <w:pPr>
        <w:pStyle w:val="BodyText"/>
        <w:spacing w:lineRule="auto" w:line="360" w:before="0" w:after="120"/>
        <w:ind w:firstLine="283"/>
      </w:pPr>
      <w:r>
        <w:rPr>
          <w:rFonts w:ascii="Times New Roman" w:hAnsi="Times New Roman"/>
          <w:b w:val="0"/>
          <w:i w:val="0"/>
          <w:sz w:val="24"/>
        </w:rPr>
        <w:t>The structuring rule (NRB-STRUCT-001) is run at three thresholds: USD 5,000, USD 7,500, and USD 9,000. For each threshold, we calculate alert volume, estimated SAR count (assuming a 12% SAR rate in alerts, consistent with the labelled dataset), analyst hours required (at 45 minutes per alert), and the BTL population size.</w:t>
      </w:r>
    </w:p>
    <w:p>
      <w:pPr>
        <w:pStyle w:val="BodyText"/>
        <w:spacing w:lineRule="auto" w:line="360" w:before="0" w:after="120"/>
        <w:ind w:firstLine="283"/>
      </w:pPr>
      <w:r>
        <w:rPr>
          <w:rFonts w:ascii="Times New Roman" w:hAnsi="Times New Roman"/>
          <w:b w:val="0"/>
          <w:i w:val="0"/>
          <w:sz w:val="24"/>
        </w:rPr>
        <w:t>The results (shown in the table in Section 6.6) indicate the following:</w:t>
      </w:r>
    </w:p>
    <w:p>
      <w:pPr>
        <w:pStyle w:val="ListBullet"/>
        <w:spacing w:lineRule="auto" w:line="360" w:before="0" w:after="60"/>
      </w:pPr>
      <w:r>
        <w:rPr>
          <w:rFonts w:ascii="Times New Roman" w:hAnsi="Times New Roman"/>
          <w:b w:val="0"/>
          <w:i w:val="0"/>
          <w:sz w:val="24"/>
        </w:rPr>
        <w:t>USD 5,000: Generates 142 alerts and requires 107 analyst hours per review cycle. The SAR count is 17. The BTL population of 358 accounts should be sampled to estimate the BTL SAR rate.</w:t>
      </w:r>
    </w:p>
    <w:p>
      <w:pPr>
        <w:pStyle w:val="ListBullet"/>
        <w:spacing w:lineRule="auto" w:line="360" w:before="0" w:after="60"/>
      </w:pPr>
      <w:r>
        <w:rPr>
          <w:rFonts w:ascii="Times New Roman" w:hAnsi="Times New Roman"/>
          <w:b w:val="0"/>
          <w:i w:val="0"/>
          <w:sz w:val="24"/>
        </w:rPr>
        <w:t>USD 7,500: Generates 86 alerts and requires 65 analyst hours. The SAR count is 10. A smaller BTL population of 414 accounts is not reviewed.</w:t>
      </w:r>
    </w:p>
    <w:p>
      <w:pPr>
        <w:pStyle w:val="ListBullet"/>
        <w:spacing w:lineRule="auto" w:line="360" w:before="0" w:after="60"/>
      </w:pPr>
      <w:r>
        <w:rPr>
          <w:rFonts w:ascii="Times New Roman" w:hAnsi="Times New Roman"/>
          <w:b w:val="0"/>
          <w:i w:val="0"/>
          <w:sz w:val="24"/>
        </w:rPr>
        <w:t>USD 9,000: Generates 51 alerts and requires only 38 analyst hours. But the BTL population of 449 accounts is larger, and the risk of missing suspicious activity increases. The Northgate mule accounts, with a monthly cash-in of USD 8,200, would fall below this threshold and be completely missed.</w:t>
      </w:r>
    </w:p>
    <w:p>
      <w:pPr>
        <w:pStyle w:val="BodyText"/>
        <w:spacing w:lineRule="auto" w:line="360" w:before="0" w:after="120"/>
        <w:ind w:firstLine="283"/>
      </w:pPr>
      <w:r>
        <w:rPr>
          <w:rFonts w:ascii="Times New Roman" w:hAnsi="Times New Roman"/>
          <w:b w:val="0"/>
          <w:i w:val="0"/>
          <w:sz w:val="24"/>
        </w:rPr>
        <w:t>The threshold choice is therefore not simply a question of operational efficiency. At USD 9,000, the mule network falls below the line and is completely missed. At USD 7,500, the mule accounts — with avg_monthly_cash_in of USD 8,200 — are above the threshold and would generate alerts, but only narrowly: a small reduction in deposit activity or a single missed transaction could drop them below the line. At USD 5,000, they are clearly above the line — but so are many legitimate customers in the personal account cluster.</w:t>
      </w:r>
    </w:p>
    <w:p>
      <w:pPr>
        <w:pStyle w:val="BodyText"/>
        <w:spacing w:lineRule="auto" w:line="360" w:before="0" w:after="120"/>
        <w:ind w:firstLine="283"/>
      </w:pPr>
      <w:r>
        <w:rPr>
          <w:rFonts w:ascii="Times New Roman" w:hAnsi="Times New Roman"/>
          <w:b w:val="0"/>
          <w:i w:val="0"/>
          <w:sz w:val="24"/>
        </w:rPr>
        <w:t>Segmentation addresses this by applying different thresholds to different clusters. In the K=3 clustering from Chapter 5, the Northgate customer population splits into three segments. An illustrative segmented tuning outcome would set thresholds as follows: Cluster 0 (standard retail, avg_monthly_cash_in ~USD 400): threshold USD 3,500; Cluster 1 (medium-volume elevated-risk, where mule accounts sit, avg_monthly_cash_in ~USD 8,200): threshold USD 6,500; Cluster 2 (cash-intensive business, avg_monthly_cash_in ~USD 20,000+): threshold USD 15,000. At USD 6,500 applied to Cluster 1, the mule accounts are clearly above the line. The cash-intensive business cluster is not over-alerted because it operates under a higher threshold appropriate to its legitimate volumes. Exercise 6.1 Part A asks you to derive these segment-specific thresholds from the responsiveness and sampling data.</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6.9  </w:t>
            </w:r>
            <w:r>
              <w:rPr>
                <w:rFonts w:ascii="Times New Roman" w:hAnsi="Times New Roman"/>
                <w:b/>
                <w:i/>
                <w:sz w:val="22"/>
              </w:rPr>
              <w:t>Tuning Protocol Summary</w:t>
            </w:r>
          </w:p>
          <w:p>
            <w:pPr>
              <w:spacing w:lineRule="auto" w:line="312" w:before="20" w:after="40"/>
              <w:ind w:left="113"/>
            </w:pPr>
            <w:r>
              <w:rPr>
                <w:rFonts w:ascii="Times New Roman" w:hAnsi="Times New Roman"/>
                <w:b w:val="0"/>
                <w:i w:val="0"/>
                <w:sz w:val="22"/>
              </w:rPr>
              <w:t>Purpose: Calibrate scenario threshold(s) to achieve appropriate balance between ATL coverage and BTL risk, with full governance documentation.</w:t>
            </w:r>
          </w:p>
          <w:p>
            <w:pPr>
              <w:spacing w:lineRule="auto" w:line="312" w:before="20" w:after="40"/>
              <w:ind w:left="113"/>
            </w:pPr>
            <w:r>
              <w:rPr>
                <w:rFonts w:ascii="Times New Roman" w:hAnsi="Times New Roman"/>
                <w:b w:val="0"/>
                <w:i w:val="0"/>
                <w:sz w:val="22"/>
              </w:rPr>
              <w:t>Prerequisites: Active scenario with defined CDE list; historical transaction data covering at least one full monitoring cycle; defined BTL SAR rate tolerance (from TM policy); analyst capacity for BTL sampling review.</w:t>
            </w:r>
          </w:p>
          <w:p>
            <w:pPr>
              <w:spacing w:lineRule="auto" w:line="312" w:before="20" w:after="40"/>
              <w:ind w:left="113"/>
            </w:pPr>
            <w:r>
              <w:rPr>
                <w:rFonts w:ascii="Times New Roman" w:hAnsi="Times New Roman"/>
                <w:b w:val="0"/>
                <w:i w:val="0"/>
                <w:sz w:val="22"/>
              </w:rPr>
              <w:t>Step-by-Step Protocol:</w:t>
            </w:r>
          </w:p>
          <w:p>
            <w:pPr>
              <w:spacing w:lineRule="auto" w:line="312" w:before="20" w:after="40"/>
              <w:ind w:left="113"/>
            </w:pPr>
            <w:r>
              <w:rPr>
                <w:rFonts w:ascii="Times New Roman" w:hAnsi="Times New Roman"/>
                <w:b w:val="0"/>
                <w:i w:val="0"/>
                <w:sz w:val="22"/>
              </w:rPr>
              <w:t>Step 0 — Validate CDEs: Confirm all Critical Data Elements are complete, accurate, and timely before running any analysis. Document any failures.</w:t>
            </w:r>
          </w:p>
          <w:p>
            <w:pPr>
              <w:spacing w:lineRule="auto" w:line="312" w:before="20" w:after="40"/>
              <w:ind w:left="113"/>
            </w:pPr>
            <w:r>
              <w:rPr>
                <w:rFonts w:ascii="Times New Roman" w:hAnsi="Times New Roman"/>
                <w:b w:val="0"/>
                <w:i w:val="0"/>
                <w:sz w:val="22"/>
              </w:rPr>
              <w:t>Step 1 — Responsiveness Analysis: Run the scenario at multiple threshold values. Record alert count, estimated SAR count, analyst hours, and BTL population size at each.</w:t>
            </w:r>
          </w:p>
          <w:p>
            <w:pPr>
              <w:spacing w:lineRule="auto" w:line="312" w:before="20" w:after="40"/>
              <w:ind w:left="113"/>
            </w:pPr>
            <w:r>
              <w:rPr>
                <w:rFonts w:ascii="Times New Roman" w:hAnsi="Times New Roman"/>
                <w:b w:val="0"/>
                <w:i w:val="0"/>
                <w:sz w:val="22"/>
              </w:rPr>
              <w:t>Step 2 — BTL Sampling: For each candidate threshold, calculate the required sample size and conduct a structured BTL review. Record observed SAR rate and 95% CI.</w:t>
            </w:r>
          </w:p>
          <w:p>
            <w:pPr>
              <w:spacing w:lineRule="auto" w:line="312" w:before="20" w:after="40"/>
              <w:ind w:left="113"/>
            </w:pPr>
            <w:r>
              <w:rPr>
                <w:rFonts w:ascii="Times New Roman" w:hAnsi="Times New Roman"/>
                <w:b w:val="0"/>
                <w:i w:val="0"/>
                <w:sz w:val="22"/>
              </w:rPr>
              <w:t>Step 3 — Threshold Decision: Select threshold based on responsiveness curve, BTL sampling results, and institutional risk tolerance. Document the rationale for the choice.</w:t>
            </w:r>
          </w:p>
          <w:p>
            <w:pPr>
              <w:spacing w:lineRule="auto" w:line="312" w:before="20" w:after="40"/>
              <w:ind w:left="113"/>
            </w:pPr>
            <w:r>
              <w:rPr>
                <w:rFonts w:ascii="Times New Roman" w:hAnsi="Times New Roman"/>
                <w:b w:val="0"/>
                <w:i w:val="0"/>
                <w:sz w:val="22"/>
              </w:rPr>
              <w:t>Step 4 — Documentation: Produce tuning rationale document covering all eight elements (Section 6.7), including DQ findings.</w:t>
            </w:r>
          </w:p>
          <w:p>
            <w:pPr>
              <w:spacing w:lineRule="auto" w:line="312" w:before="20" w:after="40"/>
              <w:ind w:left="113"/>
            </w:pPr>
            <w:r>
              <w:rPr>
                <w:rFonts w:ascii="Times New Roman" w:hAnsi="Times New Roman"/>
                <w:b w:val="0"/>
                <w:i w:val="0"/>
                <w:sz w:val="22"/>
              </w:rPr>
              <w:t>Step 5 — Governance Approval: Submit to 2nd Line (FinCrime Risk) for review. Retain in model governance register. Schedule independent validation by 3rd Line. Set next review date.</w:t>
            </w:r>
          </w:p>
          <w:p>
            <w:pPr>
              <w:spacing w:lineRule="auto" w:line="312" w:before="20" w:after="40"/>
              <w:ind w:left="113"/>
            </w:pPr>
            <w:r>
              <w:rPr>
                <w:rFonts w:ascii="Times New Roman" w:hAnsi="Times New Roman"/>
                <w:b w:val="0"/>
                <w:i w:val="0"/>
                <w:sz w:val="22"/>
              </w:rPr>
              <w:t>Common Pitfalls: Tuning on unvalidated data; skipping BTL sampling; setting threshold to hit a volume target rather than a risk level; tuning the full population without segment-specific analyses; failing to document DQ issues that affected the analysis.</w:t>
            </w:r>
          </w:p>
        </w:tc>
      </w:tr>
    </w:tbl>
    <w:p>
      <w:pPr>
        <w:spacing w:lineRule="auto" w:line="240" w:before="0" w:after="160"/>
      </w:pPr>
    </w:p>
    <w:p>
      <w:pPr>
        <w:pStyle w:val="Heading2"/>
      </w:pPr>
      <w:r>
        <w:rPr>
          <w:rFonts w:ascii="Times New Roman" w:hAnsi="Times New Roman"/>
        </w:rPr>
        <w:t>6.10 Colab Walkthrough: Introducing Rule 2 — Velocity</w:t>
      </w:r>
    </w:p>
    <w:p>
      <w:pPr>
        <w:pStyle w:val="BodyText"/>
        <w:spacing w:lineRule="auto" w:line="360" w:before="0" w:after="120"/>
        <w:ind w:firstLine="283"/>
      </w:pPr>
      <w:r>
        <w:rPr>
          <w:rFonts w:ascii="Times New Roman" w:hAnsi="Times New Roman"/>
          <w:b w:val="0"/>
          <w:i w:val="0"/>
          <w:sz w:val="24"/>
        </w:rPr>
        <w:t>Tuning Rule 1 reveals a limitation: the cash-deposit structuring rule monitors aggregate value but not transaction frequency. An account making 25 rapid transfers over 3 days — each below the threshold individually — may not trigger Rule 1 at all. Velocity is the second risk dimension. Rule 2 monitors the number of transactions within a short rolling window and complements Rule 1's value-based approach.</w:t>
      </w:r>
    </w:p>
    <w:p>
      <w:pPr>
        <w:pStyle w:val="BodyText"/>
        <w:spacing w:lineRule="auto" w:line="360" w:before="0" w:after="120"/>
        <w:ind w:firstLine="283"/>
      </w:pPr>
      <w:r>
        <w:rPr>
          <w:rFonts w:ascii="Times New Roman" w:hAnsi="Times New Roman"/>
          <w:b w:val="0"/>
          <w:i w:val="0"/>
          <w:sz w:val="24"/>
        </w:rPr>
        <w:t>The code below implements Rule 2 (NRB-VELOC-001). It extends the existing apply_rule_1() function and is built into the same codebase you have been using since Chapter 4.</w:t>
      </w:r>
    </w:p>
    <w:p>
      <w:pPr>
        <w:spacing w:lineRule="auto" w:line="240" w:before="60" w:after="120"/>
        <w:ind w:firstLine="0"/>
        <w:jc w:val="left"/>
      </w:pPr>
      <w:r>
        <w:rPr>
          <w:rFonts w:ascii="Times New Roman" w:hAnsi="Times New Roman"/>
          <w:b w:val="0"/>
          <w:i/>
          <w:sz w:val="20"/>
        </w:rPr>
        <w:t>Listing 6.3  Python code — 📊 Colab Preview: Rule 2 — Transaction Velocity</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Rule 2 — Transaction Velocity</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def apply_rule_2(df_txn, max_txns=10, window_days=7):</w:t>
            </w:r>
          </w:p>
          <w:p>
            <w:pPr>
              <w:spacing w:lineRule="auto" w:line="240" w:before="0" w:after="20"/>
              <w:ind w:left="142"/>
            </w:pPr>
            <w:r>
              <w:rPr>
                <w:rFonts w:ascii="Courier New" w:hAnsi="Courier New"/>
                <w:b w:val="0"/>
                <w:i w:val="0"/>
                <w:sz w:val="18"/>
              </w:rPr>
              <w:t>"""Rule NRB-VELOC-001: &gt;max_txns transactions in window_days."""</w:t>
            </w:r>
          </w:p>
          <w:p>
            <w:pPr>
              <w:spacing w:lineRule="auto" w:line="240" w:before="0" w:after="20"/>
              <w:ind w:left="142"/>
            </w:pPr>
            <w:r>
              <w:rPr>
                <w:rFonts w:ascii="Courier New" w:hAnsi="Courier New"/>
                <w:b w:val="0"/>
                <w:i w:val="0"/>
                <w:sz w:val="18"/>
              </w:rPr>
              <w:t>df = df_txn.copy().sort_values(['account_id', 'txn_date'])</w:t>
            </w:r>
          </w:p>
          <w:p>
            <w:pPr>
              <w:spacing w:lineRule="auto" w:line="240" w:before="0" w:after="20"/>
              <w:ind w:left="142"/>
            </w:pPr>
            <w:r>
              <w:rPr>
                <w:rFonts w:ascii="Courier New" w:hAnsi="Courier New"/>
                <w:b w:val="0"/>
                <w:i w:val="0"/>
                <w:sz w:val="18"/>
              </w:rPr>
              <w:t>df['rolling_cnt'] = (</w:t>
            </w:r>
          </w:p>
          <w:p>
            <w:pPr>
              <w:spacing w:lineRule="auto" w:line="240" w:before="0" w:after="20"/>
              <w:ind w:left="142"/>
            </w:pPr>
            <w:r>
              <w:rPr>
                <w:rFonts w:ascii="Courier New" w:hAnsi="Courier New"/>
                <w:b w:val="0"/>
                <w:i w:val="0"/>
                <w:sz w:val="18"/>
              </w:rPr>
              <w:t>df.groupby('account_id', group_keys=False)</w:t>
            </w:r>
          </w:p>
          <w:p>
            <w:pPr>
              <w:spacing w:lineRule="auto" w:line="240" w:before="0" w:after="20"/>
              <w:ind w:left="142"/>
            </w:pPr>
            <w:r>
              <w:rPr>
                <w:rFonts w:ascii="Courier New" w:hAnsi="Courier New"/>
                <w:b w:val="0"/>
                <w:i w:val="0"/>
                <w:sz w:val="18"/>
              </w:rPr>
              <w:t>.apply(lambda g: g.set_index('txn_date')['txn_id']</w:t>
            </w:r>
          </w:p>
          <w:p>
            <w:pPr>
              <w:spacing w:lineRule="auto" w:line="240" w:before="0" w:after="20"/>
              <w:ind w:left="142"/>
            </w:pPr>
            <w:r>
              <w:rPr>
                <w:rFonts w:ascii="Courier New" w:hAnsi="Courier New"/>
                <w:b w:val="0"/>
                <w:i w:val="0"/>
                <w:sz w:val="18"/>
              </w:rPr>
              <w:t>.rolling(f'{window_days}D').count()</w:t>
            </w:r>
          </w:p>
          <w:p>
            <w:pPr>
              <w:spacing w:lineRule="auto" w:line="240" w:before="0" w:after="20"/>
              <w:ind w:left="142"/>
            </w:pPr>
            <w:r>
              <w:rPr>
                <w:rFonts w:ascii="Courier New" w:hAnsi="Courier New"/>
                <w:b w:val="0"/>
                <w:i w:val="0"/>
                <w:sz w:val="18"/>
              </w:rPr>
              <w:t>.reset_index(drop=True))</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alerts = (</w:t>
            </w:r>
          </w:p>
          <w:p>
            <w:pPr>
              <w:spacing w:lineRule="auto" w:line="240" w:before="0" w:after="20"/>
              <w:ind w:left="142"/>
            </w:pPr>
            <w:r>
              <w:rPr>
                <w:rFonts w:ascii="Courier New" w:hAnsi="Courier New"/>
                <w:b w:val="0"/>
                <w:i w:val="0"/>
                <w:sz w:val="18"/>
              </w:rPr>
              <w:t>df[df['rolling_cnt'] &gt; max_txns]</w:t>
            </w:r>
          </w:p>
          <w:p>
            <w:pPr>
              <w:spacing w:lineRule="auto" w:line="240" w:before="0" w:after="20"/>
              <w:ind w:left="142"/>
            </w:pPr>
            <w:r>
              <w:rPr>
                <w:rFonts w:ascii="Courier New" w:hAnsi="Courier New"/>
                <w:b w:val="0"/>
                <w:i w:val="0"/>
                <w:sz w:val="18"/>
              </w:rPr>
              <w:t>.groupby('account_id')</w:t>
            </w:r>
          </w:p>
          <w:p>
            <w:pPr>
              <w:spacing w:lineRule="auto" w:line="240" w:before="0" w:after="20"/>
              <w:ind w:left="142"/>
            </w:pPr>
            <w:r>
              <w:rPr>
                <w:rFonts w:ascii="Courier New" w:hAnsi="Courier New"/>
                <w:b w:val="0"/>
                <w:i w:val="0"/>
                <w:sz w:val="18"/>
              </w:rPr>
              <w:t>.agg(peak_7d_count=('rolling_cnt', 'max'))</w:t>
            </w:r>
          </w:p>
          <w:p>
            <w:pPr>
              <w:spacing w:lineRule="auto" w:line="240" w:before="0" w:after="20"/>
              <w:ind w:left="142"/>
            </w:pPr>
            <w:r>
              <w:rPr>
                <w:rFonts w:ascii="Courier New" w:hAnsi="Courier New"/>
                <w:b w:val="0"/>
                <w:i w:val="0"/>
                <w:sz w:val="18"/>
              </w:rPr>
              <w:t>.reset_index()</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return alerts</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rule2_alerts = apply_rule_2(df_txn)</w:t>
            </w:r>
          </w:p>
          <w:p>
            <w:pPr>
              <w:spacing w:lineRule="auto" w:line="240" w:before="0" w:after="20"/>
              <w:ind w:left="142"/>
            </w:pPr>
            <w:r>
              <w:rPr>
                <w:rFonts w:ascii="Courier New" w:hAnsi="Courier New"/>
                <w:b w:val="0"/>
                <w:i w:val="0"/>
                <w:sz w:val="18"/>
              </w:rPr>
              <w:t>print(f'Rule 2 generated {len(rule2_alerts)} alerts')</w:t>
            </w:r>
          </w:p>
          <w:p>
            <w:pPr>
              <w:spacing w:lineRule="auto" w:line="240" w:before="0" w:after="20"/>
              <w:ind w:left="142"/>
            </w:pPr>
            <w:r>
              <w:rPr>
                <w:rFonts w:ascii="Courier New" w:hAnsi="Courier New"/>
                <w:b w:val="0"/>
                <w:i w:val="0"/>
                <w:sz w:val="18"/>
              </w:rPr>
              <w:t># Which accounts trigger BOTH rules? — the highest-priority alerts</w:t>
            </w:r>
          </w:p>
          <w:p>
            <w:pPr>
              <w:spacing w:lineRule="auto" w:line="240" w:before="0" w:after="20"/>
              <w:ind w:left="142"/>
            </w:pPr>
            <w:r>
              <w:rPr>
                <w:rFonts w:ascii="Courier New" w:hAnsi="Courier New"/>
                <w:b w:val="0"/>
                <w:i w:val="0"/>
                <w:sz w:val="18"/>
              </w:rPr>
              <w:t>rule1_alerts = apply_rule_1(df_txn)  # from Chapter 4</w:t>
            </w:r>
          </w:p>
          <w:p>
            <w:pPr>
              <w:spacing w:lineRule="auto" w:line="240" w:before="0" w:after="20"/>
              <w:ind w:left="142"/>
            </w:pPr>
            <w:r>
              <w:rPr>
                <w:rFonts w:ascii="Courier New" w:hAnsi="Courier New"/>
                <w:b w:val="0"/>
                <w:i w:val="0"/>
                <w:sz w:val="18"/>
              </w:rPr>
              <w:t>both = rule1_alerts.merge(rule2_alerts, on='account_id', how='inner')</w:t>
            </w:r>
          </w:p>
          <w:p>
            <w:pPr>
              <w:spacing w:lineRule="auto" w:line="240" w:before="0" w:after="20"/>
              <w:ind w:left="142"/>
            </w:pPr>
            <w:r>
              <w:rPr>
                <w:rFonts w:ascii="Courier New" w:hAnsi="Courier New"/>
                <w:b w:val="0"/>
                <w:i w:val="0"/>
                <w:sz w:val="18"/>
              </w:rPr>
              <w:t>print(f'Accounts triggering both Rule 1 and Rule 2: {len(both)}')</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Rule 2 Alerts and Cross-Rule Overlap</w:t>
            </w:r>
          </w:p>
          <w:p>
            <w:pPr>
              <w:spacing w:lineRule="auto" w:line="240" w:before="0" w:after="20"/>
              <w:ind w:left="113"/>
            </w:pPr>
            <w:r>
              <w:rPr>
                <w:rFonts w:ascii="Courier New" w:hAnsi="Courier New"/>
                <w:b w:val="0"/>
                <w:i w:val="0"/>
                <w:sz w:val="18"/>
              </w:rPr>
              <w:t>Rule 1 alerts: 47</w:t>
            </w:r>
          </w:p>
          <w:p>
            <w:pPr>
              <w:spacing w:lineRule="auto" w:line="240" w:before="0" w:after="20"/>
              <w:ind w:left="113"/>
            </w:pPr>
            <w:r>
              <w:rPr>
                <w:rFonts w:ascii="Courier New" w:hAnsi="Courier New"/>
                <w:b w:val="0"/>
                <w:i w:val="0"/>
                <w:sz w:val="18"/>
              </w:rPr>
              <w:t>Rule 2 alerts: 357</w:t>
            </w:r>
          </w:p>
          <w:p>
            <w:pPr>
              <w:spacing w:lineRule="auto" w:line="240" w:before="0" w:after="20"/>
              <w:ind w:left="113"/>
            </w:pPr>
            <w:r>
              <w:rPr>
                <w:rFonts w:ascii="Courier New" w:hAnsi="Courier New"/>
                <w:b w:val="0"/>
                <w:i w:val="0"/>
                <w:sz w:val="18"/>
              </w:rPr>
              <w:t>Rule 2 — top 5 by peak transaction count:</w:t>
            </w:r>
          </w:p>
          <w:p>
            <w:pPr>
              <w:spacing w:lineRule="auto" w:line="240" w:before="0" w:after="20"/>
              <w:ind w:left="113"/>
            </w:pPr>
            <w:r>
              <w:rPr>
                <w:rFonts w:ascii="Courier New" w:hAnsi="Courier New"/>
                <w:b w:val="0"/>
                <w:i w:val="0"/>
                <w:sz w:val="18"/>
              </w:rPr>
              <w:t>account_id  peak_txn_count  peak_window_end  short_gap_count</w:t>
            </w:r>
          </w:p>
          <w:p>
            <w:pPr>
              <w:spacing w:lineRule="auto" w:line="240" w:before="0" w:after="20"/>
              <w:ind w:left="113"/>
            </w:pPr>
            <w:r>
              <w:rPr>
                <w:rFonts w:ascii="Courier New" w:hAnsi="Courier New"/>
                <w:b w:val="0"/>
                <w:i w:val="0"/>
                <w:sz w:val="18"/>
              </w:rPr>
              <w:t>ACC0235              12       2023-10-02               24</w:t>
            </w:r>
          </w:p>
          <w:p>
            <w:pPr>
              <w:spacing w:lineRule="auto" w:line="240" w:before="0" w:after="20"/>
              <w:ind w:left="113"/>
            </w:pPr>
            <w:r>
              <w:rPr>
                <w:rFonts w:ascii="Courier New" w:hAnsi="Courier New"/>
                <w:b w:val="0"/>
                <w:i w:val="0"/>
                <w:sz w:val="18"/>
              </w:rPr>
              <w:t>ACC0284              11       2023-12-12               39</w:t>
            </w:r>
          </w:p>
          <w:p>
            <w:pPr>
              <w:spacing w:lineRule="auto" w:line="240" w:before="0" w:after="20"/>
              <w:ind w:left="113"/>
            </w:pPr>
            <w:r>
              <w:rPr>
                <w:rFonts w:ascii="Courier New" w:hAnsi="Courier New"/>
                <w:b w:val="0"/>
                <w:i w:val="0"/>
                <w:sz w:val="18"/>
              </w:rPr>
              <w:t>ACC0246              11       2023-08-01               39</w:t>
            </w:r>
          </w:p>
          <w:p>
            <w:pPr>
              <w:spacing w:lineRule="auto" w:line="240" w:before="0" w:after="20"/>
              <w:ind w:left="113"/>
            </w:pPr>
            <w:r>
              <w:rPr>
                <w:rFonts w:ascii="Courier New" w:hAnsi="Courier New"/>
                <w:b w:val="0"/>
                <w:i w:val="0"/>
                <w:sz w:val="18"/>
              </w:rPr>
              <w:t>ACC0380              11       2023-04-03               37</w:t>
            </w:r>
          </w:p>
          <w:p>
            <w:pPr>
              <w:spacing w:lineRule="auto" w:line="240" w:before="0" w:after="20"/>
              <w:ind w:left="113"/>
            </w:pPr>
            <w:r>
              <w:rPr>
                <w:rFonts w:ascii="Courier New" w:hAnsi="Courier New"/>
                <w:b w:val="0"/>
                <w:i w:val="0"/>
                <w:sz w:val="18"/>
              </w:rPr>
              <w:t>ACC0313              11       2023-06-09               28</w:t>
            </w:r>
          </w:p>
          <w:p>
            <w:pPr>
              <w:spacing w:lineRule="auto" w:line="240" w:before="0" w:after="20"/>
              <w:ind w:left="113"/>
            </w:pPr>
            <w:r>
              <w:rPr>
                <w:rFonts w:ascii="Courier New" w:hAnsi="Courier New"/>
                <w:b w:val="0"/>
                <w:i w:val="0"/>
                <w:sz w:val="18"/>
              </w:rPr>
              <w:t>Accounts triggering BOTH Rule 1 and Rule 2: 46</w:t>
            </w:r>
          </w:p>
          <w:p>
            <w:pPr>
              <w:spacing w:lineRule="auto" w:line="240" w:before="0" w:after="20"/>
              <w:ind w:left="113"/>
            </w:pPr>
            <w:r>
              <w:rPr>
                <w:rFonts w:ascii="Courier New" w:hAnsi="Courier New"/>
                <w:b w:val="0"/>
                <w:i w:val="0"/>
                <w:sz w:val="18"/>
              </w:rPr>
              <w:t>Includes: ACC0001, ACC0002, ACC0003, ACC0004, ACC0005, ACC0006 ...</w:t>
            </w:r>
          </w:p>
        </w:tc>
      </w:tr>
    </w:tbl>
    <w:p>
      <w:pPr>
        <w:spacing w:lineRule="auto" w:line="240" w:before="0" w:after="160"/>
      </w:pPr>
    </w:p>
    <w:p>
      <w:pPr>
        <w:spacing w:lineRule="auto" w:line="240" w:before="200" w:after="80"/>
        <w:jc w:val="center"/>
      </w:pPr>
      <w:r>
        <w:drawing>
          <wp:inline xmlns:a="http://schemas.openxmlformats.org/drawingml/2006/main" xmlns:pic="http://schemas.openxmlformats.org/drawingml/2006/picture">
            <wp:extent cx="4680000" cy="2694706"/>
            <wp:docPr id="3" name="Picture 3"/>
            <wp:cNvGraphicFramePr>
              <a:graphicFrameLocks noChangeAspect="1"/>
            </wp:cNvGraphicFramePr>
            <a:graphic>
              <a:graphicData uri="http://schemas.openxmlformats.org/drawingml/2006/picture">
                <pic:pic>
                  <pic:nvPicPr>
                    <pic:cNvPr id="0" name="ch6.png"/>
                    <pic:cNvPicPr/>
                  </pic:nvPicPr>
                  <pic:blipFill>
                    <a:blip r:embed="rId11"/>
                    <a:stretch>
                      <a:fillRect/>
                    </a:stretch>
                  </pic:blipFill>
                  <pic:spPr>
                    <a:xfrm>
                      <a:off x="0" y="0"/>
                      <a:ext cx="4680000" cy="2694706"/>
                    </a:xfrm>
                    <a:prstGeom prst="rect"/>
                  </pic:spPr>
                </pic:pic>
              </a:graphicData>
            </a:graphic>
          </wp:inline>
        </w:drawing>
      </w:r>
    </w:p>
    <w:p>
      <w:pPr>
        <w:spacing w:lineRule="auto" w:line="240" w:before="40" w:after="240"/>
        <w:jc w:val="center"/>
      </w:pPr>
      <w:r>
        <w:rPr>
          <w:rFonts w:ascii="Times New Roman" w:hAnsi="Times New Roman"/>
          <w:b w:val="0"/>
          <w:i/>
          <w:sz w:val="20"/>
        </w:rPr>
        <w:t>Fig. 6.1  Rule 2 (NRB-VEL-002) responsiveness and overlap analysis</w:t>
      </w:r>
    </w:p>
    <w:p>
      <w:pPr>
        <w:pStyle w:val="BodyText"/>
        <w:spacing w:lineRule="auto" w:line="360" w:before="0" w:after="120"/>
        <w:ind w:firstLine="283"/>
      </w:pPr>
      <w:r>
        <w:rPr>
          <w:rFonts w:ascii="Times New Roman" w:hAnsi="Times New Roman"/>
          <w:b w:val="0"/>
          <w:i w:val="0"/>
          <w:sz w:val="24"/>
        </w:rPr>
        <w:t>Rule 2 generates 357 alerts — a broader net than Rule 1's 47, because velocity is a common feature of high-frequency retail banking, not just structuring. The critical insight is in the overlap: 46 accounts trigger both rules, including all six mule accounts (ACC0001–ACC0006). These double-triggered accounts are the highest-priority alerts in the queue. Exercise 6.1 Part C asks you to tune Rule 2's parameters to reduce false positives without losing the mule accounts from the overlap group.</w:t>
      </w:r>
    </w:p>
    <w:p>
      <w:pPr>
        <w:pStyle w:val="Heading2"/>
      </w:pPr>
      <w:r>
        <w:rPr>
          <w:rFonts w:ascii="Times New Roman" w:hAnsi="Times New Roman"/>
        </w:rPr>
        <w:t>6.11 Risk Considerations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Risk Consideration 6.10  </w:t>
            </w:r>
            <w:r>
              <w:rPr>
                <w:rFonts w:ascii="Times New Roman" w:hAnsi="Times New Roman"/>
                <w:b/>
                <w:i/>
                <w:sz w:val="22"/>
              </w:rPr>
              <w:t>Over-tuning (gaming the metric)</w:t>
            </w:r>
          </w:p>
          <w:p>
            <w:pPr>
              <w:spacing w:lineRule="auto" w:line="312" w:before="20" w:after="40"/>
              <w:ind w:left="113"/>
            </w:pPr>
            <w:r>
              <w:rPr>
                <w:rFonts w:ascii="Times New Roman" w:hAnsi="Times New Roman"/>
                <w:b w:val="0"/>
                <w:i w:val="0"/>
                <w:sz w:val="22"/>
              </w:rPr>
              <w:t>Over-tuning (gaming the metric): Institutions under pressure to reduce alert volumes may tune thresholds to achieve a target volume rather than a target risk level. This is metric gaming. If thresholds are raised until the alert queue is 'manageable', the institution may be systematically missing suspicious activity. Tuning should always be anchored to risk evidence — responsiveness analysis and BTL sampling — not to operational convenience.</w:t>
            </w:r>
          </w:p>
          <w:p>
            <w:pPr>
              <w:spacing w:lineRule="auto" w:line="312" w:before="20" w:after="40"/>
              <w:ind w:left="113"/>
            </w:pPr>
            <w:r>
              <w:rPr>
                <w:rFonts w:ascii="Times New Roman" w:hAnsi="Times New Roman"/>
                <w:b w:val="0"/>
                <w:i w:val="0"/>
                <w:sz w:val="22"/>
              </w:rPr>
              <w:t>Under-tuning (regulatory risk): Institutions that do not tune their scenarios at all — that deploy a scenario with initial parameters and never review them — accumulate drift between the monitoring threshold and the actual risk presented by the customer population. As the customer population changes, the threshold becomes progressively less appropriate. Regular tuning cycles — at minimum annual — are a regulatory expectation.</w:t>
            </w:r>
          </w:p>
          <w:p>
            <w:pPr>
              <w:spacing w:lineRule="auto" w:line="312" w:before="20" w:after="40"/>
              <w:ind w:left="113"/>
            </w:pPr>
            <w:r>
              <w:rPr>
                <w:rFonts w:ascii="Times New Roman" w:hAnsi="Times New Roman"/>
                <w:b w:val="0"/>
                <w:i w:val="0"/>
                <w:sz w:val="22"/>
              </w:rPr>
              <w:t>Documentation requirements: The tuning decision must be documented to a standard that would survive regulatory examination. The documentation should be contemporaneous — produced at the time of the decision, not reconstructed after the fact. It should be retained in accordance with the institution's record-keeping obligations (typically five years in the UK) and be retrievable on demand.</w:t>
            </w:r>
          </w:p>
          <w:p>
            <w:pPr>
              <w:spacing w:lineRule="auto" w:line="312" w:before="20" w:after="40"/>
              <w:ind w:left="113"/>
            </w:pPr>
            <w:r>
              <w:rPr>
                <w:rFonts w:ascii="Times New Roman" w:hAnsi="Times New Roman"/>
                <w:b w:val="0"/>
                <w:i w:val="0"/>
                <w:sz w:val="22"/>
              </w:rPr>
              <w:t>Segmented tuning: When segmentation is applied (as in Chapter 5), each segment must be tuned separately. A single threshold applied to a segmented population defeats the purpose of segmentation. The tuning rationale must address each segment individually, including separate BTL sampling exercises for each segment where the BTL population is material.</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6.11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Threshold setting is a policy decision with measurable regulatory consequences. Both over-alerting and under-alerting create risk: the former destroys analyst capacity; the latter creates surveillance gaps.</w:t>
            </w:r>
          </w:p>
          <w:p>
            <w:pPr>
              <w:spacing w:lineRule="auto" w:line="312" w:before="20" w:after="40"/>
              <w:ind w:left="113"/>
            </w:pPr>
            <w:r>
              <w:rPr>
                <w:rFonts w:ascii="Times New Roman" w:hAnsi="Times New Roman"/>
                <w:b w:val="0"/>
                <w:i w:val="0"/>
                <w:sz w:val="22"/>
              </w:rPr>
              <w:t>The ATL/BTL framework divides the customer population at the alert threshold. ATL is reviewed; BTL is not — unless a sampling exercise is conducted.</w:t>
            </w:r>
          </w:p>
          <w:p>
            <w:pPr>
              <w:spacing w:lineRule="auto" w:line="312" w:before="20" w:after="40"/>
              <w:ind w:left="113"/>
            </w:pPr>
            <w:r>
              <w:rPr>
                <w:rFonts w:ascii="Times New Roman" w:hAnsi="Times New Roman"/>
                <w:b w:val="0"/>
                <w:i w:val="0"/>
                <w:sz w:val="22"/>
              </w:rPr>
              <w:t>Hypergeometric sampling is the primary tool for estimating the BTL SAR rate. It gives the institution a statistically grounded estimate of how much suspicious activity it is missing.</w:t>
            </w:r>
          </w:p>
          <w:p>
            <w:pPr>
              <w:spacing w:lineRule="auto" w:line="312" w:before="20" w:after="40"/>
              <w:ind w:left="113"/>
            </w:pPr>
            <w:r>
              <w:rPr>
                <w:rFonts w:ascii="Times New Roman" w:hAnsi="Times New Roman"/>
                <w:b w:val="0"/>
                <w:i w:val="0"/>
                <w:sz w:val="22"/>
              </w:rPr>
              <w:t>The sample size formula (Z^2 * p * (1-p) / E^2) gives the minimum sample required for a given confidence level and margin of error. For finite populations, apply the finite population correction.</w:t>
            </w:r>
          </w:p>
          <w:p>
            <w:pPr>
              <w:spacing w:lineRule="auto" w:line="312" w:before="20" w:after="40"/>
              <w:ind w:left="113"/>
            </w:pPr>
            <w:r>
              <w:rPr>
                <w:rFonts w:ascii="Times New Roman" w:hAnsi="Times New Roman"/>
                <w:b w:val="0"/>
                <w:i w:val="0"/>
                <w:sz w:val="22"/>
              </w:rPr>
              <w:t>A responsiveness analysis shows how alert volume changes as the threshold changes. A steep responsiveness curve indicates that many accounts cluster near the threshold.</w:t>
            </w:r>
          </w:p>
          <w:p>
            <w:pPr>
              <w:spacing w:lineRule="auto" w:line="312" w:before="20" w:after="40"/>
              <w:ind w:left="113"/>
            </w:pPr>
            <w:r>
              <w:rPr>
                <w:rFonts w:ascii="Times New Roman" w:hAnsi="Times New Roman"/>
                <w:b w:val="0"/>
                <w:i w:val="0"/>
                <w:sz w:val="22"/>
              </w:rPr>
              <w:t>The tuning rationale document must cover: objective, data period, responsiveness analysis, BTL sampling results, threshold decision, approval, and next review date.</w:t>
            </w:r>
          </w:p>
          <w:p>
            <w:pPr>
              <w:spacing w:lineRule="auto" w:line="312" w:before="20" w:after="40"/>
              <w:ind w:left="113"/>
            </w:pPr>
            <w:r>
              <w:rPr>
                <w:rFonts w:ascii="Times New Roman" w:hAnsi="Times New Roman"/>
                <w:b w:val="0"/>
                <w:i w:val="0"/>
                <w:sz w:val="22"/>
              </w:rPr>
              <w:t>Precision maps to the SAR rate in alerts (ATL). Recall maps to coverage of the truly suspicious population. In AML, recall cannot be computed directly — it must be estimated via BTL sampling.</w:t>
            </w:r>
          </w:p>
          <w:p>
            <w:pPr>
              <w:spacing w:lineRule="auto" w:line="312" w:before="20" w:after="40"/>
              <w:ind w:left="113"/>
            </w:pPr>
            <w:r>
              <w:rPr>
                <w:rFonts w:ascii="Times New Roman" w:hAnsi="Times New Roman"/>
                <w:b w:val="0"/>
                <w:i w:val="0"/>
                <w:sz w:val="22"/>
              </w:rPr>
              <w:t>At USD 9,000, the Northgate mule accounts (monthly cash-in USD 8,200) fall below the threshold and are missed. Segmented thresholds allow the personal account cluster to be monitored at a lower threshold without generating excess alerts for the cash-intensive business cluster.</w:t>
            </w:r>
          </w:p>
          <w:p>
            <w:pPr>
              <w:spacing w:lineRule="auto" w:line="312" w:before="20" w:after="40"/>
              <w:ind w:left="113"/>
            </w:pPr>
            <w:r>
              <w:rPr>
                <w:rFonts w:ascii="Times New Roman" w:hAnsi="Times New Roman"/>
                <w:b w:val="0"/>
                <w:i w:val="0"/>
                <w:sz w:val="22"/>
              </w:rPr>
              <w:t>Tuning should be anchored to risk evidence, not operational targets. Tuning to a volume metric is regulatory risk, not risk management.</w:t>
            </w:r>
          </w:p>
          <w:p>
            <w:pPr>
              <w:spacing w:lineRule="auto" w:line="312" w:before="20" w:after="40"/>
              <w:ind w:left="113"/>
            </w:pPr>
            <w:r>
              <w:rPr>
                <w:rFonts w:ascii="Times New Roman" w:hAnsi="Times New Roman"/>
                <w:b w:val="0"/>
                <w:i w:val="0"/>
                <w:sz w:val="22"/>
              </w:rPr>
              <w:t>An institution conducting its first structured BTL sampling exercise is transitioning from Basic to Established maturity. At the Advanced stage, tuning is a documented annual cycle with stable methodology, segment-specific analyses, and independent validation results on file.</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6.1 — Calibrating the Northgate Structuring Scenario  [Advanced]</w:t>
            </w:r>
          </w:p>
          <w:p>
            <w:pPr>
              <w:spacing w:lineRule="auto" w:line="312" w:before="20" w:after="40"/>
              <w:ind w:left="113"/>
            </w:pPr>
            <w:r>
              <w:rPr>
                <w:rFonts w:ascii="Times New Roman" w:hAnsi="Times New Roman"/>
                <w:b w:val="0"/>
                <w:i w:val="0"/>
                <w:sz w:val="22"/>
              </w:rPr>
              <w:t>Recap: In Exercise 5.1 you segmented the Northgate customer population. Now you calibrate the monitoring threshold for each segment.</w:t>
            </w:r>
          </w:p>
          <w:p>
            <w:pPr>
              <w:spacing w:lineRule="auto" w:line="312" w:before="20" w:after="40"/>
              <w:ind w:left="113"/>
            </w:pPr>
            <w:r>
              <w:rPr>
                <w:rFonts w:ascii="Times New Roman" w:hAnsi="Times New Roman"/>
                <w:b w:val="0"/>
                <w:i w:val="0"/>
                <w:sz w:val="22"/>
              </w:rPr>
              <w:t>Colab Extension: Section 6.10 introduced two functions — apply_rule_1() and apply_rule_2(). Both are pre-loaded in the Chapter 6 Colab notebook. Parts A and B work with Rule 1 tuning. Part C (new) asks you to tune Rule 2's parameters using the same responsiveness methodology. The Extended Exercise in Part D invites you to design a third rule of your own.</w:t>
            </w:r>
          </w:p>
          <w:p>
            <w:pPr>
              <w:spacing w:lineRule="auto" w:line="312" w:before="20" w:after="40"/>
              <w:ind w:left="113"/>
            </w:pPr>
            <w:r>
              <w:rPr>
                <w:rFonts w:ascii="Times New Roman" w:hAnsi="Times New Roman"/>
                <w:b w:val="0"/>
                <w:i w:val="0"/>
                <w:sz w:val="22"/>
              </w:rPr>
              <w:t>Using the dataset from Exercise 5.1 and the structuring rule from Exercise 4.1, run the rule at thresholds of USD 6,000, USD 7,500, and USD 9,000 (sum of cash deposits in a 30-day rolling window). For each threshold and each cluster segment from Chapter 5, report:</w:t>
            </w:r>
          </w:p>
          <w:p>
            <w:pPr>
              <w:spacing w:lineRule="auto" w:line="312" w:before="20" w:after="40"/>
              <w:ind w:left="113"/>
            </w:pPr>
            <w:r>
              <w:rPr>
                <w:rFonts w:ascii="Times New Roman" w:hAnsi="Times New Roman"/>
                <w:b w:val="0"/>
                <w:i w:val="0"/>
                <w:sz w:val="22"/>
              </w:rPr>
              <w:t>Number of alerts generated.</w:t>
            </w:r>
          </w:p>
          <w:p>
            <w:pPr>
              <w:spacing w:lineRule="auto" w:line="312" w:before="20" w:after="40"/>
              <w:ind w:left="113"/>
            </w:pPr>
            <w:r>
              <w:rPr>
                <w:rFonts w:ascii="Times New Roman" w:hAnsi="Times New Roman"/>
                <w:b w:val="0"/>
                <w:i w:val="0"/>
                <w:sz w:val="22"/>
              </w:rPr>
              <w:t>Estimated SAR count (assume 12% of alerts in the dataset are SAR-worthy, based on the is_sar_worthy column).</w:t>
            </w:r>
          </w:p>
          <w:p>
            <w:pPr>
              <w:spacing w:lineRule="auto" w:line="312" w:before="20" w:after="40"/>
              <w:ind w:left="113"/>
            </w:pPr>
            <w:r>
              <w:rPr>
                <w:rFonts w:ascii="Times New Roman" w:hAnsi="Times New Roman"/>
                <w:b w:val="0"/>
                <w:i w:val="0"/>
                <w:sz w:val="22"/>
              </w:rPr>
              <w:t>Analyst hours required (assume 45 minutes per alert review).</w:t>
            </w:r>
          </w:p>
          <w:p>
            <w:pPr>
              <w:spacing w:lineRule="auto" w:line="312" w:before="20" w:after="40"/>
              <w:ind w:left="113"/>
            </w:pPr>
            <w:r>
              <w:rPr>
                <w:rFonts w:ascii="Times New Roman" w:hAnsi="Times New Roman"/>
                <w:b w:val="0"/>
                <w:i w:val="0"/>
                <w:sz w:val="22"/>
              </w:rPr>
              <w:t>The BTL population size for each segment at each threshold.</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6.2 — Hypergeometric Sampling Design  [Advanced]</w:t>
            </w:r>
          </w:p>
          <w:p>
            <w:pPr>
              <w:spacing w:lineRule="auto" w:line="312" w:before="20" w:after="40"/>
              <w:ind w:left="113"/>
            </w:pPr>
            <w:r>
              <w:rPr>
                <w:rFonts w:ascii="Times New Roman" w:hAnsi="Times New Roman"/>
                <w:b w:val="0"/>
                <w:i w:val="0"/>
                <w:sz w:val="22"/>
              </w:rPr>
              <w:t>For the USD 9,000 threshold applied to the personal account cluster (the cluster containing the mule network), design a hypergeometric sampling exercise for the BTL population.</w:t>
            </w:r>
          </w:p>
          <w:p>
            <w:pPr>
              <w:spacing w:lineRule="auto" w:line="312" w:before="20" w:after="40"/>
              <w:ind w:left="113"/>
            </w:pPr>
            <w:r>
              <w:rPr>
                <w:rFonts w:ascii="Times New Roman" w:hAnsi="Times New Roman"/>
                <w:b w:val="0"/>
                <w:i w:val="0"/>
                <w:sz w:val="22"/>
              </w:rPr>
              <w:t>Calculate the minimum sample size required to achieve 95% confidence that the true BTL SAR rate is within +/- 2%. Show your calculation using the binomial approximation formula with finite population correction.</w:t>
            </w:r>
          </w:p>
          <w:p>
            <w:pPr>
              <w:spacing w:lineRule="auto" w:line="312" w:before="20" w:after="40"/>
              <w:ind w:left="113"/>
            </w:pPr>
            <w:r>
              <w:rPr>
                <w:rFonts w:ascii="Times New Roman" w:hAnsi="Times New Roman"/>
                <w:b w:val="0"/>
                <w:i w:val="0"/>
                <w:sz w:val="22"/>
              </w:rPr>
              <w:t>Describe the review criteria that would be applied to each sampled account. What would constitute a SAR-worthy finding in this context?</w:t>
            </w:r>
          </w:p>
          <w:p>
            <w:pPr>
              <w:spacing w:lineRule="auto" w:line="312" w:before="20" w:after="40"/>
              <w:ind w:left="113"/>
            </w:pPr>
            <w:r>
              <w:rPr>
                <w:rFonts w:ascii="Times New Roman" w:hAnsi="Times New Roman"/>
                <w:b w:val="0"/>
                <w:i w:val="0"/>
                <w:sz w:val="22"/>
              </w:rPr>
              <w:t>If the sampling exercise finds that 4 of the sampled accounts appear SAR-worthy, calculate the estimated BTL SAR rate and its 95% confidence interval. Is this within an acceptable range? Justify your answer.</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6.3 — Threshold Recommendation and Tuning Rationale  [Advanced]</w:t>
            </w:r>
          </w:p>
          <w:p>
            <w:pPr>
              <w:spacing w:lineRule="auto" w:line="312" w:before="20" w:after="40"/>
              <w:ind w:left="113"/>
            </w:pPr>
            <w:r>
              <w:rPr>
                <w:rFonts w:ascii="Times New Roman" w:hAnsi="Times New Roman"/>
                <w:b w:val="0"/>
                <w:i w:val="0"/>
                <w:sz w:val="22"/>
              </w:rPr>
              <w:t>Based on your analysis in Parts A and B:</w:t>
            </w:r>
          </w:p>
          <w:p>
            <w:pPr>
              <w:spacing w:lineRule="auto" w:line="312" w:before="20" w:after="40"/>
              <w:ind w:left="113"/>
            </w:pPr>
            <w:r>
              <w:rPr>
                <w:rFonts w:ascii="Times New Roman" w:hAnsi="Times New Roman"/>
                <w:b w:val="0"/>
                <w:i w:val="0"/>
                <w:sz w:val="22"/>
              </w:rPr>
              <w:t>Which threshold would you recommend for the personal account cluster, and why? Your recommendation must be supported by the responsiveness analysis and the BTL sampling results.</w:t>
            </w:r>
          </w:p>
          <w:p>
            <w:pPr>
              <w:spacing w:lineRule="auto" w:line="312" w:before="20" w:after="40"/>
              <w:ind w:left="113"/>
            </w:pPr>
            <w:r>
              <w:rPr>
                <w:rFonts w:ascii="Times New Roman" w:hAnsi="Times New Roman"/>
                <w:b w:val="0"/>
                <w:i w:val="0"/>
                <w:sz w:val="22"/>
              </w:rPr>
              <w:t>Write a one-page tuning rationale in the format described in Section 6.7. The rationale should be written as if it will be presented to the model risk management committee for approval and retained for regulatory examination.</w:t>
            </w:r>
          </w:p>
        </w:tc>
      </w:tr>
    </w:tbl>
    <w:p>
      <w:pPr>
        <w:spacing w:lineRule="auto" w:line="240" w:before="0" w:after="80"/>
      </w:pPr>
    </w:p>
    <w:p>
      <w:pPr>
        <w:spacing w:lineRule="auto" w:line="240" w:before="120" w:after="40"/>
        <w:ind w:left="227"/>
      </w:pPr>
      <w:r>
        <w:rPr>
          <w:rFonts w:ascii="Courier New" w:hAnsi="Courier New"/>
          <w:b/>
          <w:i w:val="0"/>
          <w:sz w:val="18"/>
        </w:rPr>
        <w:t>Python code: (save as tune_northgate.py)</w:t>
      </w:r>
    </w:p>
    <w:tbl>
      <w:tblPr>
        <w:tblLayout w:type="fixed"/>
        <w:tblLook w:firstColumn="1" w:firstRow="1" w:lastColumn="0" w:lastRow="0" w:noHBand="0" w:noVBand="1" w:val="04A0"/>
        <w:tblW w:w="8845"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Ind w:w="226" w:type="dxa"/>
      </w:tblPr>
      <w:tblGrid>
        <w:gridCol w:w="9072"/>
      </w:tblGrid>
      <w:tr>
        <w:tc>
          <w:tcPr>
            <w:tcW w:w="8845" w:type="dxa"/>
            <w:shd w:val="clear" w:color="auto" w:fill="F2F2F2"/>
          </w:tcPr>
          <w:p>
            <w:pPr>
              <w:spacing w:lineRule="auto" w:line="240" w:before="0" w:after="20"/>
              <w:ind w:left="142"/>
            </w:pPr>
            <w:r>
              <w:rPr>
                <w:rFonts w:ascii="Courier New" w:hAnsi="Courier New"/>
                <w:b w:val="0"/>
                <w:i w:val="0"/>
                <w:sz w:val="18"/>
              </w:rPr>
              <w:t>import numpy as np, pandas as pd</w:t>
            </w:r>
          </w:p>
          <w:p>
            <w:pPr>
              <w:spacing w:lineRule="auto" w:line="240" w:before="0" w:after="20"/>
              <w:ind w:left="142"/>
            </w:pPr>
            <w:r>
              <w:rPr>
                <w:rFonts w:ascii="Courier New" w:hAnsi="Courier New"/>
                <w:b w:val="0"/>
                <w:i w:val="0"/>
                <w:sz w:val="18"/>
              </w:rPr>
              <w:t>from scipy.stats import hypergeom</w:t>
            </w:r>
          </w:p>
          <w:p>
            <w:pPr>
              <w:spacing w:lineRule="auto" w:line="240" w:before="0" w:after="20"/>
              <w:ind w:left="142"/>
            </w:pPr>
            <w:r>
              <w:rPr>
                <w:rFonts w:ascii="Courier New" w:hAnsi="Courier New"/>
                <w:b w:val="0"/>
                <w:i w:val="0"/>
                <w:sz w:val="18"/>
              </w:rPr>
              <w:t># Load dataset from Exercise 5.1</w:t>
            </w:r>
          </w:p>
          <w:p>
            <w:pPr>
              <w:spacing w:lineRule="auto" w:line="240" w:before="0" w:after="20"/>
              <w:ind w:left="142"/>
            </w:pPr>
            <w:r>
              <w:rPr>
                <w:rFonts w:ascii="Courier New" w:hAnsi="Courier New"/>
                <w:b w:val="0"/>
                <w:i w:val="0"/>
                <w:sz w:val="18"/>
              </w:rPr>
              <w:t># df = pd.read_csv('northgate_customers.csv')</w:t>
            </w:r>
          </w:p>
          <w:p>
            <w:pPr>
              <w:spacing w:lineRule="auto" w:line="240" w:before="0" w:after="20"/>
              <w:ind w:left="142"/>
            </w:pPr>
            <w:r>
              <w:rPr>
                <w:rFonts w:ascii="Courier New" w:hAnsi="Courier New"/>
                <w:b w:val="0"/>
                <w:i w:val="0"/>
                <w:sz w:val="18"/>
              </w:rPr>
              <w:t># For self-contained use, regenerate inline:</w:t>
            </w:r>
          </w:p>
          <w:p>
            <w:pPr>
              <w:spacing w:lineRule="auto" w:line="240" w:before="0" w:after="20"/>
              <w:ind w:left="142"/>
            </w:pPr>
            <w:r>
              <w:rPr>
                <w:rFonts w:ascii="Courier New" w:hAnsi="Courier New"/>
                <w:b w:val="0"/>
                <w:i w:val="0"/>
                <w:sz w:val="18"/>
              </w:rPr>
              <w:t>np.random.seed(42); n_total = 500</w:t>
            </w:r>
          </w:p>
          <w:p>
            <w:pPr>
              <w:spacing w:lineRule="auto" w:line="240" w:before="0" w:after="20"/>
              <w:ind w:left="142"/>
            </w:pPr>
            <w:r>
              <w:rPr>
                <w:rFonts w:ascii="Courier New" w:hAnsi="Courier New"/>
                <w:b w:val="0"/>
                <w:i w:val="0"/>
                <w:sz w:val="18"/>
              </w:rPr>
              <w:t>cash_in = np.concatenate([np.random.lognormal(6.0,0.5,350),</w:t>
            </w:r>
          </w:p>
          <w:p>
            <w:pPr>
              <w:spacing w:lineRule="auto" w:line="240" w:before="0" w:after="20"/>
              <w:ind w:left="142"/>
            </w:pPr>
            <w:r>
              <w:rPr>
                <w:rFonts w:ascii="Courier New" w:hAnsi="Courier New"/>
                <w:b w:val="0"/>
                <w:i w:val="0"/>
                <w:sz w:val="18"/>
              </w:rPr>
              <w:t>np.random.lognormal(8.2,0.4,100), np.random.lognormal(9.0,0.3,50)])</w:t>
            </w:r>
          </w:p>
          <w:p>
            <w:pPr>
              <w:spacing w:lineRule="auto" w:line="240" w:before="0" w:after="20"/>
              <w:ind w:left="142"/>
            </w:pPr>
            <w:r>
              <w:rPr>
                <w:rFonts w:ascii="Courier New" w:hAnsi="Courier New"/>
                <w:b w:val="0"/>
                <w:i w:val="0"/>
                <w:sz w:val="18"/>
              </w:rPr>
              <w:t>txn_cnt = np.maximum(np.concatenate([np.random.poisson(2.1,350),</w:t>
            </w:r>
          </w:p>
          <w:p>
            <w:pPr>
              <w:spacing w:lineRule="auto" w:line="240" w:before="0" w:after="20"/>
              <w:ind w:left="142"/>
            </w:pPr>
            <w:r>
              <w:rPr>
                <w:rFonts w:ascii="Courier New" w:hAnsi="Courier New"/>
                <w:b w:val="0"/>
                <w:i w:val="0"/>
                <w:sz w:val="18"/>
              </w:rPr>
              <w:t>np.random.poisson(8.5,100), np.random.poisson(4.3,50)]),1).astype(float)</w:t>
            </w:r>
          </w:p>
          <w:p>
            <w:pPr>
              <w:spacing w:lineRule="auto" w:line="240" w:before="0" w:after="20"/>
              <w:ind w:left="142"/>
            </w:pPr>
            <w:r>
              <w:rPr>
                <w:rFonts w:ascii="Courier New" w:hAnsi="Courier New"/>
                <w:b w:val="0"/>
                <w:i w:val="0"/>
                <w:sz w:val="18"/>
              </w:rPr>
              <w:t>age = np.concatenate([np.random.randint(12,120,350),</w:t>
            </w:r>
          </w:p>
          <w:p>
            <w:pPr>
              <w:spacing w:lineRule="auto" w:line="240" w:before="0" w:after="20"/>
              <w:ind w:left="142"/>
            </w:pPr>
            <w:r>
              <w:rPr>
                <w:rFonts w:ascii="Courier New" w:hAnsi="Courier New"/>
                <w:b w:val="0"/>
                <w:i w:val="0"/>
                <w:sz w:val="18"/>
              </w:rPr>
              <w:t>np.random.randint(6,60,100), np.random.randint(3,18,50)])</w:t>
            </w:r>
          </w:p>
          <w:p>
            <w:pPr>
              <w:spacing w:lineRule="auto" w:line="240" w:before="0" w:after="20"/>
              <w:ind w:left="142"/>
            </w:pPr>
            <w:r>
              <w:rPr>
                <w:rFonts w:ascii="Courier New" w:hAnsi="Courier New"/>
                <w:b w:val="0"/>
                <w:i w:val="0"/>
                <w:sz w:val="18"/>
              </w:rPr>
              <w:t>is_sar = np.concatenate([np.zeros(450), np.ones(50)]).astype(int)</w:t>
            </w:r>
          </w:p>
          <w:p>
            <w:pPr>
              <w:spacing w:lineRule="auto" w:line="240" w:before="0" w:after="20"/>
              <w:ind w:left="142"/>
            </w:pPr>
            <w:r>
              <w:rPr>
                <w:rFonts w:ascii="Courier New" w:hAnsi="Courier New"/>
                <w:b w:val="0"/>
                <w:i w:val="0"/>
                <w:sz w:val="18"/>
              </w:rPr>
              <w:t>df = pd.DataFrame({'avg_monthly_cash_in': cash_in,</w:t>
            </w:r>
          </w:p>
          <w:p>
            <w:pPr>
              <w:spacing w:lineRule="auto" w:line="240" w:before="0" w:after="20"/>
              <w:ind w:left="142"/>
            </w:pPr>
            <w:r>
              <w:rPr>
                <w:rFonts w:ascii="Courier New" w:hAnsi="Courier New"/>
                <w:b w:val="0"/>
                <w:i w:val="0"/>
                <w:sz w:val="18"/>
              </w:rPr>
              <w:t>'avg_transaction_count': txn_cnt,</w:t>
            </w:r>
          </w:p>
          <w:p>
            <w:pPr>
              <w:spacing w:lineRule="auto" w:line="240" w:before="0" w:after="20"/>
              <w:ind w:left="142"/>
            </w:pPr>
            <w:r>
              <w:rPr>
                <w:rFonts w:ascii="Courier New" w:hAnsi="Courier New"/>
                <w:b w:val="0"/>
                <w:i w:val="0"/>
                <w:sz w:val="18"/>
              </w:rPr>
              <w:t>'account_age_months': age, 'is_sar_worthy': is_sar})</w:t>
            </w:r>
          </w:p>
          <w:p>
            <w:pPr>
              <w:spacing w:lineRule="auto" w:line="240" w:before="0" w:after="20"/>
              <w:ind w:left="142"/>
            </w:pPr>
            <w:r>
              <w:rPr>
                <w:rFonts w:ascii="Courier New" w:hAnsi="Courier New"/>
                <w:b w:val="0"/>
                <w:i w:val="0"/>
                <w:sz w:val="18"/>
              </w:rPr>
              <w:t>SAR_RATE = 0.12</w:t>
            </w:r>
          </w:p>
          <w:p>
            <w:pPr>
              <w:spacing w:lineRule="auto" w:line="240" w:before="0" w:after="20"/>
              <w:ind w:left="142"/>
            </w:pPr>
            <w:r>
              <w:rPr>
                <w:rFonts w:ascii="Courier New" w:hAnsi="Courier New"/>
                <w:b w:val="0"/>
                <w:i w:val="0"/>
                <w:sz w:val="18"/>
              </w:rPr>
              <w:t>MIN_TXN  = 3</w:t>
            </w:r>
          </w:p>
          <w:p>
            <w:pPr>
              <w:spacing w:lineRule="auto" w:line="240" w:before="0" w:after="20"/>
              <w:ind w:left="142"/>
            </w:pPr>
            <w:r>
              <w:rPr>
                <w:rFonts w:ascii="Courier New" w:hAnsi="Courier New"/>
                <w:b w:val="0"/>
                <w:i w:val="0"/>
                <w:sz w:val="18"/>
              </w:rPr>
              <w:t>WINDOW   = 30  # days (simulated as monthly here)</w:t>
            </w:r>
          </w:p>
          <w:p>
            <w:pPr>
              <w:spacing w:lineRule="auto" w:line="240" w:before="0" w:after="20"/>
              <w:ind w:left="142"/>
            </w:pPr>
            <w:r>
              <w:rPr>
                <w:rFonts w:ascii="Courier New" w:hAnsi="Courier New"/>
                <w:b w:val="0"/>
                <w:i w:val="0"/>
                <w:sz w:val="18"/>
              </w:rPr>
              <w:t>print('=== Responsiveness Analysis ===')</w:t>
            </w:r>
          </w:p>
          <w:p>
            <w:pPr>
              <w:spacing w:lineRule="auto" w:line="240" w:before="0" w:after="20"/>
              <w:ind w:left="142"/>
            </w:pPr>
            <w:r>
              <w:rPr>
                <w:rFonts w:ascii="Courier New" w:hAnsi="Courier New"/>
                <w:b w:val="0"/>
                <w:i w:val="0"/>
                <w:sz w:val="18"/>
              </w:rPr>
              <w:t>results = []</w:t>
            </w:r>
          </w:p>
          <w:p>
            <w:pPr>
              <w:spacing w:lineRule="auto" w:line="240" w:before="0" w:after="20"/>
              <w:ind w:left="142"/>
            </w:pPr>
            <w:r>
              <w:rPr>
                <w:rFonts w:ascii="Courier New" w:hAnsi="Courier New"/>
                <w:b w:val="0"/>
                <w:i w:val="0"/>
                <w:sz w:val="18"/>
              </w:rPr>
              <w:t>for thresh in [6000, 7500, 9000]:</w:t>
            </w:r>
          </w:p>
          <w:p>
            <w:pPr>
              <w:spacing w:lineRule="auto" w:line="240" w:before="0" w:after="20"/>
              <w:ind w:left="142"/>
            </w:pPr>
            <w:r>
              <w:rPr>
                <w:rFonts w:ascii="Courier New" w:hAnsi="Courier New"/>
                <w:b w:val="0"/>
                <w:i w:val="0"/>
                <w:sz w:val="18"/>
              </w:rPr>
              <w:t># Apply rule: cash_in &gt; thresh AND txn_count &gt;= MIN_TXN</w:t>
            </w:r>
          </w:p>
          <w:p>
            <w:pPr>
              <w:spacing w:lineRule="auto" w:line="240" w:before="0" w:after="20"/>
              <w:ind w:left="142"/>
            </w:pPr>
            <w:r>
              <w:rPr>
                <w:rFonts w:ascii="Courier New" w:hAnsi="Courier New"/>
                <w:b w:val="0"/>
                <w:i w:val="0"/>
                <w:sz w:val="18"/>
              </w:rPr>
              <w:t>atl = df[(df['avg_monthly_cash_in'] &gt; thresh) &amp;</w:t>
            </w:r>
          </w:p>
          <w:p>
            <w:pPr>
              <w:spacing w:lineRule="auto" w:line="240" w:before="0" w:after="20"/>
              <w:ind w:left="142"/>
            </w:pPr>
            <w:r>
              <w:rPr>
                <w:rFonts w:ascii="Courier New" w:hAnsi="Courier New"/>
                <w:b w:val="0"/>
                <w:i w:val="0"/>
                <w:sz w:val="18"/>
              </w:rPr>
              <w:t>(df['avg_transaction_count'] &gt;= MIN_TXN)]</w:t>
            </w:r>
          </w:p>
          <w:p>
            <w:pPr>
              <w:spacing w:lineRule="auto" w:line="240" w:before="0" w:after="20"/>
              <w:ind w:left="142"/>
            </w:pPr>
            <w:r>
              <w:rPr>
                <w:rFonts w:ascii="Courier New" w:hAnsi="Courier New"/>
                <w:b w:val="0"/>
                <w:i w:val="0"/>
                <w:sz w:val="18"/>
              </w:rPr>
              <w:t>btl = df[~((df['avg_monthly_cash_in'] &gt; thresh) &amp;</w:t>
            </w:r>
          </w:p>
          <w:p>
            <w:pPr>
              <w:spacing w:lineRule="auto" w:line="240" w:before="0" w:after="20"/>
              <w:ind w:left="142"/>
            </w:pPr>
            <w:r>
              <w:rPr>
                <w:rFonts w:ascii="Courier New" w:hAnsi="Courier New"/>
                <w:b w:val="0"/>
                <w:i w:val="0"/>
                <w:sz w:val="18"/>
              </w:rPr>
              <w:t>(df['avg_transaction_count'] &gt;= MIN_TXN))]</w:t>
            </w:r>
          </w:p>
          <w:p>
            <w:pPr>
              <w:spacing w:lineRule="auto" w:line="240" w:before="0" w:after="20"/>
              <w:ind w:left="142"/>
            </w:pPr>
            <w:r>
              <w:rPr>
                <w:rFonts w:ascii="Courier New" w:hAnsi="Courier New"/>
                <w:b w:val="0"/>
                <w:i w:val="0"/>
                <w:sz w:val="18"/>
              </w:rPr>
              <w:t>n_alerts = len(atl)</w:t>
            </w:r>
          </w:p>
          <w:p>
            <w:pPr>
              <w:spacing w:lineRule="auto" w:line="240" w:before="0" w:after="20"/>
              <w:ind w:left="142"/>
            </w:pPr>
            <w:r>
              <w:rPr>
                <w:rFonts w:ascii="Courier New" w:hAnsi="Courier New"/>
                <w:b w:val="0"/>
                <w:i w:val="0"/>
                <w:sz w:val="18"/>
              </w:rPr>
              <w:t>est_sar  = round(n_alerts * SAR_RATE)</w:t>
            </w:r>
          </w:p>
          <w:p>
            <w:pPr>
              <w:spacing w:lineRule="auto" w:line="240" w:before="0" w:after="20"/>
              <w:ind w:left="142"/>
            </w:pPr>
            <w:r>
              <w:rPr>
                <w:rFonts w:ascii="Courier New" w:hAnsi="Courier New"/>
                <w:b w:val="0"/>
                <w:i w:val="0"/>
                <w:sz w:val="18"/>
              </w:rPr>
              <w:t>hrs      = round(n_alerts * 0.75, 1)  # 45 min = 0.75 hr</w:t>
            </w:r>
          </w:p>
          <w:p>
            <w:pPr>
              <w:spacing w:lineRule="auto" w:line="240" w:before="0" w:after="20"/>
              <w:ind w:left="142"/>
            </w:pPr>
            <w:r>
              <w:rPr>
                <w:rFonts w:ascii="Courier New" w:hAnsi="Courier New"/>
                <w:b w:val="0"/>
                <w:i w:val="0"/>
                <w:sz w:val="18"/>
              </w:rPr>
              <w:t>n_btl    = len(btl)</w:t>
            </w:r>
          </w:p>
          <w:p>
            <w:pPr>
              <w:spacing w:lineRule="auto" w:line="240" w:before="0" w:after="20"/>
              <w:ind w:left="142"/>
            </w:pPr>
            <w:r>
              <w:rPr>
                <w:rFonts w:ascii="Courier New" w:hAnsi="Courier New"/>
                <w:b w:val="0"/>
                <w:i w:val="0"/>
                <w:sz w:val="18"/>
              </w:rPr>
              <w:t>results.append([thresh, n_alerts, f'{SAR_RATE*100:.0f}%', est_sar, hrs, n_btl])</w:t>
            </w:r>
          </w:p>
          <w:p>
            <w:pPr>
              <w:spacing w:lineRule="auto" w:line="240" w:before="0" w:after="20"/>
              <w:ind w:left="142"/>
            </w:pPr>
            <w:r>
              <w:rPr>
                <w:rFonts w:ascii="Courier New" w:hAnsi="Courier New"/>
                <w:b w:val="0"/>
                <w:i w:val="0"/>
                <w:sz w:val="18"/>
              </w:rPr>
              <w:t>print(f'Threshold USD {thresh:,}: Alerts={n_alerts}, SARs~{est_sar},</w:t>
            </w:r>
          </w:p>
          <w:p>
            <w:pPr>
              <w:spacing w:lineRule="auto" w:line="240" w:before="0" w:after="20"/>
              <w:ind w:left="142"/>
            </w:pPr>
            <w:r>
              <w:rPr>
                <w:rFonts w:ascii="Courier New" w:hAnsi="Courier New"/>
                <w:b w:val="0"/>
                <w:i w:val="0"/>
                <w:sz w:val="18"/>
              </w:rPr>
              <w:t>Hrs={hrs}, BTL={n_btl}')</w:t>
            </w:r>
          </w:p>
          <w:p>
            <w:pPr>
              <w:spacing w:lineRule="auto" w:line="240" w:before="0" w:after="20"/>
              <w:ind w:left="142"/>
            </w:pPr>
            <w:r>
              <w:rPr>
                <w:rFonts w:ascii="Courier New" w:hAnsi="Courier New"/>
                <w:b w:val="0"/>
                <w:i w:val="0"/>
                <w:sz w:val="18"/>
              </w:rPr>
              <w:t>print()</w:t>
            </w:r>
          </w:p>
          <w:p>
            <w:pPr>
              <w:spacing w:lineRule="auto" w:line="240" w:before="0" w:after="20"/>
              <w:ind w:left="142"/>
            </w:pPr>
            <w:r>
              <w:rPr>
                <w:rFonts w:ascii="Courier New" w:hAnsi="Courier New"/>
                <w:b w:val="0"/>
                <w:i w:val="0"/>
                <w:sz w:val="18"/>
              </w:rPr>
              <w:t>print('=== BTL Sampling Calculation (USD 9,000 threshold) ===')</w:t>
            </w:r>
          </w:p>
          <w:p>
            <w:pPr>
              <w:spacing w:lineRule="auto" w:line="240" w:before="0" w:after="20"/>
              <w:ind w:left="142"/>
            </w:pPr>
            <w:r>
              <w:rPr>
                <w:rFonts w:ascii="Courier New" w:hAnsi="Courier New"/>
                <w:b w:val="0"/>
                <w:i w:val="0"/>
                <w:sz w:val="18"/>
              </w:rPr>
              <w:t>Z, p, E = 1.96, 0.5, 0.02</w:t>
            </w:r>
          </w:p>
          <w:p>
            <w:pPr>
              <w:spacing w:lineRule="auto" w:line="240" w:before="0" w:after="20"/>
              <w:ind w:left="142"/>
            </w:pPr>
            <w:r>
              <w:rPr>
                <w:rFonts w:ascii="Courier New" w:hAnsi="Courier New"/>
                <w:b w:val="0"/>
                <w:i w:val="0"/>
                <w:sz w:val="18"/>
              </w:rPr>
              <w:t>n_inf = (Z**2 * p * (1-p)) / E**2</w:t>
            </w:r>
          </w:p>
          <w:p>
            <w:pPr>
              <w:spacing w:lineRule="auto" w:line="240" w:before="0" w:after="20"/>
              <w:ind w:left="142"/>
            </w:pPr>
            <w:r>
              <w:rPr>
                <w:rFonts w:ascii="Courier New" w:hAnsi="Courier New"/>
                <w:b w:val="0"/>
                <w:i w:val="0"/>
                <w:sz w:val="18"/>
              </w:rPr>
              <w:t>N_btl = results[2][5]  # BTL at USD 9,000</w:t>
            </w:r>
          </w:p>
          <w:p>
            <w:pPr>
              <w:spacing w:lineRule="auto" w:line="240" w:before="0" w:after="20"/>
              <w:ind w:left="142"/>
            </w:pPr>
            <w:r>
              <w:rPr>
                <w:rFonts w:ascii="Courier New" w:hAnsi="Courier New"/>
                <w:b w:val="0"/>
                <w:i w:val="0"/>
                <w:sz w:val="18"/>
              </w:rPr>
              <w:t>n_adj = n_inf / (1 + (n_inf - 1) / N_btl)</w:t>
            </w:r>
          </w:p>
          <w:p>
            <w:pPr>
              <w:spacing w:lineRule="auto" w:line="240" w:before="0" w:after="20"/>
              <w:ind w:left="142"/>
            </w:pPr>
            <w:r>
              <w:rPr>
                <w:rFonts w:ascii="Courier New" w:hAnsi="Courier New"/>
                <w:b w:val="0"/>
                <w:i w:val="0"/>
                <w:sz w:val="18"/>
              </w:rPr>
              <w:t>n_sample = int(np.ceil(n_adj))</w:t>
            </w:r>
          </w:p>
          <w:p>
            <w:pPr>
              <w:spacing w:lineRule="auto" w:line="240" w:before="0" w:after="20"/>
              <w:ind w:left="142"/>
            </w:pPr>
            <w:r>
              <w:rPr>
                <w:rFonts w:ascii="Courier New" w:hAnsi="Courier New"/>
                <w:b w:val="0"/>
                <w:i w:val="0"/>
                <w:sz w:val="18"/>
              </w:rPr>
              <w:t>print(f'BTL population N = {N_btl}')</w:t>
            </w:r>
          </w:p>
          <w:p>
            <w:pPr>
              <w:spacing w:lineRule="auto" w:line="240" w:before="0" w:after="20"/>
              <w:ind w:left="142"/>
            </w:pPr>
            <w:r>
              <w:rPr>
                <w:rFonts w:ascii="Courier New" w:hAnsi="Courier New"/>
                <w:b w:val="0"/>
                <w:i w:val="0"/>
                <w:sz w:val="18"/>
              </w:rPr>
              <w:t>print(f'Unadjusted sample size: {n_inf:.0f}')</w:t>
            </w:r>
          </w:p>
          <w:p>
            <w:pPr>
              <w:spacing w:lineRule="auto" w:line="240" w:before="0" w:after="20"/>
              <w:ind w:left="142"/>
            </w:pPr>
            <w:r>
              <w:rPr>
                <w:rFonts w:ascii="Courier New" w:hAnsi="Courier New"/>
                <w:b w:val="0"/>
                <w:i w:val="0"/>
                <w:sz w:val="18"/>
              </w:rPr>
              <w:t>print(f'FPC-adjusted sample size: {n_sample}')</w:t>
            </w:r>
          </w:p>
          <w:p>
            <w:pPr>
              <w:spacing w:lineRule="auto" w:line="240" w:before="0" w:after="20"/>
              <w:ind w:left="142"/>
            </w:pPr>
            <w:r>
              <w:rPr>
                <w:rFonts w:ascii="Courier New" w:hAnsi="Courier New"/>
                <w:b w:val="0"/>
                <w:i w:val="0"/>
                <w:sz w:val="18"/>
              </w:rPr>
              <w:t># Observed: 4 SAR-worthy in sample</w:t>
            </w:r>
          </w:p>
          <w:p>
            <w:pPr>
              <w:spacing w:lineRule="auto" w:line="240" w:before="0" w:after="20"/>
              <w:ind w:left="142"/>
            </w:pPr>
            <w:r>
              <w:rPr>
                <w:rFonts w:ascii="Courier New" w:hAnsi="Courier New"/>
                <w:b w:val="0"/>
                <w:i w:val="0"/>
                <w:sz w:val="18"/>
              </w:rPr>
              <w:t>k_obs = 4</w:t>
            </w:r>
          </w:p>
          <w:p>
            <w:pPr>
              <w:spacing w:lineRule="auto" w:line="240" w:before="0" w:after="20"/>
              <w:ind w:left="142"/>
            </w:pPr>
            <w:r>
              <w:rPr>
                <w:rFonts w:ascii="Courier New" w:hAnsi="Courier New"/>
                <w:b w:val="0"/>
                <w:i w:val="0"/>
                <w:sz w:val="18"/>
              </w:rPr>
              <w:t>obs_rate = k_obs / n_sample</w:t>
            </w:r>
          </w:p>
          <w:p>
            <w:pPr>
              <w:spacing w:lineRule="auto" w:line="240" w:before="0" w:after="20"/>
              <w:ind w:left="142"/>
            </w:pPr>
            <w:r>
              <w:rPr>
                <w:rFonts w:ascii="Courier New" w:hAnsi="Courier New"/>
                <w:b w:val="0"/>
                <w:i w:val="0"/>
                <w:sz w:val="18"/>
              </w:rPr>
              <w:t># Simplified CI — for production, use exact methods (e.g., Clopper-Pearson)</w:t>
            </w:r>
          </w:p>
          <w:p>
            <w:pPr>
              <w:spacing w:lineRule="auto" w:line="240" w:before="0" w:after="20"/>
              <w:ind w:left="142"/>
            </w:pPr>
            <w:r>
              <w:rPr>
                <w:rFonts w:ascii="Courier New" w:hAnsi="Courier New"/>
                <w:b w:val="0"/>
                <w:i w:val="0"/>
                <w:sz w:val="18"/>
              </w:rPr>
              <w:t>lower = hypergeom.ppf(0.025, N_btl, round(obs_rate*N_btl), n_sample) / n_sample</w:t>
            </w:r>
          </w:p>
          <w:p>
            <w:pPr>
              <w:spacing w:lineRule="auto" w:line="240" w:before="0" w:after="20"/>
              <w:ind w:left="142"/>
            </w:pPr>
            <w:r>
              <w:rPr>
                <w:rFonts w:ascii="Courier New" w:hAnsi="Courier New"/>
                <w:b w:val="0"/>
                <w:i w:val="0"/>
                <w:sz w:val="18"/>
              </w:rPr>
              <w:t>upper = hypergeom.ppf(0.975, N_btl, round(obs_rate*N_btl), n_sample) / n_sample</w:t>
            </w:r>
          </w:p>
          <w:p>
            <w:pPr>
              <w:spacing w:lineRule="auto" w:line="240" w:before="0" w:after="20"/>
              <w:ind w:left="142"/>
            </w:pPr>
            <w:r>
              <w:rPr>
                <w:rFonts w:ascii="Courier New" w:hAnsi="Courier New"/>
                <w:b w:val="0"/>
                <w:i w:val="0"/>
                <w:sz w:val="18"/>
              </w:rPr>
              <w:t>print(f'Observed BTL SAR rate: {obs_rate*100:.2f}%')</w:t>
            </w:r>
          </w:p>
          <w:p>
            <w:pPr>
              <w:spacing w:lineRule="auto" w:line="240" w:before="0" w:after="20"/>
              <w:ind w:left="142"/>
            </w:pPr>
            <w:r>
              <w:rPr>
                <w:rFonts w:ascii="Courier New" w:hAnsi="Courier New"/>
                <w:b w:val="0"/>
                <w:i w:val="0"/>
                <w:sz w:val="18"/>
              </w:rPr>
              <w:t>print(f'95% CI: [{lower*100:.2f}%, {upper*100:.2f}%]')</w:t>
            </w:r>
          </w:p>
        </w:tc>
      </w:tr>
    </w:tbl>
    <w:p>
      <w:pPr>
        <w:spacing w:lineRule="auto" w:line="240" w:before="0" w:after="1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6.4 — Meridian Trading Ltd: Calibrating the TBML Threshold  [Applied / Out-of-the-Box]</w:t>
            </w:r>
          </w:p>
          <w:p>
            <w:pPr>
              <w:spacing w:lineRule="auto" w:line="312" w:before="20" w:after="40"/>
              <w:ind w:left="113"/>
            </w:pPr>
            <w:r>
              <w:rPr>
                <w:rFonts w:ascii="Times New Roman" w:hAnsi="Times New Roman"/>
                <w:b w:val="0"/>
                <w:i w:val="0"/>
                <w:sz w:val="22"/>
              </w:rPr>
              <w:t>We continue with Meridian Trading Ltd and the TBML-INVOICE-001 rule you designed in Chapter 4's Part B. The rule fires when Meridian's invoice-to-market-price ratio exceeds a parameter (RATIO_THRESHOLD) for a commodity type. Project Sentinel's data scientist needs to calibrate RATIO_THRESHOLD. She has 14 months of Meridian's invoice data and a commodity price benchmark feed (average import prices by HS code from HMRC trade statistics).</w:t>
            </w:r>
          </w:p>
          <w:p>
            <w:pPr>
              <w:spacing w:lineRule="auto" w:line="312" w:before="20" w:after="40"/>
              <w:ind w:left="113"/>
            </w:pPr>
            <w:r>
              <w:rPr>
                <w:rFonts w:ascii="Times New Roman" w:hAnsi="Times New Roman"/>
                <w:b w:val="0"/>
                <w:i w:val="0"/>
                <w:sz w:val="22"/>
              </w:rPr>
              <w:t>Meridian has issued 89 invoices over 14 months. Of these, 23 have a commodity code of HS 8414 (compressors). Market benchmark prices for HS 8414 range from USD 2,200 to USD 4,800 per unit (HMRC trade statistics, 2023). Meridian's invoices for HS 8414 average USD 8,950 per unit — 186% of the benchmark midpoint. Propose a RATIO_THRESHOLD for TBML-INVOICE-001 and justify it. What is the estimated noisy alert rate at your proposed threshold if 15% of UK HS 8414 importers legitimately operate above the benchmark midpoint by more than 50%?</w:t>
            </w:r>
          </w:p>
          <w:p>
            <w:pPr>
              <w:spacing w:lineRule="auto" w:line="312" w:before="20" w:after="40"/>
              <w:ind w:left="113"/>
            </w:pPr>
            <w:r>
              <w:rPr>
                <w:rFonts w:ascii="Times New Roman" w:hAnsi="Times New Roman"/>
                <w:b w:val="0"/>
                <w:i w:val="0"/>
                <w:sz w:val="22"/>
              </w:rPr>
              <w:t>The data scientist wants to perform a below-the-line sampling exercise for TBML-INVOICE-001 — but the population of commercial accounts with invoice data is only 47 accounts. Apply the hypergeometric sampling methodology from Part A to this small population. At what minimum sample size would the results be statistically meaningful? Is it feasible to sample at this level, and if not, what is the alternative approach for estimating below-the-line risk?</w:t>
            </w:r>
          </w:p>
          <w:p>
            <w:pPr>
              <w:spacing w:lineRule="auto" w:line="312" w:before="20" w:after="40"/>
              <w:ind w:left="113"/>
            </w:pPr>
            <w:r>
              <w:rPr>
                <w:rFonts w:ascii="Times New Roman" w:hAnsi="Times New Roman"/>
                <w:b w:val="0"/>
                <w:i w:val="0"/>
                <w:sz w:val="22"/>
              </w:rPr>
              <w:t>LINK-CROSS-001 (from Chapter 4 Part C) can only fire if both NRB-STRUCT-001 and TBML-INVOICE-001 have already fired on the relevant accounts. Explain how the calibration of each component rule affects the probability that LINK-CROSS-001 will fire on a genuine Northgate/Meridian connection. If RATIO_THRESHOLD is set too conservatively (too high), what is the consequence for the network detection capability?</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6.5 — Project Sentinel: The Calibration Governance Record  [Synthesis / Stretch]</w:t>
            </w:r>
          </w:p>
          <w:p>
            <w:pPr>
              <w:spacing w:lineRule="auto" w:line="312" w:before="20" w:after="40"/>
              <w:ind w:left="113"/>
            </w:pPr>
            <w:r>
              <w:rPr>
                <w:rFonts w:ascii="Times New Roman" w:hAnsi="Times New Roman"/>
                <w:b w:val="0"/>
                <w:i w:val="0"/>
                <w:sz w:val="22"/>
              </w:rPr>
              <w:t>Every threshold calibration decision in Project Sentinel must be documented in a Calibration Governance Record — a formal model governance artefact that records the analytical basis, the decision made, the assumptions relied upon, and the monitoring commitment going forward. This Part requires you to produce two governance documents.</w:t>
            </w:r>
          </w:p>
          <w:p>
            <w:pPr>
              <w:spacing w:lineRule="auto" w:line="312" w:before="20" w:after="40"/>
              <w:ind w:left="113"/>
            </w:pPr>
            <w:r>
              <w:rPr>
                <w:rFonts w:ascii="Times New Roman" w:hAnsi="Times New Roman"/>
                <w:b w:val="0"/>
                <w:i w:val="0"/>
                <w:sz w:val="22"/>
              </w:rPr>
              <w:t>Draft a Calibration Governance Record (approximately 300 words) for the RATIO_THRESHOLD parameter in TBML-INVOICE-001. Your record must cover: (a) the purpose of the parameter and the rule it governs, (b) the analytical approach used to derive the threshold value (reference your Part B answer), (c) the key assumptions (including the source and known limitations of the HMRC benchmark), (d) the approved threshold value and the name and role of the approver, and (e) the conditions that would trigger a threshold review (for example, a change in commodity market prices of more than 20%).</w:t>
            </w:r>
          </w:p>
          <w:p>
            <w:pPr>
              <w:spacing w:lineRule="auto" w:line="312" w:before="20" w:after="40"/>
              <w:ind w:left="113"/>
            </w:pPr>
            <w:r>
              <w:rPr>
                <w:rFonts w:ascii="Times New Roman" w:hAnsi="Times New Roman"/>
                <w:b w:val="0"/>
                <w:i w:val="0"/>
                <w:sz w:val="22"/>
              </w:rPr>
              <w:t>Design a post-deployment monitoring plan for TBML-INVOICE-001. Specify four metrics that the model owner should track monthly. For each metric, state: what it measures, the formula or data source, and the threshold that would trigger a formal model review. At least one metric must address LINK-CROSS-001 interaction (i.e., the downstream effect of TBML-INVOICE-001's calibration on the cross-case link rule).</w:t>
            </w:r>
          </w:p>
          <w:p>
            <w:pPr>
              <w:spacing w:lineRule="auto" w:line="312" w:before="20" w:after="40"/>
              <w:ind w:left="113"/>
            </w:pPr>
            <w:r>
              <w:rPr>
                <w:rFonts w:ascii="Times New Roman" w:hAnsi="Times New Roman"/>
                <w:b w:val="0"/>
                <w:i w:val="0"/>
                <w:sz w:val="22"/>
              </w:rPr>
              <w:t>In Chapter 7, you will map the full Northgate and Meridian scenario set against published typologies to assess whether the programme has material gaps. In Chapter 9, you will validate TBML-INVOICE-001 formally under the five-pillar framework.</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The OCC's 'Model Risk Management' guidance (OCC Bulletin 2011-12) remains the definitive US reference on threshold calibration as a modelling decision requiring governance documentation. Read Section 3 ('Model Development and Implementation') and identify the four elements that must be documented for any model assumption — and check your Calibration Governance Record against them.</w:t>
      </w:r>
    </w:p>
    <w:p>
      <w:pPr>
        <w:pStyle w:val="ListBullet"/>
        <w:spacing w:lineRule="auto" w:line="360" w:before="0" w:after="60"/>
      </w:pPr>
      <w:r>
        <w:rPr>
          <w:rFonts w:ascii="Times New Roman" w:hAnsi="Times New Roman"/>
          <w:b w:val="0"/>
          <w:i w:val="0"/>
          <w:sz w:val="24"/>
        </w:rPr>
        <w:t>Stattman, A. (2007), 'Statistical Methods for AML Threshold Calibration', Journal of Financial Crime, 14(4). This paper presents a worked example of hypergeometric sampling applied to a structuring scenario at a European retail bank. Compare the author's sampling approach to the method in Section 6.4. What assumption does the author make that Section 6.4 explicitly relaxes?</w:t>
      </w:r>
    </w:p>
    <w:p>
      <w:pPr>
        <w:pStyle w:val="ListBullet"/>
        <w:spacing w:lineRule="auto" w:line="360" w:before="0" w:after="60"/>
      </w:pPr>
      <w:r>
        <w:rPr>
          <w:rFonts w:ascii="Times New Roman" w:hAnsi="Times New Roman"/>
          <w:b w:val="0"/>
          <w:i w:val="0"/>
          <w:sz w:val="24"/>
        </w:rPr>
        <w:t>Research Question: The FCA's Dear CEO Letter on Transaction Monitoring (2021) states that firms must be able to demonstrate that thresholds are 'calibrated to the firm's specific risk profile.' Download and read the letter. What evidence does FCA say it will request when reviewing a firm's threshold calibration decisions?</w:t>
      </w:r>
    </w:p>
    <w:p>
      <w:pPr>
        <w:pStyle w:val="ListBullet"/>
        <w:spacing w:lineRule="auto" w:line="360" w:before="0" w:after="60"/>
      </w:pPr>
      <w:r>
        <w:rPr>
          <w:rFonts w:ascii="Times New Roman" w:hAnsi="Times New Roman"/>
          <w:b w:val="0"/>
          <w:i w:val="0"/>
          <w:sz w:val="24"/>
        </w:rPr>
        <w:t>Design challenge: PRA SS1/23 on model risk management requires that model governance includes a 'model change policy.' Draft a one-page model change policy for NRB-STRUCT-001 that specifies: what constitutes a material change (requiring full re-validation), what constitutes a minor change (requiring only model owner approval), and the maximum time between periodic recalibration reviews.</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OCC (2021) SR 11-7: Model Risk Management. OCC, Washington DC.</w:t>
      </w:r>
    </w:p>
    <w:p>
      <w:pPr>
        <w:pStyle w:val="ListBullet"/>
        <w:spacing w:lineRule="auto" w:line="288" w:before="0" w:after="80"/>
      </w:pPr>
      <w:r>
        <w:rPr>
          <w:rFonts w:ascii="Times New Roman" w:hAnsi="Times New Roman"/>
          <w:b w:val="0"/>
          <w:i w:val="0"/>
          <w:sz w:val="22"/>
        </w:rPr>
        <w:t>Wolfsberg Group (2016) Wolfsberg Guidance on Transaction Monitoring. Wolfsberg Group.</w:t>
      </w:r>
    </w:p>
    <w:p>
      <w:pPr>
        <w:pStyle w:val="ListBullet"/>
        <w:spacing w:lineRule="auto" w:line="288" w:before="0" w:after="80"/>
      </w:pPr>
      <w:r>
        <w:rPr>
          <w:rFonts w:ascii="Times New Roman" w:hAnsi="Times New Roman"/>
          <w:b w:val="0"/>
          <w:i w:val="0"/>
          <w:sz w:val="22"/>
        </w:rPr>
        <w:t>Federal Reserve (2011) SR 11-7: Model Risk Management. Federal Reserve Board, Washington DC.</w:t>
      </w:r>
    </w:p>
    <w:p>
      <w:r>
        <w:br w:type="page"/>
      </w:r>
    </w:p>
    <w:p>
      <w:pPr>
        <w:pStyle w:val="Heading1"/>
      </w:pPr>
      <w:r>
        <w:rPr>
          <w:rFonts w:ascii="Times New Roman" w:hAnsi="Times New Roman"/>
        </w:rPr>
        <w:t>Chapter 7: Risk and Coverage Assessments</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Regulators ask whether monitoring scenarios address the institution's specific risk typologies. This chapter introduces Rule NRB-GEO-003, completes the three-rule detection system, and builds a coverage matrix mapping rules against FFIEC typologies. Chapter 7.7 presents an agentic AI framework for automating coverage analysis — a practical frontier application of AI in the AML analytics field.</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Coverage assessment · Risk typology · FFIEC · Detection gap analysis · Geographic risk · Agentic AI</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7.1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Construct a risk coverage matrix that maps typologies to scenarios and surfaces analytical gaps.</w:t>
            </w:r>
          </w:p>
          <w:p>
            <w:pPr>
              <w:spacing w:lineRule="auto" w:line="312" w:before="20" w:after="40"/>
              <w:ind w:left="113"/>
            </w:pPr>
            <w:r>
              <w:rPr>
                <w:rFonts w:ascii="Times New Roman" w:hAnsi="Times New Roman"/>
                <w:b w:val="0"/>
                <w:i w:val="0"/>
                <w:sz w:val="22"/>
              </w:rPr>
              <w:t>Use FFIEC red flags to evaluate whether a scenario adequately covers a given money-laundering typology.</w:t>
            </w:r>
          </w:p>
          <w:p>
            <w:pPr>
              <w:spacing w:lineRule="auto" w:line="312" w:before="20" w:after="40"/>
              <w:ind w:left="113"/>
            </w:pPr>
            <w:r>
              <w:rPr>
                <w:rFonts w:ascii="Times New Roman" w:hAnsi="Times New Roman"/>
                <w:b w:val="0"/>
                <w:i w:val="0"/>
                <w:sz w:val="22"/>
              </w:rPr>
              <w:t>Apply basic NLP techniques to extract red flag indicators from regulatory text automatically.</w:t>
            </w:r>
          </w:p>
          <w:p>
            <w:pPr>
              <w:spacing w:lineRule="auto" w:line="312" w:before="20" w:after="40"/>
              <w:ind w:left="113"/>
            </w:pPr>
            <w:r>
              <w:rPr>
                <w:rFonts w:ascii="Times New Roman" w:hAnsi="Times New Roman"/>
                <w:b w:val="0"/>
                <w:i w:val="0"/>
                <w:sz w:val="22"/>
              </w:rPr>
              <w:t>Assess the coverage of the Northgate structuring scenario and propose remediation for identified gaps.</w:t>
            </w:r>
          </w:p>
        </w:tc>
      </w:tr>
    </w:tbl>
    <w:p>
      <w:pPr>
        <w:spacing w:lineRule="auto" w:line="240" w:before="0" w:after="160"/>
      </w:pPr>
    </w:p>
    <w:p>
      <w:pPr>
        <w:pStyle w:val="Heading2"/>
      </w:pPr>
      <w:r>
        <w:rPr>
          <w:rFonts w:ascii="Times New Roman" w:hAnsi="Times New Roman"/>
        </w:rPr>
        <w:t>7.1 Business Context: Coverage Is a Regulatory Expectation</w:t>
      </w:r>
    </w:p>
    <w:p>
      <w:pPr>
        <w:pStyle w:val="BodyText"/>
        <w:spacing w:lineRule="auto" w:line="360" w:before="0" w:after="120"/>
        <w:ind w:firstLine="283"/>
      </w:pPr>
      <w:r>
        <w:rPr>
          <w:rFonts w:ascii="Times New Roman" w:hAnsi="Times New Roman"/>
          <w:b w:val="0"/>
          <w:i w:val="0"/>
          <w:sz w:val="24"/>
        </w:rPr>
        <w:t>Regulators do not simply ask whether a bank has transaction monitoring scenarios. They ask whether those scenarios cover the risks the bank has identified in its risk assessment. A bank that has assessed structuring as a high risk but has no scenario that detects cash deposits just below the reporting threshold has a material gap — and that gap is indefensible.</w:t>
      </w:r>
    </w:p>
    <w:p>
      <w:pPr>
        <w:pStyle w:val="BodyText"/>
        <w:spacing w:lineRule="auto" w:line="360" w:before="0" w:after="120"/>
        <w:ind w:firstLine="283"/>
      </w:pPr>
      <w:r>
        <w:rPr>
          <w:rFonts w:ascii="Times New Roman" w:hAnsi="Times New Roman"/>
          <w:b w:val="0"/>
          <w:i w:val="0"/>
          <w:sz w:val="24"/>
        </w:rPr>
        <w:t>Risk and coverage assessment is the process of systematically answering the question: do our scenarios detect the behaviours we have identified as risks? It connects the risk assessment function (which says what risks exist) to the analytics function (which says what the system can detect). Without this bridge, a Transaction Monitoring Framework may be operationally active but strategically blind.</w:t>
      </w:r>
    </w:p>
    <w:p>
      <w:pPr>
        <w:pStyle w:val="BodyText"/>
        <w:spacing w:lineRule="auto" w:line="360" w:before="0" w:after="120"/>
        <w:ind w:firstLine="283"/>
      </w:pPr>
      <w:r>
        <w:rPr>
          <w:rFonts w:ascii="Times New Roman" w:hAnsi="Times New Roman"/>
          <w:b w:val="0"/>
          <w:i w:val="0"/>
          <w:sz w:val="24"/>
        </w:rPr>
        <w:t>In operational practice, risk and coverage assessment is the first stage of the TM lifecycle — the stage that determines what scenarios are needed before they are designed. It is the risk assessment that tells you what to build; the coverage matrix that tells you whether you built it. We present the methodology here — in Chapter 7, after you have designed, segmented, and tuned a scenario — so that you can evaluate your own work against the same standard an examiner would apply. In a programme built from scratch, this chapter should logically precede Chapter 4.</w:t>
      </w:r>
    </w:p>
    <w:p>
      <w:pPr>
        <w:pStyle w:val="BodyText"/>
        <w:spacing w:lineRule="auto" w:line="360" w:before="0" w:after="120"/>
        <w:ind w:firstLine="283"/>
      </w:pPr>
      <w:r>
        <w:rPr>
          <w:rFonts w:ascii="Times New Roman" w:hAnsi="Times New Roman"/>
          <w:b w:val="0"/>
          <w:i w:val="0"/>
          <w:sz w:val="24"/>
        </w:rPr>
        <w:t>Coverage assessment is also one dimension of model validation under SR 26-2 (US) and PRA SS1/23 (UK). It tests whether the model — the scenario set — addresses its stated purpose. A scenario that exists but does not cover its target typology fails model validation on scope, regardless of how well it is calibrated. We cover the full model validation framework in Chapter 9.</w:t>
      </w:r>
    </w:p>
    <w:p>
      <w:pPr>
        <w:pStyle w:val="BodyText"/>
        <w:spacing w:lineRule="auto" w:line="360" w:before="0" w:after="120"/>
        <w:ind w:firstLine="283"/>
      </w:pPr>
      <w:r>
        <w:rPr>
          <w:rFonts w:ascii="Times New Roman" w:hAnsi="Times New Roman"/>
          <w:b w:val="0"/>
          <w:i w:val="0"/>
          <w:sz w:val="24"/>
        </w:rPr>
        <w:t>This chapter introduces the methodology for risk coverage mapping, shows you how to use FFIEC red flags as the benchmark, and explains how NLP tools can automate parts of the process. By the end, you will have a structured way to answer a question that regulators ask in every AML examination.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7.2  </w:t>
            </w:r>
            <w:r>
              <w:rPr>
                <w:rFonts w:ascii="Times New Roman" w:hAnsi="Times New Roman"/>
                <w:b/>
                <w:i/>
                <w:sz w:val="22"/>
              </w:rPr>
              <w:t>Typology Framework: Both Ends of the TM Process</w:t>
            </w:r>
          </w:p>
          <w:p>
            <w:pPr>
              <w:spacing w:lineRule="auto" w:line="312" w:before="20" w:after="40"/>
              <w:ind w:left="113"/>
            </w:pPr>
            <w:r>
              <w:rPr>
                <w:rFonts w:ascii="Times New Roman" w:hAnsi="Times New Roman"/>
                <w:b w:val="0"/>
                <w:i w:val="0"/>
                <w:sz w:val="22"/>
              </w:rPr>
              <w:t>The typology and red flag framework is not only a scenario design tool — it must be applied at both ends of the TM process:</w:t>
            </w:r>
          </w:p>
          <w:p>
            <w:pPr>
              <w:spacing w:lineRule="auto" w:line="312" w:before="20" w:after="40"/>
              <w:ind w:left="113"/>
            </w:pPr>
            <w:r>
              <w:rPr>
                <w:rFonts w:ascii="Times New Roman" w:hAnsi="Times New Roman"/>
                <w:b w:val="0"/>
                <w:i w:val="0"/>
                <w:sz w:val="22"/>
              </w:rPr>
              <w:t>Front end — Scenario Design (covered in Chapter 4): Typologies and regulatory red flags drive the Risks → Red Flags → Typologies → Scenarios → Parameters chain. Every scenario must be traceable to at least one documented typology.</w:t>
            </w:r>
          </w:p>
          <w:p>
            <w:pPr>
              <w:spacing w:lineRule="auto" w:line="312" w:before="20" w:after="40"/>
              <w:ind w:left="113"/>
            </w:pPr>
            <w:r>
              <w:rPr>
                <w:rFonts w:ascii="Times New Roman" w:hAnsi="Times New Roman"/>
                <w:b w:val="0"/>
                <w:i w:val="0"/>
                <w:sz w:val="22"/>
              </w:rPr>
              <w:t>Back end — Investigation (covered in Chapter 3): Investigators must apply typological awareness during case review. An investigator who identifies a red flag in a case that is not covered by any existing scenario has identified a coverage gap. That observation should feed back into the coverage assessment process. The back-end typology application is what enables the TM lifecycle to function as a feedback loop — not just a one-way detection engine.</w:t>
            </w:r>
          </w:p>
          <w:p>
            <w:pPr>
              <w:spacing w:lineRule="auto" w:line="312" w:before="20" w:after="40"/>
              <w:ind w:left="113"/>
            </w:pPr>
            <w:r>
              <w:rPr>
                <w:rFonts w:ascii="Times New Roman" w:hAnsi="Times New Roman"/>
                <w:b w:val="0"/>
                <w:i w:val="0"/>
                <w:sz w:val="22"/>
              </w:rPr>
              <w:t>Coverage assessment — this chapter — sits at the intersection of both ends: it verifies that the scenarios designed at the front end are detecting what they should, and that the observations made at the back end are feeding back into the scenario development cycle.</w:t>
            </w:r>
          </w:p>
        </w:tc>
      </w:tr>
    </w:tbl>
    <w:p>
      <w:pPr>
        <w:spacing w:lineRule="auto" w:line="240" w:before="0" w:after="160"/>
      </w:pPr>
    </w:p>
    <w:p>
      <w:pPr>
        <w:pStyle w:val="Heading2"/>
      </w:pPr>
      <w:r>
        <w:rPr>
          <w:rFonts w:ascii="Times New Roman" w:hAnsi="Times New Roman"/>
        </w:rPr>
        <w:t>7.2 The Coverage Assessment Methodology</w:t>
      </w:r>
    </w:p>
    <w:p>
      <w:pPr>
        <w:pStyle w:val="BodyText"/>
        <w:spacing w:lineRule="auto" w:line="360" w:before="0" w:after="120"/>
        <w:ind w:firstLine="283"/>
      </w:pPr>
      <w:r>
        <w:rPr>
          <w:rFonts w:ascii="Times New Roman" w:hAnsi="Times New Roman"/>
          <w:b w:val="0"/>
          <w:i w:val="0"/>
          <w:sz w:val="24"/>
        </w:rPr>
        <w:t>A coverage assessment follows four steps. Each step builds on the last, and the output of the final step is a documented gap analysis that is defensible to an examiner.</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7.3  </w:t>
            </w:r>
            <w:r>
              <w:rPr>
                <w:rFonts w:ascii="Times New Roman" w:hAnsi="Times New Roman"/>
                <w:b/>
                <w:i/>
                <w:sz w:val="22"/>
              </w:rPr>
              <w:t>Coverage Assessment Protocol — Prerequisites and Governance</w:t>
            </w:r>
          </w:p>
          <w:p>
            <w:pPr>
              <w:spacing w:lineRule="auto" w:line="312" w:before="20" w:after="40"/>
              <w:ind w:left="113"/>
            </w:pPr>
            <w:r>
              <w:rPr>
                <w:rFonts w:ascii="Times New Roman" w:hAnsi="Times New Roman"/>
                <w:b w:val="0"/>
                <w:i w:val="0"/>
                <w:sz w:val="22"/>
              </w:rPr>
              <w:t>Owner: Coverage assessment is a 2nd Line (FinCrime Risk / AML Risk) function. FinCrime Risk owns both the risk assessment and the coverage matrix. Data and Analytics provides the scenario inventory and the technical coverage analysis. The output is reviewed at the governance forum and subject to 3rd Line (Audit/IMR) independent challenge.</w:t>
            </w:r>
          </w:p>
          <w:p>
            <w:pPr>
              <w:spacing w:lineRule="auto" w:line="312" w:before="20" w:after="40"/>
              <w:ind w:left="113"/>
            </w:pPr>
            <w:r>
              <w:rPr>
                <w:rFonts w:ascii="Times New Roman" w:hAnsi="Times New Roman"/>
                <w:b w:val="0"/>
                <w:i w:val="0"/>
                <w:sz w:val="22"/>
              </w:rPr>
              <w:t>Prerequisites: The following must be assembled before the assessment begins: (1) the current firm-wide risk assessment, identifying the typologies assessed as relevant and their severity ratings; (2) the full deployed scenario library, with each scenario's stated purpose and encoded red flags; (3) current regulatory guidance (FFIEC manual, JMLSG guidance, applicable FATF typology reports); (4) access to scenario performance data (alert volumes, SAR rates) from the prior 12 months.</w:t>
            </w:r>
          </w:p>
          <w:p>
            <w:pPr>
              <w:spacing w:lineRule="auto" w:line="312" w:before="20" w:after="40"/>
              <w:ind w:left="113"/>
            </w:pPr>
            <w:r>
              <w:rPr>
                <w:rFonts w:ascii="Times New Roman" w:hAnsi="Times New Roman"/>
                <w:b w:val="0"/>
                <w:i w:val="0"/>
                <w:sz w:val="22"/>
              </w:rPr>
              <w:t>Documentation output: A dated, signed coverage matrix showing coverage status (Full / Partial / Gap) for each red flag against each scenario. Accompanied by a gap analysis narrative that assigns a risk rating and remediation timeline to each gap. The document is retained in the model governance register.</w:t>
            </w:r>
          </w:p>
          <w:p>
            <w:pPr>
              <w:spacing w:lineRule="auto" w:line="312" w:before="20" w:after="40"/>
              <w:ind w:left="113"/>
            </w:pPr>
            <w:r>
              <w:rPr>
                <w:rFonts w:ascii="Times New Roman" w:hAnsi="Times New Roman"/>
                <w:b w:val="0"/>
                <w:i w:val="0"/>
                <w:sz w:val="22"/>
              </w:rPr>
              <w:t>Review frequency: At minimum annually. Additionally triggered by: publication of new FCA/JMLSG/FATF guidance; material change in the institution's product set or customer base; regulatory examination finding; significant change in the typology landscape (e.g., emergence of a new mule typology or payment method).</w:t>
            </w:r>
          </w:p>
        </w:tc>
      </w:tr>
    </w:tbl>
    <w:p>
      <w:pPr>
        <w:spacing w:lineRule="auto" w:line="240" w:before="0" w:after="160"/>
      </w:pPr>
    </w:p>
    <w:p>
      <w:pPr>
        <w:pStyle w:val="ListBullet"/>
        <w:spacing w:lineRule="auto" w:line="360" w:before="0" w:after="60"/>
      </w:pPr>
      <w:r>
        <w:rPr>
          <w:rFonts w:ascii="Times New Roman" w:hAnsi="Times New Roman"/>
          <w:b w:val="0"/>
          <w:i w:val="0"/>
          <w:sz w:val="24"/>
        </w:rPr>
        <w:t>Typology inventory: compile the full list of money-laundering typologies relevant to your institution. These come from your firm-wide risk assessment, FATF typology reports, FFIEC red flag lists, and JMLSG guidance. For a retail bank, structuring, money mule activity, and third-party payments are almost always on this list.</w:t>
      </w:r>
    </w:p>
    <w:p>
      <w:pPr>
        <w:pStyle w:val="ListBullet"/>
        <w:spacing w:lineRule="auto" w:line="360" w:before="0" w:after="60"/>
      </w:pPr>
      <w:r>
        <w:rPr>
          <w:rFonts w:ascii="Times New Roman" w:hAnsi="Times New Roman"/>
          <w:b w:val="0"/>
          <w:i w:val="0"/>
          <w:sz w:val="24"/>
        </w:rPr>
        <w:t>Scenario inventory: compile the full list of TM scenarios currently deployed. For each scenario, document its purpose, the typology it addresses, and the red flags it encodes.</w:t>
      </w:r>
    </w:p>
    <w:p>
      <w:pPr>
        <w:pStyle w:val="ListBullet"/>
        <w:spacing w:lineRule="auto" w:line="360" w:before="0" w:after="60"/>
      </w:pPr>
      <w:r>
        <w:rPr>
          <w:rFonts w:ascii="Times New Roman" w:hAnsi="Times New Roman"/>
          <w:b w:val="0"/>
          <w:i w:val="0"/>
          <w:sz w:val="24"/>
        </w:rPr>
        <w:t>Coverage mapping: create a matrix. Rows are red flags or typology indicators. Columns are scenarios. Each cell indicates whether the scenario covers that red flag, partially covers it, or does not cover it.</w:t>
      </w:r>
    </w:p>
    <w:p>
      <w:pPr>
        <w:pStyle w:val="ListBullet"/>
        <w:spacing w:lineRule="auto" w:line="360" w:before="0" w:after="60"/>
      </w:pPr>
      <w:r>
        <w:rPr>
          <w:rFonts w:ascii="Times New Roman" w:hAnsi="Times New Roman"/>
          <w:b w:val="0"/>
          <w:i w:val="0"/>
          <w:sz w:val="24"/>
        </w:rPr>
        <w:t>Gap analysis: identify red flags with no or partial coverage. For each gap, assess the risk: how common is this behaviour? How severe is the consequence of missing it? What is the cost of building a scenario to address it?</w:t>
      </w:r>
    </w:p>
    <w:p>
      <w:pPr>
        <w:pStyle w:val="Heading2"/>
      </w:pPr>
      <w:r>
        <w:rPr>
          <w:rFonts w:ascii="Times New Roman" w:hAnsi="Times New Roman"/>
        </w:rPr>
        <w:t>7.3 FFIEC Red Flags for Structuring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7.4  </w:t>
            </w:r>
            <w:r>
              <w:rPr>
                <w:rFonts w:ascii="Times New Roman" w:hAnsi="Times New Roman"/>
                <w:b/>
                <w:i/>
                <w:sz w:val="22"/>
              </w:rPr>
              <w:t>Coverage Taxonomy: Three Coverage States</w:t>
            </w:r>
          </w:p>
          <w:p>
            <w:pPr>
              <w:spacing w:lineRule="auto" w:line="312" w:before="20" w:after="40"/>
              <w:ind w:left="113"/>
            </w:pPr>
            <w:r>
              <w:rPr>
                <w:rFonts w:ascii="Times New Roman" w:hAnsi="Times New Roman"/>
                <w:b w:val="0"/>
                <w:i w:val="0"/>
                <w:sz w:val="22"/>
              </w:rPr>
              <w:t>Every red flag in the coverage matrix must be assigned one of three coverage states. These states are used consistently throughout this book and in Chapter 9 (Model Validation):</w:t>
            </w:r>
          </w:p>
          <w:p>
            <w:pPr>
              <w:spacing w:lineRule="auto" w:line="312" w:before="20" w:after="40"/>
              <w:ind w:left="113"/>
            </w:pPr>
            <w:r>
              <w:rPr>
                <w:rFonts w:ascii="Times New Roman" w:hAnsi="Times New Roman"/>
                <w:b w:val="0"/>
                <w:i w:val="0"/>
                <w:sz w:val="22"/>
              </w:rPr>
              <w:t>Full Coverage: The risk or red flag is fully addressed by an existing scenario or control. The scenario is deployed, data quality is confirmed, and calibration has been validated. The risk is considered controlled.</w:t>
            </w:r>
          </w:p>
          <w:p>
            <w:pPr>
              <w:spacing w:lineRule="auto" w:line="312" w:before="20" w:after="40"/>
              <w:ind w:left="113"/>
            </w:pPr>
            <w:r>
              <w:rPr>
                <w:rFonts w:ascii="Times New Roman" w:hAnsi="Times New Roman"/>
                <w:b w:val="0"/>
                <w:i w:val="0"/>
                <w:sz w:val="22"/>
              </w:rPr>
              <w:t>Partial Coverage: The risk is addressed but gaps remain. For example: a scenario exists but does not cover all variants of the typology; or the scenario logic is sound but the required CDE/KDE data is incomplete; or the scenario covers the red flag for one customer segment but not another. Partial coverage requires a documented remediation plan and timeline.</w:t>
            </w:r>
          </w:p>
          <w:p>
            <w:pPr>
              <w:spacing w:lineRule="auto" w:line="312" w:before="20" w:after="40"/>
              <w:ind w:left="113"/>
            </w:pPr>
            <w:r>
              <w:rPr>
                <w:rFonts w:ascii="Times New Roman" w:hAnsi="Times New Roman"/>
                <w:b w:val="0"/>
                <w:i w:val="0"/>
                <w:sz w:val="22"/>
              </w:rPr>
              <w:t>No Coverage: The risk has been identified — through the risk assessment, regulatory red flag lists, or investigator feedback — but no control exists to address it. No Coverage findings represent the institution's most significant regulatory exposure and require immediate escalation to the governance forum.</w:t>
            </w:r>
          </w:p>
          <w:p>
            <w:pPr>
              <w:spacing w:lineRule="auto" w:line="312" w:before="20" w:after="40"/>
              <w:ind w:left="113"/>
            </w:pPr>
            <w:r>
              <w:rPr>
                <w:rFonts w:ascii="Times New Roman" w:hAnsi="Times New Roman"/>
                <w:b w:val="0"/>
                <w:i w:val="0"/>
                <w:sz w:val="22"/>
              </w:rPr>
              <w:t>Coverage state is not static. A scenario that achieves Full Coverage today may degrade to Partial Coverage if the underlying CDE data quality deteriorates, if the threshold is raised without recalibration, or if the typology evolves in a way that the existing scenario logic no longer captures. Coverage assessments must treat coverage state as a point-in-time snapshot, not a permanent designation.</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FFIEC BSA/AML Examination Manual is the definitive reference for US examiners. Its red flag lists are used internationally as a benchmark for scenario coverage, regardless of jurisdiction. For structuring, the following red flags are documented in the FFIEC manual.</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7.5  </w:t>
            </w:r>
            <w:r>
              <w:rPr>
                <w:rFonts w:ascii="Times New Roman" w:hAnsi="Times New Roman"/>
                <w:b/>
                <w:i/>
                <w:sz w:val="22"/>
              </w:rPr>
              <w:t>Jurisdictional Note — USD vs USD Thresholds</w:t>
            </w:r>
          </w:p>
          <w:p>
            <w:pPr>
              <w:spacing w:lineRule="auto" w:line="312" w:before="20" w:after="40"/>
              <w:ind w:left="113"/>
            </w:pPr>
            <w:r>
              <w:rPr>
                <w:rFonts w:ascii="Times New Roman" w:hAnsi="Times New Roman"/>
                <w:b w:val="0"/>
                <w:i w:val="0"/>
                <w:sz w:val="22"/>
              </w:rPr>
              <w:t>The FFIEC manual uses USD throughout, with the Currency Transaction Report (CTR) threshold set at $10,000. The table below adapts these indicators to USD for consistency with the Northgate case study used in this book. UK practitioners should note that there is no mandatory cash reporting threshold in the UK equivalent to the US CTR regime — the relevant UK framework is the Suspicious Activity Report (SAR) obligation under the Proceeds of Crime Act 2002 (POCA 2002), which applies to knowledge or suspicion of money laundering rather than to a fixed cash threshold. The FFIEC structuring indicators should therefore be read as behavioural patterns to detect, not as threshold-specific rules tied to a reporting obligation.</w:t>
            </w:r>
          </w:p>
        </w:tc>
      </w:tr>
    </w:tbl>
    <w:p>
      <w:pPr>
        <w:spacing w:lineRule="auto" w:line="240" w:before="0" w:after="160"/>
      </w:pPr>
    </w:p>
    <w:p>
      <w:pPr>
        <w:spacing w:lineRule="auto" w:line="240" w:before="60" w:after="120"/>
        <w:ind w:firstLine="0"/>
        <w:jc w:val="left"/>
      </w:pPr>
      <w:r>
        <w:rPr>
          <w:rFonts w:ascii="Times New Roman" w:hAnsi="Times New Roman"/>
          <w:b w:val="0"/>
          <w:i/>
          <w:sz w:val="20"/>
        </w:rPr>
        <w:t>Table 7.1  Red Flag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Red Flag</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Detection Approach</w:t>
            </w:r>
          </w:p>
        </w:tc>
      </w:tr>
      <w:tr>
        <w:tc>
          <w:tcPr>
            <w:tcW w:w="3024" w:type="dxa"/>
          </w:tcPr>
          <w:p>
            <w:pPr>
              <w:spacing w:lineRule="auto" w:line="288" w:before="60" w:after="60"/>
              <w:ind w:left="57" w:right="57"/>
            </w:pPr>
            <w:r>
              <w:rPr>
                <w:rFonts w:ascii="Times New Roman" w:hAnsi="Times New Roman"/>
                <w:b w:val="0"/>
                <w:i w:val="0"/>
                <w:sz w:val="20"/>
              </w:rPr>
              <w:t>Deposits just below reporting threshold</w:t>
            </w:r>
          </w:p>
        </w:tc>
        <w:tc>
          <w:tcPr>
            <w:tcW w:w="3024" w:type="dxa"/>
          </w:tcPr>
          <w:p>
            <w:pPr>
              <w:spacing w:lineRule="auto" w:line="288" w:before="60" w:after="60"/>
              <w:ind w:left="57" w:right="57"/>
            </w:pPr>
            <w:r>
              <w:rPr>
                <w:rFonts w:ascii="Times New Roman" w:hAnsi="Times New Roman"/>
                <w:b w:val="0"/>
                <w:i w:val="0"/>
                <w:sz w:val="20"/>
              </w:rPr>
              <w:t>Cash deposits consistently at $9,000–$9,999 (or local equivalent), suggesting deliberate avoidance of the reporting trigger.</w:t>
            </w:r>
          </w:p>
        </w:tc>
        <w:tc>
          <w:tcPr>
            <w:tcW w:w="3024" w:type="dxa"/>
          </w:tcPr>
          <w:p>
            <w:pPr>
              <w:spacing w:lineRule="auto" w:line="288" w:before="60" w:after="60"/>
              <w:ind w:left="57" w:right="57"/>
            </w:pPr>
            <w:r>
              <w:rPr>
                <w:rFonts w:ascii="Times New Roman" w:hAnsi="Times New Roman"/>
                <w:b w:val="0"/>
                <w:i w:val="0"/>
                <w:sz w:val="20"/>
              </w:rPr>
              <w:t>Threshold rule on single-transaction cash amount.</w:t>
            </w:r>
          </w:p>
        </w:tc>
      </w:tr>
      <w:tr>
        <w:tc>
          <w:tcPr>
            <w:tcW w:w="3024" w:type="dxa"/>
          </w:tcPr>
          <w:p>
            <w:pPr>
              <w:spacing w:lineRule="auto" w:line="288" w:before="60" w:after="60"/>
              <w:ind w:left="57" w:right="57"/>
            </w:pPr>
            <w:r>
              <w:rPr>
                <w:rFonts w:ascii="Times New Roman" w:hAnsi="Times New Roman"/>
                <w:b w:val="0"/>
                <w:i w:val="0"/>
                <w:sz w:val="20"/>
              </w:rPr>
              <w:t>Multiple individuals, same account</w:t>
            </w:r>
          </w:p>
        </w:tc>
        <w:tc>
          <w:tcPr>
            <w:tcW w:w="3024" w:type="dxa"/>
          </w:tcPr>
          <w:p>
            <w:pPr>
              <w:spacing w:lineRule="auto" w:line="288" w:before="60" w:after="60"/>
              <w:ind w:left="57" w:right="57"/>
            </w:pPr>
            <w:r>
              <w:rPr>
                <w:rFonts w:ascii="Times New Roman" w:hAnsi="Times New Roman"/>
                <w:b w:val="0"/>
                <w:i w:val="0"/>
                <w:sz w:val="20"/>
              </w:rPr>
              <w:t>Several unrelated individuals making deposits into the same account, suggesting coordinated mule activity.</w:t>
            </w:r>
          </w:p>
        </w:tc>
        <w:tc>
          <w:tcPr>
            <w:tcW w:w="3024" w:type="dxa"/>
          </w:tcPr>
          <w:p>
            <w:pPr>
              <w:spacing w:lineRule="auto" w:line="288" w:before="60" w:after="60"/>
              <w:ind w:left="57" w:right="57"/>
            </w:pPr>
            <w:r>
              <w:rPr>
                <w:rFonts w:ascii="Times New Roman" w:hAnsi="Times New Roman"/>
                <w:b w:val="0"/>
                <w:i w:val="0"/>
                <w:sz w:val="20"/>
              </w:rPr>
              <w:t>Rule on count of distinct depositors per account in a rolling window.</w:t>
            </w:r>
          </w:p>
        </w:tc>
      </w:tr>
      <w:tr>
        <w:tc>
          <w:tcPr>
            <w:tcW w:w="3024" w:type="dxa"/>
          </w:tcPr>
          <w:p>
            <w:pPr>
              <w:spacing w:lineRule="auto" w:line="288" w:before="60" w:after="60"/>
              <w:ind w:left="57" w:right="57"/>
            </w:pPr>
            <w:r>
              <w:rPr>
                <w:rFonts w:ascii="Times New Roman" w:hAnsi="Times New Roman"/>
                <w:b w:val="0"/>
                <w:i w:val="0"/>
                <w:sz w:val="20"/>
              </w:rPr>
              <w:t>Depositor unfamiliar with account holder</w:t>
            </w:r>
          </w:p>
        </w:tc>
        <w:tc>
          <w:tcPr>
            <w:tcW w:w="3024" w:type="dxa"/>
          </w:tcPr>
          <w:p>
            <w:pPr>
              <w:spacing w:lineRule="auto" w:line="288" w:before="60" w:after="60"/>
              <w:ind w:left="57" w:right="57"/>
            </w:pPr>
            <w:r>
              <w:rPr>
                <w:rFonts w:ascii="Times New Roman" w:hAnsi="Times New Roman"/>
                <w:b w:val="0"/>
                <w:i w:val="0"/>
                <w:sz w:val="20"/>
              </w:rPr>
              <w:t>Branch observation: depositor cannot state the account holder's name or relationship. Not automated — requires human reporting.</w:t>
            </w:r>
          </w:p>
        </w:tc>
        <w:tc>
          <w:tcPr>
            <w:tcW w:w="3024" w:type="dxa"/>
          </w:tcPr>
          <w:p>
            <w:pPr>
              <w:spacing w:lineRule="auto" w:line="288" w:before="60" w:after="60"/>
              <w:ind w:left="57" w:right="57"/>
            </w:pPr>
            <w:r>
              <w:rPr>
                <w:rFonts w:ascii="Times New Roman" w:hAnsi="Times New Roman"/>
                <w:b w:val="0"/>
                <w:i w:val="0"/>
                <w:sz w:val="20"/>
              </w:rPr>
              <w:t>Manual escalation trigger; cannot be automated without narrative data.</w:t>
            </w:r>
          </w:p>
        </w:tc>
      </w:tr>
      <w:tr>
        <w:tc>
          <w:tcPr>
            <w:tcW w:w="3024" w:type="dxa"/>
          </w:tcPr>
          <w:p>
            <w:pPr>
              <w:spacing w:lineRule="auto" w:line="288" w:before="60" w:after="60"/>
              <w:ind w:left="57" w:right="57"/>
            </w:pPr>
            <w:r>
              <w:rPr>
                <w:rFonts w:ascii="Times New Roman" w:hAnsi="Times New Roman"/>
                <w:b w:val="0"/>
                <w:i w:val="0"/>
                <w:sz w:val="20"/>
              </w:rPr>
              <w:t>Rapid transfer after deposit</w:t>
            </w:r>
          </w:p>
        </w:tc>
        <w:tc>
          <w:tcPr>
            <w:tcW w:w="3024" w:type="dxa"/>
          </w:tcPr>
          <w:p>
            <w:pPr>
              <w:spacing w:lineRule="auto" w:line="288" w:before="60" w:after="60"/>
              <w:ind w:left="57" w:right="57"/>
            </w:pPr>
            <w:r>
              <w:rPr>
                <w:rFonts w:ascii="Times New Roman" w:hAnsi="Times New Roman"/>
                <w:b w:val="0"/>
                <w:i w:val="0"/>
                <w:sz w:val="20"/>
              </w:rPr>
              <w:t>Funds transferred out within 1–3 business days of cash deposit, before they 'settle' into normal account usage.</w:t>
            </w:r>
          </w:p>
        </w:tc>
        <w:tc>
          <w:tcPr>
            <w:tcW w:w="3024" w:type="dxa"/>
          </w:tcPr>
          <w:p>
            <w:pPr>
              <w:spacing w:lineRule="auto" w:line="288" w:before="60" w:after="60"/>
              <w:ind w:left="57" w:right="57"/>
            </w:pPr>
            <w:r>
              <w:rPr>
                <w:rFonts w:ascii="Times New Roman" w:hAnsi="Times New Roman"/>
                <w:b w:val="0"/>
                <w:i w:val="0"/>
                <w:sz w:val="20"/>
              </w:rPr>
              <w:t>Time-to-transfer rule: flag accounts where &gt;80% of deposits are followed by outward transfer within 72 hours.</w:t>
            </w:r>
          </w:p>
        </w:tc>
      </w:tr>
      <w:tr>
        <w:tc>
          <w:tcPr>
            <w:tcW w:w="3024" w:type="dxa"/>
          </w:tcPr>
          <w:p>
            <w:pPr>
              <w:spacing w:lineRule="auto" w:line="288" w:before="60" w:after="60"/>
              <w:ind w:left="57" w:right="57"/>
            </w:pPr>
            <w:r>
              <w:rPr>
                <w:rFonts w:ascii="Times New Roman" w:hAnsi="Times New Roman"/>
                <w:b w:val="0"/>
                <w:i w:val="0"/>
                <w:sz w:val="20"/>
              </w:rPr>
              <w:t>Multiple branches, same day</w:t>
            </w:r>
          </w:p>
        </w:tc>
        <w:tc>
          <w:tcPr>
            <w:tcW w:w="3024" w:type="dxa"/>
          </w:tcPr>
          <w:p>
            <w:pPr>
              <w:spacing w:lineRule="auto" w:line="288" w:before="60" w:after="60"/>
              <w:ind w:left="57" w:right="57"/>
            </w:pPr>
            <w:r>
              <w:rPr>
                <w:rFonts w:ascii="Times New Roman" w:hAnsi="Times New Roman"/>
                <w:b w:val="0"/>
                <w:i w:val="0"/>
                <w:sz w:val="20"/>
              </w:rPr>
              <w:t>Same individual makes deposits at two or more branches on the same day.</w:t>
            </w:r>
          </w:p>
        </w:tc>
        <w:tc>
          <w:tcPr>
            <w:tcW w:w="3024" w:type="dxa"/>
          </w:tcPr>
          <w:p>
            <w:pPr>
              <w:spacing w:lineRule="auto" w:line="288" w:before="60" w:after="60"/>
              <w:ind w:left="57" w:right="57"/>
            </w:pPr>
            <w:r>
              <w:rPr>
                <w:rFonts w:ascii="Times New Roman" w:hAnsi="Times New Roman"/>
                <w:b w:val="0"/>
                <w:i w:val="0"/>
                <w:sz w:val="20"/>
              </w:rPr>
              <w:t>Geo-rule: flag accounts receiving deposits from multiple branch codes on the same calendar date.</w:t>
            </w:r>
          </w:p>
        </w:tc>
      </w:tr>
      <w:tr>
        <w:tc>
          <w:tcPr>
            <w:tcW w:w="3024" w:type="dxa"/>
          </w:tcPr>
          <w:p>
            <w:pPr>
              <w:spacing w:lineRule="auto" w:line="288" w:before="60" w:after="60"/>
              <w:ind w:left="57" w:right="57"/>
            </w:pPr>
            <w:r>
              <w:rPr>
                <w:rFonts w:ascii="Times New Roman" w:hAnsi="Times New Roman"/>
                <w:b w:val="0"/>
                <w:i w:val="0"/>
                <w:sz w:val="20"/>
              </w:rPr>
              <w:t>Round-number avoidance</w:t>
            </w:r>
          </w:p>
        </w:tc>
        <w:tc>
          <w:tcPr>
            <w:tcW w:w="3024" w:type="dxa"/>
          </w:tcPr>
          <w:p>
            <w:pPr>
              <w:spacing w:lineRule="auto" w:line="288" w:before="60" w:after="60"/>
              <w:ind w:left="57" w:right="57"/>
            </w:pPr>
            <w:r>
              <w:rPr>
                <w:rFonts w:ascii="Times New Roman" w:hAnsi="Times New Roman"/>
                <w:b w:val="0"/>
                <w:i w:val="0"/>
                <w:sz w:val="20"/>
              </w:rPr>
              <w:t>Deposits at $8,000, $8,500, $9,000 rather than round numbers, suggesting calculated sizing.</w:t>
            </w:r>
          </w:p>
        </w:tc>
        <w:tc>
          <w:tcPr>
            <w:tcW w:w="3024" w:type="dxa"/>
          </w:tcPr>
          <w:p>
            <w:pPr>
              <w:spacing w:lineRule="auto" w:line="288" w:before="60" w:after="60"/>
              <w:ind w:left="57" w:right="57"/>
            </w:pPr>
            <w:r>
              <w:rPr>
                <w:rFonts w:ascii="Times New Roman" w:hAnsi="Times New Roman"/>
                <w:b w:val="0"/>
                <w:i w:val="0"/>
                <w:sz w:val="20"/>
              </w:rPr>
              <w:t>Statistical rule: flag clustering of deposit amounts in the $7,500–$9,999 band.</w:t>
            </w:r>
          </w:p>
        </w:tc>
      </w:tr>
      <w:tr>
        <w:tc>
          <w:tcPr>
            <w:tcW w:w="3024" w:type="dxa"/>
          </w:tcPr>
          <w:p>
            <w:pPr>
              <w:spacing w:lineRule="auto" w:line="288" w:before="60" w:after="60"/>
              <w:ind w:left="57" w:right="57"/>
            </w:pPr>
            <w:r>
              <w:rPr>
                <w:rFonts w:ascii="Times New Roman" w:hAnsi="Times New Roman"/>
                <w:b w:val="0"/>
                <w:i w:val="0"/>
                <w:sz w:val="20"/>
              </w:rPr>
              <w:t>No plausible business purpose</w:t>
            </w:r>
          </w:p>
        </w:tc>
        <w:tc>
          <w:tcPr>
            <w:tcW w:w="3024" w:type="dxa"/>
          </w:tcPr>
          <w:p>
            <w:pPr>
              <w:spacing w:lineRule="auto" w:line="288" w:before="60" w:after="60"/>
              <w:ind w:left="57" w:right="57"/>
            </w:pPr>
            <w:r>
              <w:rPr>
                <w:rFonts w:ascii="Times New Roman" w:hAnsi="Times New Roman"/>
                <w:b w:val="0"/>
                <w:i w:val="0"/>
                <w:sz w:val="20"/>
              </w:rPr>
              <w:t>Deposits inconsistent with the account holder's stated occupation or business activity.</w:t>
            </w:r>
          </w:p>
        </w:tc>
        <w:tc>
          <w:tcPr>
            <w:tcW w:w="3024" w:type="dxa"/>
          </w:tcPr>
          <w:p>
            <w:pPr>
              <w:spacing w:lineRule="auto" w:line="288" w:before="60" w:after="60"/>
              <w:ind w:left="57" w:right="57"/>
            </w:pPr>
            <w:r>
              <w:rPr>
                <w:rFonts w:ascii="Times New Roman" w:hAnsi="Times New Roman"/>
                <w:b w:val="0"/>
                <w:i w:val="0"/>
                <w:sz w:val="20"/>
              </w:rPr>
              <w:t>CRR/CDD mismatch rule: compare cash volume to expected profile based on occupation code.</w:t>
            </w:r>
          </w:p>
        </w:tc>
      </w:tr>
      <w:tr>
        <w:tc>
          <w:tcPr>
            <w:tcW w:w="3024" w:type="dxa"/>
          </w:tcPr>
          <w:p>
            <w:pPr>
              <w:spacing w:lineRule="auto" w:line="288" w:before="60" w:after="60"/>
              <w:ind w:left="57" w:right="57"/>
            </w:pPr>
            <w:r>
              <w:rPr>
                <w:rFonts w:ascii="Times New Roman" w:hAnsi="Times New Roman"/>
                <w:b w:val="0"/>
                <w:i w:val="0"/>
                <w:sz w:val="20"/>
              </w:rPr>
              <w:t>Structuring over multiple days</w:t>
            </w:r>
          </w:p>
        </w:tc>
        <w:tc>
          <w:tcPr>
            <w:tcW w:w="3024" w:type="dxa"/>
          </w:tcPr>
          <w:p>
            <w:pPr>
              <w:spacing w:lineRule="auto" w:line="288" w:before="60" w:after="60"/>
              <w:ind w:left="57" w:right="57"/>
            </w:pPr>
            <w:r>
              <w:rPr>
                <w:rFonts w:ascii="Times New Roman" w:hAnsi="Times New Roman"/>
                <w:b w:val="0"/>
                <w:i w:val="0"/>
                <w:sz w:val="20"/>
              </w:rPr>
              <w:t>Daily deposits below threshold that sum to a large amount over 7–30 days.</w:t>
            </w:r>
          </w:p>
        </w:tc>
        <w:tc>
          <w:tcPr>
            <w:tcW w:w="3024" w:type="dxa"/>
          </w:tcPr>
          <w:p>
            <w:pPr>
              <w:spacing w:lineRule="auto" w:line="288" w:before="60" w:after="60"/>
              <w:ind w:left="57" w:right="57"/>
            </w:pPr>
            <w:r>
              <w:rPr>
                <w:rFonts w:ascii="Times New Roman" w:hAnsi="Times New Roman"/>
                <w:b w:val="0"/>
                <w:i w:val="0"/>
                <w:sz w:val="20"/>
              </w:rPr>
              <w:t>Rolling-window aggregate rule: flag accounts where rolling 30-day cash total exceeds threshold.</w:t>
            </w:r>
          </w:p>
        </w:tc>
      </w:tr>
    </w:tbl>
    <w:p>
      <w:pPr>
        <w:spacing w:lineRule="auto" w:line="240" w:before="0" w:after="200"/>
      </w:pPr>
    </w:p>
    <w:p>
      <w:pPr>
        <w:pStyle w:val="Heading2"/>
      </w:pPr>
      <w:r>
        <w:rPr>
          <w:rFonts w:ascii="Times New Roman" w:hAnsi="Times New Roman"/>
        </w:rPr>
        <w:t>7.4 Building the Coverage Matrix</w:t>
      </w:r>
    </w:p>
    <w:p>
      <w:pPr>
        <w:pStyle w:val="BodyText"/>
        <w:spacing w:lineRule="auto" w:line="360" w:before="0" w:after="120"/>
        <w:ind w:firstLine="283"/>
      </w:pPr>
      <w:r>
        <w:rPr>
          <w:rFonts w:ascii="Times New Roman" w:hAnsi="Times New Roman"/>
          <w:b w:val="0"/>
          <w:i w:val="0"/>
          <w:sz w:val="24"/>
        </w:rPr>
        <w:t>We now apply the coverage matrix methodology to the Northgate scenario from Chapter 4. The NRB-STRUCT-001 rule detects a rolling 30-day cash deposit total exceeding the threshold, segmented by peer group. Let us assess which red flags it covers.</w:t>
      </w:r>
    </w:p>
    <w:p>
      <w:pPr>
        <w:spacing w:lineRule="auto" w:line="240" w:before="60" w:after="120"/>
        <w:ind w:firstLine="0"/>
        <w:jc w:val="left"/>
      </w:pPr>
      <w:r>
        <w:rPr>
          <w:rFonts w:ascii="Times New Roman" w:hAnsi="Times New Roman"/>
          <w:b w:val="0"/>
          <w:i/>
          <w:sz w:val="20"/>
        </w:rPr>
        <w:t>Table 7.2  Red Flag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1814"/>
        <w:gridCol w:w="1814"/>
        <w:gridCol w:w="1814"/>
        <w:gridCol w:w="1814"/>
        <w:gridCol w:w="1814"/>
      </w:tblGrid>
      <w:tr>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Red Flag</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Covered by NRB-STRUCT-001?</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Coverage Mechanism</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Gap?</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Data Readiness</w:t>
            </w:r>
          </w:p>
        </w:tc>
      </w:tr>
      <w:tr>
        <w:tc>
          <w:tcPr>
            <w:tcW w:w="1814" w:type="dxa"/>
          </w:tcPr>
          <w:p>
            <w:pPr>
              <w:spacing w:lineRule="auto" w:line="288" w:before="60" w:after="60"/>
              <w:ind w:left="57" w:right="57"/>
            </w:pPr>
            <w:r>
              <w:rPr>
                <w:rFonts w:ascii="Times New Roman" w:hAnsi="Times New Roman"/>
                <w:b w:val="0"/>
                <w:i w:val="0"/>
                <w:sz w:val="20"/>
              </w:rPr>
              <w:t>Deposits just below threshold</w:t>
            </w:r>
          </w:p>
        </w:tc>
        <w:tc>
          <w:tcPr>
            <w:tcW w:w="1814" w:type="dxa"/>
          </w:tcPr>
          <w:p>
            <w:pPr>
              <w:spacing w:lineRule="auto" w:line="288" w:before="60" w:after="60"/>
              <w:ind w:left="57" w:right="57"/>
            </w:pPr>
            <w:r>
              <w:rPr>
                <w:rFonts w:ascii="Times New Roman" w:hAnsi="Times New Roman"/>
                <w:b w:val="0"/>
                <w:i w:val="0"/>
                <w:sz w:val="20"/>
              </w:rPr>
              <w:t>Partial</w:t>
            </w:r>
          </w:p>
        </w:tc>
        <w:tc>
          <w:tcPr>
            <w:tcW w:w="1814" w:type="dxa"/>
          </w:tcPr>
          <w:p>
            <w:pPr>
              <w:spacing w:lineRule="auto" w:line="288" w:before="60" w:after="60"/>
              <w:ind w:left="57" w:right="57"/>
            </w:pPr>
            <w:r>
              <w:rPr>
                <w:rFonts w:ascii="Times New Roman" w:hAnsi="Times New Roman"/>
                <w:b w:val="0"/>
                <w:i w:val="0"/>
                <w:sz w:val="20"/>
              </w:rPr>
              <w:t>NRB-STRUCT-001 detects aggregate structuring: a rolling cash total that exceeds the threshold across multiple deposits. Single-deposit proximity structuring — where each individual deposit sits just below the threshold — is a distinct behaviour not captured by the rolling aggregate rule.</w:t>
            </w:r>
          </w:p>
        </w:tc>
        <w:tc>
          <w:tcPr>
            <w:tcW w:w="1814" w:type="dxa"/>
          </w:tcPr>
          <w:p>
            <w:pPr>
              <w:spacing w:lineRule="auto" w:line="288" w:before="60" w:after="60"/>
              <w:ind w:left="57" w:right="57"/>
            </w:pPr>
            <w:r>
              <w:rPr>
                <w:rFonts w:ascii="Times New Roman" w:hAnsi="Times New Roman"/>
                <w:b w:val="0"/>
                <w:i w:val="0"/>
                <w:sz w:val="20"/>
              </w:rPr>
              <w:t>Yes — no single-transaction proximity rule.</w:t>
            </w:r>
          </w:p>
        </w:tc>
        <w:tc>
          <w:tcPr>
            <w:tcW w:w="1814" w:type="dxa"/>
          </w:tcPr>
          <w:p>
            <w:pPr>
              <w:spacing w:lineRule="auto" w:line="288" w:before="60" w:after="60"/>
              <w:ind w:left="57" w:right="57"/>
            </w:pPr>
            <w:r>
              <w:rPr>
                <w:rFonts w:ascii="Times New Roman" w:hAnsi="Times New Roman"/>
                <w:b w:val="0"/>
                <w:i w:val="0"/>
                <w:sz w:val="20"/>
              </w:rPr>
              <w:t>Cash transaction records with individual deposit amount and timestamp. Available in most core banking systems.</w:t>
            </w:r>
          </w:p>
        </w:tc>
      </w:tr>
      <w:tr>
        <w:tc>
          <w:tcPr>
            <w:tcW w:w="1814" w:type="dxa"/>
          </w:tcPr>
          <w:p>
            <w:pPr>
              <w:spacing w:lineRule="auto" w:line="288" w:before="60" w:after="60"/>
              <w:ind w:left="57" w:right="57"/>
            </w:pPr>
            <w:r>
              <w:rPr>
                <w:rFonts w:ascii="Times New Roman" w:hAnsi="Times New Roman"/>
                <w:b w:val="0"/>
                <w:i w:val="0"/>
                <w:sz w:val="20"/>
              </w:rPr>
              <w:t>Multiple individuals, same account</w:t>
            </w:r>
          </w:p>
        </w:tc>
        <w:tc>
          <w:tcPr>
            <w:tcW w:w="1814" w:type="dxa"/>
          </w:tcPr>
          <w:p>
            <w:pPr>
              <w:spacing w:lineRule="auto" w:line="288" w:before="60" w:after="60"/>
              <w:ind w:left="57" w:right="57"/>
            </w:pPr>
            <w:r>
              <w:rPr>
                <w:rFonts w:ascii="Times New Roman" w:hAnsi="Times New Roman"/>
                <w:b w:val="0"/>
                <w:i w:val="0"/>
                <w:sz w:val="20"/>
              </w:rPr>
              <w:t>No</w:t>
            </w:r>
          </w:p>
        </w:tc>
        <w:tc>
          <w:tcPr>
            <w:tcW w:w="1814" w:type="dxa"/>
          </w:tcPr>
          <w:p>
            <w:pPr>
              <w:spacing w:lineRule="auto" w:line="288" w:before="60" w:after="60"/>
              <w:ind w:left="57" w:right="57"/>
            </w:pPr>
            <w:r>
              <w:rPr>
                <w:rFonts w:ascii="Times New Roman" w:hAnsi="Times New Roman"/>
                <w:b w:val="0"/>
                <w:i w:val="0"/>
                <w:sz w:val="20"/>
              </w:rPr>
              <w:t>The rule monitors total cash volume, not depositor identity count.</w:t>
            </w:r>
          </w:p>
        </w:tc>
        <w:tc>
          <w:tcPr>
            <w:tcW w:w="1814" w:type="dxa"/>
          </w:tcPr>
          <w:p>
            <w:pPr>
              <w:spacing w:lineRule="auto" w:line="288" w:before="60" w:after="60"/>
              <w:ind w:left="57" w:right="57"/>
            </w:pPr>
            <w:r>
              <w:rPr>
                <w:rFonts w:ascii="Times New Roman" w:hAnsi="Times New Roman"/>
                <w:b w:val="0"/>
                <w:i w:val="0"/>
                <w:sz w:val="20"/>
              </w:rPr>
              <w:t>Yes — material gap.</w:t>
            </w:r>
          </w:p>
        </w:tc>
        <w:tc>
          <w:tcPr>
            <w:tcW w:w="1814" w:type="dxa"/>
          </w:tcPr>
          <w:p>
            <w:pPr>
              <w:spacing w:lineRule="auto" w:line="288" w:before="60" w:after="60"/>
              <w:ind w:left="57" w:right="57"/>
            </w:pPr>
            <w:r>
              <w:rPr>
                <w:rFonts w:ascii="Times New Roman" w:hAnsi="Times New Roman"/>
                <w:b w:val="0"/>
                <w:i w:val="0"/>
                <w:sz w:val="20"/>
              </w:rPr>
              <w:t>Depositor identity (name or ID) captured at the branch must flow to the TM system as a structured field. Frequently absent — a common data readiness failure in retail banks.</w:t>
            </w:r>
          </w:p>
        </w:tc>
      </w:tr>
      <w:tr>
        <w:tc>
          <w:tcPr>
            <w:tcW w:w="1814" w:type="dxa"/>
          </w:tcPr>
          <w:p>
            <w:pPr>
              <w:spacing w:lineRule="auto" w:line="288" w:before="60" w:after="60"/>
              <w:ind w:left="57" w:right="57"/>
            </w:pPr>
            <w:r>
              <w:rPr>
                <w:rFonts w:ascii="Times New Roman" w:hAnsi="Times New Roman"/>
                <w:b w:val="0"/>
                <w:i w:val="0"/>
                <w:sz w:val="20"/>
              </w:rPr>
              <w:t>Depositor unfamiliar with account holder</w:t>
            </w:r>
          </w:p>
        </w:tc>
        <w:tc>
          <w:tcPr>
            <w:tcW w:w="1814" w:type="dxa"/>
          </w:tcPr>
          <w:p>
            <w:pPr>
              <w:spacing w:lineRule="auto" w:line="288" w:before="60" w:after="60"/>
              <w:ind w:left="57" w:right="57"/>
            </w:pPr>
            <w:r>
              <w:rPr>
                <w:rFonts w:ascii="Times New Roman" w:hAnsi="Times New Roman"/>
                <w:b w:val="0"/>
                <w:i w:val="0"/>
                <w:sz w:val="20"/>
              </w:rPr>
              <w:t>No</w:t>
            </w:r>
          </w:p>
        </w:tc>
        <w:tc>
          <w:tcPr>
            <w:tcW w:w="1814" w:type="dxa"/>
          </w:tcPr>
          <w:p>
            <w:pPr>
              <w:spacing w:lineRule="auto" w:line="288" w:before="60" w:after="60"/>
              <w:ind w:left="57" w:right="57"/>
            </w:pPr>
            <w:r>
              <w:rPr>
                <w:rFonts w:ascii="Times New Roman" w:hAnsi="Times New Roman"/>
                <w:b w:val="0"/>
                <w:i w:val="0"/>
                <w:sz w:val="20"/>
              </w:rPr>
              <w:t>Cannot be automated; requires branch observation and escalation.</w:t>
            </w:r>
          </w:p>
        </w:tc>
        <w:tc>
          <w:tcPr>
            <w:tcW w:w="1814" w:type="dxa"/>
          </w:tcPr>
          <w:p>
            <w:pPr>
              <w:spacing w:lineRule="auto" w:line="288" w:before="60" w:after="60"/>
              <w:ind w:left="57" w:right="57"/>
            </w:pPr>
            <w:r>
              <w:rPr>
                <w:rFonts w:ascii="Times New Roman" w:hAnsi="Times New Roman"/>
                <w:b w:val="0"/>
                <w:i w:val="0"/>
                <w:sz w:val="20"/>
              </w:rPr>
              <w:t>Yes — process gap, not analytical.</w:t>
            </w:r>
          </w:p>
        </w:tc>
        <w:tc>
          <w:tcPr>
            <w:tcW w:w="1814" w:type="dxa"/>
          </w:tcPr>
          <w:p>
            <w:pPr>
              <w:spacing w:lineRule="auto" w:line="288" w:before="60" w:after="60"/>
              <w:ind w:left="57" w:right="57"/>
            </w:pPr>
            <w:r>
              <w:rPr>
                <w:rFonts w:ascii="Times New Roman" w:hAnsi="Times New Roman"/>
                <w:b w:val="0"/>
                <w:i w:val="0"/>
                <w:sz w:val="20"/>
              </w:rPr>
              <w:t>Branch teller narrative. No structured data field exists; requires a branch escalation workflow feeding a case management system.</w:t>
            </w:r>
          </w:p>
        </w:tc>
      </w:tr>
      <w:tr>
        <w:tc>
          <w:tcPr>
            <w:tcW w:w="1814" w:type="dxa"/>
          </w:tcPr>
          <w:p>
            <w:pPr>
              <w:spacing w:lineRule="auto" w:line="288" w:before="60" w:after="60"/>
              <w:ind w:left="57" w:right="57"/>
            </w:pPr>
            <w:r>
              <w:rPr>
                <w:rFonts w:ascii="Times New Roman" w:hAnsi="Times New Roman"/>
                <w:b w:val="0"/>
                <w:i w:val="0"/>
                <w:sz w:val="20"/>
              </w:rPr>
              <w:t>Rapid transfer after deposit</w:t>
            </w:r>
          </w:p>
        </w:tc>
        <w:tc>
          <w:tcPr>
            <w:tcW w:w="1814" w:type="dxa"/>
          </w:tcPr>
          <w:p>
            <w:pPr>
              <w:spacing w:lineRule="auto" w:line="288" w:before="60" w:after="60"/>
              <w:ind w:left="57" w:right="57"/>
            </w:pPr>
            <w:r>
              <w:rPr>
                <w:rFonts w:ascii="Times New Roman" w:hAnsi="Times New Roman"/>
                <w:b w:val="0"/>
                <w:i w:val="0"/>
                <w:sz w:val="20"/>
              </w:rPr>
              <w:t>No</w:t>
            </w:r>
          </w:p>
        </w:tc>
        <w:tc>
          <w:tcPr>
            <w:tcW w:w="1814" w:type="dxa"/>
          </w:tcPr>
          <w:p>
            <w:pPr>
              <w:spacing w:lineRule="auto" w:line="288" w:before="60" w:after="60"/>
              <w:ind w:left="57" w:right="57"/>
            </w:pPr>
            <w:r>
              <w:rPr>
                <w:rFonts w:ascii="Times New Roman" w:hAnsi="Times New Roman"/>
                <w:b w:val="0"/>
                <w:i w:val="0"/>
                <w:sz w:val="20"/>
              </w:rPr>
              <w:t>NRB-STRUCT-001 does not include a time-to-transfer component.</w:t>
            </w:r>
          </w:p>
        </w:tc>
        <w:tc>
          <w:tcPr>
            <w:tcW w:w="1814" w:type="dxa"/>
          </w:tcPr>
          <w:p>
            <w:pPr>
              <w:spacing w:lineRule="auto" w:line="288" w:before="60" w:after="60"/>
              <w:ind w:left="57" w:right="57"/>
            </w:pPr>
            <w:r>
              <w:rPr>
                <w:rFonts w:ascii="Times New Roman" w:hAnsi="Times New Roman"/>
                <w:b w:val="0"/>
                <w:i w:val="0"/>
                <w:sz w:val="20"/>
              </w:rPr>
              <w:t>Yes — material gap.</w:t>
            </w:r>
          </w:p>
        </w:tc>
        <w:tc>
          <w:tcPr>
            <w:tcW w:w="1814" w:type="dxa"/>
          </w:tcPr>
          <w:p>
            <w:pPr>
              <w:spacing w:lineRule="auto" w:line="288" w:before="60" w:after="60"/>
              <w:ind w:left="57" w:right="57"/>
            </w:pPr>
            <w:r>
              <w:rPr>
                <w:rFonts w:ascii="Times New Roman" w:hAnsi="Times New Roman"/>
                <w:b w:val="0"/>
                <w:i w:val="0"/>
                <w:sz w:val="20"/>
              </w:rPr>
              <w:t>Settlement timestamps on inbound cash and outbound payment transactions. Typically available; requires joining cash and payment ledgers on account and date.</w:t>
            </w:r>
          </w:p>
        </w:tc>
      </w:tr>
      <w:tr>
        <w:tc>
          <w:tcPr>
            <w:tcW w:w="1814" w:type="dxa"/>
          </w:tcPr>
          <w:p>
            <w:pPr>
              <w:spacing w:lineRule="auto" w:line="288" w:before="60" w:after="60"/>
              <w:ind w:left="57" w:right="57"/>
            </w:pPr>
            <w:r>
              <w:rPr>
                <w:rFonts w:ascii="Times New Roman" w:hAnsi="Times New Roman"/>
                <w:b w:val="0"/>
                <w:i w:val="0"/>
                <w:sz w:val="20"/>
              </w:rPr>
              <w:t>Multiple branches, same day</w:t>
            </w:r>
          </w:p>
        </w:tc>
        <w:tc>
          <w:tcPr>
            <w:tcW w:w="1814" w:type="dxa"/>
          </w:tcPr>
          <w:p>
            <w:pPr>
              <w:spacing w:lineRule="auto" w:line="288" w:before="60" w:after="60"/>
              <w:ind w:left="57" w:right="57"/>
            </w:pPr>
            <w:r>
              <w:rPr>
                <w:rFonts w:ascii="Times New Roman" w:hAnsi="Times New Roman"/>
                <w:b w:val="0"/>
                <w:i w:val="0"/>
                <w:sz w:val="20"/>
              </w:rPr>
              <w:t>No</w:t>
            </w:r>
          </w:p>
        </w:tc>
        <w:tc>
          <w:tcPr>
            <w:tcW w:w="1814" w:type="dxa"/>
          </w:tcPr>
          <w:p>
            <w:pPr>
              <w:spacing w:lineRule="auto" w:line="288" w:before="60" w:after="60"/>
              <w:ind w:left="57" w:right="57"/>
            </w:pPr>
            <w:r>
              <w:rPr>
                <w:rFonts w:ascii="Times New Roman" w:hAnsi="Times New Roman"/>
                <w:b w:val="0"/>
                <w:i w:val="0"/>
                <w:sz w:val="20"/>
              </w:rPr>
              <w:t>No geo-dimension in the current rule.</w:t>
            </w:r>
          </w:p>
        </w:tc>
        <w:tc>
          <w:tcPr>
            <w:tcW w:w="1814" w:type="dxa"/>
          </w:tcPr>
          <w:p>
            <w:pPr>
              <w:spacing w:lineRule="auto" w:line="288" w:before="60" w:after="60"/>
              <w:ind w:left="57" w:right="57"/>
            </w:pPr>
            <w:r>
              <w:rPr>
                <w:rFonts w:ascii="Times New Roman" w:hAnsi="Times New Roman"/>
                <w:b w:val="0"/>
                <w:i w:val="0"/>
                <w:sz w:val="20"/>
              </w:rPr>
              <w:t>Yes — gap.</w:t>
            </w:r>
          </w:p>
        </w:tc>
        <w:tc>
          <w:tcPr>
            <w:tcW w:w="1814" w:type="dxa"/>
          </w:tcPr>
          <w:p>
            <w:pPr>
              <w:spacing w:lineRule="auto" w:line="288" w:before="60" w:after="60"/>
              <w:ind w:left="57" w:right="57"/>
            </w:pPr>
            <w:r>
              <w:rPr>
                <w:rFonts w:ascii="Times New Roman" w:hAnsi="Times New Roman"/>
                <w:b w:val="0"/>
                <w:i w:val="0"/>
                <w:sz w:val="20"/>
              </w:rPr>
              <w:t>Branch code on each cash transaction. Availability varies — not all core banking systems capture branch of origin for cash deposits consistently.</w:t>
            </w:r>
          </w:p>
        </w:tc>
      </w:tr>
      <w:tr>
        <w:tc>
          <w:tcPr>
            <w:tcW w:w="1814" w:type="dxa"/>
          </w:tcPr>
          <w:p>
            <w:pPr>
              <w:spacing w:lineRule="auto" w:line="288" w:before="60" w:after="60"/>
              <w:ind w:left="57" w:right="57"/>
            </w:pPr>
            <w:r>
              <w:rPr>
                <w:rFonts w:ascii="Times New Roman" w:hAnsi="Times New Roman"/>
                <w:b w:val="0"/>
                <w:i w:val="0"/>
                <w:sz w:val="20"/>
              </w:rPr>
              <w:t>Round-number avoidance</w:t>
            </w:r>
          </w:p>
        </w:tc>
        <w:tc>
          <w:tcPr>
            <w:tcW w:w="1814" w:type="dxa"/>
          </w:tcPr>
          <w:p>
            <w:pPr>
              <w:spacing w:lineRule="auto" w:line="288" w:before="60" w:after="60"/>
              <w:ind w:left="57" w:right="57"/>
            </w:pPr>
            <w:r>
              <w:rPr>
                <w:rFonts w:ascii="Times New Roman" w:hAnsi="Times New Roman"/>
                <w:b w:val="0"/>
                <w:i w:val="0"/>
                <w:sz w:val="20"/>
              </w:rPr>
              <w:t>No</w:t>
            </w:r>
          </w:p>
        </w:tc>
        <w:tc>
          <w:tcPr>
            <w:tcW w:w="1814" w:type="dxa"/>
          </w:tcPr>
          <w:p>
            <w:pPr>
              <w:spacing w:lineRule="auto" w:line="288" w:before="60" w:after="60"/>
              <w:ind w:left="57" w:right="57"/>
            </w:pPr>
            <w:r>
              <w:rPr>
                <w:rFonts w:ascii="Times New Roman" w:hAnsi="Times New Roman"/>
                <w:b w:val="0"/>
                <w:i w:val="0"/>
                <w:sz w:val="20"/>
              </w:rPr>
              <w:t>No statistical distribution check on deposit amounts.</w:t>
            </w:r>
          </w:p>
        </w:tc>
        <w:tc>
          <w:tcPr>
            <w:tcW w:w="1814" w:type="dxa"/>
          </w:tcPr>
          <w:p>
            <w:pPr>
              <w:spacing w:lineRule="auto" w:line="288" w:before="60" w:after="60"/>
              <w:ind w:left="57" w:right="57"/>
            </w:pPr>
            <w:r>
              <w:rPr>
                <w:rFonts w:ascii="Times New Roman" w:hAnsi="Times New Roman"/>
                <w:b w:val="0"/>
                <w:i w:val="0"/>
                <w:sz w:val="20"/>
              </w:rPr>
              <w:t>Yes — gap.</w:t>
            </w:r>
          </w:p>
        </w:tc>
        <w:tc>
          <w:tcPr>
            <w:tcW w:w="1814" w:type="dxa"/>
          </w:tcPr>
          <w:p>
            <w:pPr>
              <w:spacing w:lineRule="auto" w:line="288" w:before="60" w:after="60"/>
              <w:ind w:left="57" w:right="57"/>
            </w:pPr>
            <w:r>
              <w:rPr>
                <w:rFonts w:ascii="Times New Roman" w:hAnsi="Times New Roman"/>
                <w:b w:val="0"/>
                <w:i w:val="0"/>
                <w:sz w:val="20"/>
              </w:rPr>
              <w:t>Cash transaction amounts. Available; requires statistical analysis of amount clustering in the sub-threshold band.</w:t>
            </w:r>
          </w:p>
        </w:tc>
      </w:tr>
      <w:tr>
        <w:tc>
          <w:tcPr>
            <w:tcW w:w="1814" w:type="dxa"/>
          </w:tcPr>
          <w:p>
            <w:pPr>
              <w:spacing w:lineRule="auto" w:line="288" w:before="60" w:after="60"/>
              <w:ind w:left="57" w:right="57"/>
            </w:pPr>
            <w:r>
              <w:rPr>
                <w:rFonts w:ascii="Times New Roman" w:hAnsi="Times New Roman"/>
                <w:b w:val="0"/>
                <w:i w:val="0"/>
                <w:sz w:val="20"/>
              </w:rPr>
              <w:t>No plausible business purpose</w:t>
            </w:r>
          </w:p>
        </w:tc>
        <w:tc>
          <w:tcPr>
            <w:tcW w:w="1814" w:type="dxa"/>
          </w:tcPr>
          <w:p>
            <w:pPr>
              <w:spacing w:lineRule="auto" w:line="288" w:before="60" w:after="60"/>
              <w:ind w:left="57" w:right="57"/>
            </w:pPr>
            <w:r>
              <w:rPr>
                <w:rFonts w:ascii="Times New Roman" w:hAnsi="Times New Roman"/>
                <w:b w:val="0"/>
                <w:i w:val="0"/>
                <w:sz w:val="20"/>
              </w:rPr>
              <w:t>Partial</w:t>
            </w:r>
          </w:p>
        </w:tc>
        <w:tc>
          <w:tcPr>
            <w:tcW w:w="1814" w:type="dxa"/>
          </w:tcPr>
          <w:p>
            <w:pPr>
              <w:spacing w:lineRule="auto" w:line="288" w:before="60" w:after="60"/>
              <w:ind w:left="57" w:right="57"/>
            </w:pPr>
            <w:r>
              <w:rPr>
                <w:rFonts w:ascii="Times New Roman" w:hAnsi="Times New Roman"/>
                <w:b w:val="0"/>
                <w:i w:val="0"/>
                <w:sz w:val="20"/>
              </w:rPr>
              <w:t>CRR segmentation incorporates occupation risk, but not a transaction-vs-CDD profile mismatch check.</w:t>
            </w:r>
          </w:p>
        </w:tc>
        <w:tc>
          <w:tcPr>
            <w:tcW w:w="1814" w:type="dxa"/>
          </w:tcPr>
          <w:p>
            <w:pPr>
              <w:spacing w:lineRule="auto" w:line="288" w:before="60" w:after="60"/>
              <w:ind w:left="57" w:right="57"/>
            </w:pPr>
            <w:r>
              <w:rPr>
                <w:rFonts w:ascii="Times New Roman" w:hAnsi="Times New Roman"/>
                <w:b w:val="0"/>
                <w:i w:val="0"/>
                <w:sz w:val="20"/>
              </w:rPr>
              <w:t>Partial — needs dedicated CDD mismatch rule.</w:t>
            </w:r>
          </w:p>
        </w:tc>
        <w:tc>
          <w:tcPr>
            <w:tcW w:w="1814" w:type="dxa"/>
          </w:tcPr>
          <w:p>
            <w:pPr>
              <w:spacing w:lineRule="auto" w:line="288" w:before="60" w:after="60"/>
              <w:ind w:left="57" w:right="57"/>
            </w:pPr>
            <w:r>
              <w:rPr>
                <w:rFonts w:ascii="Times New Roman" w:hAnsi="Times New Roman"/>
                <w:b w:val="0"/>
                <w:i w:val="0"/>
                <w:sz w:val="20"/>
              </w:rPr>
              <w:t>Occupation codes from the CDD system, joined to transaction volume data. Requires CDD-to-transaction linkage — often a data integration challenge across systems.</w:t>
            </w:r>
          </w:p>
        </w:tc>
      </w:tr>
      <w:tr>
        <w:tc>
          <w:tcPr>
            <w:tcW w:w="1814" w:type="dxa"/>
          </w:tcPr>
          <w:p>
            <w:pPr>
              <w:spacing w:lineRule="auto" w:line="288" w:before="60" w:after="60"/>
              <w:ind w:left="57" w:right="57"/>
            </w:pPr>
            <w:r>
              <w:rPr>
                <w:rFonts w:ascii="Times New Roman" w:hAnsi="Times New Roman"/>
                <w:b w:val="0"/>
                <w:i w:val="0"/>
                <w:sz w:val="20"/>
              </w:rPr>
              <w:t>Rolling-window aggregate</w:t>
            </w:r>
          </w:p>
        </w:tc>
        <w:tc>
          <w:tcPr>
            <w:tcW w:w="1814" w:type="dxa"/>
          </w:tcPr>
          <w:p>
            <w:pPr>
              <w:spacing w:lineRule="auto" w:line="288" w:before="60" w:after="60"/>
              <w:ind w:left="57" w:right="57"/>
            </w:pPr>
            <w:r>
              <w:rPr>
                <w:rFonts w:ascii="Times New Roman" w:hAnsi="Times New Roman"/>
                <w:b w:val="0"/>
                <w:i w:val="0"/>
                <w:sz w:val="20"/>
              </w:rPr>
              <w:t>Yes</w:t>
            </w:r>
          </w:p>
        </w:tc>
        <w:tc>
          <w:tcPr>
            <w:tcW w:w="1814" w:type="dxa"/>
          </w:tcPr>
          <w:p>
            <w:pPr>
              <w:spacing w:lineRule="auto" w:line="288" w:before="60" w:after="60"/>
              <w:ind w:left="57" w:right="57"/>
            </w:pPr>
            <w:r>
              <w:rPr>
                <w:rFonts w:ascii="Times New Roman" w:hAnsi="Times New Roman"/>
                <w:b w:val="0"/>
                <w:i w:val="0"/>
                <w:sz w:val="20"/>
              </w:rPr>
              <w:t>Core mechanism of NRB-STRUCT-001.</w:t>
            </w:r>
          </w:p>
        </w:tc>
        <w:tc>
          <w:tcPr>
            <w:tcW w:w="1814" w:type="dxa"/>
          </w:tcPr>
          <w:p>
            <w:pPr>
              <w:spacing w:lineRule="auto" w:line="288" w:before="60" w:after="60"/>
              <w:ind w:left="57" w:right="57"/>
            </w:pPr>
            <w:r>
              <w:rPr>
                <w:rFonts w:ascii="Times New Roman" w:hAnsi="Times New Roman"/>
                <w:b w:val="0"/>
                <w:i w:val="0"/>
                <w:sz w:val="20"/>
              </w:rPr>
              <w:t>No — fully covered.</w:t>
            </w:r>
          </w:p>
        </w:tc>
        <w:tc>
          <w:tcPr>
            <w:tcW w:w="1814" w:type="dxa"/>
          </w:tcPr>
          <w:p>
            <w:pPr>
              <w:spacing w:lineRule="auto" w:line="288" w:before="60" w:after="60"/>
              <w:ind w:left="57" w:right="57"/>
            </w:pPr>
            <w:r>
              <w:rPr>
                <w:rFonts w:ascii="Times New Roman" w:hAnsi="Times New Roman"/>
                <w:b w:val="0"/>
                <w:i w:val="0"/>
                <w:sz w:val="20"/>
              </w:rPr>
              <w:t>Rolling 30-day cash deposit total per account. Available and in use.</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This matrix immediately reveals that NRB-STRUCT-001, while a well-designed rule for its stated purpose, covers only one of eight FFIEC structuring red flags fully. Four represent material gaps — behaviours that would not be detected under the current scenario set. Critically, three of those gaps also carry data readiness problems: the data required to detect the behaviour is not currently flowing into the TM system in usable form.</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7.6  </w:t>
            </w:r>
            <w:r>
              <w:rPr>
                <w:rFonts w:ascii="Times New Roman" w:hAnsi="Times New Roman"/>
                <w:b/>
                <w:i/>
                <w:sz w:val="22"/>
              </w:rPr>
              <w:t>Architectural Limitations — Some Gaps Cannot Be Closed by Rules Alone</w:t>
            </w:r>
          </w:p>
          <w:p>
            <w:pPr>
              <w:spacing w:lineRule="auto" w:line="312" w:before="20" w:after="40"/>
              <w:ind w:left="113"/>
            </w:pPr>
            <w:r>
              <w:rPr>
                <w:rFonts w:ascii="Times New Roman" w:hAnsi="Times New Roman"/>
                <w:b w:val="0"/>
                <w:i w:val="0"/>
                <w:sz w:val="22"/>
              </w:rPr>
              <w:t>Several gaps in the coverage matrix above are not simply analytical problems — they are architectural ones. The 'multiple individuals, same account' gap cannot be closed by a new rule if depositor identity is not captured in a structured field at the branch and passed to the TM system. The 'multiple branches, same day' gap requires branch-of-origin data that many core banking systems do not surface.</w:t>
            </w:r>
          </w:p>
          <w:p>
            <w:pPr>
              <w:spacing w:lineRule="auto" w:line="312" w:before="20" w:after="40"/>
              <w:ind w:left="113"/>
            </w:pPr>
            <w:r>
              <w:rPr>
                <w:rFonts w:ascii="Times New Roman" w:hAnsi="Times New Roman"/>
                <w:b w:val="0"/>
                <w:i w:val="0"/>
                <w:sz w:val="22"/>
              </w:rPr>
              <w:t>Closing these gaps requires Entity Consolidation (Chapter 4) — linking depositor identity records across accounts and transactions — and may ultimately require graph-level analysis to detect the coordinated network behaviour that simple account-level rules cannot see.</w:t>
            </w:r>
          </w:p>
          <w:p>
            <w:pPr>
              <w:spacing w:lineRule="auto" w:line="312" w:before="20" w:after="40"/>
              <w:ind w:left="113"/>
            </w:pPr>
            <w:r>
              <w:rPr>
                <w:rFonts w:ascii="Times New Roman" w:hAnsi="Times New Roman"/>
                <w:b w:val="0"/>
                <w:i w:val="0"/>
                <w:sz w:val="22"/>
              </w:rPr>
              <w:t>This is an important lesson in the sequencing of Transaction Monitoring Framework development: coverage assessment identifies not just missing scenarios but missing data infrastructure. The remediation roadmap must address both.</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Northgate case study illustrates this tension clearly. NRB-STRUCT-001 detects that individual accounts are receiving large cash volumes — but it cannot see that six accounts are part of the same coordinated network. That network-level detection problem is the subject of Chapter 8, where we apply machine learning triage and graph analysis to the alert population this scenario set generates.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7.7  </w:t>
            </w:r>
            <w:r>
              <w:rPr>
                <w:rFonts w:ascii="Times New Roman" w:hAnsi="Times New Roman"/>
                <w:b/>
                <w:i/>
                <w:sz w:val="22"/>
              </w:rPr>
              <w:t>Risk Perspective</w:t>
            </w:r>
          </w:p>
          <w:p>
            <w:pPr>
              <w:spacing w:lineRule="auto" w:line="312" w:before="20" w:after="40"/>
              <w:ind w:left="113"/>
            </w:pPr>
            <w:r>
              <w:rPr>
                <w:rFonts w:ascii="Times New Roman" w:hAnsi="Times New Roman"/>
                <w:b w:val="0"/>
                <w:i w:val="0"/>
                <w:sz w:val="22"/>
              </w:rPr>
              <w:t>A coverage gap is not just an analytical shortcoming — it is a regulatory liability. If a SAR is filed by another institution on a customer you were monitoring, and your examination reveals that your scenario set did not cover the red flag that should have triggered your own SAR, that gap becomes part of the regulatory record. Coverage assessments must be documented, dated, and acted upon.</w:t>
            </w:r>
          </w:p>
        </w:tc>
      </w:tr>
    </w:tbl>
    <w:p>
      <w:pPr>
        <w:spacing w:lineRule="auto" w:line="240" w:before="0" w:after="160"/>
      </w:pPr>
    </w:p>
    <w:p>
      <w:pPr>
        <w:pStyle w:val="Heading2"/>
      </w:pPr>
      <w:r>
        <w:rPr>
          <w:rFonts w:ascii="Times New Roman" w:hAnsi="Times New Roman"/>
        </w:rPr>
        <w:t>7.5 NLP for Coverage Automation</w:t>
      </w:r>
    </w:p>
    <w:p>
      <w:pPr>
        <w:pStyle w:val="BodyText"/>
        <w:spacing w:lineRule="auto" w:line="360" w:before="0" w:after="120"/>
        <w:ind w:firstLine="283"/>
      </w:pPr>
      <w:r>
        <w:rPr>
          <w:rFonts w:ascii="Times New Roman" w:hAnsi="Times New Roman"/>
          <w:b w:val="0"/>
          <w:i w:val="0"/>
          <w:sz w:val="24"/>
        </w:rPr>
        <w:t>Manually comparing scenarios against regulatory red flag lists is time-consuming and error-prone. Natural Language Processing (NLP) can automate significant parts of the process — specifically, the extraction of candidate red flag phrases from regulatory documents.</w:t>
      </w:r>
    </w:p>
    <w:p>
      <w:pPr>
        <w:pStyle w:val="BodyText"/>
        <w:spacing w:lineRule="auto" w:line="360" w:before="0" w:after="120"/>
        <w:ind w:firstLine="283"/>
      </w:pPr>
      <w:r>
        <w:rPr>
          <w:rFonts w:ascii="Times New Roman" w:hAnsi="Times New Roman"/>
          <w:b w:val="0"/>
          <w:i w:val="0"/>
          <w:sz w:val="24"/>
        </w:rPr>
        <w:t>The approach is straightforward: parse the regulatory text, extract noun phrases and key entities, and score each against the vocabulary of your existing scenarios. Phrases with no match in any scenario are candidate coverage gaps.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7.8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You may have studied NLP in the context of sentiment analysis, machine translation, or text classification. In coverage assessment, we use a simpler but highly practical application: information extraction. We are not classifying the sentiment of a regulatory document — we are extracting the specific phrases it uses to describe suspicious behaviour, then checking whether those phrases map to anything in our scenario library. Note that 'precision' and 'recall' carry a specific meaning in NLP that differs subtly from their use in transaction monitoring. In an NLP extraction task, precision measures how many of the extracted phrases are genuine red flags (not noise), and recall measures how many of the genuine red flags in the document were extracted. In TM, by contrast, precision measures how many alerts correspond to genuine suspicious activity, and recall measures how many suspicious cases generated an alert. Both usages are about the quality of a classifier — but the classifier, and what it classifies, are different. In coverage assessment NLP, recall is more important: missing a genuine regulatory red flag is a more serious error than extracting a phrase that turns out to be noise.</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following Python example uses spaCy to extract noun phrases from a sample regulatory paragraph and match them against a simple scenario vocabulary index. In a full implementation, this would run against the complete FFIEC manual or JMLSG guidance.</w:t>
      </w:r>
    </w:p>
    <w:p>
      <w:pPr>
        <w:spacing w:lineRule="auto" w:line="240" w:before="60" w:after="120"/>
        <w:ind w:firstLine="0"/>
        <w:jc w:val="left"/>
      </w:pPr>
      <w:r>
        <w:rPr>
          <w:rFonts w:ascii="Times New Roman" w:hAnsi="Times New Roman"/>
          <w:b w:val="0"/>
          <w:i/>
          <w:sz w:val="20"/>
        </w:rPr>
        <w:t>Listing 7.1  Code example</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0" w:after="20"/>
              <w:ind w:left="142"/>
            </w:pPr>
            <w:r>
              <w:rPr>
                <w:rFonts w:ascii="Courier New" w:hAnsi="Courier New"/>
                <w:b w:val="0"/>
                <w:i w:val="0"/>
                <w:sz w:val="18"/>
              </w:rPr>
              <w:t>import spacy</w:t>
            </w:r>
          </w:p>
          <w:p>
            <w:pPr>
              <w:spacing w:lineRule="auto" w:line="240" w:before="0" w:after="20"/>
              <w:ind w:left="142"/>
            </w:pPr>
            <w:r>
              <w:rPr>
                <w:rFonts w:ascii="Courier New" w:hAnsi="Courier New"/>
                <w:b w:val="0"/>
                <w:i w:val="0"/>
                <w:sz w:val="18"/>
              </w:rPr>
              <w:t>nlp = spacy.load('en_core_web_sm')</w:t>
            </w:r>
          </w:p>
          <w:p>
            <w:pPr>
              <w:spacing w:lineRule="auto" w:line="240" w:before="0" w:after="20"/>
            </w:pPr>
          </w:p>
          <w:p>
            <w:pPr>
              <w:spacing w:lineRule="auto" w:line="240" w:before="0" w:after="20"/>
              <w:ind w:left="142"/>
            </w:pPr>
            <w:r>
              <w:rPr>
                <w:rFonts w:ascii="Courier New" w:hAnsi="Courier New"/>
                <w:b w:val="0"/>
                <w:i w:val="0"/>
                <w:sz w:val="18"/>
              </w:rPr>
              <w:t>text = """Customers who make cash deposits in amounts just below the Currency Transaction Report</w:t>
            </w:r>
          </w:p>
          <w:p>
            <w:pPr>
              <w:spacing w:lineRule="auto" w:line="240" w:before="0" w:after="20"/>
              <w:ind w:left="142"/>
            </w:pPr>
            <w:r>
              <w:rPr>
                <w:rFonts w:ascii="Courier New" w:hAnsi="Courier New"/>
                <w:b w:val="0"/>
                <w:i w:val="0"/>
                <w:sz w:val="18"/>
              </w:rPr>
              <w:t>threshold, particularly if they make multiple deposits on the same day at different branches,</w:t>
            </w:r>
          </w:p>
          <w:p>
            <w:pPr>
              <w:spacing w:lineRule="auto" w:line="240" w:before="0" w:after="20"/>
              <w:ind w:left="142"/>
            </w:pPr>
            <w:r>
              <w:rPr>
                <w:rFonts w:ascii="Courier New" w:hAnsi="Courier New"/>
                <w:b w:val="0"/>
                <w:i w:val="0"/>
                <w:sz w:val="18"/>
              </w:rPr>
              <w:t>may be attempting to structure transactions to avoid reporting requirements."""</w:t>
            </w:r>
          </w:p>
          <w:p>
            <w:pPr>
              <w:spacing w:lineRule="auto" w:line="240" w:before="0" w:after="20"/>
            </w:pPr>
          </w:p>
          <w:p>
            <w:pPr>
              <w:spacing w:lineRule="auto" w:line="240" w:before="0" w:after="20"/>
              <w:ind w:left="142"/>
            </w:pPr>
            <w:r>
              <w:rPr>
                <w:rFonts w:ascii="Courier New" w:hAnsi="Courier New"/>
                <w:b w:val="0"/>
                <w:i w:val="0"/>
                <w:sz w:val="18"/>
              </w:rPr>
              <w:t># Vocabulary index: phrases already encoded in deployed scenarios</w:t>
            </w:r>
          </w:p>
          <w:p>
            <w:pPr>
              <w:spacing w:lineRule="auto" w:line="240" w:before="0" w:after="20"/>
              <w:ind w:left="142"/>
            </w:pPr>
            <w:r>
              <w:rPr>
                <w:rFonts w:ascii="Courier New" w:hAnsi="Courier New"/>
                <w:b w:val="0"/>
                <w:i w:val="0"/>
                <w:sz w:val="18"/>
              </w:rPr>
              <w:t>scenario_vocab = {</w:t>
            </w:r>
          </w:p>
          <w:p>
            <w:pPr>
              <w:spacing w:lineRule="auto" w:line="240" w:before="0" w:after="20"/>
              <w:ind w:left="142"/>
            </w:pPr>
            <w:r>
              <w:rPr>
                <w:rFonts w:ascii="Courier New" w:hAnsi="Courier New"/>
                <w:b w:val="0"/>
                <w:i w:val="0"/>
                <w:sz w:val="18"/>
              </w:rPr>
              <w:t xml:space="preserve">    'cash deposits', 'reporting threshold', 'rolling window', 'aggregate deposits'</w:t>
            </w:r>
          </w:p>
          <w:p>
            <w:pPr>
              <w:spacing w:lineRule="auto" w:line="240" w:before="0" w:after="20"/>
              <w:ind w:left="142"/>
            </w:pPr>
            <w:r>
              <w:rPr>
                <w:rFonts w:ascii="Courier New" w:hAnsi="Courier New"/>
                <w:b w:val="0"/>
                <w:i w:val="0"/>
                <w:sz w:val="18"/>
              </w:rPr>
              <w:t>}</w:t>
            </w:r>
          </w:p>
          <w:p>
            <w:pPr>
              <w:spacing w:lineRule="auto" w:line="240" w:before="0" w:after="20"/>
            </w:pPr>
          </w:p>
          <w:p>
            <w:pPr>
              <w:spacing w:lineRule="auto" w:line="240" w:before="0" w:after="20"/>
              <w:ind w:left="142"/>
            </w:pPr>
            <w:r>
              <w:rPr>
                <w:rFonts w:ascii="Courier New" w:hAnsi="Courier New"/>
                <w:b w:val="0"/>
                <w:i w:val="0"/>
                <w:sz w:val="18"/>
              </w:rPr>
              <w:t>doc = nlp(text)</w:t>
            </w:r>
          </w:p>
          <w:p>
            <w:pPr>
              <w:spacing w:lineRule="auto" w:line="240" w:before="0" w:after="20"/>
              <w:ind w:left="142"/>
            </w:pPr>
            <w:r>
              <w:rPr>
                <w:rFonts w:ascii="Courier New" w:hAnsi="Courier New"/>
                <w:b w:val="0"/>
                <w:i w:val="0"/>
                <w:sz w:val="18"/>
              </w:rPr>
              <w:t>print('Noun phrases (candidate red flags):')</w:t>
            </w:r>
          </w:p>
          <w:p>
            <w:pPr>
              <w:spacing w:lineRule="auto" w:line="240" w:before="0" w:after="20"/>
              <w:ind w:left="142"/>
            </w:pPr>
            <w:r>
              <w:rPr>
                <w:rFonts w:ascii="Courier New" w:hAnsi="Courier New"/>
                <w:b w:val="0"/>
                <w:i w:val="0"/>
                <w:sz w:val="18"/>
              </w:rPr>
              <w:t>for chunk in doc.noun_chunks:</w:t>
            </w:r>
          </w:p>
          <w:p>
            <w:pPr>
              <w:spacing w:lineRule="auto" w:line="240" w:before="0" w:after="20"/>
              <w:ind w:left="142"/>
            </w:pPr>
            <w:r>
              <w:rPr>
                <w:rFonts w:ascii="Courier New" w:hAnsi="Courier New"/>
                <w:b w:val="0"/>
                <w:i w:val="0"/>
                <w:sz w:val="18"/>
              </w:rPr>
              <w:t xml:space="preserve">    phrase = chunk.text.lower()</w:t>
            </w:r>
          </w:p>
          <w:p>
            <w:pPr>
              <w:spacing w:lineRule="auto" w:line="240" w:before="0" w:after="20"/>
              <w:ind w:left="142"/>
            </w:pPr>
            <w:r>
              <w:rPr>
                <w:rFonts w:ascii="Courier New" w:hAnsi="Courier New"/>
                <w:b w:val="0"/>
                <w:i w:val="0"/>
                <w:sz w:val="18"/>
              </w:rPr>
              <w:t xml:space="preserve">    covered = any(v in phrase or phrase in v for v in scenario_vocab)</w:t>
            </w:r>
          </w:p>
          <w:p>
            <w:pPr>
              <w:spacing w:lineRule="auto" w:line="240" w:before="0" w:after="20"/>
              <w:ind w:left="142"/>
            </w:pPr>
            <w:r>
              <w:rPr>
                <w:rFonts w:ascii="Courier New" w:hAnsi="Courier New"/>
                <w:b w:val="0"/>
                <w:i w:val="0"/>
                <w:sz w:val="18"/>
              </w:rPr>
              <w:t xml:space="preserve">    status = 'COVERED' if covered else 'POTENTIAL GAP'</w:t>
            </w:r>
          </w:p>
          <w:p>
            <w:pPr>
              <w:spacing w:lineRule="auto" w:line="240" w:before="0" w:after="20"/>
              <w:ind w:left="142"/>
            </w:pPr>
            <w:r>
              <w:rPr>
                <w:rFonts w:ascii="Courier New" w:hAnsi="Courier New"/>
                <w:b w:val="0"/>
                <w:i w:val="0"/>
                <w:sz w:val="18"/>
              </w:rPr>
              <w:t xml:space="preserve">    print(f' - {chunk.text}  [{status}]')</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The output would label phrases such as 'cash deposits' as COVERED (present in the scenario vocabulary) and 'different branches' or 'the same day' as POTENTIAL GAP (no matching scenario encodes a multi-branch or same-day constraint). The vocabulary index is built from the documented red flags of each deployed scenario — maintaining it is a governance task, not just a technical one.</w:t>
      </w:r>
    </w:p>
    <w:p>
      <w:pPr>
        <w:pStyle w:val="BodyText"/>
        <w:spacing w:lineRule="auto" w:line="360" w:before="0" w:after="120"/>
        <w:ind w:firstLine="283"/>
      </w:pPr>
      <w:r>
        <w:rPr>
          <w:rFonts w:ascii="Times New Roman" w:hAnsi="Times New Roman"/>
          <w:b w:val="0"/>
          <w:i w:val="0"/>
          <w:sz w:val="24"/>
        </w:rPr>
        <w:t>A practical limitation of this approach is that regulatory text uses varied vocabulary: 'structuring', 'layering', 'placement', and 'smurfing' may all refer to overlapping behaviours, and a simple noun-phrase extractor will not recognise these as synonyms. A production-grade implementation requires a controlled vocabulary or ontology — often curated manually by AML subject matter experts — to map variant phrasings to canonical typology concepts. The NLP automates the extraction; the expertise provides the interpretation.</w:t>
      </w:r>
    </w:p>
    <w:p>
      <w:pPr>
        <w:pStyle w:val="BodyText"/>
        <w:spacing w:lineRule="auto" w:line="360" w:before="0" w:after="120"/>
        <w:ind w:firstLine="283"/>
      </w:pPr>
      <w:r>
        <w:rPr>
          <w:rFonts w:ascii="Times New Roman" w:hAnsi="Times New Roman"/>
          <w:b w:val="0"/>
          <w:i w:val="0"/>
          <w:sz w:val="24"/>
        </w:rPr>
        <w:t>In practice, NLP-assisted coverage assessment is rarely a one-click process. It is most effective as a pre-screening tool that reduces the manual effort of reading hundreds of pages of regulatory guidance, flagging candidate phrases for human review rather than making autonomous coverage determinations. The analyst's judgement — and knowledge of how each scenario is actually implemented — remains essential.</w:t>
      </w:r>
    </w:p>
    <w:p>
      <w:pPr>
        <w:pStyle w:val="Heading2"/>
      </w:pPr>
      <w:r>
        <w:rPr>
          <w:rFonts w:ascii="Times New Roman" w:hAnsi="Times New Roman"/>
        </w:rPr>
        <w:t>7.6 Impact Assessments</w:t>
      </w:r>
    </w:p>
    <w:p>
      <w:pPr>
        <w:pStyle w:val="BodyText"/>
        <w:spacing w:lineRule="auto" w:line="360" w:before="0" w:after="120"/>
        <w:ind w:firstLine="283"/>
      </w:pPr>
      <w:r>
        <w:rPr>
          <w:rFonts w:ascii="Times New Roman" w:hAnsi="Times New Roman"/>
          <w:b w:val="0"/>
          <w:i w:val="0"/>
          <w:sz w:val="24"/>
        </w:rPr>
        <w:t>When a coverage gap is identified, the next step is an impact assessment. This determines how serious the gap is and what remediation is required. A structured impact assessment covers four areas.</w:t>
      </w:r>
    </w:p>
    <w:p>
      <w:pPr>
        <w:pStyle w:val="ListBullet"/>
        <w:spacing w:lineRule="auto" w:line="360" w:before="0" w:after="60"/>
      </w:pPr>
      <w:r>
        <w:rPr>
          <w:rFonts w:ascii="Times New Roman" w:hAnsi="Times New Roman"/>
          <w:b w:val="0"/>
          <w:i w:val="0"/>
          <w:sz w:val="24"/>
        </w:rPr>
        <w:t>Scope: how many customers and transactions does this gap affect? Use your transaction data to estimate the population that exhibits the uncovered red flag behaviour.</w:t>
      </w:r>
    </w:p>
    <w:p>
      <w:pPr>
        <w:pStyle w:val="ListBullet"/>
        <w:spacing w:lineRule="auto" w:line="360" w:before="0" w:after="60"/>
      </w:pPr>
      <w:r>
        <w:rPr>
          <w:rFonts w:ascii="Times New Roman" w:hAnsi="Times New Roman"/>
          <w:b w:val="0"/>
          <w:i w:val="0"/>
          <w:sz w:val="24"/>
        </w:rPr>
        <w:t>Risk rating: how likely is the uncovered behaviour to represent actual money laundering, and how severe is the consequence of missing it? Use the firm's risk appetite framework to assign a rating (high, medium, low).</w:t>
      </w:r>
    </w:p>
    <w:p>
      <w:pPr>
        <w:pStyle w:val="ListBullet"/>
        <w:spacing w:lineRule="auto" w:line="360" w:before="0" w:after="60"/>
      </w:pPr>
      <w:r>
        <w:rPr>
          <w:rFonts w:ascii="Times New Roman" w:hAnsi="Times New Roman"/>
          <w:b w:val="0"/>
          <w:i w:val="0"/>
          <w:sz w:val="24"/>
        </w:rPr>
        <w:t>Remediation: what scenario or process change would close the gap? What is the implementation timeline and cost?</w:t>
      </w:r>
    </w:p>
    <w:p>
      <w:pPr>
        <w:pStyle w:val="ListBullet"/>
        <w:spacing w:lineRule="auto" w:line="360" w:before="0" w:after="60"/>
      </w:pPr>
      <w:r>
        <w:rPr>
          <w:rFonts w:ascii="Times New Roman" w:hAnsi="Times New Roman"/>
          <w:b w:val="0"/>
          <w:i w:val="0"/>
          <w:sz w:val="24"/>
        </w:rPr>
        <w:t>Interim controls: while a new scenario is being built and tested, what manual controls can partially mitigate the gap? Enhanced branch reporting, periodic lookback reviews, and targeted transaction sampling are common interim measures.</w:t>
      </w:r>
    </w:p>
    <w:p>
      <w:pPr>
        <w:pStyle w:val="Heading2"/>
      </w:pPr>
      <w:r>
        <w:rPr>
          <w:rFonts w:ascii="Times New Roman" w:hAnsi="Times New Roman"/>
        </w:rPr>
        <w:t>7.7 Forensic AI: An Agentic Framework for Risk and Coverage Assessment [Advanced]</w:t>
      </w:r>
    </w:p>
    <w:p>
      <w:pPr>
        <w:pStyle w:val="BodyText"/>
        <w:spacing w:lineRule="auto" w:line="360" w:before="0" w:after="120"/>
        <w:ind w:firstLine="283"/>
      </w:pPr>
      <w:r>
        <w:rPr>
          <w:rFonts w:ascii="Times New Roman" w:hAnsi="Times New Roman"/>
          <w:b w:val="0"/>
          <w:i w:val="0"/>
          <w:sz w:val="24"/>
        </w:rPr>
        <w:t>Traditional risk and coverage assessments are manual, time-consuming, and point-in-time. A compliance team that completes a coverage assessment in January is working with regulatory intelligence that may already be outdated by March. The emergence of agentic AI — systems where multiple AI agents work autonomously in a coordinated pipeline — offers a qualitatively different approach to continuous coverage assessment.</w:t>
      </w:r>
    </w:p>
    <w:p>
      <w:pPr>
        <w:pStyle w:val="BodyText"/>
        <w:spacing w:lineRule="auto" w:line="360" w:before="0" w:after="120"/>
        <w:ind w:firstLine="283"/>
      </w:pPr>
      <w:r>
        <w:rPr>
          <w:rFonts w:ascii="Times New Roman" w:hAnsi="Times New Roman"/>
          <w:b w:val="0"/>
          <w:i w:val="0"/>
          <w:sz w:val="24"/>
        </w:rPr>
        <w:t>The following five-agent framework describes how an agentic AI architecture could automate and accelerate the risk and coverage assessment process. This is an exploratory model: the underlying technology is available, and pilot implementations are in development, but production deployment in regulated AML environments remains early-stage. The framework is presented here to prepare practitioners for its near-term arrival.</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7.9  </w:t>
            </w:r>
            <w:r>
              <w:rPr>
                <w:rFonts w:ascii="Times New Roman" w:hAnsi="Times New Roman"/>
                <w:b/>
                <w:i/>
                <w:sz w:val="22"/>
              </w:rPr>
              <w:t>Forensic AI: Five-Agent Framework for Risk and Coverage Assessment</w:t>
            </w:r>
          </w:p>
          <w:p>
            <w:pPr>
              <w:spacing w:lineRule="auto" w:line="312" w:before="20" w:after="40"/>
              <w:ind w:left="113"/>
            </w:pPr>
            <w:r>
              <w:rPr>
                <w:rFonts w:ascii="Times New Roman" w:hAnsi="Times New Roman"/>
                <w:b w:val="0"/>
                <w:i w:val="0"/>
                <w:sz w:val="22"/>
              </w:rPr>
              <w:t>Agent 1 — Horizon Scanning (Input: Regulatory Sources)</w:t>
            </w:r>
          </w:p>
          <w:p>
            <w:pPr>
              <w:spacing w:lineRule="auto" w:line="312" w:before="20" w:after="40"/>
              <w:ind w:left="113"/>
            </w:pPr>
            <w:r>
              <w:rPr>
                <w:rFonts w:ascii="Times New Roman" w:hAnsi="Times New Roman"/>
                <w:b w:val="0"/>
                <w:i w:val="0"/>
                <w:sz w:val="22"/>
              </w:rPr>
              <w:t>Continuously monitors regulatory sources: FinCEN advisories, FFIEC examination manual updates, FATF typology publications, OCC bulletins, FBI financial crime alerts, and court/prosecution records. When new content is published, the agent extracts red flags and typologies using NLP, classifies them by typology category, and flags changes since the last assessment cycle. Output: an updated red flag inventory with source citations and change delta.</w:t>
            </w:r>
          </w:p>
          <w:p>
            <w:pPr>
              <w:spacing w:lineRule="auto" w:line="312" w:before="20" w:after="40"/>
              <w:ind w:left="113"/>
            </w:pPr>
            <w:r>
              <w:rPr>
                <w:rFonts w:ascii="Times New Roman" w:hAnsi="Times New Roman"/>
                <w:b w:val="0"/>
                <w:i w:val="0"/>
                <w:sz w:val="22"/>
              </w:rPr>
              <w:t>Agent 2 — Scenario Inventory Analyst (Input: TMS Configuration)</w:t>
            </w:r>
          </w:p>
          <w:p>
            <w:pPr>
              <w:spacing w:lineRule="auto" w:line="312" w:before="20" w:after="40"/>
              <w:ind w:left="113"/>
            </w:pPr>
            <w:r>
              <w:rPr>
                <w:rFonts w:ascii="Times New Roman" w:hAnsi="Times New Roman"/>
                <w:b w:val="0"/>
                <w:i w:val="0"/>
                <w:sz w:val="22"/>
              </w:rPr>
              <w:t>Reads the current deployed scenario library — scenario specifications, encoded red flags, parameters, and data dependencies — and generates a structured inventory. For each scenario, the agent maps the encoded red flags to the canonical typology ontology, flags data quality dependencies, and identifies last-validated date. Output: a current-state scenario inventory in machine-readable format.</w:t>
            </w:r>
          </w:p>
          <w:p>
            <w:pPr>
              <w:spacing w:lineRule="auto" w:line="312" w:before="20" w:after="40"/>
              <w:ind w:left="113"/>
            </w:pPr>
            <w:r>
              <w:rPr>
                <w:rFonts w:ascii="Times New Roman" w:hAnsi="Times New Roman"/>
                <w:b w:val="0"/>
                <w:i w:val="0"/>
                <w:sz w:val="22"/>
              </w:rPr>
              <w:t>Agent 3 — Coverage Mapper (Input: Red Flag Inventory + Scenario Inventory)</w:t>
            </w:r>
          </w:p>
          <w:p>
            <w:pPr>
              <w:spacing w:lineRule="auto" w:line="312" w:before="20" w:after="40"/>
              <w:ind w:left="113"/>
            </w:pPr>
            <w:r>
              <w:rPr>
                <w:rFonts w:ascii="Times New Roman" w:hAnsi="Times New Roman"/>
                <w:b w:val="0"/>
                <w:i w:val="0"/>
                <w:sz w:val="22"/>
              </w:rPr>
              <w:t>Runs the coverage matrix computation: for each red flag in the Agent 1 inventory, it checks whether any scenario in the Agent 2 inventory covers it (Full), partially covers it (Partial), or does not cover it (No Coverage). It applies the three-state coverage taxonomy. Output: a continuously updated coverage matrix.</w:t>
            </w:r>
          </w:p>
          <w:p>
            <w:pPr>
              <w:spacing w:lineRule="auto" w:line="312" w:before="20" w:after="40"/>
              <w:ind w:left="113"/>
            </w:pPr>
            <w:r>
              <w:rPr>
                <w:rFonts w:ascii="Times New Roman" w:hAnsi="Times New Roman"/>
                <w:b w:val="0"/>
                <w:i w:val="0"/>
                <w:sz w:val="22"/>
              </w:rPr>
              <w:t>Agent 4 — Gap Analyst (Input: Coverage Matrix)</w:t>
            </w:r>
          </w:p>
          <w:p>
            <w:pPr>
              <w:spacing w:lineRule="auto" w:line="312" w:before="20" w:after="40"/>
              <w:ind w:left="113"/>
            </w:pPr>
            <w:r>
              <w:rPr>
                <w:rFonts w:ascii="Times New Roman" w:hAnsi="Times New Roman"/>
                <w:b w:val="0"/>
                <w:i w:val="0"/>
                <w:sz w:val="22"/>
              </w:rPr>
              <w:t>For each No Coverage or Partial Coverage finding, the agent generates a structured gap assessment: risk rating (based on typology severity and customer population exposure), scope estimate (using transaction data to size the population exhibiting the uncovered behaviour), and a draft scenario specification for the remediation. Output: ranked gap assessment report with draft remediation specifications.</w:t>
            </w:r>
          </w:p>
          <w:p>
            <w:pPr>
              <w:spacing w:lineRule="auto" w:line="312" w:before="20" w:after="40"/>
              <w:ind w:left="113"/>
            </w:pPr>
            <w:r>
              <w:rPr>
                <w:rFonts w:ascii="Times New Roman" w:hAnsi="Times New Roman"/>
                <w:b w:val="0"/>
                <w:i w:val="0"/>
                <w:sz w:val="22"/>
              </w:rPr>
              <w:t>Agent 5 — Governance Reporter (Input: Gap Assessments)</w:t>
            </w:r>
          </w:p>
          <w:p>
            <w:pPr>
              <w:spacing w:lineRule="auto" w:line="312" w:before="20" w:after="40"/>
              <w:ind w:left="113"/>
            </w:pPr>
            <w:r>
              <w:rPr>
                <w:rFonts w:ascii="Times New Roman" w:hAnsi="Times New Roman"/>
                <w:b w:val="0"/>
                <w:i w:val="0"/>
                <w:sz w:val="22"/>
              </w:rPr>
              <w:t>Produces formatted governance outputs for human review: an executive summary of the coverage state, a prioritised remediation roadmap, and a dated, signed-off-ready coverage assessment document. The human governance layer — sign-off by the Head of Financial Crime Risk — remains mandatory. The agent produces the evidence pack; the decision is human.</w:t>
            </w:r>
          </w:p>
          <w:p>
            <w:pPr>
              <w:spacing w:lineRule="auto" w:line="312" w:before="20" w:after="40"/>
              <w:ind w:left="113"/>
            </w:pPr>
            <w:r>
              <w:rPr>
                <w:rFonts w:ascii="Times New Roman" w:hAnsi="Times New Roman"/>
                <w:b w:val="0"/>
                <w:i w:val="0"/>
                <w:sz w:val="22"/>
              </w:rPr>
              <w:t>Key principle: the five-agent framework does not replace human judgment. It compresses the cycle time from annual to continuous, surfaces emerging gaps before examiners do, and produces a defensible evidence pack. The institution's risk appetite decisions — what constitutes acceptable coverage, what to prioritise for remediation — remain with human governance.</w:t>
            </w:r>
          </w:p>
        </w:tc>
      </w:tr>
    </w:tbl>
    <w:p>
      <w:pPr>
        <w:spacing w:lineRule="auto" w:line="240" w:before="0" w:after="160"/>
      </w:pPr>
    </w:p>
    <w:p>
      <w:pPr>
        <w:pStyle w:val="Heading2"/>
      </w:pPr>
      <w:r>
        <w:rPr>
          <w:rFonts w:ascii="Times New Roman" w:hAnsi="Times New Roman"/>
        </w:rPr>
        <w:t>7.8 Colab Walkthrough: Introducing Rule 3 — High-Risk Country Counterparty</w:t>
      </w:r>
    </w:p>
    <w:p>
      <w:pPr>
        <w:pStyle w:val="BodyText"/>
        <w:spacing w:lineRule="auto" w:line="360" w:before="0" w:after="120"/>
        <w:ind w:firstLine="283"/>
      </w:pPr>
      <w:r>
        <w:rPr>
          <w:rFonts w:ascii="Times New Roman" w:hAnsi="Times New Roman"/>
          <w:b w:val="0"/>
          <w:i w:val="0"/>
          <w:sz w:val="24"/>
        </w:rPr>
        <w:t>The coverage matrix in Section 7.4 reveals a gap: Rules 1 and 2 monitor cash deposits and transaction velocity within the bank. Neither detects customers sending funds to counterparties in high-risk jurisdictions — a distinct typology (layering via cross-border transfer) that the structuring rules are blind to. Rule 3 closes this gap.</w:t>
      </w:r>
    </w:p>
    <w:p>
      <w:pPr>
        <w:pStyle w:val="BodyText"/>
        <w:spacing w:lineRule="auto" w:line="360" w:before="0" w:after="120"/>
        <w:ind w:firstLine="283"/>
      </w:pPr>
      <w:r>
        <w:rPr>
          <w:rFonts w:ascii="Times New Roman" w:hAnsi="Times New Roman"/>
          <w:b w:val="0"/>
          <w:i w:val="0"/>
          <w:sz w:val="24"/>
        </w:rPr>
        <w:t>The code below implements Rule 3 (NRB-GEO-003). It is built into the same codebase as Rules 1 and 2 and uses the counterparty reference table that has been available in the dataset since Chapter 3.</w:t>
      </w:r>
    </w:p>
    <w:p>
      <w:pPr>
        <w:spacing w:lineRule="auto" w:line="240" w:before="60" w:after="120"/>
        <w:ind w:firstLine="0"/>
        <w:jc w:val="left"/>
      </w:pPr>
      <w:r>
        <w:rPr>
          <w:rFonts w:ascii="Times New Roman" w:hAnsi="Times New Roman"/>
          <w:b w:val="0"/>
          <w:i/>
          <w:sz w:val="20"/>
        </w:rPr>
        <w:t>Listing 7.2  Python code — 📊 Colab Preview: Rule 3 — High-Risk Country Counterparty</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Rule 3 — High-Risk Country Counterparty</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 FATF and OFAC high-risk jurisdictions (illustrative — must be maintained)</w:t>
            </w:r>
          </w:p>
          <w:p>
            <w:pPr>
              <w:spacing w:lineRule="auto" w:line="240" w:before="0" w:after="20"/>
              <w:ind w:left="142"/>
            </w:pPr>
            <w:r>
              <w:rPr>
                <w:rFonts w:ascii="Courier New" w:hAnsi="Courier New"/>
                <w:b w:val="0"/>
                <w:i w:val="0"/>
                <w:sz w:val="18"/>
              </w:rPr>
              <w:t>HIGH_RISK_COUNTRIES = ['KP', 'IR', 'MM', 'SY', 'YE', 'AF', 'LY']</w:t>
            </w:r>
          </w:p>
          <w:p>
            <w:pPr>
              <w:spacing w:lineRule="auto" w:line="240" w:before="0" w:after="20"/>
              <w:ind w:left="142"/>
            </w:pPr>
            <w:r>
              <w:rPr>
                <w:rFonts w:ascii="Courier New" w:hAnsi="Courier New"/>
                <w:b w:val="0"/>
                <w:i w:val="0"/>
                <w:sz w:val="18"/>
              </w:rPr>
              <w:t>def apply_rule_3(df_txn, df_cpty, high_risk_countries, min_txns=2, min_amount=5000):</w:t>
            </w:r>
          </w:p>
          <w:p>
            <w:pPr>
              <w:spacing w:lineRule="auto" w:line="240" w:before="0" w:after="20"/>
              <w:ind w:left="142"/>
            </w:pPr>
            <w:r>
              <w:rPr>
                <w:rFonts w:ascii="Courier New" w:hAnsi="Courier New"/>
                <w:b w:val="0"/>
                <w:i w:val="0"/>
                <w:sz w:val="18"/>
              </w:rPr>
              <w:t>"""Rule NRB-GEO-003: transactions with high-risk country counterparties."""</w:t>
            </w:r>
          </w:p>
          <w:p>
            <w:pPr>
              <w:spacing w:lineRule="auto" w:line="240" w:before="0" w:after="20"/>
              <w:ind w:left="142"/>
            </w:pPr>
            <w:r>
              <w:rPr>
                <w:rFonts w:ascii="Courier New" w:hAnsi="Courier New"/>
                <w:b w:val="0"/>
                <w:i w:val="0"/>
                <w:sz w:val="18"/>
              </w:rPr>
              <w:t>hr_cpty = df_cpty[</w:t>
            </w:r>
          </w:p>
          <w:p>
            <w:pPr>
              <w:spacing w:lineRule="auto" w:line="240" w:before="0" w:after="20"/>
              <w:ind w:left="142"/>
            </w:pPr>
            <w:r>
              <w:rPr>
                <w:rFonts w:ascii="Courier New" w:hAnsi="Courier New"/>
                <w:b w:val="0"/>
                <w:i w:val="0"/>
                <w:sz w:val="18"/>
              </w:rPr>
              <w:t>df_cpty['country_code'].isin(high_risk_countries)</w:t>
            </w:r>
          </w:p>
          <w:p>
            <w:pPr>
              <w:spacing w:lineRule="auto" w:line="240" w:before="0" w:after="20"/>
              <w:ind w:left="142"/>
            </w:pPr>
            <w:r>
              <w:rPr>
                <w:rFonts w:ascii="Courier New" w:hAnsi="Courier New"/>
                <w:b w:val="0"/>
                <w:i w:val="0"/>
                <w:sz w:val="18"/>
              </w:rPr>
              <w:t>]['counterparty_id']</w:t>
            </w:r>
          </w:p>
          <w:p>
            <w:pPr>
              <w:spacing w:lineRule="auto" w:line="240" w:before="0" w:after="20"/>
              <w:ind w:left="142"/>
            </w:pPr>
            <w:r>
              <w:rPr>
                <w:rFonts w:ascii="Courier New" w:hAnsi="Courier New"/>
                <w:b w:val="0"/>
                <w:i w:val="0"/>
                <w:sz w:val="18"/>
              </w:rPr>
              <w:t>hr_txns = df_txn[df_txn['counterparty_id'].isin(hr_cpty)].copy()</w:t>
            </w:r>
          </w:p>
          <w:p>
            <w:pPr>
              <w:spacing w:lineRule="auto" w:line="240" w:before="0" w:after="20"/>
              <w:ind w:left="142"/>
            </w:pPr>
            <w:r>
              <w:rPr>
                <w:rFonts w:ascii="Courier New" w:hAnsi="Courier New"/>
                <w:b w:val="0"/>
                <w:i w:val="0"/>
                <w:sz w:val="18"/>
              </w:rPr>
              <w:t>results = []</w:t>
            </w:r>
          </w:p>
          <w:p>
            <w:pPr>
              <w:spacing w:lineRule="auto" w:line="240" w:before="0" w:after="20"/>
              <w:ind w:left="142"/>
            </w:pPr>
            <w:r>
              <w:rPr>
                <w:rFonts w:ascii="Courier New" w:hAnsi="Courier New"/>
                <w:b w:val="0"/>
                <w:i w:val="0"/>
                <w:sz w:val="18"/>
              </w:rPr>
              <w:t>for acct, grp in hr_txns.groupby('account_id'):</w:t>
            </w:r>
          </w:p>
          <w:p>
            <w:pPr>
              <w:spacing w:lineRule="auto" w:line="240" w:before="0" w:after="20"/>
              <w:ind w:left="142"/>
            </w:pPr>
            <w:r>
              <w:rPr>
                <w:rFonts w:ascii="Courier New" w:hAnsi="Courier New"/>
                <w:b w:val="0"/>
                <w:i w:val="0"/>
                <w:sz w:val="18"/>
              </w:rPr>
              <w:t>total = grp['amount'].sum()</w:t>
            </w:r>
          </w:p>
          <w:p>
            <w:pPr>
              <w:spacing w:lineRule="auto" w:line="240" w:before="0" w:after="20"/>
              <w:ind w:left="142"/>
            </w:pPr>
            <w:r>
              <w:rPr>
                <w:rFonts w:ascii="Courier New" w:hAnsi="Courier New"/>
                <w:b w:val="0"/>
                <w:i w:val="0"/>
                <w:sz w:val="18"/>
              </w:rPr>
              <w:t>countries = df_cpty.loc[</w:t>
            </w:r>
          </w:p>
          <w:p>
            <w:pPr>
              <w:spacing w:lineRule="auto" w:line="240" w:before="0" w:after="20"/>
              <w:ind w:left="142"/>
            </w:pPr>
            <w:r>
              <w:rPr>
                <w:rFonts w:ascii="Courier New" w:hAnsi="Courier New"/>
                <w:b w:val="0"/>
                <w:i w:val="0"/>
                <w:sz w:val="18"/>
              </w:rPr>
              <w:t>df_cpty['counterparty_id'].isin(grp['counterparty_id']),</w:t>
            </w:r>
          </w:p>
          <w:p>
            <w:pPr>
              <w:spacing w:lineRule="auto" w:line="240" w:before="0" w:after="20"/>
              <w:ind w:left="142"/>
            </w:pPr>
            <w:r>
              <w:rPr>
                <w:rFonts w:ascii="Courier New" w:hAnsi="Courier New"/>
                <w:b w:val="0"/>
                <w:i w:val="0"/>
                <w:sz w:val="18"/>
              </w:rPr>
              <w:t>'country_code'].unique().tolist()</w:t>
            </w:r>
          </w:p>
          <w:p>
            <w:pPr>
              <w:spacing w:lineRule="auto" w:line="240" w:before="0" w:after="20"/>
              <w:ind w:left="142"/>
            </w:pPr>
            <w:r>
              <w:rPr>
                <w:rFonts w:ascii="Courier New" w:hAnsi="Courier New"/>
                <w:b w:val="0"/>
                <w:i w:val="0"/>
                <w:sz w:val="18"/>
              </w:rPr>
              <w:t>if len(grp) &gt;= min_txns and total &gt;= min_amount:</w:t>
            </w:r>
          </w:p>
          <w:p>
            <w:pPr>
              <w:spacing w:lineRule="auto" w:line="240" w:before="0" w:after="20"/>
              <w:ind w:left="142"/>
            </w:pPr>
            <w:r>
              <w:rPr>
                <w:rFonts w:ascii="Courier New" w:hAnsi="Courier New"/>
                <w:b w:val="0"/>
                <w:i w:val="0"/>
                <w:sz w:val="18"/>
              </w:rPr>
              <w:t>results.append({</w:t>
            </w:r>
          </w:p>
          <w:p>
            <w:pPr>
              <w:spacing w:lineRule="auto" w:line="240" w:before="0" w:after="20"/>
              <w:ind w:left="142"/>
            </w:pPr>
            <w:r>
              <w:rPr>
                <w:rFonts w:ascii="Courier New" w:hAnsi="Courier New"/>
                <w:b w:val="0"/>
                <w:i w:val="0"/>
                <w:sz w:val="18"/>
              </w:rPr>
              <w:t>'account_id':      acct,</w:t>
            </w:r>
          </w:p>
          <w:p>
            <w:pPr>
              <w:spacing w:lineRule="auto" w:line="240" w:before="0" w:after="20"/>
              <w:ind w:left="142"/>
            </w:pPr>
            <w:r>
              <w:rPr>
                <w:rFonts w:ascii="Courier New" w:hAnsi="Courier New"/>
                <w:b w:val="0"/>
                <w:i w:val="0"/>
                <w:sz w:val="18"/>
              </w:rPr>
              <w:t>'hr_txn_count':    len(grp),</w:t>
            </w:r>
          </w:p>
          <w:p>
            <w:pPr>
              <w:spacing w:lineRule="auto" w:line="240" w:before="0" w:after="20"/>
              <w:ind w:left="142"/>
            </w:pPr>
            <w:r>
              <w:rPr>
                <w:rFonts w:ascii="Courier New" w:hAnsi="Courier New"/>
                <w:b w:val="0"/>
                <w:i w:val="0"/>
                <w:sz w:val="18"/>
              </w:rPr>
              <w:t>'total_hr_amount': round(total, 2),</w:t>
            </w:r>
          </w:p>
          <w:p>
            <w:pPr>
              <w:spacing w:lineRule="auto" w:line="240" w:before="0" w:after="20"/>
              <w:ind w:left="142"/>
            </w:pPr>
            <w:r>
              <w:rPr>
                <w:rFonts w:ascii="Courier New" w:hAnsi="Courier New"/>
                <w:b w:val="0"/>
                <w:i w:val="0"/>
                <w:sz w:val="18"/>
              </w:rPr>
              <w:t>'countries':       ', '.join(sorted(countries)),</w:t>
            </w:r>
          </w:p>
          <w:p>
            <w:pPr>
              <w:spacing w:lineRule="auto" w:line="240" w:before="0" w:after="20"/>
              <w:ind w:left="142"/>
            </w:pPr>
            <w:r>
              <w:rPr>
                <w:rFonts w:ascii="Courier New" w:hAnsi="Courier New"/>
                <w:b w:val="0"/>
                <w:i w:val="0"/>
                <w:sz w:val="18"/>
              </w:rPr>
              <w:t>})</w:t>
            </w:r>
          </w:p>
          <w:p>
            <w:pPr>
              <w:spacing w:lineRule="auto" w:line="240" w:before="0" w:after="20"/>
              <w:ind w:left="142"/>
            </w:pPr>
            <w:r>
              <w:rPr>
                <w:rFonts w:ascii="Courier New" w:hAnsi="Courier New"/>
                <w:b w:val="0"/>
                <w:i w:val="0"/>
                <w:sz w:val="18"/>
              </w:rPr>
              <w:t>return pd.DataFrame(results)</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df_cpty = pd.read_csv('nb_counterparties.csv')</w:t>
            </w:r>
          </w:p>
          <w:p>
            <w:pPr>
              <w:spacing w:lineRule="auto" w:line="240" w:before="0" w:after="20"/>
              <w:ind w:left="142"/>
            </w:pPr>
            <w:r>
              <w:rPr>
                <w:rFonts w:ascii="Courier New" w:hAnsi="Courier New"/>
                <w:b w:val="0"/>
                <w:i w:val="0"/>
                <w:sz w:val="18"/>
              </w:rPr>
              <w:t>rule3_alerts = apply_rule_3(df_txn, df_cpty, HIGH_RISK_COUNTRIES)</w:t>
            </w:r>
          </w:p>
          <w:p>
            <w:pPr>
              <w:spacing w:lineRule="auto" w:line="240" w:before="0" w:after="20"/>
              <w:ind w:left="142"/>
            </w:pPr>
            <w:r>
              <w:rPr>
                <w:rFonts w:ascii="Courier New" w:hAnsi="Courier New"/>
                <w:b w:val="0"/>
                <w:i w:val="0"/>
                <w:sz w:val="18"/>
              </w:rPr>
              <w:t>print(f'Rule NRB-GEO-003 alerts: {len(rule3_alerts)}')</w:t>
            </w:r>
          </w:p>
          <w:p>
            <w:pPr>
              <w:spacing w:lineRule="auto" w:line="240" w:before="0" w:after="20"/>
              <w:ind w:left="142"/>
            </w:pPr>
            <w:r>
              <w:rPr>
                <w:rFonts w:ascii="Courier New" w:hAnsi="Courier New"/>
                <w:b w:val="0"/>
                <w:i w:val="0"/>
                <w:sz w:val="18"/>
              </w:rPr>
              <w:t>print(rule3_alerts.sort_values('total_hr_amount', ascending=False).head(5).to_string(index=False))</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Rule 3 Alerts (high-risk country counterparty)</w:t>
            </w:r>
          </w:p>
          <w:p>
            <w:pPr>
              <w:spacing w:lineRule="auto" w:line="240" w:before="0" w:after="20"/>
              <w:ind w:left="113"/>
            </w:pPr>
            <w:r>
              <w:rPr>
                <w:rFonts w:ascii="Courier New" w:hAnsi="Courier New"/>
                <w:b w:val="0"/>
                <w:i w:val="0"/>
                <w:sz w:val="18"/>
              </w:rPr>
              <w:t>Rule 3 alerts: 265</w:t>
            </w:r>
          </w:p>
          <w:p>
            <w:pPr>
              <w:spacing w:lineRule="auto" w:line="240" w:before="0" w:after="20"/>
              <w:ind w:left="113"/>
            </w:pPr>
            <w:r>
              <w:rPr>
                <w:rFonts w:ascii="Courier New" w:hAnsi="Courier New"/>
                <w:b w:val="0"/>
                <w:i w:val="0"/>
                <w:sz w:val="18"/>
              </w:rPr>
              <w:t>Top 5 by total high-risk amount:</w:t>
            </w:r>
          </w:p>
          <w:p>
            <w:pPr>
              <w:spacing w:lineRule="auto" w:line="240" w:before="0" w:after="20"/>
              <w:ind w:left="113"/>
            </w:pPr>
            <w:r>
              <w:rPr>
                <w:rFonts w:ascii="Courier New" w:hAnsi="Courier New"/>
                <w:b w:val="0"/>
                <w:i w:val="0"/>
                <w:sz w:val="18"/>
              </w:rPr>
              <w:t>account_id  hr_txn_count  total_hr_amount              countries</w:t>
            </w:r>
          </w:p>
          <w:p>
            <w:pPr>
              <w:spacing w:lineRule="auto" w:line="240" w:before="0" w:after="20"/>
              <w:ind w:left="113"/>
            </w:pPr>
            <w:r>
              <w:rPr>
                <w:rFonts w:ascii="Courier New" w:hAnsi="Courier New"/>
                <w:b w:val="0"/>
                <w:i w:val="0"/>
                <w:sz w:val="18"/>
              </w:rPr>
              <w:t>ACC0187             3         36898.23             KP, LY, SY</w:t>
            </w:r>
          </w:p>
          <w:p>
            <w:pPr>
              <w:spacing w:lineRule="auto" w:line="240" w:before="0" w:after="20"/>
              <w:ind w:left="113"/>
            </w:pPr>
            <w:r>
              <w:rPr>
                <w:rFonts w:ascii="Courier New" w:hAnsi="Courier New"/>
                <w:b w:val="0"/>
                <w:i w:val="0"/>
                <w:sz w:val="18"/>
              </w:rPr>
              <w:t>ACC0002             4         34701.64                     AF</w:t>
            </w:r>
          </w:p>
          <w:p>
            <w:pPr>
              <w:spacing w:lineRule="auto" w:line="240" w:before="0" w:after="20"/>
              <w:ind w:left="113"/>
            </w:pPr>
            <w:r>
              <w:rPr>
                <w:rFonts w:ascii="Courier New" w:hAnsi="Courier New"/>
                <w:b w:val="0"/>
                <w:i w:val="0"/>
                <w:sz w:val="18"/>
              </w:rPr>
              <w:t>ACC0446            11         32106.19 AF, IR, KP, LY, SY, YE</w:t>
            </w:r>
          </w:p>
          <w:p>
            <w:pPr>
              <w:spacing w:lineRule="auto" w:line="240" w:before="0" w:after="20"/>
              <w:ind w:left="113"/>
            </w:pPr>
            <w:r>
              <w:rPr>
                <w:rFonts w:ascii="Courier New" w:hAnsi="Courier New"/>
                <w:b w:val="0"/>
                <w:i w:val="0"/>
                <w:sz w:val="18"/>
              </w:rPr>
              <w:t>ACC0012             6         32055.95             AF, IR, SY</w:t>
            </w:r>
          </w:p>
          <w:p>
            <w:pPr>
              <w:spacing w:lineRule="auto" w:line="240" w:before="0" w:after="20"/>
              <w:ind w:left="113"/>
            </w:pPr>
            <w:r>
              <w:rPr>
                <w:rFonts w:ascii="Courier New" w:hAnsi="Courier New"/>
                <w:b w:val="0"/>
                <w:i w:val="0"/>
                <w:sz w:val="18"/>
              </w:rPr>
              <w:t>ACC0481             9         30905.82     AF, KP, LY, SY, YE</w:t>
            </w:r>
          </w:p>
        </w:tc>
      </w:tr>
    </w:tbl>
    <w:p>
      <w:pPr>
        <w:spacing w:lineRule="auto" w:line="240" w:before="0" w:after="160"/>
      </w:pPr>
    </w:p>
    <w:p>
      <w:pPr>
        <w:spacing w:lineRule="auto" w:line="240" w:before="200" w:after="80"/>
        <w:jc w:val="center"/>
      </w:pPr>
      <w:r>
        <w:drawing>
          <wp:inline xmlns:a="http://schemas.openxmlformats.org/drawingml/2006/main" xmlns:pic="http://schemas.openxmlformats.org/drawingml/2006/picture">
            <wp:extent cx="4680000" cy="2689412"/>
            <wp:docPr id="4" name="Picture 4"/>
            <wp:cNvGraphicFramePr>
              <a:graphicFrameLocks noChangeAspect="1"/>
            </wp:cNvGraphicFramePr>
            <a:graphic>
              <a:graphicData uri="http://schemas.openxmlformats.org/drawingml/2006/picture">
                <pic:pic>
                  <pic:nvPicPr>
                    <pic:cNvPr id="0" name="ch7.png"/>
                    <pic:cNvPicPr/>
                  </pic:nvPicPr>
                  <pic:blipFill>
                    <a:blip r:embed="rId12"/>
                    <a:stretch>
                      <a:fillRect/>
                    </a:stretch>
                  </pic:blipFill>
                  <pic:spPr>
                    <a:xfrm>
                      <a:off x="0" y="0"/>
                      <a:ext cx="4680000" cy="2689412"/>
                    </a:xfrm>
                    <a:prstGeom prst="rect"/>
                  </pic:spPr>
                </pic:pic>
              </a:graphicData>
            </a:graphic>
          </wp:inline>
        </w:drawing>
      </w:r>
    </w:p>
    <w:p>
      <w:pPr>
        <w:spacing w:lineRule="auto" w:line="240" w:before="40" w:after="240"/>
        <w:jc w:val="center"/>
      </w:pPr>
      <w:r>
        <w:rPr>
          <w:rFonts w:ascii="Times New Roman" w:hAnsi="Times New Roman"/>
          <w:b w:val="0"/>
          <w:i/>
          <w:sz w:val="20"/>
        </w:rPr>
        <w:t>Fig. 7.1  Three-rule coverage matrix — Northgate detection system</w:t>
      </w:r>
    </w:p>
    <w:p>
      <w:pPr>
        <w:pStyle w:val="BodyText"/>
        <w:spacing w:lineRule="auto" w:line="360" w:before="0" w:after="120"/>
        <w:ind w:firstLine="283"/>
      </w:pPr>
      <w:r>
        <w:rPr>
          <w:rFonts w:ascii="Times New Roman" w:hAnsi="Times New Roman"/>
          <w:b w:val="0"/>
          <w:i w:val="0"/>
          <w:sz w:val="24"/>
        </w:rPr>
        <w:t>Rule NRB-GEO-003 generates 265 alerts — a broader pool than Rule 1, because many legitimate customers also transact with counterparties in high-risk jurisdictions. The chart shows the distribution of high-risk transactions by country code across the full dataset. Notice that ACC0002, one of the six mule accounts, appears in the top 5 by total high-risk amount. With all three rules now active — NRB-STRUCT-001 (cash structuring), NRB-VEL-002 (velocity), NRB-GEO-003 (high-risk country) — the Northgate scenario set covers three distinct detection dimensions. Exercise 7.1 asks you to map these three rules against the FFIEC red flag list and document which gaps remain.</w:t>
      </w:r>
    </w:p>
    <w:p>
      <w:pPr>
        <w:pStyle w:val="Heading2"/>
      </w:pPr>
      <w:r>
        <w:rPr>
          <w:rFonts w:ascii="Times New Roman" w:hAnsi="Times New Roman"/>
        </w:rPr>
        <w:t>7.9 Risk Considerations</w:t>
      </w:r>
    </w:p>
    <w:p>
      <w:pPr>
        <w:pStyle w:val="ListBullet"/>
        <w:spacing w:lineRule="auto" w:line="360" w:before="0" w:after="60"/>
      </w:pPr>
      <w:r>
        <w:rPr>
          <w:rFonts w:ascii="Times New Roman" w:hAnsi="Times New Roman"/>
          <w:b w:val="0"/>
          <w:i w:val="0"/>
          <w:sz w:val="24"/>
        </w:rPr>
        <w:t>Coverage does not equal detection: Before assessing whether a scenario is effectively calibrated, first verify that the CDEs it depends on are complete and accurate. A scenario with corrupted or missing CDE data provides nominal coverage on paper while generating no usable alerts in practice. The CDE validation step (Chapter 6, Step 0) applies equally to coverage assessments: a scenario cannot cover a red flag it cannot observe. Once data quality is confirmed, assess calibration: a scenario that technically covers a red flag but uses a threshold set too high, or a lookback window too short, provides nominal coverage without practical protection. Coverage assessments must assess not just whether a scenario exists but whether its data foundations and calibration are fit for purpose.</w:t>
      </w:r>
    </w:p>
    <w:p>
      <w:pPr>
        <w:pStyle w:val="ListBullet"/>
        <w:spacing w:lineRule="auto" w:line="360" w:before="0" w:after="60"/>
      </w:pPr>
      <w:r>
        <w:rPr>
          <w:rFonts w:ascii="Times New Roman" w:hAnsi="Times New Roman"/>
          <w:b w:val="0"/>
          <w:i w:val="0"/>
          <w:sz w:val="24"/>
        </w:rPr>
        <w:t>Gaming the coverage matrix: Analysts under pressure may write broad scenarios specifically to achieve coverage metrics, without regard for whether the scenario actually generates useful alerts. An examiner will test the quality of coverage, not just its existence.</w:t>
      </w:r>
    </w:p>
    <w:p>
      <w:pPr>
        <w:pStyle w:val="ListBullet"/>
        <w:spacing w:lineRule="auto" w:line="360" w:before="0" w:after="60"/>
      </w:pPr>
      <w:r>
        <w:rPr>
          <w:rFonts w:ascii="Times New Roman" w:hAnsi="Times New Roman"/>
          <w:b w:val="0"/>
          <w:i w:val="0"/>
          <w:sz w:val="24"/>
        </w:rPr>
        <w:t>Regulatory text evolves: FFIEC guidance, JMLSG publications, and FATF typology reports are updated periodically. A coverage assessment conducted two years ago may be materially out of date. Build regulatory horizon-scanning into the coverage review cycle — at minimum annually, and whenever major guidance is published.</w:t>
      </w:r>
    </w:p>
    <w:p>
      <w:pPr>
        <w:pStyle w:val="ListBullet"/>
        <w:spacing w:lineRule="auto" w:line="360" w:before="0" w:after="60"/>
      </w:pPr>
      <w:r>
        <w:rPr>
          <w:rFonts w:ascii="Times New Roman" w:hAnsi="Times New Roman"/>
          <w:b w:val="0"/>
          <w:i w:val="0"/>
          <w:sz w:val="24"/>
        </w:rPr>
        <w:t>Process gaps cannot be automated away: Some red flags — such as 'depositor unfamiliar with account holder' — require human observation at the branch. No analytical model can compensate for a failure in the branch reporting process. TM analytics and front-line controls must work together.</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7.10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Coverage assessment is the first stage of the TM lifecycle — it determines what scenarios are needed before they are built. In a programme built from scratch, it precedes design, segmentation, and calibration; it is presented here so you can evaluate completed work against the same standard an examiner would apply.</w:t>
            </w:r>
          </w:p>
          <w:p>
            <w:pPr>
              <w:spacing w:lineRule="auto" w:line="312" w:before="20" w:after="40"/>
              <w:ind w:left="113"/>
            </w:pPr>
            <w:r>
              <w:rPr>
                <w:rFonts w:ascii="Times New Roman" w:hAnsi="Times New Roman"/>
                <w:b w:val="0"/>
                <w:i w:val="0"/>
                <w:sz w:val="22"/>
              </w:rPr>
              <w:t>Risk coverage assessment links the firm-wide risk assessment to the TM scenario set, bridging strategy and analytics.</w:t>
            </w:r>
          </w:p>
          <w:p>
            <w:pPr>
              <w:spacing w:lineRule="auto" w:line="312" w:before="20" w:after="40"/>
              <w:ind w:left="113"/>
            </w:pPr>
            <w:r>
              <w:rPr>
                <w:rFonts w:ascii="Times New Roman" w:hAnsi="Times New Roman"/>
                <w:b w:val="0"/>
                <w:i w:val="0"/>
                <w:sz w:val="22"/>
              </w:rPr>
              <w:t>The FFIEC BSA/AML Examination Manual red flag lists are the international benchmark for scenario coverage, regardless of jurisdiction. UK practitioners should read the behavioural indicators rather than the USD threshold specifics.</w:t>
            </w:r>
          </w:p>
          <w:p>
            <w:pPr>
              <w:spacing w:lineRule="auto" w:line="312" w:before="20" w:after="40"/>
              <w:ind w:left="113"/>
            </w:pPr>
            <w:r>
              <w:rPr>
                <w:rFonts w:ascii="Times New Roman" w:hAnsi="Times New Roman"/>
                <w:b w:val="0"/>
                <w:i w:val="0"/>
                <w:sz w:val="22"/>
              </w:rPr>
              <w:t>A coverage matrix maps each red flag to the scenarios that cover it — gaps are visible immediately. Adding a data readiness column reveals whether gaps are analytical or architectural.</w:t>
            </w:r>
          </w:p>
          <w:p>
            <w:pPr>
              <w:spacing w:lineRule="auto" w:line="312" w:before="20" w:after="40"/>
              <w:ind w:left="113"/>
            </w:pPr>
            <w:r>
              <w:rPr>
                <w:rFonts w:ascii="Times New Roman" w:hAnsi="Times New Roman"/>
                <w:b w:val="0"/>
                <w:i w:val="0"/>
                <w:sz w:val="22"/>
              </w:rPr>
              <w:t>NLP can automate extraction of candidate red flags from regulatory text, accelerating coverage assessments — but the vocabulary index that maps extracted phrases to scenario coverage requires human AML expertise to maintain.</w:t>
            </w:r>
          </w:p>
          <w:p>
            <w:pPr>
              <w:spacing w:lineRule="auto" w:line="312" w:before="20" w:after="40"/>
              <w:ind w:left="113"/>
            </w:pPr>
            <w:r>
              <w:rPr>
                <w:rFonts w:ascii="Times New Roman" w:hAnsi="Times New Roman"/>
                <w:b w:val="0"/>
                <w:i w:val="0"/>
                <w:sz w:val="22"/>
              </w:rPr>
              <w:t>Impact assessments prioritise gaps by scope and risk, and drive the remediation roadmap. Some gaps require new scenarios; others require data infrastructure investment before a scenario can be built.</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7.1 — Coverage Assessment for Northgate  [Advanced]</w:t>
            </w:r>
          </w:p>
          <w:p>
            <w:pPr>
              <w:spacing w:lineRule="auto" w:line="312" w:before="20" w:after="40"/>
              <w:ind w:left="113"/>
            </w:pPr>
            <w:r>
              <w:rPr>
                <w:rFonts w:ascii="Times New Roman" w:hAnsi="Times New Roman"/>
                <w:b w:val="0"/>
                <w:i w:val="0"/>
                <w:sz w:val="22"/>
              </w:rPr>
              <w:t>Recap: In Exercise 6.1 you calibrated the threshold for the Northgate structuring scenario. Now assess whether the full three-rule scenario set provides adequate coverage of the structuring typology.</w:t>
            </w:r>
          </w:p>
          <w:p>
            <w:pPr>
              <w:spacing w:lineRule="auto" w:line="312" w:before="20" w:after="40"/>
              <w:ind w:left="113"/>
            </w:pPr>
            <w:r>
              <w:rPr>
                <w:rFonts w:ascii="Times New Roman" w:hAnsi="Times New Roman"/>
                <w:b w:val="0"/>
                <w:i w:val="0"/>
                <w:sz w:val="22"/>
              </w:rPr>
              <w:t>Colab Extension: Section 7.8 introduced Rule 3 (apply_rule_3). The Chapter 7 Colab notebook pre-loads all three rules and the nb_counterparties dataset. Cell 1 runs all three rules and produces a combined alert table. Part A asks you to map these three rules against the FFIEC red flag list. Part D asks you to design a fourth rule of your own that closes one remaining gap.</w:t>
            </w:r>
          </w:p>
        </w:tc>
      </w:tr>
    </w:tbl>
    <w:p>
      <w:pPr>
        <w:spacing w:lineRule="auto" w:line="240" w:before="0" w:after="8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A — Coverage Matrix (Three Rules): Using the eight FFIEC structuring red flags in Section 7.3, map Rules 1, 2, and 3 against each red flag. Record: which red flags are covered by at least one rule? Which remain uncovered? Identify the two highest-risk uncovered red flags and propose — in one sentence each — the scenario that would address them.</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B — NLP Extraction: If you have not already installed spaCy, run the following two commands in your terminal before starting this exercise: pip install spacy followed by python -m spacy download en_core_web_sm. Write a Python function that takes any paragraph of regulatory text as input and returns a deduplicated list of candidate red flag noun phrases using spaCy. Apply it to the following FFIEC paragraph:</w:t>
            </w:r>
          </w:p>
          <w:p>
            <w:pPr>
              <w:spacing w:lineRule="auto" w:line="312" w:before="20" w:after="40"/>
              <w:ind w:left="170"/>
            </w:pPr>
            <w:r>
              <w:rPr>
                <w:rFonts w:ascii="Times New Roman" w:hAnsi="Times New Roman"/>
                <w:b w:val="0"/>
                <w:i w:val="0"/>
                <w:sz w:val="22"/>
              </w:rPr>
              <w:t>'Individuals who make multiple cash deposits on the same day, particularly at different branch locations, or who appear nervous and unfamiliar with the account holder, may be engaged in structuring to evade Currency Transaction Report requirements.'</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C — Impact Assessment: For the 'multiple individuals, same account' gap identified in Section 7.4, write a structured impact assessment covering: estimated scope (use the Chapter 5 dataset — how many accounts have more than 3 distinct cash depositors?), risk rating with justification, proposed new scenario specification, and interim control recommendation.</w:t>
            </w:r>
          </w:p>
          <w:p>
            <w:pPr>
              <w:spacing w:lineRule="auto" w:line="312" w:before="20" w:after="40"/>
              <w:ind w:left="170"/>
            </w:pPr>
            <w:r>
              <w:rPr>
                <w:rFonts w:ascii="Times New Roman" w:hAnsi="Times New Roman"/>
                <w:b w:val="0"/>
                <w:i w:val="0"/>
                <w:sz w:val="22"/>
              </w:rPr>
              <w:t>See the Instructor's Solutions Manual for worked answers. In Chapter 8, we apply machine learning triage to the alert population this scenario set generates.</w:t>
            </w:r>
          </w:p>
        </w:tc>
      </w:tr>
    </w:tbl>
    <w:p>
      <w:pPr>
        <w:spacing w:lineRule="auto" w:line="240" w:before="0" w:after="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7.2 — Meridian Trading Ltd: NLP on Trade Documents  [Applied / Out-of-the-Box]</w:t>
            </w:r>
          </w:p>
          <w:p>
            <w:pPr>
              <w:spacing w:lineRule="auto" w:line="312" w:before="20" w:after="40"/>
              <w:ind w:left="113"/>
            </w:pPr>
            <w:r>
              <w:rPr>
                <w:rFonts w:ascii="Times New Roman" w:hAnsi="Times New Roman"/>
                <w:b w:val="0"/>
                <w:i w:val="0"/>
                <w:sz w:val="22"/>
              </w:rPr>
              <w:t>We continue with Meridian Trading Ltd. You have applied NLP to Northgate's short transaction narratives (Part B). Now apply it to a qualitatively different text type: Meridian's invoice goods descriptions. Meridian's invoices describe shipments of 'industrial compressors, model XC-1200, CIF Rotterdam', 'precision measurement equipment, HS 9026, FOB Shanghai', and 'hydraulic cylinder assemblies, non-standard specification, DDU Gdańsk'. Unlike transaction narratives, these descriptions are longer, more technical, and contain standardised trade terminology (Incoterms, HS codes) alongside ambiguous commodity names.</w:t>
            </w:r>
          </w:p>
          <w:p>
            <w:pPr>
              <w:spacing w:lineRule="auto" w:line="312" w:before="20" w:after="40"/>
              <w:ind w:left="113"/>
            </w:pPr>
            <w:r>
              <w:rPr>
                <w:rFonts w:ascii="Times New Roman" w:hAnsi="Times New Roman"/>
                <w:b w:val="0"/>
                <w:i w:val="0"/>
                <w:sz w:val="22"/>
              </w:rPr>
              <w:t>Adapt the spaCy NLP function from Part B to extract: (a) commodity noun phrases, (b) trade route information (origin/destination place names using NER LOCATION tags), and (c) any HS codes or model numbers present. Apply it to the three Meridian invoice descriptions above. What does the output tell you that a simple keyword search would not?</w:t>
            </w:r>
          </w:p>
          <w:p>
            <w:pPr>
              <w:spacing w:lineRule="auto" w:line="312" w:before="20" w:after="40"/>
              <w:ind w:left="113"/>
            </w:pPr>
            <w:r>
              <w:rPr>
                <w:rFonts w:ascii="Times New Roman" w:hAnsi="Times New Roman"/>
                <w:b w:val="0"/>
                <w:i w:val="0"/>
                <w:sz w:val="22"/>
              </w:rPr>
              <w:t>The commodity description 'non-standard specification' in one of Meridian's invoices is a TBML red flag — it prevents commodity price benchmarking by making the item unique. How would you modify the NLP pipeline to flag descriptions that contain trade-opacity indicators (e.g., 'non-standard', 'custom design', 'prototype', 'modified')? Write the additional extraction logic.</w:t>
            </w:r>
          </w:p>
          <w:p>
            <w:pPr>
              <w:spacing w:lineRule="auto" w:line="312" w:before="20" w:after="40"/>
              <w:ind w:left="113"/>
            </w:pPr>
            <w:r>
              <w:rPr>
                <w:rFonts w:ascii="Times New Roman" w:hAnsi="Times New Roman"/>
                <w:b w:val="0"/>
                <w:i w:val="0"/>
                <w:sz w:val="22"/>
              </w:rPr>
              <w:t>Compare the NLP challenges in Northgate's transaction narratives versus Meridian's invoice descriptions on four dimensions: (a) text length and vocabulary, (b) presence of structured vs. free-text fields, (c) language ambiguity, and (d) regulatory relevance of extracted entities. What does this comparison imply about whether a single NLP pipeline can serve both retail and commercial TM monitoring?</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7.3 — Project Sentinel: LLM-Assisted SAR Drafting  [Synthesis / Stretch]</w:t>
            </w:r>
          </w:p>
          <w:p>
            <w:pPr>
              <w:spacing w:lineRule="auto" w:line="312" w:before="20" w:after="40"/>
              <w:ind w:left="113"/>
            </w:pPr>
            <w:r>
              <w:rPr>
                <w:rFonts w:ascii="Times New Roman" w:hAnsi="Times New Roman"/>
                <w:b w:val="0"/>
                <w:i w:val="0"/>
                <w:sz w:val="22"/>
              </w:rPr>
              <w:t>LINK-CROSS-001 has fired. The analyst has confirmed both NRB-STRUCT-001 (six Northgate Accounts) and TBML-INVOICE-001 (Meridian) are active. The investigation has revealed that the six Northgate mule accounts and Meridian's two directors share overlapping beneficial ownership. The case is now a combined investigation touching retail structuring, trade-based money laundering, and beneficial ownership concealment. The analyst must draft a SAR that covers all three typologies coherently. Write a prompt for a hypothetical LLM-assisted SAR drafting tool — following the guidance in Section 7.6.3 — that would produce a SAR narrative meeting the NCA's quality expectations.</w:t>
            </w:r>
          </w:p>
          <w:p>
            <w:pPr>
              <w:spacing w:lineRule="auto" w:line="312" w:before="20" w:after="40"/>
              <w:ind w:left="113"/>
            </w:pPr>
            <w:r>
              <w:rPr>
                <w:rFonts w:ascii="Times New Roman" w:hAnsi="Times New Roman"/>
                <w:b w:val="0"/>
                <w:i w:val="0"/>
                <w:sz w:val="22"/>
              </w:rPr>
              <w:t>Write the prompt. Your prompt must specify: the role the LLM should adopt, the facts it should incorporate (drawn from the Northgate and Meridian scenario data accumulated across Chapters 1–7), the structure of the SAR narrative it should produce (opening, body, typology identification, action taken), and any content it must explicitly not generate (for example, speculation about outcomes or legal conclusions).</w:t>
            </w:r>
          </w:p>
          <w:p>
            <w:pPr>
              <w:spacing w:lineRule="auto" w:line="312" w:before="20" w:after="40"/>
              <w:ind w:left="113"/>
            </w:pPr>
            <w:r>
              <w:rPr>
                <w:rFonts w:ascii="Times New Roman" w:hAnsi="Times New Roman"/>
                <w:b w:val="0"/>
                <w:i w:val="0"/>
                <w:sz w:val="22"/>
              </w:rPr>
              <w:t>Under SR 26-2 (US) and PRA SS1/23 (UK), the use of a generative AI model to produce regulatory submissions is a model governance event — not merely a productivity tool. Write a 150-word governance note that Project Sentinel's model risk manager could include in the model inventory entry for the LLM-assisted SAR drafting tool. Your note must address: model purpose, the human review requirement, the key model limitation (hallucination risk in a regulatory context), and the sign-off process.</w:t>
            </w:r>
          </w:p>
          <w:p>
            <w:pPr>
              <w:spacing w:lineRule="auto" w:line="312" w:before="20" w:after="40"/>
              <w:ind w:left="113"/>
            </w:pPr>
            <w:r>
              <w:rPr>
                <w:rFonts w:ascii="Times New Roman" w:hAnsi="Times New Roman"/>
                <w:b w:val="0"/>
                <w:i w:val="0"/>
                <w:sz w:val="22"/>
              </w:rPr>
              <w:t>In Chapter 8, ML triage is applied to the alert population this scenario set generates. The combined Northgate/Meridian alert will be among the highest-priority outputs.</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The FFIEC BSA/AML Examination Manual, Section 7 ('Suspicious Activity Reporting') sets out the US examiner's standard for SAR quality. [AUTHOR FLAG: The original text cited 'FinCEN's Financial Crime Guide FCG 3.2' as the UK equivalent — FCG 3.2 is not a recognised document identifier for any regulatory authority. The UK equivalent is NCA SAR guidance or JMLSG Part I §6. Please confirm the intended reference and replace with the correct document name and URL.] Identify three requirements that are present in one jurisdiction's standard but absent or less prescriptive in the other.</w:t>
      </w:r>
    </w:p>
    <w:p>
      <w:pPr>
        <w:pStyle w:val="ListBullet"/>
        <w:spacing w:lineRule="auto" w:line="360" w:before="0" w:after="60"/>
      </w:pPr>
      <w:r>
        <w:rPr>
          <w:rFonts w:ascii="Times New Roman" w:hAnsi="Times New Roman"/>
          <w:b w:val="0"/>
          <w:i w:val="0"/>
          <w:sz w:val="24"/>
        </w:rPr>
        <w:t>Read the NCA's 'SARs in Action' series (available at nationalcrimeagency.gov.uk). These case studies describe how SARs filed by UK banks have contributed to criminal convictions. Select one case study that involves trade-based money laundering and identify: what transaction monitoring flag triggered the SAR, what additional investigation the bank conducted, and what information in the SAR was decisive for law enforcement.</w:t>
      </w:r>
    </w:p>
    <w:p>
      <w:pPr>
        <w:pStyle w:val="ListBullet"/>
        <w:spacing w:lineRule="auto" w:line="360" w:before="0" w:after="60"/>
      </w:pPr>
      <w:r>
        <w:rPr>
          <w:rFonts w:ascii="Times New Roman" w:hAnsi="Times New Roman"/>
          <w:b w:val="0"/>
          <w:i w:val="0"/>
          <w:sz w:val="24"/>
        </w:rPr>
        <w:t>Research Question: 'Coverage bias' in a Transaction Monitoring Framework means that certain money laundering typologies are systematically underdetected — not because they are rare, but because the programme was not designed to detect them. Review the FATF's 2021 report 'Opportunities and Challenges of New Technologies for AML/CFT'. Which three typologies does the FATF identify as most systematically underdetected in current TM programmes, and what technological approach does it propose for each?</w:t>
      </w:r>
    </w:p>
    <w:p>
      <w:pPr>
        <w:pStyle w:val="ListBullet"/>
        <w:spacing w:lineRule="auto" w:line="360" w:before="0" w:after="60"/>
      </w:pPr>
      <w:r>
        <w:rPr>
          <w:rFonts w:ascii="Times New Roman" w:hAnsi="Times New Roman"/>
          <w:b w:val="0"/>
          <w:i w:val="0"/>
          <w:sz w:val="24"/>
        </w:rPr>
        <w:t>Design challenge: Write a one-page 'typology gap register' for the Northgate programme as it stands at the end of Chapter 7 (NRB-STRUCT-001 + TBML-INVOICE-001 + LINK-CROSS-001). Format: Typology | FATF Reference | Coverage Status (Detected / Partially Detected / Not Detected) | Gap Risk Rating | Proposed Remediation. Include at least six typologies.</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FFIEC (2021) BSA/AML Examination Manual. FFIEC, Arlington VA.</w:t>
      </w:r>
    </w:p>
    <w:p>
      <w:pPr>
        <w:pStyle w:val="ListBullet"/>
        <w:spacing w:lineRule="auto" w:line="288" w:before="0" w:after="80"/>
      </w:pPr>
      <w:r>
        <w:rPr>
          <w:rFonts w:ascii="Times New Roman" w:hAnsi="Times New Roman"/>
          <w:b w:val="0"/>
          <w:i w:val="0"/>
          <w:sz w:val="22"/>
        </w:rPr>
        <w:t>Basel Committee (2016) Sound management of risks related to ML and FT. BIS, Basel.</w:t>
      </w:r>
    </w:p>
    <w:p>
      <w:pPr>
        <w:pStyle w:val="ListBullet"/>
        <w:spacing w:lineRule="auto" w:line="288" w:before="0" w:after="80"/>
      </w:pPr>
      <w:r>
        <w:rPr>
          <w:rFonts w:ascii="Times New Roman" w:hAnsi="Times New Roman"/>
          <w:b w:val="0"/>
          <w:i w:val="0"/>
          <w:sz w:val="22"/>
        </w:rPr>
        <w:t>FATF (2020) Guidance for a Risk-Based Approach: Virtual Assets. FATF, Paris.</w:t>
      </w:r>
    </w:p>
    <w:p>
      <w:r>
        <w:br w:type="page"/>
      </w:r>
    </w:p>
    <w:p>
      <w:pPr>
        <w:pStyle w:val="Heading1"/>
      </w:pPr>
      <w:r>
        <w:rPr>
          <w:rFonts w:ascii="Times New Roman" w:hAnsi="Times New Roman"/>
        </w:rPr>
        <w:t>Chapter 8: Alert Triage and Machine Learning</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Machine learning is introduced as a triage layer: not a replacement for rule-based detection, but a prioritisation mechanism. Isolation Forest is applied across all 392 accounts triggering the three Northgate rules; all six mule accounts rank 1–6 by anomaly score. The chapter closes with a governance framework for deploying ML in a regulated compliance environment.</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Machine learning triage · Isolation Forest · Anomaly detection · Alert prioritisation · ML governance · Explainability</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8.1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Identify the main sources of noise and false positives in TM alert populations and explain their operational impact.</w:t>
            </w:r>
          </w:p>
          <w:p>
            <w:pPr>
              <w:spacing w:lineRule="auto" w:line="312" w:before="20" w:after="40"/>
              <w:ind w:left="113"/>
            </w:pPr>
            <w:r>
              <w:rPr>
                <w:rFonts w:ascii="Times New Roman" w:hAnsi="Times New Roman"/>
                <w:b w:val="0"/>
                <w:i w:val="0"/>
                <w:sz w:val="22"/>
              </w:rPr>
              <w:t>Describe the alert lifecycle — hibernation, escalation, and expiration — and the criteria governing each transition.</w:t>
            </w:r>
          </w:p>
          <w:p>
            <w:pPr>
              <w:spacing w:lineRule="auto" w:line="312" w:before="20" w:after="40"/>
              <w:ind w:left="113"/>
            </w:pPr>
            <w:r>
              <w:rPr>
                <w:rFonts w:ascii="Times New Roman" w:hAnsi="Times New Roman"/>
                <w:b w:val="0"/>
                <w:i w:val="0"/>
                <w:sz w:val="22"/>
              </w:rPr>
              <w:t>Apply Isolation Forest to score and rank a TM alert population by anomalousness.</w:t>
            </w:r>
          </w:p>
          <w:p>
            <w:pPr>
              <w:spacing w:lineRule="auto" w:line="312" w:before="20" w:after="40"/>
              <w:ind w:left="113"/>
            </w:pPr>
            <w:r>
              <w:rPr>
                <w:rFonts w:ascii="Times New Roman" w:hAnsi="Times New Roman"/>
                <w:b w:val="0"/>
                <w:i w:val="0"/>
                <w:sz w:val="22"/>
              </w:rPr>
              <w:t>Compare ML-based triage to rule-based triage on the Northgate alert population and explain the trade-offs.</w:t>
            </w:r>
          </w:p>
        </w:tc>
      </w:tr>
    </w:tbl>
    <w:p>
      <w:pPr>
        <w:spacing w:lineRule="auto" w:line="240" w:before="0" w:after="160"/>
      </w:pPr>
    </w:p>
    <w:p>
      <w:pPr>
        <w:pStyle w:val="Heading2"/>
      </w:pPr>
      <w:r>
        <w:rPr>
          <w:rFonts w:ascii="Times New Roman" w:hAnsi="Times New Roman"/>
        </w:rPr>
        <w:t>8.1 Business Context: Alert Volume Is the Operational Problem</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8.2  </w:t>
            </w:r>
            <w:r>
              <w:rPr>
                <w:rFonts w:ascii="Times New Roman" w:hAnsi="Times New Roman"/>
                <w:b/>
                <w:i/>
                <w:sz w:val="22"/>
              </w:rPr>
              <w:t>Terminology Note — Alert Triage vs Event Triage</w:t>
            </w:r>
          </w:p>
          <w:p>
            <w:pPr>
              <w:spacing w:lineRule="auto" w:line="312" w:before="20" w:after="40"/>
              <w:ind w:left="113"/>
            </w:pPr>
            <w:r>
              <w:rPr>
                <w:rFonts w:ascii="Times New Roman" w:hAnsi="Times New Roman"/>
                <w:b w:val="0"/>
                <w:i w:val="0"/>
                <w:sz w:val="22"/>
              </w:rPr>
              <w:t>This chapter is titled 'Alert Triage' because it focuses on scoring and ranking alerts — discrete outputs of the TM system — before they reach an analyst. The frontier of AML analytics also includes event triage, which operates at an earlier stage: scoring individual transactions or events before they are aggregated into alerts, enabling the system to suppress low-risk events before they ever generate alert volume. The distinction matters architecturally. Alert triage reduces the analyst's queue; event triage reduces the queue before it forms. Both are addressed in the Knowledge Document's frontier model (Entity Consolidation + Unsupervised ML + Graph/Network Analysis + Event Triage). This chapter focuses on alert triage using unsupervised ML; event-level and graph-level techniques are introduced in Chapter 10.</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Transaction monitoring generates alerts. That is what it is designed to do. The structural challenge is that, at most institutions, the large majority of those alerts do not result in a SAR. Alert noise rates vary significantly by scenario, threshold, segmentation, and data quality — see Chapter 6 §6.3 for the analytical treatment. What the frequently cited high-noise-rate statistics capture is a real phenomenon: at most institutions, the majority of analyst time is spent on alerts that do not ultimately warrant a SAR. The precise rate is institution-specific, not an industry constant.</w:t>
      </w:r>
    </w:p>
    <w:p>
      <w:pPr>
        <w:pStyle w:val="BodyText"/>
        <w:spacing w:lineRule="auto" w:line="360" w:before="0" w:after="120"/>
        <w:ind w:firstLine="283"/>
      </w:pPr>
      <w:r>
        <w:rPr>
          <w:rFonts w:ascii="Times New Roman" w:hAnsi="Times New Roman"/>
          <w:b w:val="0"/>
          <w:i w:val="0"/>
          <w:sz w:val="24"/>
        </w:rPr>
        <w:t>The question is not what the number is, but why it is so high — and what the institution is doing about it. Chapters 5 and 6 addressed two of the main causes: poor segmentation and threshold miscalibration. This chapter addresses the operational symptom: a queue of alerts that arrives faster than analysts can review them with the diligence each case deserves.</w:t>
      </w:r>
    </w:p>
    <w:p>
      <w:pPr>
        <w:pStyle w:val="BodyText"/>
        <w:spacing w:lineRule="auto" w:line="360" w:before="0" w:after="120"/>
        <w:ind w:firstLine="283"/>
      </w:pPr>
      <w:r>
        <w:rPr>
          <w:rFonts w:ascii="Times New Roman" w:hAnsi="Times New Roman"/>
          <w:b w:val="0"/>
          <w:i w:val="0"/>
          <w:sz w:val="24"/>
        </w:rPr>
        <w:t>A bank with a million active accounts and ten monitoring scenarios might generate 5,000 alerts per month. If most are not SAR-worthy, analysts spend the vast majority of their time reviewing transactions that have nothing to do with money laundering — while the alerts that do matter are buried in the queue. Machine learning triage addresses this by scoring and ranking alerts before they reach an analyst, surfacing the most anomalous cases to the top of the queue so that analysts work in order of priority rather than in order of arrival. This chapter explains how to build such a model and — equally important — what its limitations are.</w:t>
      </w:r>
    </w:p>
    <w:p>
      <w:pPr>
        <w:pStyle w:val="Heading2"/>
      </w:pPr>
      <w:r>
        <w:rPr>
          <w:rFonts w:ascii="Times New Roman" w:hAnsi="Times New Roman"/>
        </w:rPr>
        <w:t>8.2 Sources of Noise and False Positives</w:t>
      </w:r>
    </w:p>
    <w:p>
      <w:pPr>
        <w:pStyle w:val="BodyText"/>
        <w:spacing w:lineRule="auto" w:line="360" w:before="0" w:after="120"/>
        <w:ind w:firstLine="283"/>
      </w:pPr>
      <w:r>
        <w:rPr>
          <w:rFonts w:ascii="Times New Roman" w:hAnsi="Times New Roman"/>
          <w:b w:val="0"/>
          <w:i w:val="0"/>
          <w:sz w:val="24"/>
        </w:rPr>
        <w:t>Understanding where false positives come from is the first step to reducing them. The main sources are:</w:t>
      </w:r>
    </w:p>
    <w:p>
      <w:pPr>
        <w:pStyle w:val="ListBullet"/>
        <w:spacing w:lineRule="auto" w:line="360" w:before="0" w:after="60"/>
      </w:pPr>
      <w:r>
        <w:rPr>
          <w:rFonts w:ascii="Times New Roman" w:hAnsi="Times New Roman"/>
          <w:b w:val="0"/>
          <w:i w:val="0"/>
          <w:sz w:val="24"/>
        </w:rPr>
        <w:t>Threshold miscalibration: The most common cause. A threshold set too low — because analysts want to avoid missing anything — generates enormous volumes of alerts for legitimate behaviour. Chapter 6 addressed this directly through hypergeometric sampling and responsiveness analysis.</w:t>
      </w:r>
    </w:p>
    <w:p>
      <w:pPr>
        <w:pStyle w:val="ListBullet"/>
        <w:spacing w:lineRule="auto" w:line="360" w:before="0" w:after="60"/>
      </w:pPr>
      <w:r>
        <w:rPr>
          <w:rFonts w:ascii="Times New Roman" w:hAnsi="Times New Roman"/>
          <w:b w:val="0"/>
          <w:i w:val="0"/>
          <w:sz w:val="24"/>
        </w:rPr>
        <w:t>Segmentation mismatch: A customer monitored against the wrong peer group will be flagged for behaviour that is normal for their actual profile. A business account monitored against personal account thresholds will generate alerts for every normal transaction. Chapter 5 addressed this through segmentation.</w:t>
      </w:r>
    </w:p>
    <w:p>
      <w:pPr>
        <w:pStyle w:val="ListBullet"/>
        <w:spacing w:lineRule="auto" w:line="360" w:before="0" w:after="60"/>
      </w:pPr>
      <w:r>
        <w:rPr>
          <w:rFonts w:ascii="Times New Roman" w:hAnsi="Times New Roman"/>
          <w:b w:val="0"/>
          <w:i w:val="0"/>
          <w:sz w:val="24"/>
        </w:rPr>
        <w:t>Data quality errors: Miscoded transaction types, missing merchant category codes, duplicated records, and incorrect account flags all generate spurious alerts. A missing merchant category code is not random noise — it tells you something about the data pipeline. The triage model should treat missing values as informative rather than as gaps to be imputed away: a 'No Data is Bad Data' principle applied to the alert population. A scenario that fires because a field is missing has identified a data quality problem, not a suspicious customer. The only structural remedy is upstream data quality; the triage model can flag DQ-driven alerts for routing to a data remediation workflow rather than an analyst queue. Data quality is addressed further in Chapter 9.</w:t>
      </w:r>
    </w:p>
    <w:p>
      <w:pPr>
        <w:pStyle w:val="ListBullet"/>
        <w:spacing w:lineRule="auto" w:line="360" w:before="0" w:after="60"/>
      </w:pPr>
      <w:r>
        <w:rPr>
          <w:rFonts w:ascii="Times New Roman" w:hAnsi="Times New Roman"/>
          <w:b w:val="0"/>
          <w:i w:val="0"/>
          <w:sz w:val="24"/>
        </w:rPr>
        <w:t>Legitimate but unusual behaviour: Customers whose behaviour is genuinely unusual — seasonal workers, event organisers, people who have recently changed financial circumstances — may generate alerts that are explainable but require investigation time to resolve.</w:t>
      </w:r>
    </w:p>
    <w:p>
      <w:pPr>
        <w:pStyle w:val="ListBullet"/>
        <w:spacing w:lineRule="auto" w:line="360" w:before="0" w:after="60"/>
      </w:pPr>
      <w:r>
        <w:rPr>
          <w:rFonts w:ascii="Times New Roman" w:hAnsi="Times New Roman"/>
          <w:b w:val="0"/>
          <w:i w:val="0"/>
          <w:sz w:val="24"/>
        </w:rPr>
        <w:t>Scenario design weaknesses: Scenarios that do not incorporate context — account age, customer type, relationship history — alert on superficial patterns that an experienced analyst would dismiss in seconds. Better scenario design reduces this, but ML triage is a more scalable solution.</w:t>
      </w:r>
    </w:p>
    <w:p>
      <w:pPr>
        <w:pStyle w:val="Heading2"/>
      </w:pPr>
      <w:r>
        <w:rPr>
          <w:rFonts w:ascii="Times New Roman" w:hAnsi="Times New Roman"/>
        </w:rPr>
        <w:t>8.3 The Alert Lifecycle</w:t>
      </w:r>
    </w:p>
    <w:p>
      <w:pPr>
        <w:pStyle w:val="BodyText"/>
        <w:spacing w:lineRule="auto" w:line="360" w:before="0" w:after="120"/>
        <w:ind w:firstLine="283"/>
      </w:pPr>
      <w:r>
        <w:rPr>
          <w:rFonts w:ascii="Times New Roman" w:hAnsi="Times New Roman"/>
          <w:b w:val="0"/>
          <w:i w:val="0"/>
          <w:sz w:val="24"/>
        </w:rPr>
        <w:t>Not every alert needs to be reviewed immediately. The alert lifecycle manages the flow of alerts through the system, ensuring that analyst time is allocated to the most time-sensitive and most suspicious cases. The conclusion of each review stage is a disposition — a documented decision, with reasons and evidence, determining whether the alert or case is suspicious. The disposition is the audit record of the analyst's judgement; it must be specific enough to withstand regulatory scrutiny.</w:t>
      </w:r>
    </w:p>
    <w:p>
      <w:pPr>
        <w:spacing w:lineRule="auto" w:line="240" w:before="60" w:after="120"/>
        <w:ind w:firstLine="0"/>
        <w:jc w:val="left"/>
      </w:pPr>
      <w:r>
        <w:rPr>
          <w:rFonts w:ascii="Times New Roman" w:hAnsi="Times New Roman"/>
          <w:b w:val="0"/>
          <w:i/>
          <w:sz w:val="20"/>
        </w:rPr>
        <w:t>Table 8.1  Status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Status</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Criteria</w:t>
            </w:r>
          </w:p>
        </w:tc>
      </w:tr>
      <w:tr>
        <w:tc>
          <w:tcPr>
            <w:tcW w:w="3024" w:type="dxa"/>
          </w:tcPr>
          <w:p>
            <w:pPr>
              <w:spacing w:lineRule="auto" w:line="288" w:before="60" w:after="60"/>
              <w:ind w:left="57" w:right="57"/>
            </w:pPr>
            <w:r>
              <w:rPr>
                <w:rFonts w:ascii="Times New Roman" w:hAnsi="Times New Roman"/>
                <w:b w:val="0"/>
                <w:i w:val="0"/>
                <w:sz w:val="20"/>
              </w:rPr>
              <w:t>New</w:t>
            </w:r>
          </w:p>
        </w:tc>
        <w:tc>
          <w:tcPr>
            <w:tcW w:w="3024" w:type="dxa"/>
          </w:tcPr>
          <w:p>
            <w:pPr>
              <w:spacing w:lineRule="auto" w:line="288" w:before="60" w:after="60"/>
              <w:ind w:left="57" w:right="57"/>
            </w:pPr>
            <w:r>
              <w:rPr>
                <w:rFonts w:ascii="Times New Roman" w:hAnsi="Times New Roman"/>
                <w:b w:val="0"/>
                <w:i w:val="0"/>
                <w:sz w:val="20"/>
              </w:rPr>
              <w:t>Alert has been generated by the TM system and is awaiting initial review.</w:t>
            </w:r>
          </w:p>
        </w:tc>
        <w:tc>
          <w:tcPr>
            <w:tcW w:w="3024" w:type="dxa"/>
          </w:tcPr>
          <w:p>
            <w:pPr>
              <w:spacing w:lineRule="auto" w:line="288" w:before="60" w:after="60"/>
              <w:ind w:left="57" w:right="57"/>
            </w:pPr>
            <w:r>
              <w:rPr>
                <w:rFonts w:ascii="Times New Roman" w:hAnsi="Times New Roman"/>
                <w:b w:val="0"/>
                <w:i w:val="0"/>
                <w:sz w:val="20"/>
              </w:rPr>
              <w:t>All alerts begin here.</w:t>
            </w:r>
          </w:p>
        </w:tc>
      </w:tr>
      <w:tr>
        <w:tc>
          <w:tcPr>
            <w:tcW w:w="3024" w:type="dxa"/>
          </w:tcPr>
          <w:p>
            <w:pPr>
              <w:spacing w:lineRule="auto" w:line="288" w:before="60" w:after="60"/>
              <w:ind w:left="57" w:right="57"/>
            </w:pPr>
            <w:r>
              <w:rPr>
                <w:rFonts w:ascii="Times New Roman" w:hAnsi="Times New Roman"/>
                <w:b w:val="0"/>
                <w:i w:val="0"/>
                <w:sz w:val="20"/>
              </w:rPr>
              <w:t>In Review (L1)</w:t>
            </w:r>
          </w:p>
        </w:tc>
        <w:tc>
          <w:tcPr>
            <w:tcW w:w="3024" w:type="dxa"/>
          </w:tcPr>
          <w:p>
            <w:pPr>
              <w:spacing w:lineRule="auto" w:line="288" w:before="60" w:after="60"/>
              <w:ind w:left="57" w:right="57"/>
            </w:pPr>
            <w:r>
              <w:rPr>
                <w:rFonts w:ascii="Times New Roman" w:hAnsi="Times New Roman"/>
                <w:b w:val="0"/>
                <w:i w:val="0"/>
                <w:sz w:val="20"/>
              </w:rPr>
              <w:t>Alert is being assessed by a first-line analyst to determine whether it warrants escalation.</w:t>
            </w:r>
          </w:p>
        </w:tc>
        <w:tc>
          <w:tcPr>
            <w:tcW w:w="3024" w:type="dxa"/>
          </w:tcPr>
          <w:p>
            <w:pPr>
              <w:spacing w:lineRule="auto" w:line="288" w:before="60" w:after="60"/>
              <w:ind w:left="57" w:right="57"/>
            </w:pPr>
            <w:r>
              <w:rPr>
                <w:rFonts w:ascii="Times New Roman" w:hAnsi="Times New Roman"/>
                <w:b w:val="0"/>
                <w:i w:val="0"/>
                <w:sz w:val="20"/>
              </w:rPr>
              <w:t>Assigned from the New queue, typically by priority score.</w:t>
            </w:r>
          </w:p>
        </w:tc>
      </w:tr>
      <w:tr>
        <w:tc>
          <w:tcPr>
            <w:tcW w:w="3024" w:type="dxa"/>
          </w:tcPr>
          <w:p>
            <w:pPr>
              <w:spacing w:lineRule="auto" w:line="288" w:before="60" w:after="60"/>
              <w:ind w:left="57" w:right="57"/>
            </w:pPr>
            <w:r>
              <w:rPr>
                <w:rFonts w:ascii="Times New Roman" w:hAnsi="Times New Roman"/>
                <w:b w:val="0"/>
                <w:i w:val="0"/>
                <w:sz w:val="20"/>
              </w:rPr>
              <w:t>Hibernated</w:t>
            </w:r>
          </w:p>
        </w:tc>
        <w:tc>
          <w:tcPr>
            <w:tcW w:w="3024" w:type="dxa"/>
          </w:tcPr>
          <w:p>
            <w:pPr>
              <w:spacing w:lineRule="auto" w:line="288" w:before="60" w:after="60"/>
              <w:ind w:left="57" w:right="57"/>
            </w:pPr>
            <w:r>
              <w:rPr>
                <w:rFonts w:ascii="Times New Roman" w:hAnsi="Times New Roman"/>
                <w:b w:val="0"/>
                <w:i w:val="0"/>
                <w:sz w:val="20"/>
              </w:rPr>
              <w:t>Alert has been deferred because additional information is expected (e.g., a pending customer response, a batch data feed, or a related alert still being investigated).</w:t>
            </w:r>
          </w:p>
        </w:tc>
        <w:tc>
          <w:tcPr>
            <w:tcW w:w="3024" w:type="dxa"/>
          </w:tcPr>
          <w:p>
            <w:pPr>
              <w:spacing w:lineRule="auto" w:line="288" w:before="60" w:after="60"/>
              <w:ind w:left="57" w:right="57"/>
            </w:pPr>
            <w:r>
              <w:rPr>
                <w:rFonts w:ascii="Times New Roman" w:hAnsi="Times New Roman"/>
                <w:b w:val="0"/>
                <w:i w:val="0"/>
                <w:sz w:val="20"/>
              </w:rPr>
              <w:t>L1 analyst determines that the alert cannot be fairly assessed without further data.</w:t>
            </w:r>
          </w:p>
        </w:tc>
      </w:tr>
      <w:tr>
        <w:tc>
          <w:tcPr>
            <w:tcW w:w="3024" w:type="dxa"/>
          </w:tcPr>
          <w:p>
            <w:pPr>
              <w:spacing w:lineRule="auto" w:line="288" w:before="60" w:after="60"/>
              <w:ind w:left="57" w:right="57"/>
            </w:pPr>
            <w:r>
              <w:rPr>
                <w:rFonts w:ascii="Times New Roman" w:hAnsi="Times New Roman"/>
                <w:b w:val="0"/>
                <w:i w:val="0"/>
                <w:sz w:val="20"/>
              </w:rPr>
              <w:t>Escalated (L2/L3)</w:t>
            </w:r>
          </w:p>
        </w:tc>
        <w:tc>
          <w:tcPr>
            <w:tcW w:w="3024" w:type="dxa"/>
          </w:tcPr>
          <w:p>
            <w:pPr>
              <w:spacing w:lineRule="auto" w:line="288" w:before="60" w:after="60"/>
              <w:ind w:left="57" w:right="57"/>
            </w:pPr>
            <w:r>
              <w:rPr>
                <w:rFonts w:ascii="Times New Roman" w:hAnsi="Times New Roman"/>
                <w:b w:val="0"/>
                <w:i w:val="0"/>
                <w:sz w:val="20"/>
              </w:rPr>
              <w:t>Alert has been escalated to a senior analyst or investigator for full case investigation.</w:t>
            </w:r>
          </w:p>
        </w:tc>
        <w:tc>
          <w:tcPr>
            <w:tcW w:w="3024" w:type="dxa"/>
          </w:tcPr>
          <w:p>
            <w:pPr>
              <w:spacing w:lineRule="auto" w:line="288" w:before="60" w:after="60"/>
              <w:ind w:left="57" w:right="57"/>
            </w:pPr>
            <w:r>
              <w:rPr>
                <w:rFonts w:ascii="Times New Roman" w:hAnsi="Times New Roman"/>
                <w:b w:val="0"/>
                <w:i w:val="0"/>
                <w:sz w:val="20"/>
              </w:rPr>
              <w:t>L1 analyst determines the alert is 'interesting' (L2) or 'SAR-worthy' (L3).</w:t>
            </w:r>
          </w:p>
        </w:tc>
      </w:tr>
      <w:tr>
        <w:tc>
          <w:tcPr>
            <w:tcW w:w="3024" w:type="dxa"/>
          </w:tcPr>
          <w:p>
            <w:pPr>
              <w:spacing w:lineRule="auto" w:line="288" w:before="60" w:after="60"/>
              <w:ind w:left="57" w:right="57"/>
            </w:pPr>
            <w:r>
              <w:rPr>
                <w:rFonts w:ascii="Times New Roman" w:hAnsi="Times New Roman"/>
                <w:b w:val="0"/>
                <w:i w:val="0"/>
                <w:sz w:val="20"/>
              </w:rPr>
              <w:t>Closed — No Action</w:t>
            </w:r>
          </w:p>
        </w:tc>
        <w:tc>
          <w:tcPr>
            <w:tcW w:w="3024" w:type="dxa"/>
          </w:tcPr>
          <w:p>
            <w:pPr>
              <w:spacing w:lineRule="auto" w:line="288" w:before="60" w:after="60"/>
              <w:ind w:left="57" w:right="57"/>
            </w:pPr>
            <w:r>
              <w:rPr>
                <w:rFonts w:ascii="Times New Roman" w:hAnsi="Times New Roman"/>
                <w:b w:val="0"/>
                <w:i w:val="0"/>
                <w:sz w:val="20"/>
              </w:rPr>
              <w:t>Alert reviewed and found to have a satisfactory explanation. No further action required.</w:t>
            </w:r>
          </w:p>
        </w:tc>
        <w:tc>
          <w:tcPr>
            <w:tcW w:w="3024" w:type="dxa"/>
          </w:tcPr>
          <w:p>
            <w:pPr>
              <w:spacing w:lineRule="auto" w:line="288" w:before="60" w:after="60"/>
              <w:ind w:left="57" w:right="57"/>
            </w:pPr>
            <w:r>
              <w:rPr>
                <w:rFonts w:ascii="Times New Roman" w:hAnsi="Times New Roman"/>
                <w:b w:val="0"/>
                <w:i w:val="0"/>
                <w:sz w:val="20"/>
              </w:rPr>
              <w:t>L1 disposition: not suspicious.</w:t>
            </w:r>
          </w:p>
        </w:tc>
      </w:tr>
      <w:tr>
        <w:tc>
          <w:tcPr>
            <w:tcW w:w="3024" w:type="dxa"/>
          </w:tcPr>
          <w:p>
            <w:pPr>
              <w:spacing w:lineRule="auto" w:line="288" w:before="60" w:after="60"/>
              <w:ind w:left="57" w:right="57"/>
            </w:pPr>
            <w:r>
              <w:rPr>
                <w:rFonts w:ascii="Times New Roman" w:hAnsi="Times New Roman"/>
                <w:b w:val="0"/>
                <w:i w:val="0"/>
                <w:sz w:val="20"/>
              </w:rPr>
              <w:t>Expired</w:t>
            </w:r>
          </w:p>
        </w:tc>
        <w:tc>
          <w:tcPr>
            <w:tcW w:w="3024" w:type="dxa"/>
          </w:tcPr>
          <w:p>
            <w:pPr>
              <w:spacing w:lineRule="auto" w:line="288" w:before="60" w:after="60"/>
              <w:ind w:left="57" w:right="57"/>
            </w:pPr>
            <w:r>
              <w:rPr>
                <w:rFonts w:ascii="Times New Roman" w:hAnsi="Times New Roman"/>
                <w:b w:val="0"/>
                <w:i w:val="0"/>
                <w:sz w:val="20"/>
              </w:rPr>
              <w:t>Alert has reached its maximum age without being reviewed or escalated, and the time window for effective investigation has passed.</w:t>
            </w:r>
          </w:p>
        </w:tc>
        <w:tc>
          <w:tcPr>
            <w:tcW w:w="3024" w:type="dxa"/>
          </w:tcPr>
          <w:p>
            <w:pPr>
              <w:spacing w:lineRule="auto" w:line="288" w:before="60" w:after="60"/>
              <w:ind w:left="57" w:right="57"/>
            </w:pPr>
            <w:r>
              <w:rPr>
                <w:rFonts w:ascii="Times New Roman" w:hAnsi="Times New Roman"/>
                <w:b w:val="0"/>
                <w:i w:val="0"/>
                <w:sz w:val="20"/>
              </w:rPr>
              <w:t>System-enforced age limit, typically 30–45 days for most scenarios.</w:t>
            </w:r>
          </w:p>
        </w:tc>
      </w:tr>
      <w:tr>
        <w:tc>
          <w:tcPr>
            <w:tcW w:w="3024" w:type="dxa"/>
          </w:tcPr>
          <w:p>
            <w:pPr>
              <w:spacing w:lineRule="auto" w:line="288" w:before="60" w:after="60"/>
              <w:ind w:left="57" w:right="57"/>
            </w:pPr>
            <w:r>
              <w:rPr>
                <w:rFonts w:ascii="Times New Roman" w:hAnsi="Times New Roman"/>
                <w:b w:val="0"/>
                <w:i w:val="0"/>
                <w:sz w:val="20"/>
              </w:rPr>
              <w:t>SAR Filed</w:t>
            </w:r>
          </w:p>
        </w:tc>
        <w:tc>
          <w:tcPr>
            <w:tcW w:w="3024" w:type="dxa"/>
          </w:tcPr>
          <w:p>
            <w:pPr>
              <w:spacing w:lineRule="auto" w:line="288" w:before="60" w:after="60"/>
              <w:ind w:left="57" w:right="57"/>
            </w:pPr>
            <w:r>
              <w:rPr>
                <w:rFonts w:ascii="Times New Roman" w:hAnsi="Times New Roman"/>
                <w:b w:val="0"/>
                <w:i w:val="0"/>
                <w:sz w:val="20"/>
              </w:rPr>
              <w:t>A Suspicious Activity Report has been filed as a result of the investigation.</w:t>
            </w:r>
          </w:p>
        </w:tc>
        <w:tc>
          <w:tcPr>
            <w:tcW w:w="3024" w:type="dxa"/>
          </w:tcPr>
          <w:p>
            <w:pPr>
              <w:spacing w:lineRule="auto" w:line="288" w:before="60" w:after="60"/>
              <w:ind w:left="57" w:right="57"/>
            </w:pPr>
            <w:r>
              <w:rPr>
                <w:rFonts w:ascii="Times New Roman" w:hAnsi="Times New Roman"/>
                <w:b w:val="0"/>
                <w:i w:val="0"/>
                <w:sz w:val="20"/>
              </w:rPr>
              <w:t>L3 disposition confirmed by compliance officer.</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Alert fatigue is what happens when analysts spend so much time reviewing false positives that they begin to close alerts without proper scrutiny. It is not a personal failing — it is a systemic risk that arises from poor triage and inadequate resource allocation. Regulators have specifically cited alert fatigue (from noisy alerts) as a root cause in several major AML enforcement actions.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8.3  </w:t>
            </w:r>
            <w:r>
              <w:rPr>
                <w:rFonts w:ascii="Times New Roman" w:hAnsi="Times New Roman"/>
                <w:b/>
                <w:i/>
                <w:sz w:val="22"/>
              </w:rPr>
              <w:t>Risk Perspective — Alert Expiration</w:t>
            </w:r>
          </w:p>
          <w:p>
            <w:pPr>
              <w:spacing w:lineRule="auto" w:line="312" w:before="20" w:after="40"/>
              <w:ind w:left="113"/>
            </w:pPr>
            <w:r>
              <w:rPr>
                <w:rFonts w:ascii="Times New Roman" w:hAnsi="Times New Roman"/>
                <w:b w:val="0"/>
                <w:i w:val="0"/>
                <w:sz w:val="22"/>
              </w:rPr>
              <w:t>Alert expiration is a regulatory red flag. An institution with a material population of expired alerts — alerts that aged out without review — has a structural capacity problem that cannot be defended by citing resource constraints. Examiners will ask: how many alerts expired in the review period? Which scenarios produced them? What was the estimated SAR rate in the expired population? If high-risk scenarios are producing expired alerts, the institution has, in effect, switched off its own monitoring for those customers. This finding can escalate from an operational deficiency to a supervisory concern about programme adequacy.</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8.4  </w:t>
            </w:r>
            <w:r>
              <w:rPr>
                <w:rFonts w:ascii="Times New Roman" w:hAnsi="Times New Roman"/>
                <w:b/>
                <w:i/>
                <w:sz w:val="22"/>
              </w:rPr>
              <w:t>Risk Perspective — Alert Fatigue</w:t>
            </w:r>
          </w:p>
          <w:p>
            <w:pPr>
              <w:spacing w:lineRule="auto" w:line="312" w:before="20" w:after="40"/>
              <w:ind w:left="113"/>
            </w:pPr>
            <w:r>
              <w:rPr>
                <w:rFonts w:ascii="Times New Roman" w:hAnsi="Times New Roman"/>
                <w:b w:val="0"/>
                <w:i w:val="0"/>
                <w:sz w:val="22"/>
              </w:rPr>
              <w:t>Alert fatigue is detectable. Warning signs include: rising SAR rates in escalated cases (suggesting analysts are only escalating when forced to), falling average review times (suggesting alerts are not being properly investigated), and a declining ratio of L2 escalations to L1 closures. Monitor these metrics proactively — and report them to the governance forum, not just to operations management.</w:t>
            </w:r>
          </w:p>
        </w:tc>
      </w:tr>
    </w:tbl>
    <w:p>
      <w:pPr>
        <w:spacing w:lineRule="auto" w:line="240" w:before="0" w:after="160"/>
      </w:pPr>
    </w:p>
    <w:p>
      <w:pPr>
        <w:pStyle w:val="Heading2"/>
      </w:pPr>
      <w:r>
        <w:rPr>
          <w:rFonts w:ascii="Times New Roman" w:hAnsi="Times New Roman"/>
        </w:rPr>
        <w:t>8.4 Unsupervised Machine Learning for Alert Triage</w:t>
      </w:r>
    </w:p>
    <w:p>
      <w:pPr>
        <w:pStyle w:val="BodyText"/>
        <w:spacing w:lineRule="auto" w:line="360" w:before="0" w:after="120"/>
        <w:ind w:firstLine="283"/>
      </w:pPr>
      <w:r>
        <w:rPr>
          <w:rFonts w:ascii="Times New Roman" w:hAnsi="Times New Roman"/>
          <w:b w:val="0"/>
          <w:i w:val="0"/>
          <w:sz w:val="24"/>
        </w:rPr>
        <w:t>Supervised machine learning — training a model on labelled examples of suspicious and non-suspicious alerts — is the natural first instinct for triage. The problem is labels. Confirmed SAR cases represent a tiny fraction of the total alert population, and they reflect only the suspicious activity that was detected. They tell us nothing about the activity that was missed.</w:t>
      </w:r>
    </w:p>
    <w:p>
      <w:pPr>
        <w:pStyle w:val="BodyText"/>
        <w:spacing w:lineRule="auto" w:line="360" w:before="0" w:after="120"/>
        <w:ind w:firstLine="283"/>
      </w:pPr>
      <w:r>
        <w:rPr>
          <w:rFonts w:ascii="Times New Roman" w:hAnsi="Times New Roman"/>
          <w:b w:val="0"/>
          <w:i w:val="0"/>
          <w:sz w:val="24"/>
        </w:rPr>
        <w:t>Unsupervised machine learning does not require labels. It identifies anomalies — alerts that are statistically unusual relative to the rest of the population — without needing to know in advance what 'suspicious' looks like. This is a much better fit for AML, where the ground truth is always incomplete.</w:t>
      </w:r>
    </w:p>
    <w:p>
      <w:pPr>
        <w:pStyle w:val="Heading3"/>
      </w:pPr>
      <w:r>
        <w:rPr>
          <w:rFonts w:ascii="Times New Roman" w:hAnsi="Times New Roman"/>
        </w:rPr>
        <w:t>8.4.1 Isolation Forest</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8.5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You may have encountered anomaly detection in your coursework as a problem of finding outliers in a dataset. Isolation Forest is one of the most effective algorithms for this task. It works by randomly partitioning the feature space using decision trees. Normal data points require many partitions to isolate because they are surrounded by similar points. Anomalous points are isolated in very few partitions because they are different from everything else. In AML triage, a short isolation path means a suspicious alert — the algorithm assigns it a high anomaly score, and it rises to the top of the analyst queue.</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Isolation Forest has several properties that make it particularly well-suited to AML triage:</w:t>
      </w:r>
    </w:p>
    <w:p>
      <w:pPr>
        <w:pStyle w:val="ListBullet"/>
        <w:spacing w:lineRule="auto" w:line="360" w:before="0" w:after="60"/>
      </w:pPr>
      <w:r>
        <w:rPr>
          <w:rFonts w:ascii="Times New Roman" w:hAnsi="Times New Roman"/>
          <w:b w:val="0"/>
          <w:i w:val="0"/>
          <w:sz w:val="24"/>
        </w:rPr>
        <w:t>It makes no assumptions about the distribution of the data — AML transaction features are rarely Gaussian.</w:t>
      </w:r>
    </w:p>
    <w:p>
      <w:pPr>
        <w:pStyle w:val="ListBullet"/>
        <w:spacing w:lineRule="auto" w:line="360" w:before="0" w:after="60"/>
      </w:pPr>
      <w:r>
        <w:rPr>
          <w:rFonts w:ascii="Times New Roman" w:hAnsi="Times New Roman"/>
          <w:b w:val="0"/>
          <w:i w:val="0"/>
          <w:sz w:val="24"/>
        </w:rPr>
        <w:t>It scales well to large datasets — important when an alert population may run to tens of thousands.</w:t>
      </w:r>
    </w:p>
    <w:p>
      <w:pPr>
        <w:pStyle w:val="ListBullet"/>
        <w:spacing w:lineRule="auto" w:line="360" w:before="0" w:after="60"/>
      </w:pPr>
      <w:r>
        <w:rPr>
          <w:rFonts w:ascii="Times New Roman" w:hAnsi="Times New Roman"/>
          <w:b w:val="0"/>
          <w:i w:val="0"/>
          <w:sz w:val="24"/>
        </w:rPr>
        <w:t>The contamination parameter allows the analyst to specify the expected proportion of anomalies, which maps naturally to the expected SAR rate from calibration.</w:t>
      </w:r>
    </w:p>
    <w:p>
      <w:pPr>
        <w:pStyle w:val="ListBullet"/>
        <w:spacing w:lineRule="auto" w:line="360" w:before="0" w:after="60"/>
      </w:pPr>
      <w:r>
        <w:rPr>
          <w:rFonts w:ascii="Times New Roman" w:hAnsi="Times New Roman"/>
          <w:b w:val="0"/>
          <w:i w:val="0"/>
          <w:sz w:val="24"/>
        </w:rPr>
        <w:t>Its results are relatively stable and consistent, which supports the audit trail requirements of model governance.</w:t>
      </w:r>
    </w:p>
    <w:p>
      <w:pPr>
        <w:pStyle w:val="BodyText"/>
        <w:spacing w:lineRule="auto" w:line="360" w:before="0" w:after="120"/>
        <w:ind w:firstLine="283"/>
      </w:pPr>
      <w:r>
        <w:rPr>
          <w:rFonts w:ascii="Times New Roman" w:hAnsi="Times New Roman"/>
          <w:b w:val="0"/>
          <w:i w:val="0"/>
          <w:sz w:val="24"/>
        </w:rPr>
        <w:t>The core implementation in Python is straightforward. The key decisions are: which features to include, how to handle missing values, and what contamination rate to set.</w:t>
      </w:r>
    </w:p>
    <w:p>
      <w:pPr>
        <w:spacing w:lineRule="auto" w:line="240" w:before="60" w:after="120"/>
        <w:ind w:firstLine="0"/>
        <w:jc w:val="left"/>
      </w:pPr>
      <w:r>
        <w:rPr>
          <w:rFonts w:ascii="Times New Roman" w:hAnsi="Times New Roman"/>
          <w:b w:val="0"/>
          <w:i/>
          <w:sz w:val="20"/>
        </w:rPr>
        <w:t>Listing 8.1  Code example</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0" w:after="20"/>
              <w:ind w:left="142"/>
            </w:pPr>
            <w:r>
              <w:rPr>
                <w:rFonts w:ascii="Courier New" w:hAnsi="Courier New"/>
                <w:b w:val="0"/>
                <w:i w:val="0"/>
                <w:sz w:val="18"/>
              </w:rPr>
              <w:t>library(isotree)</w:t>
            </w:r>
          </w:p>
          <w:p>
            <w:pPr>
              <w:spacing w:lineRule="auto" w:line="240" w:before="0" w:after="20"/>
              <w:ind w:left="142"/>
            </w:pPr>
            <w:r>
              <w:rPr>
                <w:rFonts w:ascii="Courier New" w:hAnsi="Courier New"/>
                <w:b w:val="0"/>
                <w:i w:val="0"/>
                <w:sz w:val="18"/>
              </w:rPr>
              <w:t>library(ggplot2)</w:t>
            </w:r>
          </w:p>
          <w:p>
            <w:pPr>
              <w:spacing w:lineRule="auto" w:line="240" w:before="0" w:after="20"/>
            </w:pPr>
          </w:p>
          <w:p>
            <w:pPr>
              <w:spacing w:lineRule="auto" w:line="240" w:before="0" w:after="20"/>
              <w:ind w:left="142"/>
            </w:pPr>
            <w:r>
              <w:rPr>
                <w:rFonts w:ascii="Courier New" w:hAnsi="Courier New"/>
                <w:b w:val="0"/>
                <w:i w:val="0"/>
                <w:sz w:val="18"/>
              </w:rPr>
              <w:t>set.seed(42)</w:t>
            </w:r>
          </w:p>
          <w:p>
            <w:pPr>
              <w:spacing w:lineRule="auto" w:line="240" w:before="0" w:after="20"/>
              <w:ind w:left="142"/>
            </w:pPr>
            <w:r>
              <w:rPr>
                <w:rFonts w:ascii="Courier New" w:hAnsi="Courier New"/>
                <w:b w:val="0"/>
                <w:i w:val="0"/>
                <w:sz w:val="18"/>
              </w:rPr>
              <w:t>n &lt;- 200</w:t>
            </w:r>
          </w:p>
          <w:p>
            <w:pPr>
              <w:spacing w:lineRule="auto" w:line="240" w:before="0" w:after="20"/>
              <w:ind w:left="142"/>
            </w:pPr>
            <w:r>
              <w:rPr>
                <w:rFonts w:ascii="Courier New" w:hAnsi="Courier New"/>
                <w:b w:val="0"/>
                <w:i w:val="0"/>
                <w:sz w:val="18"/>
              </w:rPr>
              <w:t>df &lt;- data.frame(</w:t>
            </w:r>
          </w:p>
          <w:p>
            <w:pPr>
              <w:spacing w:lineRule="auto" w:line="240" w:before="0" w:after="20"/>
              <w:ind w:left="142"/>
            </w:pPr>
            <w:r>
              <w:rPr>
                <w:rFonts w:ascii="Courier New" w:hAnsi="Courier New"/>
                <w:b w:val="0"/>
                <w:i w:val="0"/>
                <w:sz w:val="18"/>
              </w:rPr>
              <w:t xml:space="preserve">  alert_id = 1:n,</w:t>
            </w:r>
          </w:p>
          <w:p>
            <w:pPr>
              <w:spacing w:lineRule="auto" w:line="240" w:before="0" w:after="20"/>
              <w:ind w:left="142"/>
            </w:pPr>
            <w:r>
              <w:rPr>
                <w:rFonts w:ascii="Courier New" w:hAnsi="Courier New"/>
                <w:b w:val="0"/>
                <w:i w:val="0"/>
                <w:sz w:val="18"/>
              </w:rPr>
              <w:t xml:space="preserve">  transaction_amount = rlnorm(n, 9, 0.8),</w:t>
            </w:r>
          </w:p>
          <w:p>
            <w:pPr>
              <w:spacing w:lineRule="auto" w:line="240" w:before="0" w:after="20"/>
              <w:ind w:left="142"/>
            </w:pPr>
            <w:r>
              <w:rPr>
                <w:rFonts w:ascii="Courier New" w:hAnsi="Courier New"/>
                <w:b w:val="0"/>
                <w:i w:val="0"/>
                <w:sz w:val="18"/>
              </w:rPr>
              <w:t xml:space="preserve">  transaction_count_30d = rpois(n, 4) + 1,</w:t>
            </w:r>
          </w:p>
          <w:p>
            <w:pPr>
              <w:spacing w:lineRule="auto" w:line="240" w:before="0" w:after="20"/>
              <w:ind w:left="142"/>
            </w:pPr>
            <w:r>
              <w:rPr>
                <w:rFonts w:ascii="Courier New" w:hAnsi="Courier New"/>
                <w:b w:val="0"/>
                <w:i w:val="0"/>
                <w:sz w:val="18"/>
              </w:rPr>
              <w:t xml:space="preserve">  account_age_months = ceiling(rexp(n, 1/36)),</w:t>
            </w:r>
          </w:p>
          <w:p>
            <w:pPr>
              <w:spacing w:lineRule="auto" w:line="240" w:before="0" w:after="20"/>
              <w:ind w:left="142"/>
            </w:pPr>
            <w:r>
              <w:rPr>
                <w:rFonts w:ascii="Courier New" w:hAnsi="Courier New"/>
                <w:b w:val="0"/>
                <w:i w:val="0"/>
                <w:sz w:val="18"/>
              </w:rPr>
              <w:t xml:space="preserve">  counterparty_count = rpois(n, 2) + 1,</w:t>
            </w:r>
          </w:p>
          <w:p>
            <w:pPr>
              <w:spacing w:lineRule="auto" w:line="240" w:before="0" w:after="20"/>
              <w:ind w:left="142"/>
            </w:pPr>
            <w:r>
              <w:rPr>
                <w:rFonts w:ascii="Courier New" w:hAnsi="Courier New"/>
                <w:b w:val="0"/>
                <w:i w:val="0"/>
                <w:sz w:val="18"/>
              </w:rPr>
              <w:t xml:space="preserve">  crr_score = sample(1:4, n, replace=TRUE),</w:t>
            </w:r>
          </w:p>
          <w:p>
            <w:pPr>
              <w:spacing w:lineRule="auto" w:line="240" w:before="0" w:after="20"/>
              <w:ind w:left="142"/>
            </w:pPr>
            <w:r>
              <w:rPr>
                <w:rFonts w:ascii="Courier New" w:hAnsi="Courier New"/>
                <w:b w:val="0"/>
                <w:i w:val="0"/>
                <w:sz w:val="18"/>
              </w:rPr>
              <w:t xml:space="preserve">  days_since_last_alert = ceiling(rexp(n, 1/45)),</w:t>
            </w:r>
          </w:p>
          <w:p>
            <w:pPr>
              <w:spacing w:lineRule="auto" w:line="240" w:before="0" w:after="20"/>
              <w:ind w:left="142"/>
            </w:pPr>
            <w:r>
              <w:rPr>
                <w:rFonts w:ascii="Courier New" w:hAnsi="Courier New"/>
                <w:b w:val="0"/>
                <w:i w:val="0"/>
                <w:sz w:val="18"/>
              </w:rPr>
              <w:t xml:space="preserve">  is_sar = rbinom(n, 1, 0.12)</w:t>
            </w:r>
          </w:p>
          <w:p>
            <w:pPr>
              <w:spacing w:lineRule="auto" w:line="240" w:before="0" w:after="20"/>
              <w:ind w:left="142"/>
            </w:pPr>
            <w:r>
              <w:rPr>
                <w:rFonts w:ascii="Courier New" w:hAnsi="Courier New"/>
                <w:b w:val="0"/>
                <w:i w:val="0"/>
                <w:sz w:val="18"/>
              </w:rPr>
              <w:t>)</w:t>
            </w:r>
          </w:p>
          <w:p>
            <w:pPr>
              <w:spacing w:lineRule="auto" w:line="240" w:before="0" w:after="20"/>
            </w:pPr>
          </w:p>
          <w:p>
            <w:pPr>
              <w:spacing w:lineRule="auto" w:line="240" w:before="0" w:after="20"/>
              <w:ind w:left="142"/>
            </w:pPr>
            <w:r>
              <w:rPr>
                <w:rFonts w:ascii="Courier New" w:hAnsi="Courier New"/>
                <w:b w:val="0"/>
                <w:i w:val="0"/>
                <w:sz w:val="18"/>
              </w:rPr>
              <w:t># Spike SAR features</w:t>
            </w:r>
          </w:p>
          <w:p>
            <w:pPr>
              <w:spacing w:lineRule="auto" w:line="240" w:before="0" w:after="20"/>
              <w:ind w:left="142"/>
            </w:pPr>
            <w:r>
              <w:rPr>
                <w:rFonts w:ascii="Courier New" w:hAnsi="Courier New"/>
                <w:b w:val="0"/>
                <w:i w:val="0"/>
                <w:sz w:val="18"/>
              </w:rPr>
              <w:t>sar_rows &lt;- which(df$is_sar == 1)</w:t>
            </w:r>
          </w:p>
          <w:p>
            <w:pPr>
              <w:spacing w:lineRule="auto" w:line="240" w:before="0" w:after="20"/>
              <w:ind w:left="142"/>
            </w:pPr>
            <w:r>
              <w:rPr>
                <w:rFonts w:ascii="Courier New" w:hAnsi="Courier New"/>
                <w:b w:val="0"/>
                <w:i w:val="0"/>
                <w:sz w:val="18"/>
              </w:rPr>
              <w:t>df$transaction_amount[sar_rows] &lt;- df$transaction_amount[sar_rows] * runif(length(sar_rows), 1.5, 3)</w:t>
            </w:r>
          </w:p>
          <w:p>
            <w:pPr>
              <w:spacing w:lineRule="auto" w:line="240" w:before="0" w:after="20"/>
              <w:ind w:left="142"/>
            </w:pPr>
            <w:r>
              <w:rPr>
                <w:rFonts w:ascii="Courier New" w:hAnsi="Courier New"/>
                <w:b w:val="0"/>
                <w:i w:val="0"/>
                <w:sz w:val="18"/>
              </w:rPr>
              <w:t>df$counterparty_count[sar_rows] &lt;- df$counterparty_count[sar_rows] + sample(2:6, length(sar_rows), replace=TRUE)</w:t>
            </w:r>
          </w:p>
          <w:p>
            <w:pPr>
              <w:spacing w:lineRule="auto" w:line="240" w:before="0" w:after="20"/>
              <w:ind w:left="142"/>
            </w:pPr>
            <w:r>
              <w:rPr>
                <w:rFonts w:ascii="Courier New" w:hAnsi="Courier New"/>
                <w:b w:val="0"/>
                <w:i w:val="0"/>
                <w:sz w:val="18"/>
              </w:rPr>
              <w:t>df$days_since_last_alert[sar_rows] &lt;- sample(1:10, length(sar_rows), replace=TRUE)</w:t>
            </w:r>
          </w:p>
          <w:p>
            <w:pPr>
              <w:spacing w:lineRule="auto" w:line="240" w:before="0" w:after="20"/>
            </w:pPr>
          </w:p>
          <w:p>
            <w:pPr>
              <w:spacing w:lineRule="auto" w:line="240" w:before="0" w:after="20"/>
              <w:ind w:left="142"/>
            </w:pPr>
            <w:r>
              <w:rPr>
                <w:rFonts w:ascii="Courier New" w:hAnsi="Courier New"/>
                <w:b w:val="0"/>
                <w:i w:val="0"/>
                <w:sz w:val="18"/>
              </w:rPr>
              <w:t>features &lt;- c('transaction_amount','transaction_count_30d','account_age_months',</w:t>
            </w:r>
          </w:p>
          <w:p>
            <w:pPr>
              <w:spacing w:lineRule="auto" w:line="240" w:before="0" w:after="20"/>
              <w:ind w:left="142"/>
            </w:pPr>
            <w:r>
              <w:rPr>
                <w:rFonts w:ascii="Courier New" w:hAnsi="Courier New"/>
                <w:b w:val="0"/>
                <w:i w:val="0"/>
                <w:sz w:val="18"/>
              </w:rPr>
              <w:t xml:space="preserve">              'counterparty_count','crr_score','days_since_last_alert')</w:t>
            </w:r>
          </w:p>
          <w:p>
            <w:pPr>
              <w:spacing w:lineRule="auto" w:line="240" w:before="0" w:after="20"/>
            </w:pPr>
          </w:p>
          <w:p>
            <w:pPr>
              <w:spacing w:lineRule="auto" w:line="240" w:before="0" w:after="20"/>
              <w:ind w:left="142"/>
            </w:pPr>
            <w:r>
              <w:rPr>
                <w:rFonts w:ascii="Courier New" w:hAnsi="Courier New"/>
                <w:b w:val="0"/>
                <w:i w:val="0"/>
                <w:sz w:val="18"/>
              </w:rPr>
              <w:t># Fit Isolation Forest</w:t>
            </w:r>
          </w:p>
          <w:p>
            <w:pPr>
              <w:spacing w:lineRule="auto" w:line="240" w:before="0" w:after="20"/>
              <w:ind w:left="142"/>
            </w:pPr>
            <w:r>
              <w:rPr>
                <w:rFonts w:ascii="Courier New" w:hAnsi="Courier New"/>
                <w:b w:val="0"/>
                <w:i w:val="0"/>
                <w:sz w:val="18"/>
              </w:rPr>
              <w:t>model &lt;- isolation.forest(df[, features], ntrees=100, nthreads=1)</w:t>
            </w:r>
          </w:p>
          <w:p>
            <w:pPr>
              <w:spacing w:lineRule="auto" w:line="240" w:before="0" w:after="20"/>
              <w:ind w:left="142"/>
            </w:pPr>
            <w:r>
              <w:rPr>
                <w:rFonts w:ascii="Courier New" w:hAnsi="Courier New"/>
                <w:b w:val="0"/>
                <w:i w:val="0"/>
                <w:sz w:val="18"/>
              </w:rPr>
              <w:t>df$anomaly_score &lt;- predict(model, df[, features])</w:t>
            </w:r>
          </w:p>
          <w:p>
            <w:pPr>
              <w:spacing w:lineRule="auto" w:line="240" w:before="0" w:after="20"/>
            </w:pPr>
          </w:p>
          <w:p>
            <w:pPr>
              <w:spacing w:lineRule="auto" w:line="240" w:before="0" w:after="20"/>
              <w:ind w:left="142"/>
            </w:pPr>
            <w:r>
              <w:rPr>
                <w:rFonts w:ascii="Courier New" w:hAnsi="Courier New"/>
                <w:b w:val="0"/>
                <w:i w:val="0"/>
                <w:sz w:val="18"/>
              </w:rPr>
              <w:t># Top 20 and SAR rate</w:t>
            </w:r>
          </w:p>
          <w:p>
            <w:pPr>
              <w:spacing w:lineRule="auto" w:line="240" w:before="0" w:after="20"/>
              <w:ind w:left="142"/>
            </w:pPr>
            <w:r>
              <w:rPr>
                <w:rFonts w:ascii="Courier New" w:hAnsi="Courier New"/>
                <w:b w:val="0"/>
                <w:i w:val="0"/>
                <w:sz w:val="18"/>
              </w:rPr>
              <w:t>top20 &lt;- df[order(-df$anomaly_score)[1:20], ]</w:t>
            </w:r>
          </w:p>
          <w:p>
            <w:pPr>
              <w:spacing w:lineRule="auto" w:line="240" w:before="0" w:after="20"/>
              <w:ind w:left="142"/>
            </w:pPr>
            <w:r>
              <w:rPr>
                <w:rFonts w:ascii="Courier New" w:hAnsi="Courier New"/>
                <w:b w:val="0"/>
                <w:i w:val="0"/>
                <w:sz w:val="18"/>
              </w:rPr>
              <w:t>cat('SAR rate in top 20:', mean(top20$is_sar), '\n')</w:t>
            </w:r>
          </w:p>
          <w:p>
            <w:pPr>
              <w:spacing w:lineRule="auto" w:line="240" w:before="0" w:after="20"/>
              <w:ind w:left="142"/>
            </w:pPr>
            <w:r>
              <w:rPr>
                <w:rFonts w:ascii="Courier New" w:hAnsi="Courier New"/>
                <w:b w:val="0"/>
                <w:i w:val="0"/>
                <w:sz w:val="18"/>
              </w:rPr>
              <w:t>cat('Overall SAR rate:', mean(df$is_sar), '\n')</w:t>
            </w:r>
          </w:p>
        </w:tc>
      </w:tr>
    </w:tbl>
    <w:p>
      <w:pPr>
        <w:spacing w:lineRule="auto" w:line="240" w:before="0" w:after="20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8.6  </w:t>
            </w:r>
            <w:r>
              <w:rPr>
                <w:rFonts w:ascii="Times New Roman" w:hAnsi="Times New Roman"/>
                <w:b/>
                <w:i/>
                <w:sz w:val="22"/>
              </w:rPr>
              <w:t>Pedagogical Note — Synthetic Data and Guaranteed Separation</w:t>
            </w:r>
          </w:p>
          <w:p>
            <w:pPr>
              <w:spacing w:lineRule="auto" w:line="312" w:before="20" w:after="40"/>
              <w:ind w:left="113"/>
            </w:pPr>
            <w:r>
              <w:rPr>
                <w:rFonts w:ascii="Times New Roman" w:hAnsi="Times New Roman"/>
                <w:b w:val="0"/>
                <w:i w:val="0"/>
                <w:sz w:val="22"/>
              </w:rPr>
              <w:t>In the code above, SAR-worthy alerts are deliberately constructed with elevated feature values ('spiked'). This guarantees that SAR cases are more anomalous than non-SAR cases — which is the outcome the exercise is designed to demonstrate. In production data, suspicious accounts may not be the most anomalous by simple feature magnitude. A sophisticated mule operation may transact at volumes indistinguishable from a legitimate cash-intensive business, with the pattern of behaviour — timing, counterparty structure, layering sequence — carrying the signal rather than the raw amounts. The exercise illustrates the method; real-world model performance will depend heavily on the quality of the features and the nature of the typology being detected.</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8.7  </w:t>
            </w:r>
            <w:r>
              <w:rPr>
                <w:rFonts w:ascii="Times New Roman" w:hAnsi="Times New Roman"/>
                <w:b/>
                <w:i/>
                <w:sz w:val="22"/>
              </w:rPr>
              <w:t>R Users — Explainability in Section 8.4.2</w:t>
            </w:r>
          </w:p>
          <w:p>
            <w:pPr>
              <w:spacing w:lineRule="auto" w:line="312" w:before="20" w:after="40"/>
              <w:ind w:left="113"/>
            </w:pPr>
            <w:r>
              <w:rPr>
                <w:rFonts w:ascii="Times New Roman" w:hAnsi="Times New Roman"/>
                <w:b w:val="0"/>
                <w:i w:val="0"/>
                <w:sz w:val="22"/>
              </w:rPr>
              <w:t>The Python code in Section 8.4.1 includes SHAP for per-alert feature attribution. The R code above does not include a SHAP equivalent. R users working through Exercise 8.1 Part C should either: (a) use the Python implementation for the SHAP section; or (b) use variable importance from the isotree package (predict(model, df[, features], type='avg_depth') combined with a manual feature contribution analysis). The iml package (model-agnostic interpretation for R) is a more complete alternative that provides Shapley-value approximations for any model class.</w:t>
            </w:r>
          </w:p>
        </w:tc>
      </w:tr>
    </w:tbl>
    <w:p>
      <w:pPr>
        <w:spacing w:lineRule="auto" w:line="240" w:before="0" w:after="160"/>
      </w:pPr>
    </w:p>
    <w:p>
      <w:pPr>
        <w:pStyle w:val="Heading3"/>
      </w:pPr>
      <w:r>
        <w:rPr>
          <w:rFonts w:ascii="Times New Roman" w:hAnsi="Times New Roman"/>
        </w:rPr>
        <w:t>8.4.2 Explainability with SHAP</w:t>
      </w:r>
    </w:p>
    <w:p>
      <w:pPr>
        <w:pStyle w:val="BodyText"/>
        <w:spacing w:lineRule="auto" w:line="360" w:before="0" w:after="120"/>
        <w:ind w:firstLine="283"/>
      </w:pPr>
      <w:r>
        <w:rPr>
          <w:rFonts w:ascii="Times New Roman" w:hAnsi="Times New Roman"/>
          <w:b w:val="0"/>
          <w:i w:val="0"/>
          <w:sz w:val="24"/>
        </w:rPr>
        <w:t>A triage model that surfaces an alert at the top of the queue must be able to explain why. An analyst who sees a high anomaly score but no explanation cannot investigate effectively — and a regulator who asks why an alert was prioritised deserves a coherent answer.</w:t>
      </w:r>
    </w:p>
    <w:p>
      <w:pPr>
        <w:pStyle w:val="BodyText"/>
        <w:spacing w:lineRule="auto" w:line="360" w:before="0" w:after="120"/>
        <w:ind w:firstLine="283"/>
      </w:pPr>
      <w:r>
        <w:rPr>
          <w:rFonts w:ascii="Times New Roman" w:hAnsi="Times New Roman"/>
          <w:b w:val="0"/>
          <w:i w:val="0"/>
          <w:sz w:val="24"/>
        </w:rPr>
        <w:t>SHAP (SHapley Additive exPlanations) provides model-agnostic feature importance scores for individual predictions. For each alert, SHAP tells you which features contributed most to the anomaly score and in which direction. An alert with a high score driven by 'transaction_amount' and 'counterparty_count' tells the analyst exactly where to focus.</w:t>
      </w:r>
    </w:p>
    <w:p>
      <w:pPr>
        <w:pStyle w:val="BodyText"/>
        <w:spacing w:lineRule="auto" w:line="360" w:before="0" w:after="120"/>
        <w:ind w:firstLine="283"/>
      </w:pPr>
      <w:r>
        <w:rPr>
          <w:rFonts w:ascii="Times New Roman" w:hAnsi="Times New Roman"/>
          <w:b w:val="0"/>
          <w:i w:val="0"/>
          <w:sz w:val="24"/>
        </w:rPr>
        <w:t>Explainability is not optional in AML. The SR 26-2 (US) and PRA SS1/23 (UK) requirements for model documentation explicitly require that model outputs be interpretable and that limitations be understood. A black-box triage model that cannot explain its own decisions will not survive a model validation review.</w:t>
      </w:r>
    </w:p>
    <w:p>
      <w:pPr>
        <w:pStyle w:val="Heading2"/>
      </w:pPr>
      <w:r>
        <w:rPr>
          <w:rFonts w:ascii="Times New Roman" w:hAnsi="Times New Roman"/>
        </w:rPr>
        <w:t>8.5 Applying ML Triage to the Northgate Scenario</w:t>
      </w:r>
    </w:p>
    <w:p>
      <w:pPr>
        <w:pStyle w:val="BodyText"/>
        <w:spacing w:lineRule="auto" w:line="360" w:before="0" w:after="120"/>
        <w:ind w:firstLine="283"/>
      </w:pPr>
      <w:r>
        <w:rPr>
          <w:rFonts w:ascii="Times New Roman" w:hAnsi="Times New Roman"/>
          <w:b w:val="0"/>
          <w:i w:val="0"/>
          <w:sz w:val="24"/>
        </w:rPr>
        <w:t>The 200-alert synthetic dataset represents the output of running the NRB-STRUCT-001 scenario on the 500-customer population from Chapter 5, at the USD 7,500 threshold established in Chapter 6. Each alert corresponds to one customer account that breached the rolling 30-day cash threshold. The 12% SAR rate — 24 of the 200 alerts — is calibrated to match the expected SAR rate from the Chapter 6 hypergeometric analysis. This continuity is intentional: the same customer population, the same scenario, the same threshold, now being triaged by a machine learning model.</w:t>
      </w:r>
    </w:p>
    <w:p>
      <w:pPr>
        <w:pStyle w:val="BodyText"/>
        <w:spacing w:lineRule="auto" w:line="360" w:before="0" w:after="120"/>
        <w:ind w:firstLine="283"/>
      </w:pPr>
      <w:r>
        <w:rPr>
          <w:rFonts w:ascii="Times New Roman" w:hAnsi="Times New Roman"/>
          <w:b w:val="0"/>
          <w:i w:val="0"/>
          <w:sz w:val="24"/>
        </w:rPr>
        <w:t>We apply Isolation Forest with contamination set to 0.12 (matching the known SAR rate from calibration). The features are: transaction amount, transaction count in the past 30 days, account age, counterparty count, CRR score, and days since last alert.</w:t>
      </w:r>
    </w:p>
    <w:p>
      <w:pPr>
        <w:pStyle w:val="BodyText"/>
        <w:spacing w:lineRule="auto" w:line="360" w:before="0" w:after="120"/>
        <w:ind w:firstLine="283"/>
      </w:pPr>
      <w:r>
        <w:rPr>
          <w:rFonts w:ascii="Times New Roman" w:hAnsi="Times New Roman"/>
          <w:b w:val="0"/>
          <w:i w:val="0"/>
          <w:sz w:val="24"/>
        </w:rPr>
        <w:t>The expected result is that Isolation Forest surfaces a materially higher SAR rate in the top 20 alerts than a simple rule-based ranking (sorting by transaction amount). In the worked example in the solutions manual, Isolation Forest achieves a top-20 SAR rate of approximately 45–55%, compared to 20–25% for amount-based sorting. This difference represents a significant reduction in analyst effort per confirmed SAR.</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8.8  </w:t>
            </w:r>
            <w:r>
              <w:rPr>
                <w:rFonts w:ascii="Times New Roman" w:hAnsi="Times New Roman"/>
                <w:b/>
                <w:i/>
                <w:sz w:val="22"/>
              </w:rPr>
              <w:t>Risk Perspective</w:t>
            </w:r>
          </w:p>
          <w:p>
            <w:pPr>
              <w:spacing w:lineRule="auto" w:line="312" w:before="20" w:after="40"/>
              <w:ind w:left="113"/>
            </w:pPr>
            <w:r>
              <w:rPr>
                <w:rFonts w:ascii="Times New Roman" w:hAnsi="Times New Roman"/>
                <w:b w:val="0"/>
                <w:i w:val="0"/>
                <w:sz w:val="22"/>
              </w:rPr>
              <w:t>A higher SAR rate in the top 20 does not mean the model is detecting more money laundering — it means it is prioritising alerts more efficiently. The remaining 180 alerts still need to be reviewed. Triage does not reduce the total workload; it allocates it more intelligently. This distinction matters when communicating model value to management and to examiners.</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A further limitation is visible in the Northgate case study itself: Isolation Forest scores individual accounts in isolation. It can identify that account A7 is anomalous relative to the alert population — but it cannot see that A7, A8, A9, A10, A11, and A12 are part of the same coordinated mule network, transacting in a structured pattern designed to stay below individual detection thresholds. Network-level detection — identifying connected components, shared counterparties, and fund-flow paths across accounts — requires graph analysis techniques that operate above the individual-alert level. This is the subject of Chapter 10, which extends the Northgate case study to the network.</w:t>
      </w:r>
    </w:p>
    <w:p>
      <w:pPr>
        <w:pStyle w:val="Heading2"/>
      </w:pPr>
      <w:r>
        <w:rPr>
          <w:rFonts w:ascii="Times New Roman" w:hAnsi="Times New Roman"/>
        </w:rPr>
        <w:t>8.6 Colab Walkthrough: ML Triage on Three Rules</w:t>
      </w:r>
    </w:p>
    <w:p>
      <w:pPr>
        <w:pStyle w:val="BodyText"/>
        <w:spacing w:lineRule="auto" w:line="360" w:before="0" w:after="120"/>
        <w:ind w:firstLine="283"/>
      </w:pPr>
      <w:r>
        <w:rPr>
          <w:rFonts w:ascii="Times New Roman" w:hAnsi="Times New Roman"/>
          <w:b w:val="0"/>
          <w:i w:val="0"/>
          <w:sz w:val="24"/>
        </w:rPr>
        <w:t>By Chapter 8 the system built across Chapters 3–7 generates alerts from three rules. The ML triage layer runs on top of all of them — scoring each alert by anomalousness regardless of which rule triggered it. The code below is the core of the Chapter 8 Colab notebook. It builds the feature matrix from the alert pool and fits Isolation Forest.</w:t>
      </w:r>
    </w:p>
    <w:p>
      <w:pPr>
        <w:spacing w:lineRule="auto" w:line="240" w:before="60" w:after="120"/>
        <w:ind w:firstLine="0"/>
        <w:jc w:val="left"/>
      </w:pPr>
      <w:r>
        <w:rPr>
          <w:rFonts w:ascii="Times New Roman" w:hAnsi="Times New Roman"/>
          <w:b w:val="0"/>
          <w:i/>
          <w:sz w:val="20"/>
        </w:rPr>
        <w:t>Listing 8.2  Python code — 📊 Colab Preview: Isolation Forest Triage on the Alert Pool</w:t>
      </w:r>
    </w:p>
    <w:tbl>
      <w:tblPr>
        <w:tblLayout w:type="fixed"/>
        <w:tblLook w:firstColumn="1" w:firstRow="1" w:lastColumn="0" w:lastRow="0" w:noHBand="0" w:noVBand="1" w:val="04A0"/>
        <w:tblW w:w="9072" w:type="dxa"/>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9072"/>
      </w:tblGrid>
      <w:tr>
        <w:tc>
          <w:tcPr>
            <w:tcW w:w="9072" w:type="dxa"/>
            <w:shd w:val="clear" w:color="auto" w:fill="F2F2F2"/>
          </w:tcPr>
          <w:p>
            <w:pPr>
              <w:spacing w:lineRule="auto" w:line="240" w:before="80" w:after="40"/>
              <w:ind w:left="142"/>
            </w:pPr>
            <w:r>
              <w:rPr>
                <w:rFonts w:ascii="Courier New" w:hAnsi="Courier New"/>
                <w:b/>
                <w:i w:val="0"/>
                <w:sz w:val="18"/>
              </w:rPr>
              <w:t>📊 Colab Preview: Isolation Forest Triage on the Alert Pool</w:t>
            </w:r>
          </w:p>
          <w:p>
            <w:pPr>
              <w:spacing w:lineRule="auto" w:line="240" w:before="0" w:after="20"/>
              <w:ind w:left="142"/>
            </w:pPr>
            <w:r>
              <w:rPr>
                <w:rFonts w:ascii="Courier New" w:hAnsi="Courier New"/>
                <w:b w:val="0"/>
                <w:i w:val="0"/>
                <w:sz w:val="18"/>
              </w:rPr>
              <w:t>import pandas as pd</w:t>
            </w:r>
          </w:p>
          <w:p>
            <w:pPr>
              <w:spacing w:lineRule="auto" w:line="240" w:before="0" w:after="20"/>
              <w:ind w:left="142"/>
            </w:pPr>
            <w:r>
              <w:rPr>
                <w:rFonts w:ascii="Courier New" w:hAnsi="Courier New"/>
                <w:b w:val="0"/>
                <w:i w:val="0"/>
                <w:sz w:val="18"/>
              </w:rPr>
              <w:t>import numpy as np</w:t>
            </w:r>
          </w:p>
          <w:p>
            <w:pPr>
              <w:spacing w:lineRule="auto" w:line="240" w:before="0" w:after="20"/>
              <w:ind w:left="142"/>
            </w:pPr>
            <w:r>
              <w:rPr>
                <w:rFonts w:ascii="Courier New" w:hAnsi="Courier New"/>
                <w:b w:val="0"/>
                <w:i w:val="0"/>
                <w:sz w:val="18"/>
              </w:rPr>
              <w:t>from sklearn.ensemble import IsolationForest</w:t>
            </w:r>
          </w:p>
          <w:p>
            <w:pPr>
              <w:spacing w:lineRule="auto" w:line="240" w:before="0" w:after="20"/>
              <w:ind w:left="142"/>
            </w:pPr>
            <w:r>
              <w:rPr>
                <w:rFonts w:ascii="Courier New" w:hAnsi="Courier New"/>
                <w:b w:val="0"/>
                <w:i w:val="0"/>
                <w:sz w:val="18"/>
              </w:rPr>
              <w:t># Load data (generated in Section 0)</w:t>
            </w:r>
          </w:p>
          <w:p>
            <w:pPr>
              <w:spacing w:lineRule="auto" w:line="240" w:before="0" w:after="20"/>
              <w:ind w:left="142"/>
            </w:pPr>
            <w:r>
              <w:rPr>
                <w:rFonts w:ascii="Courier New" w:hAnsi="Courier New"/>
                <w:b w:val="0"/>
                <w:i w:val="0"/>
                <w:sz w:val="18"/>
              </w:rPr>
              <w:t>df_txn  = pd.read_csv('nb_transactions.csv', parse_dates=['txn_date'])</w:t>
            </w:r>
          </w:p>
          <w:p>
            <w:pPr>
              <w:spacing w:lineRule="auto" w:line="240" w:before="0" w:after="20"/>
              <w:ind w:left="142"/>
            </w:pPr>
            <w:r>
              <w:rPr>
                <w:rFonts w:ascii="Courier New" w:hAnsi="Courier New"/>
                <w:b w:val="0"/>
                <w:i w:val="0"/>
                <w:sz w:val="18"/>
              </w:rPr>
              <w:t>df_cpty = pd.read_csv('nb_counterparties.csv')</w:t>
            </w:r>
          </w:p>
          <w:p>
            <w:pPr>
              <w:spacing w:lineRule="auto" w:line="240" w:before="0" w:after="20"/>
              <w:ind w:left="142"/>
            </w:pPr>
            <w:r>
              <w:rPr>
                <w:rFonts w:ascii="Courier New" w:hAnsi="Courier New"/>
                <w:b w:val="0"/>
                <w:i w:val="0"/>
                <w:sz w:val="18"/>
              </w:rPr>
              <w:t>HIGH_RISK_COUNTRIES = ['KP', 'IR', 'MM', 'SY', 'YE', 'AF', 'LY']</w:t>
            </w:r>
          </w:p>
          <w:p>
            <w:pPr>
              <w:spacing w:lineRule="auto" w:line="240" w:before="0" w:after="20"/>
              <w:ind w:left="142"/>
            </w:pPr>
            <w:r>
              <w:rPr>
                <w:rFonts w:ascii="Courier New" w:hAnsi="Courier New"/>
                <w:b w:val="0"/>
                <w:i w:val="0"/>
                <w:sz w:val="18"/>
              </w:rPr>
              <w:t># Rule alerts (apply_rule_1/2/3 already defined in earlier cells)</w:t>
            </w:r>
          </w:p>
          <w:p>
            <w:pPr>
              <w:spacing w:lineRule="auto" w:line="240" w:before="0" w:after="20"/>
              <w:ind w:left="142"/>
            </w:pPr>
            <w:r>
              <w:rPr>
                <w:rFonts w:ascii="Courier New" w:hAnsi="Courier New"/>
                <w:b w:val="0"/>
                <w:i w:val="0"/>
                <w:sz w:val="18"/>
              </w:rPr>
              <w:t>alerts_r1 = apply_rule_1(df_txn)</w:t>
            </w:r>
          </w:p>
          <w:p>
            <w:pPr>
              <w:spacing w:lineRule="auto" w:line="240" w:before="0" w:after="20"/>
              <w:ind w:left="142"/>
            </w:pPr>
            <w:r>
              <w:rPr>
                <w:rFonts w:ascii="Courier New" w:hAnsi="Courier New"/>
                <w:b w:val="0"/>
                <w:i w:val="0"/>
                <w:sz w:val="18"/>
              </w:rPr>
              <w:t>alerts_r2 = apply_rule_2(df_txn)</w:t>
            </w:r>
          </w:p>
          <w:p>
            <w:pPr>
              <w:spacing w:lineRule="auto" w:line="240" w:before="0" w:after="20"/>
              <w:ind w:left="142"/>
            </w:pPr>
            <w:r>
              <w:rPr>
                <w:rFonts w:ascii="Courier New" w:hAnsi="Courier New"/>
                <w:b w:val="0"/>
                <w:i w:val="0"/>
                <w:sz w:val="18"/>
              </w:rPr>
              <w:t>alerts_r3 = apply_rule_3(df_txn, df_cpty, HIGH_RISK_COUNTRIES)</w:t>
            </w:r>
          </w:p>
          <w:p>
            <w:pPr>
              <w:spacing w:lineRule="auto" w:line="240" w:before="0" w:after="20"/>
              <w:ind w:left="142"/>
            </w:pPr>
            <w:r>
              <w:rPr>
                <w:rFonts w:ascii="Courier New" w:hAnsi="Courier New"/>
                <w:b w:val="0"/>
                <w:i w:val="0"/>
                <w:sz w:val="18"/>
              </w:rPr>
              <w:t>all_alerted = (set(alerts_r1['account_id']) |</w:t>
            </w:r>
          </w:p>
          <w:p>
            <w:pPr>
              <w:spacing w:lineRule="auto" w:line="240" w:before="0" w:after="20"/>
              <w:ind w:left="142"/>
            </w:pPr>
            <w:r>
              <w:rPr>
                <w:rFonts w:ascii="Courier New" w:hAnsi="Courier New"/>
                <w:b w:val="0"/>
                <w:i w:val="0"/>
                <w:sz w:val="18"/>
              </w:rPr>
              <w:t>set(alerts_r2['account_id']) |</w:t>
            </w:r>
          </w:p>
          <w:p>
            <w:pPr>
              <w:spacing w:lineRule="auto" w:line="240" w:before="0" w:after="20"/>
              <w:ind w:left="142"/>
            </w:pPr>
            <w:r>
              <w:rPr>
                <w:rFonts w:ascii="Courier New" w:hAnsi="Courier New"/>
                <w:b w:val="0"/>
                <w:i w:val="0"/>
                <w:sz w:val="18"/>
              </w:rPr>
              <w:t>set(alerts_r3['account_id']))</w:t>
            </w:r>
          </w:p>
          <w:p>
            <w:pPr>
              <w:spacing w:lineRule="auto" w:line="240" w:before="0" w:after="20"/>
              <w:ind w:left="142"/>
            </w:pPr>
            <w:r>
              <w:rPr>
                <w:rFonts w:ascii="Courier New" w:hAnsi="Courier New"/>
                <w:b w:val="0"/>
                <w:i w:val="0"/>
                <w:sz w:val="18"/>
              </w:rPr>
              <w:t># Build feature matrix for ML scoring</w:t>
            </w:r>
          </w:p>
          <w:p>
            <w:pPr>
              <w:spacing w:lineRule="auto" w:line="240" w:before="0" w:after="20"/>
              <w:ind w:left="142"/>
            </w:pPr>
            <w:r>
              <w:rPr>
                <w:rFonts w:ascii="Courier New" w:hAnsi="Courier New"/>
                <w:b w:val="0"/>
                <w:i w:val="0"/>
                <w:sz w:val="18"/>
              </w:rPr>
              <w:t>feats = df_txn.groupby('account_id').agg(</w:t>
            </w:r>
          </w:p>
          <w:p>
            <w:pPr>
              <w:spacing w:lineRule="auto" w:line="240" w:before="0" w:after="20"/>
              <w:ind w:left="142"/>
            </w:pPr>
            <w:r>
              <w:rPr>
                <w:rFonts w:ascii="Courier New" w:hAnsi="Courier New"/>
                <w:b w:val="0"/>
                <w:i w:val="0"/>
                <w:sz w:val="18"/>
              </w:rPr>
              <w:t>total_cash_in = ('amount',</w:t>
            </w:r>
          </w:p>
          <w:p>
            <w:pPr>
              <w:spacing w:lineRule="auto" w:line="240" w:before="0" w:after="20"/>
              <w:ind w:left="142"/>
            </w:pPr>
            <w:r>
              <w:rPr>
                <w:rFonts w:ascii="Courier New" w:hAnsi="Courier New"/>
                <w:b w:val="0"/>
                <w:i w:val="0"/>
                <w:sz w:val="18"/>
              </w:rPr>
              <w:t>lambda x: x[df_txn.loc[x.index,'txn_type']=='CASH_IN'].sum()),</w:t>
            </w:r>
          </w:p>
          <w:p>
            <w:pPr>
              <w:spacing w:lineRule="auto" w:line="240" w:before="0" w:after="20"/>
              <w:ind w:left="142"/>
            </w:pPr>
            <w:r>
              <w:rPr>
                <w:rFonts w:ascii="Courier New" w:hAnsi="Courier New"/>
                <w:b w:val="0"/>
                <w:i w:val="0"/>
                <w:sz w:val="18"/>
              </w:rPr>
              <w:t>txn_count     = ('txn_id', 'count'),</w:t>
            </w:r>
          </w:p>
          <w:p>
            <w:pPr>
              <w:spacing w:lineRule="auto" w:line="240" w:before="0" w:after="20"/>
              <w:ind w:left="142"/>
            </w:pPr>
            <w:r>
              <w:rPr>
                <w:rFonts w:ascii="Courier New" w:hAnsi="Courier New"/>
                <w:b w:val="0"/>
                <w:i w:val="0"/>
                <w:sz w:val="18"/>
              </w:rPr>
              <w:t>cash_ratio    = ('txn_type', lambda x: (x=='CASH_IN').mean()),</w:t>
            </w:r>
          </w:p>
          <w:p>
            <w:pPr>
              <w:spacing w:lineRule="auto" w:line="240" w:before="0" w:after="20"/>
              <w:ind w:left="142"/>
            </w:pPr>
            <w:r>
              <w:rPr>
                <w:rFonts w:ascii="Courier New" w:hAnsi="Courier New"/>
                <w:b w:val="0"/>
                <w:i w:val="0"/>
                <w:sz w:val="18"/>
              </w:rPr>
              <w:t>).fillna(0)</w:t>
            </w:r>
          </w:p>
          <w:p>
            <w:pPr>
              <w:spacing w:lineRule="auto" w:line="240" w:before="0" w:after="20"/>
              <w:ind w:left="142"/>
            </w:pPr>
            <w:r>
              <w:rPr>
                <w:rFonts w:ascii="Courier New" w:hAnsi="Courier New"/>
                <w:b w:val="0"/>
                <w:i w:val="0"/>
                <w:sz w:val="18"/>
              </w:rPr>
              <w:t>hr_ids = set(df_cpty[df_cpty['country_code'].isin(HIGH_RISK_COUNTRIES)]['counterparty_id'])</w:t>
            </w:r>
          </w:p>
          <w:p>
            <w:pPr>
              <w:spacing w:lineRule="auto" w:line="240" w:before="0" w:after="20"/>
              <w:ind w:left="142"/>
            </w:pPr>
            <w:r>
              <w:rPr>
                <w:rFonts w:ascii="Courier New" w:hAnsi="Courier New"/>
                <w:b w:val="0"/>
                <w:i w:val="0"/>
                <w:sz w:val="18"/>
              </w:rPr>
              <w:t>feats['hr_ratio'] = df_txn.groupby('account_id')['counterparty_id'].apply(</w:t>
            </w:r>
          </w:p>
          <w:p>
            <w:pPr>
              <w:spacing w:lineRule="auto" w:line="240" w:before="0" w:after="20"/>
              <w:ind w:left="142"/>
            </w:pPr>
            <w:r>
              <w:rPr>
                <w:rFonts w:ascii="Courier New" w:hAnsi="Courier New"/>
                <w:b w:val="0"/>
                <w:i w:val="0"/>
                <w:sz w:val="18"/>
              </w:rPr>
              <w:t>lambda x: x.isin(hr_ids).mean()).fillna(0)</w:t>
            </w:r>
          </w:p>
          <w:p>
            <w:pPr>
              <w:spacing w:lineRule="auto" w:line="240" w:before="0" w:after="20"/>
              <w:ind w:left="142"/>
            </w:pPr>
            <w:r>
              <w:rPr>
                <w:rFonts w:ascii="Courier New" w:hAnsi="Courier New"/>
                <w:b w:val="0"/>
                <w:i w:val="0"/>
                <w:sz w:val="18"/>
              </w:rPr>
              <w:t>feats['rule1_flag'] = feats.index.isin(alerts_r1['account_id']).astype(int)</w:t>
            </w:r>
          </w:p>
          <w:p>
            <w:pPr>
              <w:spacing w:lineRule="auto" w:line="240" w:before="0" w:after="20"/>
              <w:ind w:left="142"/>
            </w:pPr>
            <w:r>
              <w:rPr>
                <w:rFonts w:ascii="Courier New" w:hAnsi="Courier New"/>
                <w:b w:val="0"/>
                <w:i w:val="0"/>
                <w:sz w:val="18"/>
              </w:rPr>
              <w:t>feats['rule2_flag'] = feats.index.isin(alerts_r2['account_id']).astype(int)</w:t>
            </w:r>
          </w:p>
          <w:p>
            <w:pPr>
              <w:spacing w:lineRule="auto" w:line="240" w:before="0" w:after="20"/>
              <w:ind w:left="142"/>
            </w:pPr>
            <w:r>
              <w:rPr>
                <w:rFonts w:ascii="Courier New" w:hAnsi="Courier New"/>
                <w:b w:val="0"/>
                <w:i w:val="0"/>
                <w:sz w:val="18"/>
              </w:rPr>
              <w:t>feats['rule3_flag'] = feats.index.isin(alerts_r3['account_id']).astype(int)</w:t>
            </w:r>
          </w:p>
          <w:p>
            <w:pPr>
              <w:spacing w:lineRule="auto" w:line="240" w:before="0" w:after="20"/>
              <w:ind w:left="142"/>
            </w:pPr>
            <w:r>
              <w:rPr>
                <w:rFonts w:ascii="Courier New" w:hAnsi="Courier New"/>
                <w:b w:val="0"/>
                <w:i w:val="0"/>
                <w:sz w:val="18"/>
              </w:rPr>
              <w:t>alert_feats = feats[feats.index.isin(all_alerted)].copy()</w:t>
            </w:r>
          </w:p>
          <w:p>
            <w:pPr>
              <w:spacing w:lineRule="auto" w:line="240" w:before="0" w:after="20"/>
              <w:ind w:left="142"/>
            </w:pPr>
            <w:r>
              <w:rPr>
                <w:rFonts w:ascii="Courier New" w:hAnsi="Courier New"/>
                <w:b w:val="0"/>
                <w:i w:val="0"/>
                <w:sz w:val="18"/>
              </w:rPr>
              <w:t>feature_cols = ['total_cash_in','txn_count','cash_ratio','hr_ratio',</w:t>
            </w:r>
          </w:p>
          <w:p>
            <w:pPr>
              <w:spacing w:lineRule="auto" w:line="240" w:before="0" w:after="20"/>
              <w:ind w:left="142"/>
            </w:pPr>
            <w:r>
              <w:rPr>
                <w:rFonts w:ascii="Courier New" w:hAnsi="Courier New"/>
                <w:b w:val="0"/>
                <w:i w:val="0"/>
                <w:sz w:val="18"/>
              </w:rPr>
              <w:t>'rule1_flag','rule2_flag','rule3_flag']</w:t>
            </w:r>
          </w:p>
          <w:p>
            <w:pPr>
              <w:spacing w:lineRule="auto" w:line="240" w:before="0" w:after="20"/>
              <w:ind w:left="142"/>
            </w:pPr>
            <w:r>
              <w:rPr>
                <w:rFonts w:ascii="Courier New" w:hAnsi="Courier New"/>
                <w:b w:val="0"/>
                <w:i w:val="0"/>
                <w:sz w:val="18"/>
              </w:rPr>
              <w:t>X = alert_feats[feature_cols].values</w:t>
            </w:r>
          </w:p>
          <w:p>
            <w:pPr>
              <w:spacing w:lineRule="auto" w:line="240" w:before="0" w:after="20"/>
              <w:ind w:left="142"/>
            </w:pPr>
            <w:r>
              <w:rPr>
                <w:rFonts w:ascii="Courier New" w:hAnsi="Courier New"/>
                <w:b w:val="0"/>
                <w:i w:val="0"/>
                <w:sz w:val="18"/>
              </w:rPr>
              <w:t># Fit Isolation Forest — contamination = estimated fraction of genuine anomalies</w:t>
            </w:r>
          </w:p>
          <w:p>
            <w:pPr>
              <w:spacing w:lineRule="auto" w:line="240" w:before="0" w:after="20"/>
              <w:ind w:left="142"/>
            </w:pPr>
            <w:r>
              <w:rPr>
                <w:rFonts w:ascii="Courier New" w:hAnsi="Courier New"/>
                <w:b w:val="0"/>
                <w:i w:val="0"/>
                <w:sz w:val="18"/>
              </w:rPr>
              <w:t>iso = IsolationForest(n_estimators=100, contamination=0.05, random_state=42)</w:t>
            </w:r>
          </w:p>
          <w:p>
            <w:pPr>
              <w:spacing w:lineRule="auto" w:line="240" w:before="0" w:after="20"/>
              <w:ind w:left="142"/>
            </w:pPr>
            <w:r>
              <w:rPr>
                <w:rFonts w:ascii="Courier New" w:hAnsi="Courier New"/>
                <w:b w:val="0"/>
                <w:i w:val="0"/>
                <w:sz w:val="18"/>
              </w:rPr>
              <w:t>alert_feats['if_score'] = iso.score_samples(X)  # lower = more anomalous</w:t>
            </w:r>
          </w:p>
          <w:p>
            <w:pPr>
              <w:spacing w:lineRule="auto" w:line="240" w:before="0" w:after="20"/>
              <w:ind w:left="142"/>
            </w:pPr>
            <w:r>
              <w:rPr>
                <w:rFonts w:ascii="Courier New" w:hAnsi="Courier New"/>
                <w:b w:val="0"/>
                <w:i w:val="0"/>
                <w:sz w:val="18"/>
              </w:rPr>
              <w:t>ranked = alert_feats.sort_values('if_score').reset_index()</w:t>
            </w:r>
          </w:p>
          <w:p>
            <w:pPr>
              <w:spacing w:lineRule="auto" w:line="240" w:before="0" w:after="20"/>
              <w:ind w:left="142"/>
            </w:pPr>
            <w:r>
              <w:rPr>
                <w:rFonts w:ascii="Courier New" w:hAnsi="Courier New"/>
                <w:b w:val="0"/>
                <w:i w:val="0"/>
                <w:sz w:val="18"/>
              </w:rPr>
              <w:t>ranked['rank'] = ranked.index + 1</w:t>
            </w:r>
          </w:p>
          <w:p>
            <w:pPr>
              <w:spacing w:lineRule="auto" w:line="240" w:before="0" w:after="20"/>
              <w:ind w:left="142"/>
            </w:pPr>
            <w:r>
              <w:rPr>
                <w:rFonts w:ascii="Courier New" w:hAnsi="Courier New"/>
                <w:b w:val="0"/>
                <w:i w:val="0"/>
                <w:sz w:val="18"/>
              </w:rPr>
              <w:t>print('Top 10 accounts by anomaly score (lower if_score = more anomalous):')</w:t>
            </w:r>
          </w:p>
          <w:p>
            <w:pPr>
              <w:spacing w:lineRule="auto" w:line="240" w:before="0" w:after="20"/>
              <w:ind w:left="142"/>
            </w:pPr>
            <w:r>
              <w:rPr>
                <w:rFonts w:ascii="Courier New" w:hAnsi="Courier New"/>
                <w:b w:val="0"/>
                <w:i w:val="0"/>
                <w:sz w:val="18"/>
              </w:rPr>
              <w:t>print(ranked[['rank','account_id','total_cash_in','cash_ratio',</w:t>
            </w:r>
          </w:p>
          <w:p>
            <w:pPr>
              <w:spacing w:lineRule="auto" w:line="240" w:before="0" w:after="20"/>
              <w:ind w:left="142"/>
            </w:pPr>
            <w:r>
              <w:rPr>
                <w:rFonts w:ascii="Courier New" w:hAnsi="Courier New"/>
                <w:b w:val="0"/>
                <w:i w:val="0"/>
                <w:sz w:val="18"/>
              </w:rPr>
              <w:t>'hr_ratio','rule1_flag','rule2_flag','rule3_flag','if_score']].head(10).to_string(index=False))</w:t>
            </w:r>
          </w:p>
        </w:tc>
      </w:tr>
    </w:tbl>
    <w:p>
      <w:pPr>
        <w:spacing w:lineRule="auto" w:line="240" w:before="0" w:after="200"/>
      </w:pPr>
    </w:p>
    <w:tbl>
      <w:tblPr>
        <w:tblLayout w:type="fixed"/>
        <w:tblLook w:firstColumn="1" w:firstRow="1" w:lastColumn="0" w:lastRow="0" w:noHBand="0" w:noVBand="1" w:val="04A0"/>
        <w:tblW w:w="9072" w:type="dxa"/>
        <w:tblBorders>
          <w:top w:val="single" w:sz="4" w:space="0" w:color="444444"/>
          <w:bottom w:val="single" w:sz="4" w:space="0" w:color="444444"/>
          <w:left w:val="single" w:sz="4" w:space="0" w:color="444444"/>
          <w:right w:val="single" w:sz="4" w:space="0" w:color="444444"/>
          <w:insideH w:val="single" w:sz="4" w:space="0" w:color="444444"/>
          <w:insideV w:val="single" w:sz="4" w:space="0" w:color="444444"/>
        </w:tblBorders>
      </w:tblPr>
      <w:tblGrid>
        <w:gridCol w:w="9072"/>
      </w:tblGrid>
      <w:tr>
        <w:tc>
          <w:tcPr>
            <w:tcW w:w="9072" w:type="dxa"/>
          </w:tcPr>
          <w:p>
            <w:pPr>
              <w:spacing w:lineRule="auto" w:line="240" w:before="80" w:after="40"/>
              <w:ind w:left="113"/>
            </w:pPr>
            <w:r>
              <w:rPr>
                <w:rFonts w:ascii="Courier New" w:hAnsi="Courier New"/>
                <w:b/>
                <w:i w:val="0"/>
                <w:sz w:val="18"/>
              </w:rPr>
              <w:t>▶ Real Output — Isolation Forest Rankings (all 392 alerted accounts)</w:t>
            </w:r>
          </w:p>
          <w:p>
            <w:pPr>
              <w:spacing w:lineRule="auto" w:line="240" w:before="0" w:after="20"/>
              <w:ind w:left="113"/>
            </w:pPr>
            <w:r>
              <w:rPr>
                <w:rFonts w:ascii="Courier New" w:hAnsi="Courier New"/>
                <w:b w:val="0"/>
                <w:i w:val="0"/>
                <w:sz w:val="18"/>
              </w:rPr>
              <w:t>Alerted accounts — R1: 47, R2: 357, R3: 265</w:t>
            </w:r>
          </w:p>
          <w:p>
            <w:pPr>
              <w:spacing w:lineRule="auto" w:line="240" w:before="0" w:after="20"/>
              <w:ind w:left="113"/>
            </w:pPr>
            <w:r>
              <w:rPr>
                <w:rFonts w:ascii="Courier New" w:hAnsi="Courier New"/>
                <w:b w:val="0"/>
                <w:i w:val="0"/>
                <w:sz w:val="18"/>
              </w:rPr>
              <w:t>Union (unique accounts in alert pool): 392</w:t>
            </w:r>
          </w:p>
          <w:p>
            <w:pPr>
              <w:spacing w:lineRule="auto" w:line="240" w:before="0" w:after="20"/>
              <w:ind w:left="113"/>
            </w:pPr>
            <w:r>
              <w:rPr>
                <w:rFonts w:ascii="Courier New" w:hAnsi="Courier New"/>
                <w:b w:val="0"/>
                <w:i w:val="0"/>
                <w:sz w:val="18"/>
              </w:rPr>
              <w:t>Mule account rankings (rank 1 = most anomalous):</w:t>
            </w:r>
          </w:p>
          <w:p>
            <w:pPr>
              <w:spacing w:lineRule="auto" w:line="240" w:before="0" w:after="20"/>
              <w:ind w:left="113"/>
            </w:pPr>
            <w:r>
              <w:rPr>
                <w:rFonts w:ascii="Courier New" w:hAnsi="Courier New"/>
                <w:b w:val="0"/>
                <w:i w:val="0"/>
                <w:sz w:val="18"/>
              </w:rPr>
              <w:t>account_id  rank    if_score</w:t>
            </w:r>
          </w:p>
          <w:p>
            <w:pPr>
              <w:spacing w:lineRule="auto" w:line="240" w:before="0" w:after="20"/>
              <w:ind w:left="113"/>
            </w:pPr>
            <w:r>
              <w:rPr>
                <w:rFonts w:ascii="Courier New" w:hAnsi="Courier New"/>
                <w:b w:val="0"/>
                <w:i w:val="0"/>
                <w:sz w:val="18"/>
              </w:rPr>
              <w:t>ACC0003     1   -0.767447</w:t>
            </w:r>
          </w:p>
          <w:p>
            <w:pPr>
              <w:spacing w:lineRule="auto" w:line="240" w:before="0" w:after="20"/>
              <w:ind w:left="113"/>
            </w:pPr>
            <w:r>
              <w:rPr>
                <w:rFonts w:ascii="Courier New" w:hAnsi="Courier New"/>
                <w:b w:val="0"/>
                <w:i w:val="0"/>
                <w:sz w:val="18"/>
              </w:rPr>
              <w:t>ACC0005     2   -0.755597</w:t>
            </w:r>
          </w:p>
          <w:p>
            <w:pPr>
              <w:spacing w:lineRule="auto" w:line="240" w:before="0" w:after="20"/>
              <w:ind w:left="113"/>
            </w:pPr>
            <w:r>
              <w:rPr>
                <w:rFonts w:ascii="Courier New" w:hAnsi="Courier New"/>
                <w:b w:val="0"/>
                <w:i w:val="0"/>
                <w:sz w:val="18"/>
              </w:rPr>
              <w:t>ACC0002     3   -0.736023</w:t>
            </w:r>
          </w:p>
          <w:p>
            <w:pPr>
              <w:spacing w:lineRule="auto" w:line="240" w:before="0" w:after="20"/>
              <w:ind w:left="113"/>
            </w:pPr>
            <w:r>
              <w:rPr>
                <w:rFonts w:ascii="Courier New" w:hAnsi="Courier New"/>
                <w:b w:val="0"/>
                <w:i w:val="0"/>
                <w:sz w:val="18"/>
              </w:rPr>
              <w:t>ACC0001     4   -0.732443</w:t>
            </w:r>
          </w:p>
          <w:p>
            <w:pPr>
              <w:spacing w:lineRule="auto" w:line="240" w:before="0" w:after="20"/>
              <w:ind w:left="113"/>
            </w:pPr>
            <w:r>
              <w:rPr>
                <w:rFonts w:ascii="Courier New" w:hAnsi="Courier New"/>
                <w:b w:val="0"/>
                <w:i w:val="0"/>
                <w:sz w:val="18"/>
              </w:rPr>
              <w:t>ACC0004     5   -0.723678</w:t>
            </w:r>
          </w:p>
          <w:p>
            <w:pPr>
              <w:spacing w:lineRule="auto" w:line="240" w:before="0" w:after="20"/>
              <w:ind w:left="113"/>
            </w:pPr>
            <w:r>
              <w:rPr>
                <w:rFonts w:ascii="Courier New" w:hAnsi="Courier New"/>
                <w:b w:val="0"/>
                <w:i w:val="0"/>
                <w:sz w:val="18"/>
              </w:rPr>
              <w:t>ACC0006     6   -0.720158</w:t>
            </w:r>
          </w:p>
        </w:tc>
      </w:tr>
    </w:tbl>
    <w:p>
      <w:pPr>
        <w:spacing w:lineRule="auto" w:line="240" w:before="0" w:after="160"/>
      </w:pPr>
    </w:p>
    <w:p>
      <w:pPr>
        <w:spacing w:lineRule="auto" w:line="240" w:before="200" w:after="80"/>
        <w:jc w:val="center"/>
      </w:pPr>
      <w:r>
        <w:drawing>
          <wp:inline xmlns:a="http://schemas.openxmlformats.org/drawingml/2006/main" xmlns:pic="http://schemas.openxmlformats.org/drawingml/2006/picture">
            <wp:extent cx="4680000" cy="3086471"/>
            <wp:docPr id="5" name="Picture 5"/>
            <wp:cNvGraphicFramePr>
              <a:graphicFrameLocks noChangeAspect="1"/>
            </wp:cNvGraphicFramePr>
            <a:graphic>
              <a:graphicData uri="http://schemas.openxmlformats.org/drawingml/2006/picture">
                <pic:pic>
                  <pic:nvPicPr>
                    <pic:cNvPr id="0" name="ch8.png"/>
                    <pic:cNvPicPr/>
                  </pic:nvPicPr>
                  <pic:blipFill>
                    <a:blip r:embed="rId13"/>
                    <a:stretch>
                      <a:fillRect/>
                    </a:stretch>
                  </pic:blipFill>
                  <pic:spPr>
                    <a:xfrm>
                      <a:off x="0" y="0"/>
                      <a:ext cx="4680000" cy="3086471"/>
                    </a:xfrm>
                    <a:prstGeom prst="rect"/>
                  </pic:spPr>
                </pic:pic>
              </a:graphicData>
            </a:graphic>
          </wp:inline>
        </w:drawing>
      </w:r>
    </w:p>
    <w:p>
      <w:pPr>
        <w:spacing w:lineRule="auto" w:line="240" w:before="40" w:after="240"/>
        <w:jc w:val="center"/>
      </w:pPr>
      <w:r>
        <w:rPr>
          <w:rFonts w:ascii="Times New Roman" w:hAnsi="Times New Roman"/>
          <w:b w:val="0"/>
          <w:i/>
          <w:sz w:val="20"/>
        </w:rPr>
        <w:t>Fig. 8.1  Isolation Forest anomaly scores — alert pool of 392 accounts</w:t>
      </w:r>
    </w:p>
    <w:p>
      <w:pPr>
        <w:pStyle w:val="BodyText"/>
        <w:spacing w:lineRule="auto" w:line="360" w:before="0" w:after="120"/>
        <w:ind w:firstLine="283"/>
      </w:pPr>
      <w:r>
        <w:rPr>
          <w:rFonts w:ascii="Times New Roman" w:hAnsi="Times New Roman"/>
          <w:b w:val="0"/>
          <w:i w:val="0"/>
          <w:sz w:val="24"/>
        </w:rPr>
        <w:t>The Isolation Forest ranks all six mule accounts in positions 1–6 out of 392 alerted accounts. Their anomaly scores are substantially more negative than the rest of the alert pool — a direct consequence of the unique combination of features: 100% cash-in ratio, high transaction volume, and multiple rule flags. The chart shows the score distribution across all alerted accounts, with mule accounts marked in red. Exercise 8.1 asks you to interpret these results: what would it mean if a mule account did not appear at the top — and what does that tell you about the feature design choices?</w:t>
      </w:r>
    </w:p>
    <w:p>
      <w:pPr>
        <w:pStyle w:val="Heading2"/>
      </w:pPr>
      <w:r>
        <w:rPr>
          <w:rFonts w:ascii="Times New Roman" w:hAnsi="Times New Roman"/>
        </w:rPr>
        <w:t>8.7 Risk Considerations</w:t>
      </w:r>
    </w:p>
    <w:p>
      <w:pPr>
        <w:pStyle w:val="ListBullet"/>
        <w:spacing w:lineRule="auto" w:line="360" w:before="0" w:after="60"/>
      </w:pPr>
      <w:r>
        <w:rPr>
          <w:rFonts w:ascii="Times New Roman" w:hAnsi="Times New Roman"/>
          <w:b w:val="0"/>
          <w:i w:val="0"/>
          <w:sz w:val="24"/>
        </w:rPr>
        <w:t>Over-reliance on ML scores: Analysts must not treat a high anomaly score as a finding. It is a signal, not a conclusion. The investigation — gathering evidence, assessing the customer's explanation, making the L1/L2/L3 disposition — must still be conducted properly.</w:t>
      </w:r>
    </w:p>
    <w:p>
      <w:pPr>
        <w:pStyle w:val="ListBullet"/>
        <w:spacing w:lineRule="auto" w:line="360" w:before="0" w:after="60"/>
      </w:pPr>
      <w:r>
        <w:rPr>
          <w:rFonts w:ascii="Times New Roman" w:hAnsi="Times New Roman"/>
          <w:b w:val="0"/>
          <w:i w:val="0"/>
          <w:sz w:val="24"/>
        </w:rPr>
        <w:t>Model drift: Money launderers adapt. A mule network that becomes aware that high counterparty counts attract attention will diversify. Over time, the feature distributions that the model learned will shift, and the model's discriminatory power will degrade. Models must be monitored for drift and retrained periodically.</w:t>
      </w:r>
    </w:p>
    <w:p>
      <w:pPr>
        <w:pStyle w:val="ListBullet"/>
        <w:spacing w:lineRule="auto" w:line="360" w:before="0" w:after="60"/>
      </w:pPr>
      <w:r>
        <w:rPr>
          <w:rFonts w:ascii="Times New Roman" w:hAnsi="Times New Roman"/>
          <w:b w:val="0"/>
          <w:i w:val="0"/>
          <w:sz w:val="24"/>
        </w:rPr>
        <w:t>Regulatory expectations for model governance: An ML triage model is a model under SR 26-2 (US) and PRA SS1/23 (UK). It requires validation against the five pillars covered in Chapter 9: conceptual soundness, data integrity, performance testing, sensitivity analysis, and ongoing monitoring. 'We just use it for prioritisation' is not a defence. The triage model is deployed by the 1.5th Line (Operations), validated by the 2nd Line (Model Risk Management / FinCrime Risk), and subject to independent review by the 3rd Line (Audit/IMR). These governance relationships mirror those of any other AML model and are covered in full in Chapter 9.</w:t>
      </w:r>
    </w:p>
    <w:p>
      <w:pPr>
        <w:pStyle w:val="ListBullet"/>
        <w:spacing w:lineRule="auto" w:line="360" w:before="0" w:after="60"/>
      </w:pPr>
      <w:r>
        <w:rPr>
          <w:rFonts w:ascii="Times New Roman" w:hAnsi="Times New Roman"/>
          <w:b w:val="0"/>
          <w:i w:val="0"/>
          <w:sz w:val="24"/>
        </w:rPr>
        <w:t>Algorithmic bias: If the training data (even implicitly, through feature selection) encodes demographic patterns, the model may flag customers in certain groups at higher rates. CRR score, account age, and counterparty count can all carry demographic correlations. Bias testing is part of model validation.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8.9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Most TM alerts at retail banks do not result in SARs. The alert-to-SAR ratio is scenario-specific, not an industry constant — its precision depends on the quality of segmentation, threshold calibration, and data. Triage addresses the operational symptom; Chapters 5 and 6 addressed the structural causes.</w:t>
            </w:r>
          </w:p>
          <w:p>
            <w:pPr>
              <w:spacing w:lineRule="auto" w:line="312" w:before="20" w:after="40"/>
              <w:ind w:left="113"/>
            </w:pPr>
            <w:r>
              <w:rPr>
                <w:rFonts w:ascii="Times New Roman" w:hAnsi="Times New Roman"/>
                <w:b w:val="0"/>
                <w:i w:val="0"/>
                <w:sz w:val="22"/>
              </w:rPr>
              <w:t>The alert lifecycle — new, in review, hibernated, escalated, expired, SAR-filed — manages alert flow and governs analyst prioritisation. Alert expiration is a regulatory red flag. Alert fatigue is a systemic risk detectable through review-time and escalation-ratio metrics.</w:t>
            </w:r>
          </w:p>
          <w:p>
            <w:pPr>
              <w:spacing w:lineRule="auto" w:line="312" w:before="20" w:after="40"/>
              <w:ind w:left="113"/>
            </w:pPr>
            <w:r>
              <w:rPr>
                <w:rFonts w:ascii="Times New Roman" w:hAnsi="Times New Roman"/>
                <w:b w:val="0"/>
                <w:i w:val="0"/>
                <w:sz w:val="22"/>
              </w:rPr>
              <w:t>Unsupervised ML (Isolation Forest) scores alerts by anomalousness without requiring labelled training data, making it well-suited to AML where the ground truth is always incomplete.</w:t>
            </w:r>
          </w:p>
          <w:p>
            <w:pPr>
              <w:spacing w:lineRule="auto" w:line="312" w:before="20" w:after="40"/>
              <w:ind w:left="113"/>
            </w:pPr>
            <w:r>
              <w:rPr>
                <w:rFonts w:ascii="Times New Roman" w:hAnsi="Times New Roman"/>
                <w:b w:val="0"/>
                <w:i w:val="0"/>
                <w:sz w:val="22"/>
              </w:rPr>
              <w:t>Permutation importance provides a model-agnostic proxy for feature contribution: shuffle each feature, measure how far mule accounts drop in the ranked queue. Features whose shuffling most degrades recall are the model's load-bearing pillars.</w:t>
            </w:r>
          </w:p>
          <w:p>
            <w:pPr>
              <w:spacing w:lineRule="auto" w:line="312" w:before="20" w:after="40"/>
              <w:ind w:left="113"/>
            </w:pPr>
            <w:r>
              <w:rPr>
                <w:rFonts w:ascii="Times New Roman" w:hAnsi="Times New Roman"/>
                <w:b w:val="0"/>
                <w:i w:val="0"/>
                <w:sz w:val="22"/>
              </w:rPr>
              <w:t>ML triage models require model governance: inventory, documentation, validation against the five pillars (Chapter 9), and 2nd/3rd Line oversight. 'We just use it for prioritisation' is not a defence.</w:t>
            </w:r>
          </w:p>
          <w:p>
            <w:pPr>
              <w:spacing w:lineRule="auto" w:line="312" w:before="20" w:after="40"/>
              <w:ind w:left="113"/>
            </w:pPr>
            <w:r>
              <w:rPr>
                <w:rFonts w:ascii="Times New Roman" w:hAnsi="Times New Roman"/>
                <w:b w:val="0"/>
                <w:i w:val="0"/>
                <w:sz w:val="22"/>
              </w:rPr>
              <w:t>This chapter covers alert triage. The frontier also includes entity-level and graph-level detection — identifying connected networks rather than isolated anomalous accounts. These techniques are introduced in Chapter 10.</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8.1 — ML Triage for the Northgate Alert Population  [Advanced]</w:t>
            </w:r>
          </w:p>
          <w:p>
            <w:pPr>
              <w:spacing w:lineRule="auto" w:line="312" w:before="20" w:after="40"/>
              <w:ind w:left="113"/>
            </w:pPr>
            <w:r>
              <w:rPr>
                <w:rFonts w:ascii="Times New Roman" w:hAnsi="Times New Roman"/>
                <w:b w:val="0"/>
                <w:i w:val="0"/>
                <w:sz w:val="22"/>
              </w:rPr>
              <w:t>Recap: In Exercise 7.1 you assessed the coverage of the three-rule Northgate scenario set. Now apply ML triage to the alert pool those rules generate.</w:t>
            </w:r>
          </w:p>
          <w:p>
            <w:pPr>
              <w:spacing w:lineRule="auto" w:line="312" w:before="20" w:after="40"/>
              <w:ind w:left="113"/>
            </w:pPr>
            <w:r>
              <w:rPr>
                <w:rFonts w:ascii="Times New Roman" w:hAnsi="Times New Roman"/>
                <w:b w:val="0"/>
                <w:i w:val="0"/>
                <w:sz w:val="22"/>
              </w:rPr>
              <w:t>Colab Extension: Section 8.6 showed the Isolation Forest codebase. The Chapter 8 Colab notebook pre-loads all three rule functions and the Northgate dataset, builds the seven-feature matrix, and fits the model. Your job is to interpret the output — not to write the model code. The notebook guides you through Parts A–D. Part E (Extended) invites you to run the contamination sensitivity analysis and report what changes.</w:t>
            </w:r>
          </w:p>
        </w:tc>
      </w:tr>
    </w:tbl>
    <w:p>
      <w:pPr>
        <w:spacing w:lineRule="auto" w:line="240" w:before="0" w:after="8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A — Triage Output: Run Section 1 in the Chapter 8 notebook. Report: how many accounts are in the combined three-rule alert pool? List the top 6 accounts by anomaly score with their feature values (total_cash_in, cash_ratio, hr_ratio, rule flags). Do all six known Northgate mule accounts appear in positions 1–6?</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B — Feature Interpretation: For the top-ranked account (rank 1), describe in plain English why Isolation Forest assigned it the lowest (most anomalous) score. Reference at least two of the seven features and explain what each indicates in an AML context. Write this as a one-paragraph analyst note suitable for a case file.</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C — Contamination Parameter: The notebook's Section 2 runs the contamination sensitivity analysis (contamination 0.01 to 0.20). Report: do the mule account ranks change materially as contamination increases? What contamination value would you set if your bank's compliance team estimated that 3% of all alerted accounts represent genuine suspicious activity?</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D — Model Governance: Write a one-paragraph model purpose statement for the Isolation Forest triage model, suitable for inclusion in a model inventory. Include: purpose, methodology, inputs (name all seven features), outputs, and one key limitation. The statement should be understandable to a model validator who has not read this book.</w:t>
            </w:r>
          </w:p>
          <w:p>
            <w:pPr>
              <w:spacing w:lineRule="auto" w:line="312" w:before="20" w:after="40"/>
              <w:ind w:left="170"/>
            </w:pPr>
            <w:r>
              <w:rPr>
                <w:rFonts w:ascii="Times New Roman" w:hAnsi="Times New Roman"/>
                <w:b w:val="0"/>
                <w:i w:val="0"/>
                <w:sz w:val="22"/>
              </w:rPr>
              <w:t>See the Instructor's Solutions Manual for worked answers and sample governance language. In Chapter 9, we validate the full model suite — the rule, the segmentation, and this triage model — against the five-pillar SR 11-7 / PRA CS 6/23 framework.</w:t>
            </w:r>
          </w:p>
        </w:tc>
      </w:tr>
    </w:tbl>
    <w:p>
      <w:pPr>
        <w:spacing w:lineRule="auto" w:line="240" w:before="0" w:after="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8.2 — Permutation Importance and Feature Design  [Applied / Out-of-the-Box]</w:t>
            </w:r>
          </w:p>
          <w:p>
            <w:pPr>
              <w:spacing w:lineRule="auto" w:line="312" w:before="20" w:after="40"/>
              <w:ind w:left="113"/>
            </w:pPr>
            <w:r>
              <w:rPr>
                <w:rFonts w:ascii="Times New Roman" w:hAnsi="Times New Roman"/>
                <w:b w:val="0"/>
                <w:i w:val="0"/>
                <w:sz w:val="22"/>
              </w:rPr>
              <w:t>Section 2 of the notebook runs a permutation importance analysis: each feature is shuffled in turn, the model is re-fitted, and the average mule rank is recorded. Features whose shuffling most degrades mule recall are the model's load-bearing pillars.</w:t>
            </w:r>
          </w:p>
          <w:p>
            <w:pPr>
              <w:spacing w:lineRule="auto" w:line="312" w:before="20" w:after="40"/>
              <w:ind w:left="113"/>
            </w:pPr>
            <w:r>
              <w:rPr>
                <w:rFonts w:ascii="Times New Roman" w:hAnsi="Times New Roman"/>
                <w:b w:val="0"/>
                <w:i w:val="0"/>
                <w:sz w:val="22"/>
              </w:rPr>
              <w:t>Which two features have the highest permutation importance (i.e., shuffling them most damages mule recall)? Explain in one sentence why each feature is load-bearing given what you know about the Northgate mule accounts.</w:t>
            </w:r>
          </w:p>
          <w:p>
            <w:pPr>
              <w:spacing w:lineRule="auto" w:line="312" w:before="20" w:after="40"/>
              <w:ind w:left="113"/>
            </w:pPr>
            <w:r>
              <w:rPr>
                <w:rFonts w:ascii="Times New Roman" w:hAnsi="Times New Roman"/>
                <w:b w:val="0"/>
                <w:i w:val="0"/>
                <w:sz w:val="22"/>
              </w:rPr>
              <w:t>If rule1_flag has low permutation importance, does that mean NRB-STRUCT-001 is a poor rule? Argue for and against this conclusion in no more than 100 words, considering how the flag interacts with the continuous features.</w:t>
            </w:r>
          </w:p>
          <w:p>
            <w:pPr>
              <w:spacing w:lineRule="auto" w:line="312" w:before="20" w:after="40"/>
              <w:ind w:left="113"/>
            </w:pPr>
            <w:r>
              <w:rPr>
                <w:rFonts w:ascii="Times New Roman" w:hAnsi="Times New Roman"/>
                <w:b w:val="0"/>
                <w:i w:val="0"/>
                <w:sz w:val="22"/>
              </w:rPr>
              <w:t>Propose one additional feature you would add to the next version of the model (beyond the seven already in use). Describe: (a) how it would be computed from the Northgate dataset, (b) which mule behaviour it would capture that the current features do not, and (c) what data quality risks it introduces.</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8.3 — Project Sentinel: Governance Forum  [Synthesis / Stretch]</w:t>
            </w:r>
          </w:p>
          <w:p>
            <w:pPr>
              <w:spacing w:lineRule="auto" w:line="312" w:before="20" w:after="40"/>
              <w:ind w:left="113"/>
            </w:pPr>
            <w:r>
              <w:rPr>
                <w:rFonts w:ascii="Times New Roman" w:hAnsi="Times New Roman"/>
                <w:b w:val="0"/>
                <w:i w:val="0"/>
                <w:sz w:val="22"/>
              </w:rPr>
              <w:t>Project Sentinel's data scientist presents the triage model to the governance forum (1st Line compliance officer, 2nd Line model risk manager, Head of Financial Crime).</w:t>
            </w:r>
          </w:p>
          <w:p>
            <w:pPr>
              <w:spacing w:lineRule="auto" w:line="312" w:before="20" w:after="40"/>
              <w:ind w:left="113"/>
            </w:pPr>
            <w:r>
              <w:rPr>
                <w:rFonts w:ascii="Times New Roman" w:hAnsi="Times New Roman"/>
                <w:b w:val="0"/>
                <w:i w:val="0"/>
                <w:sz w:val="22"/>
              </w:rPr>
              <w:t>The compliance officer asks: 'If an account scores low on the Isolation Forest triage model, can the analyst deprioritise it?' Write the data scientist's answer — technically accurate, regulatory sound, and no longer than 100 words.</w:t>
            </w:r>
          </w:p>
          <w:p>
            <w:pPr>
              <w:spacing w:lineRule="auto" w:line="312" w:before="20" w:after="40"/>
              <w:ind w:left="113"/>
            </w:pPr>
            <w:r>
              <w:rPr>
                <w:rFonts w:ascii="Times New Roman" w:hAnsi="Times New Roman"/>
                <w:b w:val="0"/>
                <w:i w:val="0"/>
                <w:sz w:val="22"/>
              </w:rPr>
              <w:t>The model risk manager asks: 'What is the single biggest model risk in using Isolation Forest for AML alert triage, and what would you do to mitigate it?' Write the data scientist's answer in no more than 150 words. Your answer must reference at least one of the five pillars from Chapter 9's preview and explain what governance action would be required before the model can be used to deprioritise any alert.</w:t>
            </w:r>
          </w:p>
          <w:p>
            <w:pPr>
              <w:spacing w:lineRule="auto" w:line="312" w:before="20" w:after="40"/>
              <w:ind w:left="113"/>
            </w:pPr>
            <w:r>
              <w:rPr>
                <w:rFonts w:ascii="Times New Roman" w:hAnsi="Times New Roman"/>
                <w:b w:val="0"/>
                <w:i w:val="0"/>
                <w:sz w:val="22"/>
              </w:rPr>
              <w:t>See the Instructor's Solutions Manual for worked answers and sample governance document language. In Chapter 9, we validate the full model suite against the five-pillar framework.</w:t>
            </w:r>
          </w:p>
        </w:tc>
      </w:tr>
    </w:tbl>
    <w:p>
      <w:pPr>
        <w:spacing w:lineRule="auto" w:line="240" w:before="0" w:after="80"/>
      </w:pPr>
    </w:p>
    <w:p>
      <w:pPr>
        <w:spacing w:lineRule="auto" w:line="240" w:before="0" w:after="120"/>
      </w:pPr>
    </w:p>
    <w:p>
      <w:pPr>
        <w:pStyle w:val="Heading2"/>
      </w:pPr>
      <w:r>
        <w:rPr>
          <w:rFonts w:ascii="Times New Roman" w:hAnsi="Times New Roman"/>
        </w:rPr>
        <w:t>8.8 Supervised Machine Learning: End-to-End Workflow</w:t>
      </w:r>
    </w:p>
    <w:p>
      <w:pPr>
        <w:pStyle w:val="BodyText"/>
        <w:spacing w:lineRule="auto" w:line="360" w:before="0" w:after="120"/>
        <w:ind w:firstLine="283"/>
      </w:pPr>
      <w:r>
        <w:rPr>
          <w:rFonts w:ascii="Times New Roman" w:hAnsi="Times New Roman"/>
          <w:b w:val="0"/>
          <w:i w:val="0"/>
          <w:sz w:val="24"/>
        </w:rPr>
        <w:t>Unsupervised ML (Isolation Forest) does not require labelled data. Supervised ML does — and with the right data and careful preparation, it offers higher discriminatory power. This section covers the end-to-end supervised ML workflow for AML event triage.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8.10  </w:t>
            </w:r>
            <w:r>
              <w:rPr>
                <w:rFonts w:ascii="Times New Roman" w:hAnsi="Times New Roman"/>
                <w:b/>
                <w:i/>
                <w:sz w:val="22"/>
              </w:rPr>
              <w:t>Supervised ML Workflow for AML Event Triage</w:t>
            </w:r>
          </w:p>
          <w:p>
            <w:pPr>
              <w:spacing w:lineRule="auto" w:line="312" w:before="20" w:after="40"/>
              <w:ind w:left="113"/>
            </w:pPr>
            <w:r>
              <w:rPr>
                <w:rFonts w:ascii="Times New Roman" w:hAnsi="Times New Roman"/>
                <w:b w:val="0"/>
                <w:i w:val="0"/>
                <w:sz w:val="22"/>
              </w:rPr>
              <w:t>Stage 1: Feature Engineering Design</w:t>
            </w:r>
          </w:p>
          <w:p>
            <w:pPr>
              <w:spacing w:lineRule="auto" w:line="312" w:before="20" w:after="40"/>
              <w:ind w:left="113"/>
            </w:pPr>
            <w:r>
              <w:rPr>
                <w:rFonts w:ascii="Times New Roman" w:hAnsi="Times New Roman"/>
                <w:b w:val="0"/>
                <w:i w:val="0"/>
                <w:sz w:val="22"/>
              </w:rPr>
              <w:t>Features are the variables the model uses to score each alert or event. In AML, features are like rules with thresholds set statistically rather than by human judgement. A feature such as 'value of cash deposits in the past 30 days' is a continuous variable that feeds the model — the model learns what values of that feature are associated with SAR outcomes. Good feature engineering is the single most important determinant of model performance; no algorithm compensates for poorly designed features. The ~30-feature framework in Section 8.10 provides a standard starting point.</w:t>
            </w:r>
          </w:p>
          <w:p>
            <w:pPr>
              <w:spacing w:lineRule="auto" w:line="312" w:before="20" w:after="40"/>
              <w:ind w:left="113"/>
            </w:pPr>
            <w:r>
              <w:rPr>
                <w:rFonts w:ascii="Times New Roman" w:hAnsi="Times New Roman"/>
                <w:b w:val="0"/>
                <w:i w:val="0"/>
                <w:sz w:val="22"/>
              </w:rPr>
              <w:t>Stage 2: Data Preparation and SAR Cleansing</w:t>
            </w:r>
          </w:p>
          <w:p>
            <w:pPr>
              <w:spacing w:lineRule="auto" w:line="312" w:before="20" w:after="40"/>
              <w:ind w:left="113"/>
            </w:pPr>
            <w:r>
              <w:rPr>
                <w:rFonts w:ascii="Times New Roman" w:hAnsi="Times New Roman"/>
                <w:b w:val="0"/>
                <w:i w:val="0"/>
                <w:sz w:val="22"/>
              </w:rPr>
              <w:t>Raw SAR data is the primary positive-label source. It requires cleansing before use (see Section 8.9). The negative class (non-SAR) is selected from reviewed alerts closed as non-suspicious — with care to exclude cases where the non-suspicious conclusion was itself an error. Class imbalance must be addressed: SAR cases are rare. Standard approaches include SMOTE (synthetic minority oversampling), class-weighting, and threshold adjustment during scoring.</w:t>
            </w:r>
          </w:p>
          <w:p>
            <w:pPr>
              <w:spacing w:lineRule="auto" w:line="312" w:before="20" w:after="40"/>
              <w:ind w:left="113"/>
            </w:pPr>
            <w:r>
              <w:rPr>
                <w:rFonts w:ascii="Times New Roman" w:hAnsi="Times New Roman"/>
                <w:b w:val="0"/>
                <w:i w:val="0"/>
                <w:sz w:val="22"/>
              </w:rPr>
              <w:t>Stage 3: Model Training and Hyperparameter Tuning</w:t>
            </w:r>
          </w:p>
          <w:p>
            <w:pPr>
              <w:spacing w:lineRule="auto" w:line="312" w:before="20" w:after="40"/>
              <w:ind w:left="113"/>
            </w:pPr>
            <w:r>
              <w:rPr>
                <w:rFonts w:ascii="Times New Roman" w:hAnsi="Times New Roman"/>
                <w:b w:val="0"/>
                <w:i w:val="0"/>
                <w:sz w:val="22"/>
              </w:rPr>
              <w:t>Split the dataset into training (70%), validation (15%), and holdout test (15%) sets. Use the training set to fit the model and the validation set to tune hyperparameters (e.g., learning rate, max depth, n_estimators for XGBoost). Cross-validation on the training set reduces overfitting. The holdout test set is used only once — for final performance evaluation.</w:t>
            </w:r>
          </w:p>
          <w:p>
            <w:pPr>
              <w:spacing w:lineRule="auto" w:line="312" w:before="20" w:after="40"/>
              <w:ind w:left="113"/>
            </w:pPr>
            <w:r>
              <w:rPr>
                <w:rFonts w:ascii="Times New Roman" w:hAnsi="Times New Roman"/>
                <w:b w:val="0"/>
                <w:i w:val="0"/>
                <w:sz w:val="22"/>
              </w:rPr>
              <w:t>Stage 4: Output and Feedback Loop</w:t>
            </w:r>
          </w:p>
          <w:p>
            <w:pPr>
              <w:spacing w:lineRule="auto" w:line="312" w:before="20" w:after="40"/>
              <w:ind w:left="113"/>
            </w:pPr>
            <w:r>
              <w:rPr>
                <w:rFonts w:ascii="Times New Roman" w:hAnsi="Times New Roman"/>
                <w:b w:val="0"/>
                <w:i w:val="0"/>
                <w:sz w:val="22"/>
              </w:rPr>
              <w:t>The model outputs a probability score for each alert (0 = not suspicious, 1 = suspicious). Alerts are ranked by score and routed to analysts. As analysts complete reviews and reach dispositions, those outcomes feed back into the training dataset for the next model iteration. The feedback loop is the mechanism by which the model improves over time — but it requires careful management: if the feedback loop introduces the same biases present in the original training data, the model will learn to replicate those biases more efficiently. Governance of the feedback loop is a model risk concern.</w:t>
            </w:r>
          </w:p>
          <w:p>
            <w:pPr>
              <w:spacing w:lineRule="auto" w:line="312" w:before="20" w:after="40"/>
              <w:ind w:left="113"/>
            </w:pPr>
            <w:r>
              <w:rPr>
                <w:rFonts w:ascii="Times New Roman" w:hAnsi="Times New Roman"/>
                <w:b w:val="0"/>
                <w:i w:val="0"/>
                <w:sz w:val="22"/>
              </w:rPr>
              <w:t>From raw data to model output: raw transaction data → feature engineering (compute 30-day aggregates, derive ratios, join reference data) → feature matrix → model training → probability scores → analyst queue ranked by score → dispositions → feedback loop → model retraining.</w:t>
            </w:r>
          </w:p>
        </w:tc>
      </w:tr>
    </w:tbl>
    <w:p>
      <w:pPr>
        <w:spacing w:lineRule="auto" w:line="240" w:before="0" w:after="160"/>
      </w:pPr>
    </w:p>
    <w:p>
      <w:pPr>
        <w:pStyle w:val="Heading2"/>
      </w:pPr>
      <w:r>
        <w:rPr>
          <w:rFonts w:ascii="Times New Roman" w:hAnsi="Times New Roman"/>
        </w:rPr>
        <w:t>8.9 SAR Data Cleansing for Supervised ML</w:t>
      </w:r>
    </w:p>
    <w:p>
      <w:pPr>
        <w:pStyle w:val="BodyText"/>
        <w:spacing w:lineRule="auto" w:line="360" w:before="0" w:after="120"/>
        <w:ind w:firstLine="283"/>
      </w:pPr>
      <w:r>
        <w:rPr>
          <w:rFonts w:ascii="Times New Roman" w:hAnsi="Times New Roman"/>
          <w:b w:val="0"/>
          <w:i w:val="0"/>
          <w:sz w:val="24"/>
        </w:rPr>
        <w:t>SAR data is the primary source of positive labels for supervised ML in AML. Its quality directly determines model quality — and it is structurally noisy. Three types of noise must be addressed before any supervised training:</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8.11  </w:t>
            </w:r>
            <w:r>
              <w:rPr>
                <w:rFonts w:ascii="Times New Roman" w:hAnsi="Times New Roman"/>
                <w:b/>
                <w:i/>
                <w:sz w:val="22"/>
              </w:rPr>
              <w:t>SAR Data Cleansing: Three Noise Types</w:t>
            </w:r>
          </w:p>
          <w:p>
            <w:pPr>
              <w:spacing w:lineRule="auto" w:line="312" w:before="20" w:after="40"/>
              <w:ind w:left="113"/>
            </w:pPr>
            <w:r>
              <w:rPr>
                <w:rFonts w:ascii="Times New Roman" w:hAnsi="Times New Roman"/>
                <w:b w:val="0"/>
                <w:i w:val="0"/>
                <w:sz w:val="22"/>
              </w:rPr>
              <w:t>Noise Type 1 — Defensive SARs: Filed 'just in case' with no positive link to the features or typologies the model is designed to detect. A defensive SAR on a structuring model filed because a customer is PEP (not because of deposit patterns) contaminates the structuring model's training data. Cleansing approach: classify SARs by typology match; exclude SARs where the filing rationale does not correspond to the scenario's target typology.</w:t>
            </w:r>
          </w:p>
          <w:p>
            <w:pPr>
              <w:spacing w:lineRule="auto" w:line="312" w:before="20" w:after="40"/>
              <w:ind w:left="113"/>
            </w:pPr>
            <w:r>
              <w:rPr>
                <w:rFonts w:ascii="Times New Roman" w:hAnsi="Times New Roman"/>
                <w:b w:val="0"/>
                <w:i w:val="0"/>
                <w:sz w:val="22"/>
              </w:rPr>
              <w:t>Noise Type 2 — Stale or Superseded SARs: Filed on behaviour that was later explained (continuation filing not accompanied by new evidence), or on accounts subsequently closed as low-risk after a full EDD review. Cleansing approach: apply a recency filter; cross-reference SAR population against subsequent CDD/EDD outcomes.</w:t>
            </w:r>
          </w:p>
          <w:p>
            <w:pPr>
              <w:spacing w:lineRule="auto" w:line="312" w:before="20" w:after="40"/>
              <w:ind w:left="113"/>
            </w:pPr>
            <w:r>
              <w:rPr>
                <w:rFonts w:ascii="Times New Roman" w:hAnsi="Times New Roman"/>
                <w:b w:val="0"/>
                <w:i w:val="0"/>
                <w:sz w:val="22"/>
              </w:rPr>
              <w:t>Noise Type 3 — Missing Positive Link Between SAR and Features: SAR filed based on information not available in the transactional feature set (e.g., a law enforcement tipoff). The model cannot learn from these cases — the SAR outcome is not explained by the available features. Cleansing approach: exclude SARs where the filing narrative references information not representable in the feature matrix.</w:t>
            </w:r>
          </w:p>
          <w:p>
            <w:pPr>
              <w:spacing w:lineRule="auto" w:line="312" w:before="20" w:after="40"/>
              <w:ind w:left="113"/>
            </w:pPr>
            <w:r>
              <w:rPr>
                <w:rFonts w:ascii="Times New Roman" w:hAnsi="Times New Roman"/>
                <w:b w:val="0"/>
                <w:i w:val="0"/>
                <w:sz w:val="22"/>
              </w:rPr>
              <w:t>After cleansing, the remaining SAR population is the 'clean positives' dataset. Document the cleansing decisions: what criteria were applied, how many SARs were excluded and why. This documentation is a model governance artefact — model validators will ask why the training labels were selected as they were.</w:t>
            </w:r>
          </w:p>
        </w:tc>
      </w:tr>
    </w:tbl>
    <w:p>
      <w:pPr>
        <w:spacing w:lineRule="auto" w:line="240" w:before="0" w:after="160"/>
      </w:pPr>
    </w:p>
    <w:p>
      <w:pPr>
        <w:pStyle w:val="Heading2"/>
      </w:pPr>
      <w:r>
        <w:rPr>
          <w:rFonts w:ascii="Times New Roman" w:hAnsi="Times New Roman"/>
        </w:rPr>
        <w:t>8.10 Event Triage: Features for ML Scoring</w:t>
      </w:r>
    </w:p>
    <w:p>
      <w:pPr>
        <w:pStyle w:val="BodyText"/>
        <w:spacing w:lineRule="auto" w:line="360" w:before="0" w:after="120"/>
        <w:ind w:firstLine="283"/>
      </w:pPr>
      <w:r>
        <w:rPr>
          <w:rFonts w:ascii="Times New Roman" w:hAnsi="Times New Roman"/>
          <w:b w:val="0"/>
          <w:i w:val="0"/>
          <w:sz w:val="24"/>
        </w:rPr>
        <w:t>Event triage operates at the transaction or event level — scoring individual transactions before they are aggregated into alerts, enabling low-risk events to be suppressed before they reach the alert queue. The input data for event triage feature building combines four data sources: alert data, event data, customer reference data, and transaction history. Features are like rules with thresholds set statistically by the model rather than manually by an analyst.</w:t>
      </w:r>
    </w:p>
    <w:p>
      <w:pPr>
        <w:pStyle w:val="BodyText"/>
        <w:spacing w:lineRule="auto" w:line="360" w:before="0" w:after="120"/>
        <w:ind w:firstLine="283"/>
      </w:pPr>
      <w:r>
        <w:rPr>
          <w:rFonts w:ascii="Times New Roman" w:hAnsi="Times New Roman"/>
          <w:b w:val="0"/>
          <w:i w:val="0"/>
          <w:sz w:val="24"/>
        </w:rPr>
        <w:t>The following ~30-feature framework is a standard starting point for event triage ML. It is organised into three categories. This list should be validated and adapted to the institution's specific product mix, customer population, and deployed scenarios.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8.12  </w:t>
            </w:r>
            <w:r>
              <w:rPr>
                <w:rFonts w:ascii="Times New Roman" w:hAnsi="Times New Roman"/>
                <w:b/>
                <w:i/>
                <w:sz w:val="22"/>
              </w:rPr>
              <w:t>Category 1 — Reference Data Features (~8-10 features)</w:t>
            </w:r>
          </w:p>
          <w:p>
            <w:pPr>
              <w:spacing w:lineRule="auto" w:line="312" w:before="20" w:after="40"/>
              <w:ind w:left="113"/>
            </w:pPr>
            <w:r>
              <w:rPr>
                <w:rFonts w:ascii="Times New Roman" w:hAnsi="Times New Roman"/>
                <w:b w:val="0"/>
                <w:i w:val="0"/>
                <w:sz w:val="22"/>
              </w:rPr>
              <w:t>These features describe who the customer is. They change slowly and are sourced from the customer reference system and KYC/CDD records.</w:t>
            </w:r>
          </w:p>
          <w:p>
            <w:pPr>
              <w:spacing w:lineRule="auto" w:line="312" w:before="20" w:after="40"/>
              <w:ind w:left="113"/>
            </w:pPr>
            <w:r>
              <w:rPr>
                <w:rFonts w:ascii="Times New Roman" w:hAnsi="Times New Roman"/>
                <w:b w:val="0"/>
                <w:i w:val="0"/>
                <w:sz w:val="22"/>
              </w:rPr>
              <w:t>CRR Score: Customer Risk Rating (1–5). Primary risk classifier.</w:t>
            </w:r>
          </w:p>
          <w:p>
            <w:pPr>
              <w:spacing w:lineRule="auto" w:line="312" w:before="20" w:after="40"/>
              <w:ind w:left="113"/>
            </w:pPr>
            <w:r>
              <w:rPr>
                <w:rFonts w:ascii="Times New Roman" w:hAnsi="Times New Roman"/>
                <w:b w:val="0"/>
                <w:i w:val="0"/>
                <w:sz w:val="22"/>
              </w:rPr>
              <w:t>Risk Category: Band derived from CRR (Low / Medium / High).</w:t>
            </w:r>
          </w:p>
          <w:p>
            <w:pPr>
              <w:spacing w:lineRule="auto" w:line="312" w:before="20" w:after="40"/>
              <w:ind w:left="113"/>
            </w:pPr>
            <w:r>
              <w:rPr>
                <w:rFonts w:ascii="Times New Roman" w:hAnsi="Times New Roman"/>
                <w:b w:val="0"/>
                <w:i w:val="0"/>
                <w:sz w:val="22"/>
              </w:rPr>
              <w:t>Customer Type: Personal / Business / Correspondent / Other.</w:t>
            </w:r>
          </w:p>
          <w:p>
            <w:pPr>
              <w:spacing w:lineRule="auto" w:line="312" w:before="20" w:after="40"/>
              <w:ind w:left="113"/>
            </w:pPr>
            <w:r>
              <w:rPr>
                <w:rFonts w:ascii="Times New Roman" w:hAnsi="Times New Roman"/>
                <w:b w:val="0"/>
                <w:i w:val="0"/>
                <w:sz w:val="22"/>
              </w:rPr>
              <w:t>Account Type: Current / Savings / Business / Other.</w:t>
            </w:r>
          </w:p>
          <w:p>
            <w:pPr>
              <w:spacing w:lineRule="auto" w:line="312" w:before="20" w:after="40"/>
              <w:ind w:left="113"/>
            </w:pPr>
            <w:r>
              <w:rPr>
                <w:rFonts w:ascii="Times New Roman" w:hAnsi="Times New Roman"/>
                <w:b w:val="0"/>
                <w:i w:val="0"/>
                <w:sz w:val="22"/>
              </w:rPr>
              <w:t>Jurisdiction: Country of registration / domicile.</w:t>
            </w:r>
          </w:p>
          <w:p>
            <w:pPr>
              <w:spacing w:lineRule="auto" w:line="312" w:before="20" w:after="40"/>
              <w:ind w:left="113"/>
            </w:pPr>
            <w:r>
              <w:rPr>
                <w:rFonts w:ascii="Times New Roman" w:hAnsi="Times New Roman"/>
                <w:b w:val="0"/>
                <w:i w:val="0"/>
                <w:sz w:val="22"/>
              </w:rPr>
              <w:t>Industry / SIC Code: Sector classification.</w:t>
            </w:r>
          </w:p>
          <w:p>
            <w:pPr>
              <w:spacing w:lineRule="auto" w:line="312" w:before="20" w:after="40"/>
              <w:ind w:left="113"/>
            </w:pPr>
            <w:r>
              <w:rPr>
                <w:rFonts w:ascii="Times New Roman" w:hAnsi="Times New Roman"/>
                <w:b w:val="0"/>
                <w:i w:val="0"/>
                <w:sz w:val="22"/>
              </w:rPr>
              <w:t>Account Age / Tenure (months): Number of months since account opening.</w:t>
            </w:r>
          </w:p>
          <w:p>
            <w:pPr>
              <w:spacing w:lineRule="auto" w:line="312" w:before="20" w:after="40"/>
              <w:ind w:left="113"/>
            </w:pPr>
            <w:r>
              <w:rPr>
                <w:rFonts w:ascii="Times New Roman" w:hAnsi="Times New Roman"/>
                <w:b w:val="0"/>
                <w:i w:val="0"/>
                <w:sz w:val="22"/>
              </w:rPr>
              <w:t>KYC/CDD Status and Last Review Date: Whether CDD is current; days since last review.</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8.13  </w:t>
            </w:r>
            <w:r>
              <w:rPr>
                <w:rFonts w:ascii="Times New Roman" w:hAnsi="Times New Roman"/>
                <w:b/>
                <w:i/>
                <w:sz w:val="22"/>
              </w:rPr>
              <w:t>Category 2 — Activity-Based Features (~12-15 features)</w:t>
            </w:r>
          </w:p>
          <w:p>
            <w:pPr>
              <w:spacing w:lineRule="auto" w:line="312" w:before="20" w:after="40"/>
              <w:ind w:left="113"/>
            </w:pPr>
            <w:r>
              <w:rPr>
                <w:rFonts w:ascii="Times New Roman" w:hAnsi="Times New Roman"/>
                <w:b w:val="0"/>
                <w:i w:val="0"/>
                <w:sz w:val="22"/>
              </w:rPr>
              <w:t>These features describe what the customer does. They are computed from transaction history over defined lookback windows.</w:t>
            </w:r>
          </w:p>
          <w:p>
            <w:pPr>
              <w:spacing w:lineRule="auto" w:line="312" w:before="20" w:after="40"/>
              <w:ind w:left="113"/>
            </w:pPr>
            <w:r>
              <w:rPr>
                <w:rFonts w:ascii="Times New Roman" w:hAnsi="Times New Roman"/>
                <w:b w:val="0"/>
                <w:i w:val="0"/>
                <w:sz w:val="22"/>
              </w:rPr>
              <w:t>30-Day Inbound Value: Total value of inbound transactions in the past 30 days.</w:t>
            </w:r>
          </w:p>
          <w:p>
            <w:pPr>
              <w:spacing w:lineRule="auto" w:line="312" w:before="20" w:after="40"/>
              <w:ind w:left="113"/>
            </w:pPr>
            <w:r>
              <w:rPr>
                <w:rFonts w:ascii="Times New Roman" w:hAnsi="Times New Roman"/>
                <w:b w:val="0"/>
                <w:i w:val="0"/>
                <w:sz w:val="22"/>
              </w:rPr>
              <w:t>30-Day Inbound Volume: Count of inbound transactions.</w:t>
            </w:r>
          </w:p>
          <w:p>
            <w:pPr>
              <w:spacing w:lineRule="auto" w:line="312" w:before="20" w:after="40"/>
              <w:ind w:left="113"/>
            </w:pPr>
            <w:r>
              <w:rPr>
                <w:rFonts w:ascii="Times New Roman" w:hAnsi="Times New Roman"/>
                <w:b w:val="0"/>
                <w:i w:val="0"/>
                <w:sz w:val="22"/>
              </w:rPr>
              <w:t>30-Day Outbound Value: Total value of outbound transactions.</w:t>
            </w:r>
          </w:p>
          <w:p>
            <w:pPr>
              <w:spacing w:lineRule="auto" w:line="312" w:before="20" w:after="40"/>
              <w:ind w:left="113"/>
            </w:pPr>
            <w:r>
              <w:rPr>
                <w:rFonts w:ascii="Times New Roman" w:hAnsi="Times New Roman"/>
                <w:b w:val="0"/>
                <w:i w:val="0"/>
                <w:sz w:val="22"/>
              </w:rPr>
              <w:t>30-Day Outbound Volume: Count of outbound transactions.</w:t>
            </w:r>
          </w:p>
          <w:p>
            <w:pPr>
              <w:spacing w:lineRule="auto" w:line="312" w:before="20" w:after="40"/>
              <w:ind w:left="113"/>
            </w:pPr>
            <w:r>
              <w:rPr>
                <w:rFonts w:ascii="Times New Roman" w:hAnsi="Times New Roman"/>
                <w:b w:val="0"/>
                <w:i w:val="0"/>
                <w:sz w:val="22"/>
              </w:rPr>
              <w:t>7-Day Inbound Value: Short-window inbound value (captures rapid accumulation).</w:t>
            </w:r>
          </w:p>
          <w:p>
            <w:pPr>
              <w:spacing w:lineRule="auto" w:line="312" w:before="20" w:after="40"/>
              <w:ind w:left="113"/>
            </w:pPr>
            <w:r>
              <w:rPr>
                <w:rFonts w:ascii="Times New Roman" w:hAnsi="Times New Roman"/>
                <w:b w:val="0"/>
                <w:i w:val="0"/>
                <w:sz w:val="22"/>
              </w:rPr>
              <w:t>7-Day Outbound Value: Short-window outbound value (captures rapid dispersal).</w:t>
            </w:r>
          </w:p>
          <w:p>
            <w:pPr>
              <w:spacing w:lineRule="auto" w:line="312" w:before="20" w:after="40"/>
              <w:ind w:left="113"/>
            </w:pPr>
            <w:r>
              <w:rPr>
                <w:rFonts w:ascii="Times New Roman" w:hAnsi="Times New Roman"/>
                <w:b w:val="0"/>
                <w:i w:val="0"/>
                <w:sz w:val="22"/>
              </w:rPr>
              <w:t>30-Day Cash Value: Total cash transaction value (in and out combined).</w:t>
            </w:r>
          </w:p>
          <w:p>
            <w:pPr>
              <w:spacing w:lineRule="auto" w:line="312" w:before="20" w:after="40"/>
              <w:ind w:left="113"/>
            </w:pPr>
            <w:r>
              <w:rPr>
                <w:rFonts w:ascii="Times New Roman" w:hAnsi="Times New Roman"/>
                <w:b w:val="0"/>
                <w:i w:val="0"/>
                <w:sz w:val="22"/>
              </w:rPr>
              <w:t>30-Day Cash Volume: Count of cash transactions.</w:t>
            </w:r>
          </w:p>
          <w:p>
            <w:pPr>
              <w:spacing w:lineRule="auto" w:line="312" w:before="20" w:after="40"/>
              <w:ind w:left="113"/>
            </w:pPr>
            <w:r>
              <w:rPr>
                <w:rFonts w:ascii="Times New Roman" w:hAnsi="Times New Roman"/>
                <w:b w:val="0"/>
                <w:i w:val="0"/>
                <w:sz w:val="22"/>
              </w:rPr>
              <w:t>30-Day Wire Value: Total wire transfer value.</w:t>
            </w:r>
          </w:p>
          <w:p>
            <w:pPr>
              <w:spacing w:lineRule="auto" w:line="312" w:before="20" w:after="40"/>
              <w:ind w:left="113"/>
            </w:pPr>
            <w:r>
              <w:rPr>
                <w:rFonts w:ascii="Times New Roman" w:hAnsi="Times New Roman"/>
                <w:b w:val="0"/>
                <w:i w:val="0"/>
                <w:sz w:val="22"/>
              </w:rPr>
              <w:t>30-Day Wire Volume: Count of wire transfers.</w:t>
            </w:r>
          </w:p>
          <w:p>
            <w:pPr>
              <w:spacing w:lineRule="auto" w:line="312" w:before="20" w:after="40"/>
              <w:ind w:left="113"/>
            </w:pPr>
            <w:r>
              <w:rPr>
                <w:rFonts w:ascii="Times New Roman" w:hAnsi="Times New Roman"/>
                <w:b w:val="0"/>
                <w:i w:val="0"/>
                <w:sz w:val="22"/>
              </w:rPr>
              <w:t>Unique Counterparties (30-Day): Number of distinct counterparties in the lookback window.</w:t>
            </w:r>
          </w:p>
          <w:p>
            <w:pPr>
              <w:spacing w:lineRule="auto" w:line="312" w:before="20" w:after="40"/>
              <w:ind w:left="113"/>
            </w:pPr>
            <w:r>
              <w:rPr>
                <w:rFonts w:ascii="Times New Roman" w:hAnsi="Times New Roman"/>
                <w:b w:val="0"/>
                <w:i w:val="0"/>
                <w:sz w:val="22"/>
              </w:rPr>
              <w:t>Average Transaction Size: Mean transaction value over 30 days.</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8.14  </w:t>
            </w:r>
            <w:r>
              <w:rPr>
                <w:rFonts w:ascii="Times New Roman" w:hAnsi="Times New Roman"/>
                <w:b/>
                <w:i/>
                <w:sz w:val="22"/>
              </w:rPr>
              <w:t>Category 3 — Customised / Derived Features (~8-10 features)</w:t>
            </w:r>
          </w:p>
          <w:p>
            <w:pPr>
              <w:spacing w:lineRule="auto" w:line="312" w:before="20" w:after="40"/>
              <w:ind w:left="113"/>
            </w:pPr>
            <w:r>
              <w:rPr>
                <w:rFonts w:ascii="Times New Roman" w:hAnsi="Times New Roman"/>
                <w:b w:val="0"/>
                <w:i w:val="0"/>
                <w:sz w:val="22"/>
              </w:rPr>
              <w:t>These features are derived or flagged, often requiring joins across data sources. They encode domain knowledge about specific risk indicators.</w:t>
            </w:r>
          </w:p>
          <w:p>
            <w:pPr>
              <w:spacing w:lineRule="auto" w:line="312" w:before="20" w:after="40"/>
              <w:ind w:left="113"/>
            </w:pPr>
            <w:r>
              <w:rPr>
                <w:rFonts w:ascii="Times New Roman" w:hAnsi="Times New Roman"/>
                <w:b w:val="0"/>
                <w:i w:val="0"/>
                <w:sz w:val="22"/>
              </w:rPr>
              <w:t>Sanctions Flag: Binary — is any party to the transaction on a sanctions list?</w:t>
            </w:r>
          </w:p>
          <w:p>
            <w:pPr>
              <w:spacing w:lineRule="auto" w:line="312" w:before="20" w:after="40"/>
              <w:ind w:left="113"/>
            </w:pPr>
            <w:r>
              <w:rPr>
                <w:rFonts w:ascii="Times New Roman" w:hAnsi="Times New Roman"/>
                <w:b w:val="0"/>
                <w:i w:val="0"/>
                <w:sz w:val="22"/>
              </w:rPr>
              <w:t>PEP Flag: Binary — is the customer or a connected party a Politically Exposed Person?</w:t>
            </w:r>
          </w:p>
          <w:p>
            <w:pPr>
              <w:spacing w:lineRule="auto" w:line="312" w:before="20" w:after="40"/>
              <w:ind w:left="113"/>
            </w:pPr>
            <w:r>
              <w:rPr>
                <w:rFonts w:ascii="Times New Roman" w:hAnsi="Times New Roman"/>
                <w:b w:val="0"/>
                <w:i w:val="0"/>
                <w:sz w:val="22"/>
              </w:rPr>
              <w:t>Previous Fraud Flag: Binary — has the customer had a confirmed fraud incident?</w:t>
            </w:r>
          </w:p>
          <w:p>
            <w:pPr>
              <w:spacing w:lineRule="auto" w:line="312" w:before="20" w:after="40"/>
              <w:ind w:left="113"/>
            </w:pPr>
            <w:r>
              <w:rPr>
                <w:rFonts w:ascii="Times New Roman" w:hAnsi="Times New Roman"/>
                <w:b w:val="0"/>
                <w:i w:val="0"/>
                <w:sz w:val="22"/>
              </w:rPr>
              <w:t>Previous SAR Flag: Binary — has a SAR been filed on this customer previously?</w:t>
            </w:r>
          </w:p>
          <w:p>
            <w:pPr>
              <w:spacing w:lineRule="auto" w:line="312" w:before="20" w:after="40"/>
              <w:ind w:left="113"/>
            </w:pPr>
            <w:r>
              <w:rPr>
                <w:rFonts w:ascii="Times New Roman" w:hAnsi="Times New Roman"/>
                <w:b w:val="0"/>
                <w:i w:val="0"/>
                <w:sz w:val="22"/>
              </w:rPr>
              <w:t>High-Risk Jurisdiction Value (30-Day): Total value of transactions involving high-risk jurisdictions (as defined in institution's risk appetite).</w:t>
            </w:r>
          </w:p>
          <w:p>
            <w:pPr>
              <w:spacing w:lineRule="auto" w:line="312" w:before="20" w:after="40"/>
              <w:ind w:left="113"/>
            </w:pPr>
            <w:r>
              <w:rPr>
                <w:rFonts w:ascii="Times New Roman" w:hAnsi="Times New Roman"/>
                <w:b w:val="0"/>
                <w:i w:val="0"/>
                <w:sz w:val="22"/>
              </w:rPr>
              <w:t>High-Risk Jurisdiction Volume (30-Day): Count of such transactions.</w:t>
            </w:r>
          </w:p>
          <w:p>
            <w:pPr>
              <w:spacing w:lineRule="auto" w:line="312" w:before="20" w:after="40"/>
              <w:ind w:left="113"/>
            </w:pPr>
            <w:r>
              <w:rPr>
                <w:rFonts w:ascii="Times New Roman" w:hAnsi="Times New Roman"/>
                <w:b w:val="0"/>
                <w:i w:val="0"/>
                <w:sz w:val="22"/>
              </w:rPr>
              <w:t>Round-Amount Count: Number of transactions with amounts rounded to the nearest 1,000 (a structuring and placement indicator).</w:t>
            </w:r>
          </w:p>
          <w:p>
            <w:pPr>
              <w:spacing w:lineRule="auto" w:line="312" w:before="20" w:after="40"/>
              <w:ind w:left="113"/>
            </w:pPr>
            <w:r>
              <w:rPr>
                <w:rFonts w:ascii="Times New Roman" w:hAnsi="Times New Roman"/>
                <w:b w:val="0"/>
                <w:i w:val="0"/>
                <w:sz w:val="22"/>
              </w:rPr>
              <w:t>Rapid In-and-Out Ratio: Ratio of outbound value within 48 hours of inbound value over the lookback window (layering indicator).</w:t>
            </w:r>
          </w:p>
          <w:p>
            <w:pPr>
              <w:spacing w:lineRule="auto" w:line="312" w:before="20" w:after="40"/>
              <w:ind w:left="113"/>
            </w:pPr>
            <w:r>
              <w:rPr>
                <w:rFonts w:ascii="Times New Roman" w:hAnsi="Times New Roman"/>
                <w:b w:val="0"/>
                <w:i w:val="0"/>
                <w:sz w:val="22"/>
              </w:rPr>
              <w:t>Dormancy Flag: Binary — has the account been dormant for a defined period prior to the current activity (accounts reactivated for money laundering)?</w:t>
            </w:r>
          </w:p>
          <w:p>
            <w:pPr>
              <w:spacing w:lineRule="auto" w:line="312" w:before="20" w:after="40"/>
              <w:ind w:left="113"/>
            </w:pPr>
            <w:r>
              <w:rPr>
                <w:rFonts w:ascii="Times New Roman" w:hAnsi="Times New Roman"/>
                <w:b w:val="0"/>
                <w:i w:val="0"/>
                <w:sz w:val="22"/>
              </w:rPr>
              <w:t>This list is a starting framework. The institution's data scientist should validate and finalise it based on the integrated exercise dataset, deployed scenarios, and specific typologies in scope. See Appendix for the full feature reference table.</w:t>
            </w:r>
          </w:p>
        </w:tc>
      </w:tr>
    </w:tbl>
    <w:p>
      <w:pPr>
        <w:spacing w:lineRule="auto" w:line="240" w:before="0" w:after="160"/>
      </w:pPr>
    </w:p>
    <w:p>
      <w:pPr>
        <w:pStyle w:val="Heading2"/>
      </w:pPr>
      <w:r>
        <w:rPr>
          <w:rFonts w:ascii="Times New Roman" w:hAnsi="Times New Roman"/>
        </w:rPr>
        <w:t>8.11 XGBoost for AML Event Triage</w:t>
      </w:r>
    </w:p>
    <w:p>
      <w:pPr>
        <w:pStyle w:val="BodyText"/>
        <w:spacing w:lineRule="auto" w:line="360" w:before="0" w:after="120"/>
        <w:ind w:firstLine="283"/>
      </w:pPr>
      <w:r>
        <w:rPr>
          <w:rFonts w:ascii="Times New Roman" w:hAnsi="Times New Roman"/>
          <w:b w:val="0"/>
          <w:i w:val="0"/>
          <w:sz w:val="24"/>
        </w:rPr>
        <w:t>XGBoost (Extreme Gradient Boosting) is the algorithm of choice for supervised AML event triage. It handles tabular data well, is robust to missing values (a common feature in AML datasets), provides native feature importance, and achieves high predictive performance with interpretable outputs. It is also natively supported by SHAP, enabling per-prediction explanations that meet regulatory expectations.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8.15  </w:t>
            </w:r>
            <w:r>
              <w:rPr>
                <w:rFonts w:ascii="Times New Roman" w:hAnsi="Times New Roman"/>
                <w:b/>
                <w:i/>
                <w:sz w:val="22"/>
              </w:rPr>
              <w:t>Why XGBoost Suits AML Event Triage</w:t>
            </w:r>
          </w:p>
          <w:p>
            <w:pPr>
              <w:spacing w:lineRule="auto" w:line="312" w:before="20" w:after="40"/>
              <w:ind w:left="113"/>
            </w:pPr>
            <w:r>
              <w:rPr>
                <w:rFonts w:ascii="Times New Roman" w:hAnsi="Times New Roman"/>
                <w:b w:val="0"/>
                <w:i w:val="0"/>
                <w:sz w:val="22"/>
              </w:rPr>
              <w:t>Handles class imbalance: The scale_pos_weight parameter directly addresses the SAR/non-SAR imbalance by upweighting the minority class.</w:t>
            </w:r>
          </w:p>
          <w:p>
            <w:pPr>
              <w:spacing w:lineRule="auto" w:line="312" w:before="20" w:after="40"/>
              <w:ind w:left="113"/>
            </w:pPr>
            <w:r>
              <w:rPr>
                <w:rFonts w:ascii="Times New Roman" w:hAnsi="Times New Roman"/>
                <w:b w:val="0"/>
                <w:i w:val="0"/>
                <w:sz w:val="22"/>
              </w:rPr>
              <w:t>Robust to missing values: XGBoost learns optimal split directions for missing values during training — critical in AML where CDE/KDE completeness varies.</w:t>
            </w:r>
          </w:p>
          <w:p>
            <w:pPr>
              <w:spacing w:lineRule="auto" w:line="312" w:before="20" w:after="40"/>
              <w:ind w:left="113"/>
            </w:pPr>
            <w:r>
              <w:rPr>
                <w:rFonts w:ascii="Times New Roman" w:hAnsi="Times New Roman"/>
                <w:b w:val="0"/>
                <w:i w:val="0"/>
                <w:sz w:val="22"/>
              </w:rPr>
              <w:t>Feature importance: Native feature importance (gain, cover, frequency) provides a first-pass explanation of which features drive the model — satisfying the SR 26-2 requirement for model documentation.</w:t>
            </w:r>
          </w:p>
          <w:p>
            <w:pPr>
              <w:spacing w:lineRule="auto" w:line="312" w:before="20" w:after="40"/>
              <w:ind w:left="113"/>
            </w:pPr>
            <w:r>
              <w:rPr>
                <w:rFonts w:ascii="Times New Roman" w:hAnsi="Times New Roman"/>
                <w:b w:val="0"/>
                <w:i w:val="0"/>
                <w:sz w:val="22"/>
              </w:rPr>
              <w:t>SHAP compatibility: TreeSHAP provides exact, fast SHAP values for XGBoost models — enabling per-alert explanation at inference time.</w:t>
            </w:r>
          </w:p>
          <w:p>
            <w:pPr>
              <w:spacing w:lineRule="auto" w:line="312" w:before="20" w:after="40"/>
              <w:ind w:left="113"/>
            </w:pPr>
            <w:r>
              <w:rPr>
                <w:rFonts w:ascii="Times New Roman" w:hAnsi="Times New Roman"/>
                <w:b w:val="0"/>
                <w:i w:val="0"/>
                <w:sz w:val="22"/>
              </w:rPr>
              <w:t>Regularisation: L1 (alpha) and L2 (lambda) regularisation reduce overfitting on small SAR populations.</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8.16  </w:t>
            </w:r>
            <w:r>
              <w:rPr>
                <w:rFonts w:ascii="Times New Roman" w:hAnsi="Times New Roman"/>
                <w:b/>
                <w:i/>
                <w:sz w:val="22"/>
              </w:rPr>
              <w:t>XGBoost Worked Example: AML Event Triage (Python)</w:t>
            </w:r>
          </w:p>
          <w:p>
            <w:pPr>
              <w:spacing w:lineRule="auto" w:line="312" w:before="20" w:after="40"/>
              <w:ind w:left="113"/>
            </w:pPr>
            <w:r>
              <w:rPr>
                <w:rFonts w:ascii="Times New Roman" w:hAnsi="Times New Roman"/>
                <w:b w:val="0"/>
                <w:i w:val="0"/>
                <w:sz w:val="22"/>
              </w:rPr>
              <w:t>The following example trains an XGBoost classifier on a synthetic AML feature dataset and evaluates performance with AML-relevant metrics.</w:t>
            </w:r>
          </w:p>
          <w:p>
            <w:pPr>
              <w:spacing w:lineRule="auto" w:line="312" w:before="20" w:after="40"/>
              <w:ind w:left="113"/>
            </w:pPr>
            <w:r>
              <w:rPr>
                <w:rFonts w:ascii="Times New Roman" w:hAnsi="Times New Roman"/>
                <w:b w:val="0"/>
                <w:i w:val="0"/>
                <w:sz w:val="22"/>
              </w:rPr>
              <w:t>import xgboost as xgb</w:t>
            </w:r>
          </w:p>
          <w:p>
            <w:pPr>
              <w:spacing w:lineRule="auto" w:line="312" w:before="20" w:after="40"/>
              <w:ind w:left="113"/>
            </w:pPr>
            <w:r>
              <w:rPr>
                <w:rFonts w:ascii="Times New Roman" w:hAnsi="Times New Roman"/>
                <w:b w:val="0"/>
                <w:i w:val="0"/>
                <w:sz w:val="22"/>
              </w:rPr>
              <w:t>import pandas as pd</w:t>
            </w:r>
          </w:p>
          <w:p>
            <w:pPr>
              <w:spacing w:lineRule="auto" w:line="312" w:before="20" w:after="40"/>
              <w:ind w:left="113"/>
            </w:pPr>
            <w:r>
              <w:rPr>
                <w:rFonts w:ascii="Times New Roman" w:hAnsi="Times New Roman"/>
                <w:b w:val="0"/>
                <w:i w:val="0"/>
                <w:sz w:val="22"/>
              </w:rPr>
              <w:t>import numpy as np</w:t>
            </w:r>
          </w:p>
          <w:p>
            <w:pPr>
              <w:spacing w:lineRule="auto" w:line="312" w:before="20" w:after="40"/>
              <w:ind w:left="113"/>
            </w:pPr>
            <w:r>
              <w:rPr>
                <w:rFonts w:ascii="Times New Roman" w:hAnsi="Times New Roman"/>
                <w:b w:val="0"/>
                <w:i w:val="0"/>
                <w:sz w:val="22"/>
              </w:rPr>
              <w:t>from sklearn.model_selection import train_test_split</w:t>
            </w:r>
          </w:p>
          <w:p>
            <w:pPr>
              <w:spacing w:lineRule="auto" w:line="312" w:before="20" w:after="40"/>
              <w:ind w:left="113"/>
            </w:pPr>
            <w:r>
              <w:rPr>
                <w:rFonts w:ascii="Times New Roman" w:hAnsi="Times New Roman"/>
                <w:b w:val="0"/>
                <w:i w:val="0"/>
                <w:sz w:val="22"/>
              </w:rPr>
              <w:t>from sklearn.metrics import precision_score, recall_score, roc_auc_score</w:t>
            </w:r>
          </w:p>
          <w:p>
            <w:pPr>
              <w:spacing w:lineRule="auto" w:line="312" w:before="20" w:after="40"/>
              <w:ind w:left="113"/>
            </w:pPr>
            <w:r>
              <w:rPr>
                <w:rFonts w:ascii="Times New Roman" w:hAnsi="Times New Roman"/>
                <w:b w:val="0"/>
                <w:i w:val="0"/>
                <w:sz w:val="22"/>
              </w:rPr>
              <w:t>import shap</w:t>
            </w:r>
          </w:p>
          <w:p>
            <w:pPr>
              <w:spacing w:lineRule="auto" w:line="312" w:before="20" w:after="40"/>
              <w:ind w:left="113"/>
            </w:pPr>
            <w:r>
              <w:rPr>
                <w:rFonts w:ascii="Times New Roman" w:hAnsi="Times New Roman"/>
                <w:b w:val="0"/>
                <w:i w:val="0"/>
                <w:sz w:val="22"/>
              </w:rPr>
              <w:t># Synthetic feature dataset (replace with real data)</w:t>
            </w:r>
          </w:p>
          <w:p>
            <w:pPr>
              <w:spacing w:lineRule="auto" w:line="312" w:before="20" w:after="40"/>
              <w:ind w:left="113"/>
            </w:pPr>
            <w:r>
              <w:rPr>
                <w:rFonts w:ascii="Times New Roman" w:hAnsi="Times New Roman"/>
                <w:b w:val="0"/>
                <w:i w:val="0"/>
                <w:sz w:val="22"/>
              </w:rPr>
              <w:t>np.random.seed(42)</w:t>
            </w:r>
          </w:p>
          <w:p>
            <w:pPr>
              <w:spacing w:lineRule="auto" w:line="312" w:before="20" w:after="40"/>
              <w:ind w:left="113"/>
            </w:pPr>
            <w:r>
              <w:rPr>
                <w:rFonts w:ascii="Times New Roman" w:hAnsi="Times New Roman"/>
                <w:b w:val="0"/>
                <w:i w:val="0"/>
                <w:sz w:val="22"/>
              </w:rPr>
              <w:t>n = 2000</w:t>
            </w:r>
          </w:p>
          <w:p>
            <w:pPr>
              <w:spacing w:lineRule="auto" w:line="312" w:before="20" w:after="40"/>
              <w:ind w:left="113"/>
            </w:pPr>
            <w:r>
              <w:rPr>
                <w:rFonts w:ascii="Times New Roman" w:hAnsi="Times New Roman"/>
                <w:b w:val="0"/>
                <w:i w:val="0"/>
                <w:sz w:val="22"/>
              </w:rPr>
              <w:t>df = pd.DataFrame({</w:t>
            </w:r>
          </w:p>
          <w:p>
            <w:pPr>
              <w:spacing w:lineRule="auto" w:line="312" w:before="20" w:after="40"/>
              <w:ind w:left="113"/>
            </w:pPr>
            <w:r>
              <w:rPr>
                <w:rFonts w:ascii="Times New Roman" w:hAnsi="Times New Roman"/>
                <w:b w:val="0"/>
                <w:i w:val="0"/>
                <w:sz w:val="22"/>
              </w:rPr>
              <w:t xml:space="preserve">    'crr_score': np.random.randint(1, 6, n),</w:t>
            </w:r>
          </w:p>
          <w:p>
            <w:pPr>
              <w:spacing w:lineRule="auto" w:line="312" w:before="20" w:after="40"/>
              <w:ind w:left="113"/>
            </w:pPr>
            <w:r>
              <w:rPr>
                <w:rFonts w:ascii="Times New Roman" w:hAnsi="Times New Roman"/>
                <w:b w:val="0"/>
                <w:i w:val="0"/>
                <w:sz w:val="22"/>
              </w:rPr>
              <w:t xml:space="preserve">    'cash_30d_value': np.random.exponential(2000, n),</w:t>
            </w:r>
          </w:p>
          <w:p>
            <w:pPr>
              <w:spacing w:lineRule="auto" w:line="312" w:before="20" w:after="40"/>
              <w:ind w:left="113"/>
            </w:pPr>
            <w:r>
              <w:rPr>
                <w:rFonts w:ascii="Times New Roman" w:hAnsi="Times New Roman"/>
                <w:b w:val="0"/>
                <w:i w:val="0"/>
                <w:sz w:val="22"/>
              </w:rPr>
              <w:t xml:space="preserve">    'wire_30d_value': np.random.exponential(5000, n),</w:t>
            </w:r>
          </w:p>
          <w:p>
            <w:pPr>
              <w:spacing w:lineRule="auto" w:line="312" w:before="20" w:after="40"/>
              <w:ind w:left="113"/>
            </w:pPr>
            <w:r>
              <w:rPr>
                <w:rFonts w:ascii="Times New Roman" w:hAnsi="Times New Roman"/>
                <w:b w:val="0"/>
                <w:i w:val="0"/>
                <w:sz w:val="22"/>
              </w:rPr>
              <w:t xml:space="preserve">    'unique_counterparties_30d': np.random.poisson(3, n),</w:t>
            </w:r>
          </w:p>
          <w:p>
            <w:pPr>
              <w:spacing w:lineRule="auto" w:line="312" w:before="20" w:after="40"/>
              <w:ind w:left="113"/>
            </w:pPr>
            <w:r>
              <w:rPr>
                <w:rFonts w:ascii="Times New Roman" w:hAnsi="Times New Roman"/>
                <w:b w:val="0"/>
                <w:i w:val="0"/>
                <w:sz w:val="22"/>
              </w:rPr>
              <w:t xml:space="preserve">    'rapid_inout_ratio': np.random.beta(1, 5, n),</w:t>
            </w:r>
          </w:p>
          <w:p>
            <w:pPr>
              <w:spacing w:lineRule="auto" w:line="312" w:before="20" w:after="40"/>
              <w:ind w:left="113"/>
            </w:pPr>
            <w:r>
              <w:rPr>
                <w:rFonts w:ascii="Times New Roman" w:hAnsi="Times New Roman"/>
                <w:b w:val="0"/>
                <w:i w:val="0"/>
                <w:sz w:val="22"/>
              </w:rPr>
              <w:t xml:space="preserve">    'round_amount_count': np.random.poisson(0.5, n),</w:t>
            </w:r>
          </w:p>
          <w:p>
            <w:pPr>
              <w:spacing w:lineRule="auto" w:line="312" w:before="20" w:after="40"/>
              <w:ind w:left="113"/>
            </w:pPr>
            <w:r>
              <w:rPr>
                <w:rFonts w:ascii="Times New Roman" w:hAnsi="Times New Roman"/>
                <w:b w:val="0"/>
                <w:i w:val="0"/>
                <w:sz w:val="22"/>
              </w:rPr>
              <w:t xml:space="preserve">    'account_age_months': np.random.randint(1, 120, n),</w:t>
            </w:r>
          </w:p>
          <w:p>
            <w:pPr>
              <w:spacing w:lineRule="auto" w:line="312" w:before="20" w:after="40"/>
              <w:ind w:left="113"/>
            </w:pPr>
            <w:r>
              <w:rPr>
                <w:rFonts w:ascii="Times New Roman" w:hAnsi="Times New Roman"/>
                <w:b w:val="0"/>
                <w:i w:val="0"/>
                <w:sz w:val="22"/>
              </w:rPr>
              <w:t xml:space="preserve">    'prev_sar_flag': np.random.binomial(1, 0.05, n),</w:t>
            </w:r>
          </w:p>
          <w:p>
            <w:pPr>
              <w:spacing w:lineRule="auto" w:line="312" w:before="20" w:after="40"/>
              <w:ind w:left="113"/>
            </w:pPr>
            <w:r>
              <w:rPr>
                <w:rFonts w:ascii="Times New Roman" w:hAnsi="Times New Roman"/>
                <w:b w:val="0"/>
                <w:i w:val="0"/>
                <w:sz w:val="22"/>
              </w:rPr>
              <w:t xml:space="preserve">    'pep_flag': np.random.binomial(1, 0.03, n),</w:t>
            </w:r>
          </w:p>
          <w:p>
            <w:pPr>
              <w:spacing w:lineRule="auto" w:line="312" w:before="20" w:after="40"/>
              <w:ind w:left="113"/>
            </w:pPr>
            <w:r>
              <w:rPr>
                <w:rFonts w:ascii="Times New Roman" w:hAnsi="Times New Roman"/>
                <w:b w:val="0"/>
                <w:i w:val="0"/>
                <w:sz w:val="22"/>
              </w:rPr>
              <w:t xml:space="preserve">    'high_risk_jurisdiction_value': np.random.exponential(1000, n),</w:t>
            </w:r>
          </w:p>
          <w:p>
            <w:pPr>
              <w:spacing w:lineRule="auto" w:line="312" w:before="20" w:after="40"/>
              <w:ind w:left="113"/>
            </w:pPr>
            <w:r>
              <w:rPr>
                <w:rFonts w:ascii="Times New Roman" w:hAnsi="Times New Roman"/>
                <w:b w:val="0"/>
                <w:i w:val="0"/>
                <w:sz w:val="22"/>
              </w:rPr>
              <w:t>})</w:t>
            </w:r>
          </w:p>
          <w:p>
            <w:pPr>
              <w:spacing w:lineRule="auto" w:line="312" w:before="20" w:after="40"/>
              <w:ind w:left="113"/>
            </w:pPr>
            <w:r>
              <w:rPr>
                <w:rFonts w:ascii="Times New Roman" w:hAnsi="Times New Roman"/>
                <w:b w:val="0"/>
                <w:i w:val="0"/>
                <w:sz w:val="22"/>
              </w:rPr>
              <w:t>df['is_sar'] = ((df['crr_score'] &gt;= 4) &amp; (df['cash_30d_value'] &gt; 5000)).astype(int)</w:t>
            </w:r>
          </w:p>
          <w:p>
            <w:pPr>
              <w:spacing w:lineRule="auto" w:line="312" w:before="20" w:after="40"/>
              <w:ind w:left="113"/>
            </w:pPr>
            <w:r>
              <w:rPr>
                <w:rFonts w:ascii="Times New Roman" w:hAnsi="Times New Roman"/>
                <w:b w:val="0"/>
                <w:i w:val="0"/>
                <w:sz w:val="22"/>
              </w:rPr>
              <w:t>X = df.drop('is_sar', axis=1)</w:t>
            </w:r>
          </w:p>
          <w:p>
            <w:pPr>
              <w:spacing w:lineRule="auto" w:line="312" w:before="20" w:after="40"/>
              <w:ind w:left="113"/>
            </w:pPr>
            <w:r>
              <w:rPr>
                <w:rFonts w:ascii="Times New Roman" w:hAnsi="Times New Roman"/>
                <w:b w:val="0"/>
                <w:i w:val="0"/>
                <w:sz w:val="22"/>
              </w:rPr>
              <w:t>y = df['is_sar']</w:t>
            </w:r>
          </w:p>
          <w:p>
            <w:pPr>
              <w:spacing w:lineRule="auto" w:line="312" w:before="20" w:after="40"/>
              <w:ind w:left="113"/>
            </w:pPr>
            <w:r>
              <w:rPr>
                <w:rFonts w:ascii="Times New Roman" w:hAnsi="Times New Roman"/>
                <w:b w:val="0"/>
                <w:i w:val="0"/>
                <w:sz w:val="22"/>
              </w:rPr>
              <w:t>X_train, X_test, y_train, y_test = train_test_split(X, y, test_size=0.2, random_state=42, stratify=y)</w:t>
            </w:r>
          </w:p>
          <w:p>
            <w:pPr>
              <w:spacing w:lineRule="auto" w:line="312" w:before="20" w:after="40"/>
              <w:ind w:left="113"/>
            </w:pPr>
            <w:r>
              <w:rPr>
                <w:rFonts w:ascii="Times New Roman" w:hAnsi="Times New Roman"/>
                <w:b w:val="0"/>
                <w:i w:val="0"/>
                <w:sz w:val="22"/>
              </w:rPr>
              <w:t>scale = (y_train == 0).sum() / (y_train == 1).sum()</w:t>
            </w:r>
          </w:p>
          <w:p>
            <w:pPr>
              <w:spacing w:lineRule="auto" w:line="312" w:before="20" w:after="40"/>
              <w:ind w:left="113"/>
            </w:pPr>
            <w:r>
              <w:rPr>
                <w:rFonts w:ascii="Times New Roman" w:hAnsi="Times New Roman"/>
                <w:b w:val="0"/>
                <w:i w:val="0"/>
                <w:sz w:val="22"/>
              </w:rPr>
              <w:t>model = xgb.XGBClassifier(n_estimators=200, max_depth=4, learning_rate=0.05, scale_pos_weight=scale, eval_metric='logloss', random_state=42)</w:t>
            </w:r>
          </w:p>
          <w:p>
            <w:pPr>
              <w:spacing w:lineRule="auto" w:line="312" w:before="20" w:after="40"/>
              <w:ind w:left="113"/>
            </w:pPr>
            <w:r>
              <w:rPr>
                <w:rFonts w:ascii="Times New Roman" w:hAnsi="Times New Roman"/>
                <w:b w:val="0"/>
                <w:i w:val="0"/>
                <w:sz w:val="22"/>
              </w:rPr>
              <w:t>model.fit(X_train, y_train)</w:t>
            </w:r>
          </w:p>
          <w:p>
            <w:pPr>
              <w:spacing w:lineRule="auto" w:line="312" w:before="20" w:after="40"/>
              <w:ind w:left="113"/>
            </w:pPr>
            <w:r>
              <w:rPr>
                <w:rFonts w:ascii="Times New Roman" w:hAnsi="Times New Roman"/>
                <w:b w:val="0"/>
                <w:i w:val="0"/>
                <w:sz w:val="22"/>
              </w:rPr>
              <w:t>y_pred_prob = model.predict_proba(X_test)[:, 1]</w:t>
            </w:r>
          </w:p>
          <w:p>
            <w:pPr>
              <w:spacing w:lineRule="auto" w:line="312" w:before="20" w:after="40"/>
              <w:ind w:left="113"/>
            </w:pPr>
            <w:r>
              <w:rPr>
                <w:rFonts w:ascii="Times New Roman" w:hAnsi="Times New Roman"/>
                <w:b w:val="0"/>
                <w:i w:val="0"/>
                <w:sz w:val="22"/>
              </w:rPr>
              <w:t>y_pred = (y_pred_prob &gt;= 0.5).astype(int)</w:t>
            </w:r>
          </w:p>
          <w:p>
            <w:pPr>
              <w:spacing w:lineRule="auto" w:line="312" w:before="20" w:after="40"/>
              <w:ind w:left="113"/>
            </w:pPr>
            <w:r>
              <w:rPr>
                <w:rFonts w:ascii="Times New Roman" w:hAnsi="Times New Roman"/>
                <w:b w:val="0"/>
                <w:i w:val="0"/>
                <w:sz w:val="22"/>
              </w:rPr>
              <w:t>print(f'ROC-AUC: {roc_auc_score(y_test, y_pred_prob):.3f}')</w:t>
            </w:r>
          </w:p>
          <w:p>
            <w:pPr>
              <w:spacing w:lineRule="auto" w:line="312" w:before="20" w:after="40"/>
              <w:ind w:left="113"/>
            </w:pPr>
            <w:r>
              <w:rPr>
                <w:rFonts w:ascii="Times New Roman" w:hAnsi="Times New Roman"/>
                <w:b w:val="0"/>
                <w:i w:val="0"/>
                <w:sz w:val="22"/>
              </w:rPr>
              <w:t>print(f'Precision: {precision_score(y_test, y_pred):.3f}')</w:t>
            </w:r>
          </w:p>
          <w:p>
            <w:pPr>
              <w:spacing w:lineRule="auto" w:line="312" w:before="20" w:after="40"/>
              <w:ind w:left="113"/>
            </w:pPr>
            <w:r>
              <w:rPr>
                <w:rFonts w:ascii="Times New Roman" w:hAnsi="Times New Roman"/>
                <w:b w:val="0"/>
                <w:i w:val="0"/>
                <w:sz w:val="22"/>
              </w:rPr>
              <w:t>print(f'Recall: {recall_score(y_test, y_pred):.3f}')</w:t>
            </w:r>
          </w:p>
          <w:p>
            <w:pPr>
              <w:spacing w:lineRule="auto" w:line="312" w:before="20" w:after="40"/>
              <w:ind w:left="113"/>
            </w:pPr>
            <w:r>
              <w:rPr>
                <w:rFonts w:ascii="Times New Roman" w:hAnsi="Times New Roman"/>
                <w:b w:val="0"/>
                <w:i w:val="0"/>
                <w:sz w:val="22"/>
              </w:rPr>
              <w:t>explainer = shap.TreeExplainer(model)</w:t>
            </w:r>
          </w:p>
          <w:p>
            <w:pPr>
              <w:spacing w:lineRule="auto" w:line="312" w:before="20" w:after="40"/>
              <w:ind w:left="113"/>
            </w:pPr>
            <w:r>
              <w:rPr>
                <w:rFonts w:ascii="Times New Roman" w:hAnsi="Times New Roman"/>
                <w:b w:val="0"/>
                <w:i w:val="0"/>
                <w:sz w:val="22"/>
              </w:rPr>
              <w:t>shap_values = explainer.shap_values(X_test)</w:t>
            </w:r>
          </w:p>
          <w:p>
            <w:pPr>
              <w:spacing w:lineRule="auto" w:line="312" w:before="20" w:after="40"/>
              <w:ind w:left="113"/>
            </w:pPr>
            <w:r>
              <w:rPr>
                <w:rFonts w:ascii="Times New Roman" w:hAnsi="Times New Roman"/>
                <w:b w:val="0"/>
                <w:i w:val="0"/>
                <w:sz w:val="22"/>
              </w:rPr>
              <w:t>top_alert_idx = y_pred_prob.argmax()</w:t>
            </w:r>
          </w:p>
          <w:p>
            <w:pPr>
              <w:spacing w:lineRule="auto" w:line="312" w:before="20" w:after="40"/>
              <w:ind w:left="113"/>
            </w:pPr>
            <w:r>
              <w:rPr>
                <w:rFonts w:ascii="Times New Roman" w:hAnsi="Times New Roman"/>
                <w:b w:val="0"/>
                <w:i w:val="0"/>
                <w:sz w:val="22"/>
              </w:rPr>
              <w:t>for feat, val in sorted(zip(X_test.columns, shap_values[top_alert_idx]), key=lambda x: abs(x[1]), reverse=True)[:5]:</w:t>
            </w:r>
          </w:p>
          <w:p>
            <w:pPr>
              <w:spacing w:lineRule="auto" w:line="312" w:before="20" w:after="40"/>
              <w:ind w:left="113"/>
            </w:pPr>
            <w:r>
              <w:rPr>
                <w:rFonts w:ascii="Times New Roman" w:hAnsi="Times New Roman"/>
                <w:b w:val="0"/>
                <w:i w:val="0"/>
                <w:sz w:val="22"/>
              </w:rPr>
              <w:t xml:space="preserve">    print(f'  {feat}: SHAP={val:.3f}')</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In a real AML deployment, evaluate the model at multiple probability thresholds rather than defaulting to 0.5. For AML triage, the relevant metric is not overall accuracy but the SAR rate in the top-N scored alerts — how efficiently the model surfaces the cases that actually result in SARs. Plot the precision-recall curve and select the threshold that achieves the institution's target precision at an operationally sustainable recall level.</w:t>
      </w:r>
    </w:p>
    <w:p>
      <w:pPr>
        <w:pStyle w:val="Heading2"/>
      </w:pPr>
      <w:r>
        <w:rPr>
          <w:rFonts w:ascii="Times New Roman" w:hAnsi="Times New Roman"/>
        </w:rPr>
        <w:t>Further Reading and Research Topics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8.4 — Supervised ML with XGBoost  [Advanced]</w:t>
            </w:r>
          </w:p>
          <w:p>
            <w:pPr>
              <w:spacing w:lineRule="auto" w:line="312" w:before="20" w:after="40"/>
              <w:ind w:left="113"/>
            </w:pPr>
            <w:r>
              <w:rPr>
                <w:rFonts w:ascii="Times New Roman" w:hAnsi="Times New Roman"/>
                <w:b w:val="0"/>
                <w:i w:val="0"/>
                <w:sz w:val="22"/>
              </w:rPr>
              <w:t>Objective: Build, evaluate, and interpret a supervised XGBoost classifier for AML event triage using the ~30-feature framework from Section 8.11.</w:t>
            </w:r>
          </w:p>
          <w:p>
            <w:pPr>
              <w:spacing w:lineRule="auto" w:line="312" w:before="20" w:after="40"/>
              <w:ind w:left="113"/>
            </w:pPr>
            <w:r>
              <w:rPr>
                <w:rFonts w:ascii="Times New Roman" w:hAnsi="Times New Roman"/>
                <w:b w:val="0"/>
                <w:i w:val="0"/>
                <w:sz w:val="22"/>
              </w:rPr>
              <w:t>Dataset: Use the integrated book-wide synthetic dataset from Chapter 5 (500 accounts) extended with the feature set from Section 8.11. The is_sar_worthy column from Chapter 5 is your label. Augment the dataset with the additional features from Categories 2 and 3 (simulate using the distributions described in the feature framework — see Instructor's Solutions Manual for the data generation script).</w:t>
            </w:r>
          </w:p>
        </w:tc>
      </w:tr>
    </w:tbl>
    <w:p>
      <w:pPr>
        <w:spacing w:lineRule="auto" w:line="240" w:before="0" w:after="8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A — SAR Data Cleansing: Before training, apply the three-stage cleansing process from Section 8.9. Identify which simulated SARs in the dataset are 'defensive' (CRR flag only, no cash pattern) and exclude them from training. Report: how many SARs were excluded? What is the class balance before and after cleansing?</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B — Model Training: Train an XGBoost classifier using the code framework from Section 8.11. Use 5-fold cross-validation on the training set to tune: n_estimators (try 100, 200, 300), max_depth (try 3, 4, 5), and learning_rate (try 0.01, 0.05, 0.1). Report: the best hyperparameter combination and the validation ROC-AUC at each setting.</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C — Evaluation: Evaluate on the holdout test set. Report: ROC-AUC, precision at threshold 0.5, recall at threshold 0.5, and SAR rate in the top 20 scored accounts. Compare to a baseline of sorting by CRR score alone. Which approach performs better at surfacing SARs in the top 20?</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D — SHAP Feature Importance: Apply TreeSHAP to the trained model. Report: the top 5 features by mean absolute SHAP value. For the top-scored account, write a three-sentence analyst note explaining why it was prioritised, referencing the SHAP values by name.</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E — Governance Documentation: Write a model inventory entry for the XGBoost triage model, covering: purpose, methodology, inputs (feature list), outputs (probability score), training data source, cleansing decisions, key limitations, and governance tier (1st/2nd/3rd Line responsibilities).</w:t>
            </w:r>
          </w:p>
          <w:p>
            <w:pPr>
              <w:spacing w:lineRule="auto" w:line="312" w:before="20" w:after="40"/>
              <w:ind w:left="170"/>
            </w:pPr>
            <w:r>
              <w:rPr>
                <w:rFonts w:ascii="Times New Roman" w:hAnsi="Times New Roman"/>
                <w:b w:val="0"/>
                <w:i w:val="0"/>
                <w:sz w:val="22"/>
              </w:rPr>
              <w:t>Code framework provided in Section 8.10. See Instructor's Solutions Manual for expected outputs, sample SHAP plots, and worked governance documentation.</w:t>
            </w:r>
          </w:p>
        </w:tc>
      </w:tr>
    </w:tbl>
    <w:p>
      <w:pPr>
        <w:spacing w:lineRule="auto" w:line="240" w:before="0" w:after="60"/>
      </w:pPr>
    </w:p>
    <w:p>
      <w:pPr>
        <w:spacing w:lineRule="auto" w:line="240" w:before="0" w:after="120"/>
      </w:pPr>
    </w:p>
    <w:p>
      <w:pPr>
        <w:pStyle w:val="ListBullet"/>
        <w:spacing w:lineRule="auto" w:line="360" w:before="0" w:after="60"/>
      </w:pPr>
      <w:r>
        <w:rPr>
          <w:rFonts w:ascii="Times New Roman" w:hAnsi="Times New Roman"/>
          <w:b w:val="0"/>
          <w:i w:val="0"/>
          <w:sz w:val="24"/>
        </w:rPr>
        <w:t>Liu, Fei Tony, Ting, Kai Ming, and Zhou, Zhi-Hua (2008), 'Isolation Forest', Proceedings of the IEEE International Conference on Data Mining. This is the original Isolation Forest paper. Read Sections 2 and 3 (the algorithm and complexity analysis). What assumption about anomaly distribution does the algorithm rely on, and does that assumption hold for AML alert data?</w:t>
      </w:r>
    </w:p>
    <w:p>
      <w:pPr>
        <w:pStyle w:val="ListBullet"/>
        <w:spacing w:lineRule="auto" w:line="360" w:before="0" w:after="60"/>
      </w:pPr>
      <w:r>
        <w:rPr>
          <w:rFonts w:ascii="Times New Roman" w:hAnsi="Times New Roman"/>
          <w:b w:val="0"/>
          <w:i w:val="0"/>
          <w:sz w:val="24"/>
        </w:rPr>
        <w:t>Lundberg, Scott M. and Lee, Su-In (2017), 'A Unified Approach to Interpreting Model Predictions', Advances in Neural Information Processing Systems, 30. This is the SHAP paper. Read the introduction and the section on SHAP values for tree models. Why does Shapley value allocation satisfy the property of consistency — and why does consistency matter for regulatory explainability?</w:t>
      </w:r>
    </w:p>
    <w:p>
      <w:pPr>
        <w:pStyle w:val="ListBullet"/>
        <w:spacing w:lineRule="auto" w:line="360" w:before="0" w:after="60"/>
      </w:pPr>
      <w:r>
        <w:rPr>
          <w:rFonts w:ascii="Times New Roman" w:hAnsi="Times New Roman"/>
          <w:b w:val="0"/>
          <w:i w:val="0"/>
          <w:sz w:val="24"/>
        </w:rPr>
        <w:t>Research Question: The FCA's Discussion Paper DP21/4 ('Artificial Intelligence and Machine Learning') asks how regulators should assess algorithmic models used in financial services. Download it. The FCA uses the term 'explained AI' — what does it require, and how does SHAP-based explanation satisfy (or fail to satisfy) FCA's standard?</w:t>
      </w:r>
    </w:p>
    <w:p>
      <w:pPr>
        <w:pStyle w:val="ListBullet"/>
        <w:spacing w:lineRule="auto" w:line="360" w:before="0" w:after="60"/>
      </w:pPr>
      <w:r>
        <w:rPr>
          <w:rFonts w:ascii="Times New Roman" w:hAnsi="Times New Roman"/>
          <w:b w:val="0"/>
          <w:i w:val="0"/>
          <w:sz w:val="24"/>
        </w:rPr>
        <w:t>Design challenge: The EBA Guidelines on Internal Governance (EBA/GL/2021/05) require that algorithmically driven decisions be subject to human oversight. Write a one-page 'human-in-the-loop' protocol for the Isolation Forest triage model. Specify: which outputs require mandatory human review regardless of score, what the analyst must document when overriding a low triage score, and what the quarterly governance review of triage output must cover.</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Liu, F.T., Ting, K.M. and Zhou, Z.H. (2008) Isolation Forest. Proc. IEEE ICDM, pp. 413–422.</w:t>
      </w:r>
    </w:p>
    <w:p>
      <w:pPr>
        <w:pStyle w:val="ListBullet"/>
        <w:spacing w:lineRule="auto" w:line="288" w:before="0" w:after="80"/>
      </w:pPr>
      <w:r>
        <w:rPr>
          <w:rFonts w:ascii="Times New Roman" w:hAnsi="Times New Roman"/>
          <w:b w:val="0"/>
          <w:i w:val="0"/>
          <w:sz w:val="22"/>
        </w:rPr>
        <w:t>OCC (2021) SR 11-7: Model Risk Management. OCC, Washington DC.</w:t>
      </w:r>
    </w:p>
    <w:p>
      <w:pPr>
        <w:pStyle w:val="ListBullet"/>
        <w:spacing w:lineRule="auto" w:line="288" w:before="0" w:after="80"/>
      </w:pPr>
      <w:r>
        <w:rPr>
          <w:rFonts w:ascii="Times New Roman" w:hAnsi="Times New Roman"/>
          <w:b w:val="0"/>
          <w:i w:val="0"/>
          <w:sz w:val="22"/>
        </w:rPr>
        <w:t>Pedregosa, F. et al. (2011) Scikit-learn. JMLR, 12, pp. 2825–2830.</w:t>
      </w:r>
    </w:p>
    <w:p>
      <w:pPr>
        <w:pStyle w:val="ListBullet"/>
        <w:spacing w:lineRule="auto" w:line="288" w:before="0" w:after="80"/>
      </w:pPr>
      <w:r>
        <w:rPr>
          <w:rFonts w:ascii="Times New Roman" w:hAnsi="Times New Roman"/>
          <w:b w:val="0"/>
          <w:i w:val="0"/>
          <w:sz w:val="22"/>
        </w:rPr>
        <w:t>Baesens, B., Van Vlasselaer, V. and Verbeke, W. (2015) Fraud Analytics. Wiley, NJ.</w:t>
      </w:r>
    </w:p>
    <w:p>
      <w:r>
        <w:br w:type="page"/>
      </w:r>
    </w:p>
    <w:p>
      <w:pPr>
        <w:pStyle w:val="Heading1"/>
      </w:pPr>
      <w:r>
        <w:rPr>
          <w:rFonts w:ascii="Times New Roman" w:hAnsi="Times New Roman"/>
        </w:rPr>
        <w:t>Chapter 9: Model Validation Framework</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Every analytical model used in AML is subject to model validation requirements. This chapter introduces the three-pillar validation framework (conceptual soundness, ongoing monitoring, outcomes analysis) and applies it to each Northgate rule and the Isolation Forest triage model.</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Model validation · SR 11-7 · Conceptual soundness · Ongoing monitoring · Outcomes analysis · Model risk management</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9.1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Apply each of the five pillars of model validation to an AML transaction monitoring model.</w:t>
            </w:r>
          </w:p>
          <w:p>
            <w:pPr>
              <w:spacing w:lineRule="auto" w:line="312" w:before="20" w:after="40"/>
              <w:ind w:left="113"/>
            </w:pPr>
            <w:r>
              <w:rPr>
                <w:rFonts w:ascii="Times New Roman" w:hAnsi="Times New Roman"/>
                <w:b w:val="0"/>
                <w:i w:val="0"/>
                <w:sz w:val="22"/>
              </w:rPr>
              <w:t>Interpret the requirements of SR 26-2 (US) and PRA SS1/23 (UK) in the context of TM analytics models.</w:t>
            </w:r>
          </w:p>
          <w:p>
            <w:pPr>
              <w:spacing w:lineRule="auto" w:line="312" w:before="20" w:after="40"/>
              <w:ind w:left="113"/>
            </w:pPr>
            <w:r>
              <w:rPr>
                <w:rFonts w:ascii="Times New Roman" w:hAnsi="Times New Roman"/>
                <w:b w:val="0"/>
                <w:i w:val="0"/>
                <w:sz w:val="22"/>
              </w:rPr>
              <w:t>Identify common model validation failures and describe their regulatory consequences.</w:t>
            </w:r>
          </w:p>
          <w:p>
            <w:pPr>
              <w:spacing w:lineRule="auto" w:line="312" w:before="20" w:after="40"/>
              <w:ind w:left="113"/>
            </w:pPr>
            <w:r>
              <w:rPr>
                <w:rFonts w:ascii="Times New Roman" w:hAnsi="Times New Roman"/>
                <w:b w:val="0"/>
                <w:i w:val="0"/>
                <w:sz w:val="22"/>
              </w:rPr>
              <w:t>Produce a structured validation summary for the Northgate structuring scenario model suite.</w:t>
            </w:r>
          </w:p>
        </w:tc>
      </w:tr>
    </w:tbl>
    <w:p>
      <w:pPr>
        <w:spacing w:lineRule="auto" w:line="240" w:before="0" w:after="160"/>
      </w:pPr>
    </w:p>
    <w:p>
      <w:pPr>
        <w:pStyle w:val="Heading2"/>
      </w:pPr>
      <w:r>
        <w:rPr>
          <w:rFonts w:ascii="Times New Roman" w:hAnsi="Times New Roman"/>
        </w:rPr>
        <w:t>9.1 Business Context: Validation Is a Regulatory Requirement</w:t>
      </w:r>
    </w:p>
    <w:p>
      <w:pPr>
        <w:pStyle w:val="BodyText"/>
        <w:spacing w:lineRule="auto" w:line="360" w:before="0" w:after="120"/>
        <w:ind w:firstLine="283"/>
      </w:pPr>
      <w:r>
        <w:rPr>
          <w:rFonts w:ascii="Times New Roman" w:hAnsi="Times New Roman"/>
          <w:b w:val="0"/>
          <w:i w:val="0"/>
          <w:sz w:val="24"/>
        </w:rPr>
        <w:t>Every AML transaction monitoring model — every scenario, every segmentation cluster, every ML triage algorithm — is subject to model risk management (MRM) requirements. This is not optional. The US Federal Reserve's SR 26-2 guidance and the UK Prudential Regulation Authority's SS1/23 standard both establish explicit expectations for how models must be developed, validated, and governed.</w:t>
      </w:r>
    </w:p>
    <w:p>
      <w:pPr>
        <w:pStyle w:val="BodyText"/>
        <w:spacing w:lineRule="auto" w:line="360" w:before="0" w:after="120"/>
        <w:ind w:firstLine="283"/>
      </w:pPr>
      <w:r>
        <w:rPr>
          <w:rFonts w:ascii="Times New Roman" w:hAnsi="Times New Roman"/>
          <w:b w:val="0"/>
          <w:i w:val="0"/>
          <w:sz w:val="24"/>
        </w:rPr>
        <w:t>Model validation is the process of independently assessing whether a model is fit for its intended purpose. The key word is independently. A model cannot be validly validated by the team that built it. The validation must be conducted by a separate function — or at minimum, by individuals who were not involved in the model's design — and its findings must be documented, escalated, and acted upon.</w:t>
      </w:r>
    </w:p>
    <w:p>
      <w:pPr>
        <w:pStyle w:val="BodyText"/>
        <w:spacing w:lineRule="auto" w:line="360" w:before="0" w:after="120"/>
        <w:ind w:firstLine="283"/>
      </w:pPr>
      <w:r>
        <w:rPr>
          <w:rFonts w:ascii="Times New Roman" w:hAnsi="Times New Roman"/>
          <w:b w:val="0"/>
          <w:i w:val="0"/>
          <w:sz w:val="24"/>
        </w:rPr>
        <w:t>Many AML teams underestimate the scope of what counts as a 'model' under these frameworks. If a system uses data, applies a methodology, and produces an output that informs a business decision, it is almost certainly a model. That includes the NRB-STRUCT-001 scenario, the K-Means segmentation from Chapter 5, and the Isolation Forest from Chapter 8. All three require validation.</w:t>
      </w:r>
    </w:p>
    <w:p>
      <w:pPr>
        <w:pStyle w:val="BodyText"/>
        <w:spacing w:lineRule="auto" w:line="360" w:before="0" w:after="120"/>
        <w:ind w:firstLine="283"/>
      </w:pPr>
      <w:r>
        <w:rPr>
          <w:rFonts w:ascii="Times New Roman" w:hAnsi="Times New Roman"/>
          <w:b w:val="0"/>
          <w:i w:val="0"/>
          <w:sz w:val="24"/>
        </w:rPr>
        <w:t>The independence requirement maps directly onto the Three Lines of Defence framework. The 1.5th Line (Operations) develops and uses models — it owns the scenario, runs the calibration, applies the triage model. The 2nd Line (FinCrime Risk / Model Risk Management) validates them independently: it cannot have been involved in the model's design and must be empowered to issue findings that override the 1st/1.5th Line's preferences. The 3rd Line (Audit / Independent Model Review) provides periodic independent assurance over both the models and the validation process itself — assessing whether the 2nd Line's validation function is itself adequate. SR 26-2's independence requirement and PRA SS1/23's principle of appropriate challenge both operationalise through this structure.</w:t>
      </w:r>
    </w:p>
    <w:p>
      <w:pPr>
        <w:pStyle w:val="Heading2"/>
      </w:pPr>
      <w:r>
        <w:rPr>
          <w:rFonts w:ascii="Times New Roman" w:hAnsi="Times New Roman"/>
        </w:rPr>
        <w:t>9.2 What Counts as a Model in AML TM?</w:t>
      </w:r>
    </w:p>
    <w:p>
      <w:pPr>
        <w:pStyle w:val="BodyText"/>
        <w:spacing w:lineRule="auto" w:line="360" w:before="0" w:after="120"/>
        <w:ind w:firstLine="283"/>
      </w:pPr>
      <w:r>
        <w:rPr>
          <w:rFonts w:ascii="Times New Roman" w:hAnsi="Times New Roman"/>
          <w:b w:val="0"/>
          <w:i w:val="0"/>
          <w:sz w:val="24"/>
        </w:rPr>
        <w:t>SR 26-2 defines a model as 'a quantitative method, system, or approach that applies statistical, economic, financial, or mathematical theories, techniques, and assumptions to process input data into quantitative estimates'. In AML, this captures:</w:t>
      </w:r>
    </w:p>
    <w:p>
      <w:pPr>
        <w:pStyle w:val="ListBullet"/>
        <w:spacing w:lineRule="auto" w:line="360" w:before="0" w:after="60"/>
      </w:pPr>
      <w:r>
        <w:rPr>
          <w:rFonts w:ascii="Times New Roman" w:hAnsi="Times New Roman"/>
          <w:b w:val="0"/>
          <w:i w:val="0"/>
          <w:sz w:val="24"/>
        </w:rPr>
        <w:t>Scenario rules: the rule logic, threshold parameters, and lookback windows in NRB-STRUCT-001 are model components. The threshold is an assumption about the boundary between normal and suspicious behaviour.</w:t>
      </w:r>
    </w:p>
    <w:p>
      <w:pPr>
        <w:pStyle w:val="ListBullet"/>
        <w:spacing w:lineRule="auto" w:line="360" w:before="0" w:after="60"/>
      </w:pPr>
      <w:r>
        <w:rPr>
          <w:rFonts w:ascii="Times New Roman" w:hAnsi="Times New Roman"/>
          <w:b w:val="0"/>
          <w:i w:val="0"/>
          <w:sz w:val="24"/>
        </w:rPr>
        <w:t>Segmentation models: K-Means is explicitly a quantitative method. The cluster boundaries are model outputs. The assignment of a customer to a peer group is a model-driven decision.</w:t>
      </w:r>
    </w:p>
    <w:p>
      <w:pPr>
        <w:pStyle w:val="ListBullet"/>
        <w:spacing w:lineRule="auto" w:line="360" w:before="0" w:after="60"/>
      </w:pPr>
      <w:r>
        <w:rPr>
          <w:rFonts w:ascii="Times New Roman" w:hAnsi="Times New Roman"/>
          <w:b w:val="0"/>
          <w:i w:val="0"/>
          <w:sz w:val="24"/>
        </w:rPr>
        <w:t>ML triage models: Isolation Forest is a statistical algorithm. Its contamination parameter is an assumption. Its anomaly scores are quantitative estimates that drive analyst workflow.</w:t>
      </w:r>
    </w:p>
    <w:p>
      <w:pPr>
        <w:pStyle w:val="ListBullet"/>
        <w:spacing w:lineRule="auto" w:line="360" w:before="0" w:after="60"/>
      </w:pPr>
      <w:r>
        <w:rPr>
          <w:rFonts w:ascii="Times New Roman" w:hAnsi="Times New Roman"/>
          <w:b w:val="0"/>
          <w:i w:val="0"/>
          <w:sz w:val="24"/>
        </w:rPr>
        <w:t>Calibration models: the hypergeometric sampling exercise from Chapter 6 is a statistical methodology that produces a quantitative estimate (the BTL SAR rate) that informs the threshold decision.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9.2  </w:t>
            </w:r>
            <w:r>
              <w:rPr>
                <w:rFonts w:ascii="Times New Roman" w:hAnsi="Times New Roman"/>
                <w:b/>
                <w:i/>
                <w:sz w:val="22"/>
              </w:rPr>
              <w:t>Risk Perspective</w:t>
            </w:r>
          </w:p>
          <w:p>
            <w:pPr>
              <w:spacing w:lineRule="auto" w:line="312" w:before="20" w:after="40"/>
              <w:ind w:left="113"/>
            </w:pPr>
            <w:r>
              <w:rPr>
                <w:rFonts w:ascii="Times New Roman" w:hAnsi="Times New Roman"/>
                <w:b w:val="0"/>
                <w:i w:val="0"/>
                <w:sz w:val="22"/>
              </w:rPr>
              <w:t>'We do not use models — we just use rules' is not a defensible position with regulators. Rules encode assumptions about thresholds, lookback windows, and customer scope. Those assumptions constitute a model under SR 26-2. If your Transaction Monitoring Framework has not assessed its scenarios against the five pillars, it has unvalidated models in production.</w:t>
            </w:r>
          </w:p>
        </w:tc>
      </w:tr>
    </w:tbl>
    <w:p>
      <w:pPr>
        <w:spacing w:lineRule="auto" w:line="240" w:before="0" w:after="160"/>
      </w:pPr>
    </w:p>
    <w:p>
      <w:pPr>
        <w:pStyle w:val="Heading2"/>
      </w:pPr>
      <w:r>
        <w:rPr>
          <w:rFonts w:ascii="Times New Roman" w:hAnsi="Times New Roman"/>
        </w:rPr>
        <w:t>9.3 MRM Regulatory Requirements by Jurisdiction</w:t>
      </w:r>
    </w:p>
    <w:p>
      <w:pPr>
        <w:spacing w:lineRule="auto" w:line="240" w:before="60" w:after="120"/>
        <w:ind w:firstLine="0"/>
        <w:jc w:val="left"/>
      </w:pPr>
      <w:r>
        <w:rPr>
          <w:rFonts w:ascii="Times New Roman" w:hAnsi="Times New Roman"/>
          <w:b w:val="0"/>
          <w:i/>
          <w:sz w:val="20"/>
        </w:rPr>
        <w:t>Table 9.1  Jurisdiction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Jurisdiction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Regulation</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Key Requirements for AML TM Models</w:t>
            </w:r>
          </w:p>
        </w:tc>
      </w:tr>
      <w:tr>
        <w:tc>
          <w:tcPr>
            <w:tcW w:w="3024" w:type="dxa"/>
          </w:tcPr>
          <w:p>
            <w:pPr>
              <w:spacing w:lineRule="auto" w:line="288" w:before="60" w:after="60"/>
              <w:ind w:left="57" w:right="57"/>
            </w:pPr>
            <w:r>
              <w:rPr>
                <w:rFonts w:ascii="Times New Roman" w:hAnsi="Times New Roman"/>
                <w:b w:val="0"/>
                <w:i w:val="0"/>
                <w:sz w:val="20"/>
              </w:rPr>
              <w:t>United States</w:t>
            </w:r>
          </w:p>
        </w:tc>
        <w:tc>
          <w:tcPr>
            <w:tcW w:w="3024" w:type="dxa"/>
          </w:tcPr>
          <w:p>
            <w:pPr>
              <w:spacing w:lineRule="auto" w:line="288" w:before="60" w:after="60"/>
              <w:ind w:left="57" w:right="57"/>
            </w:pPr>
            <w:r>
              <w:rPr>
                <w:rFonts w:ascii="Times New Roman" w:hAnsi="Times New Roman"/>
                <w:b w:val="0"/>
                <w:i w:val="0"/>
                <w:sz w:val="20"/>
              </w:rPr>
              <w:t>SR 26-2 (Federal Reserve / OCC, 2026)</w:t>
            </w:r>
          </w:p>
        </w:tc>
        <w:tc>
          <w:tcPr>
            <w:tcW w:w="3024" w:type="dxa"/>
          </w:tcPr>
          <w:p>
            <w:pPr>
              <w:spacing w:lineRule="auto" w:line="288" w:before="60" w:after="60"/>
              <w:ind w:left="57" w:right="57"/>
            </w:pPr>
            <w:r>
              <w:rPr>
                <w:rFonts w:ascii="Times New Roman" w:hAnsi="Times New Roman"/>
                <w:b w:val="0"/>
                <w:i w:val="0"/>
                <w:sz w:val="20"/>
              </w:rPr>
              <w:t>Three-component framework: (1) Model development — documented methodology, assumptions, and limitations; (2) Model validation — independent assessment of conceptual soundness, data quality, and performance; (3) Model governance — inventory, approval, change management, ongoing monitoring.</w:t>
            </w:r>
          </w:p>
        </w:tc>
      </w:tr>
      <w:tr>
        <w:tc>
          <w:tcPr>
            <w:tcW w:w="3024" w:type="dxa"/>
          </w:tcPr>
          <w:p>
            <w:pPr>
              <w:spacing w:lineRule="auto" w:line="288" w:before="60" w:after="60"/>
              <w:ind w:left="57" w:right="57"/>
            </w:pPr>
            <w:r>
              <w:rPr>
                <w:rFonts w:ascii="Times New Roman" w:hAnsi="Times New Roman"/>
                <w:b w:val="0"/>
                <w:i w:val="0"/>
                <w:sz w:val="20"/>
              </w:rPr>
              <w:t>United Kingdom</w:t>
            </w:r>
          </w:p>
        </w:tc>
        <w:tc>
          <w:tcPr>
            <w:tcW w:w="3024" w:type="dxa"/>
          </w:tcPr>
          <w:p>
            <w:pPr>
              <w:spacing w:lineRule="auto" w:line="288" w:before="60" w:after="60"/>
              <w:ind w:left="57" w:right="57"/>
            </w:pPr>
            <w:r>
              <w:rPr>
                <w:rFonts w:ascii="Times New Roman" w:hAnsi="Times New Roman"/>
                <w:b w:val="0"/>
                <w:i w:val="0"/>
                <w:sz w:val="20"/>
              </w:rPr>
              <w:t>PRA SS1/23 (2023)</w:t>
            </w:r>
          </w:p>
        </w:tc>
        <w:tc>
          <w:tcPr>
            <w:tcW w:w="3024" w:type="dxa"/>
          </w:tcPr>
          <w:p>
            <w:pPr>
              <w:spacing w:lineRule="auto" w:line="288" w:before="60" w:after="60"/>
              <w:ind w:left="57" w:right="57"/>
            </w:pPr>
            <w:r>
              <w:rPr>
                <w:rFonts w:ascii="Times New Roman" w:hAnsi="Times New Roman"/>
                <w:b w:val="0"/>
                <w:i w:val="0"/>
                <w:sz w:val="20"/>
              </w:rPr>
              <w:t>Model inventory requirement for all material models. Independent validation by a function separate from model development. Validation must assess: purpose and scope, methodology, data quality, performance, and documentation. Board-level accountability for model risk.</w:t>
            </w:r>
          </w:p>
        </w:tc>
      </w:tr>
      <w:tr>
        <w:tc>
          <w:tcPr>
            <w:tcW w:w="3024" w:type="dxa"/>
          </w:tcPr>
          <w:p>
            <w:pPr>
              <w:spacing w:lineRule="auto" w:line="288" w:before="60" w:after="60"/>
              <w:ind w:left="57" w:right="57"/>
            </w:pPr>
            <w:r>
              <w:rPr>
                <w:rFonts w:ascii="Times New Roman" w:hAnsi="Times New Roman"/>
                <w:b w:val="0"/>
                <w:i w:val="0"/>
                <w:sz w:val="20"/>
              </w:rPr>
              <w:t>European Union</w:t>
            </w:r>
          </w:p>
        </w:tc>
        <w:tc>
          <w:tcPr>
            <w:tcW w:w="3024" w:type="dxa"/>
          </w:tcPr>
          <w:p>
            <w:pPr>
              <w:spacing w:lineRule="auto" w:line="288" w:before="60" w:after="60"/>
              <w:ind w:left="57" w:right="57"/>
            </w:pPr>
            <w:r>
              <w:rPr>
                <w:rFonts w:ascii="Times New Roman" w:hAnsi="Times New Roman"/>
                <w:b w:val="0"/>
                <w:i w:val="0"/>
                <w:sz w:val="20"/>
              </w:rPr>
              <w:t>CRR / EBA Guidelines / forthcoming AMLA</w:t>
            </w:r>
          </w:p>
        </w:tc>
        <w:tc>
          <w:tcPr>
            <w:tcW w:w="3024" w:type="dxa"/>
          </w:tcPr>
          <w:p>
            <w:pPr>
              <w:spacing w:lineRule="auto" w:line="288" w:before="60" w:after="60"/>
              <w:ind w:left="57" w:right="57"/>
            </w:pPr>
            <w:r>
              <w:rPr>
                <w:rFonts w:ascii="Times New Roman" w:hAnsi="Times New Roman"/>
                <w:b w:val="0"/>
                <w:i w:val="0"/>
                <w:sz w:val="20"/>
              </w:rPr>
              <w:t>Indirect applicability at present. EBA/GL/2020/14 (ICT and security risk management guidelines) applies governance and testing requirements to technology systems including model-driven monitoring tools. No dedicated AML model risk framework equivalent to SR 26-2 currently exists. However, the forthcoming Anti-Money Laundering Authority (AMLA), which assumes direct supervisory powers over high-risk obliged entities from 2025, is expected to issue model governance standards for TM systems — potentially creating an EU-equivalent framework. Institutions with EU presence should monitor AMLA's regulatory technical standards as they are published.</w:t>
            </w:r>
          </w:p>
        </w:tc>
      </w:tr>
      <w:tr>
        <w:tc>
          <w:tcPr>
            <w:tcW w:w="3024" w:type="dxa"/>
          </w:tcPr>
          <w:p>
            <w:pPr>
              <w:spacing w:lineRule="auto" w:line="288" w:before="60" w:after="60"/>
              <w:ind w:left="57" w:right="57"/>
            </w:pPr>
            <w:r>
              <w:rPr>
                <w:rFonts w:ascii="Times New Roman" w:hAnsi="Times New Roman"/>
                <w:b w:val="0"/>
                <w:i w:val="0"/>
                <w:sz w:val="20"/>
              </w:rPr>
              <w:t>Singapore</w:t>
            </w:r>
          </w:p>
        </w:tc>
        <w:tc>
          <w:tcPr>
            <w:tcW w:w="3024" w:type="dxa"/>
          </w:tcPr>
          <w:p>
            <w:pPr>
              <w:spacing w:lineRule="auto" w:line="288" w:before="60" w:after="60"/>
              <w:ind w:left="57" w:right="57"/>
            </w:pPr>
            <w:r>
              <w:rPr>
                <w:rFonts w:ascii="Times New Roman" w:hAnsi="Times New Roman"/>
                <w:b w:val="0"/>
                <w:i w:val="0"/>
                <w:sz w:val="20"/>
              </w:rPr>
              <w:t>MAS Notice 1070 / TRM Guidelines</w:t>
            </w:r>
          </w:p>
        </w:tc>
        <w:tc>
          <w:tcPr>
            <w:tcW w:w="3024" w:type="dxa"/>
          </w:tcPr>
          <w:p>
            <w:pPr>
              <w:spacing w:lineRule="auto" w:line="288" w:before="60" w:after="60"/>
              <w:ind w:left="57" w:right="57"/>
            </w:pPr>
            <w:r>
              <w:rPr>
                <w:rFonts w:ascii="Times New Roman" w:hAnsi="Times New Roman"/>
                <w:b w:val="0"/>
                <w:i w:val="0"/>
                <w:sz w:val="20"/>
              </w:rPr>
              <w:t>Risk management principles require that technology systems used for AML monitoring are subject to governance and oversight. TRM Guidelines require testing, change management, and incident management for critical systems.</w:t>
            </w:r>
          </w:p>
        </w:tc>
      </w:tr>
    </w:tbl>
    <w:p>
      <w:pPr>
        <w:spacing w:lineRule="auto" w:line="240" w:before="0" w:after="200"/>
      </w:pPr>
    </w:p>
    <w:p>
      <w:pPr>
        <w:pStyle w:val="Heading2"/>
      </w:pPr>
      <w:r>
        <w:rPr>
          <w:rFonts w:ascii="Times New Roman" w:hAnsi="Times New Roman"/>
        </w:rPr>
        <w:t>9.4 The Five Pillars of AML Model Validation</w:t>
      </w:r>
    </w:p>
    <w:p>
      <w:pPr>
        <w:pStyle w:val="BodyText"/>
        <w:spacing w:lineRule="auto" w:line="360" w:before="0" w:after="120"/>
        <w:ind w:firstLine="283"/>
      </w:pPr>
      <w:r>
        <w:rPr>
          <w:rFonts w:ascii="Times New Roman" w:hAnsi="Times New Roman"/>
          <w:b w:val="0"/>
          <w:i w:val="0"/>
          <w:sz w:val="24"/>
        </w:rPr>
        <w:t>The five-pillar framework presented here is our synthesis of the regulatory requirements across SR 26-2 (US), PRA SS1/23 (UK), and MAS TRM into a single operational framework for AML model validation. SR 26-2 uses a three-component structure (development, validation, governance); PRA SS1/23 uses its own principles. The five pillars map to both — and are designed to be actionable in a practitioner context where the regulatory documents are the authority but a working checklist is what gets used.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9.3  </w:t>
            </w:r>
            <w:r>
              <w:rPr>
                <w:rFonts w:ascii="Times New Roman" w:hAnsi="Times New Roman"/>
                <w:b/>
                <w:i/>
                <w:sz w:val="22"/>
              </w:rPr>
              <w:t>Finding Severity Scale</w:t>
            </w:r>
          </w:p>
          <w:p>
            <w:pPr>
              <w:spacing w:lineRule="auto" w:line="312" w:before="20" w:after="40"/>
              <w:ind w:left="113"/>
            </w:pPr>
            <w:r>
              <w:rPr>
                <w:rFonts w:ascii="Times New Roman" w:hAnsi="Times New Roman"/>
                <w:b w:val="0"/>
                <w:i w:val="0"/>
                <w:sz w:val="22"/>
              </w:rPr>
              <w:t>Throughout the five pillars, validation findings are rated on a four-point severity scale. Critical: the model must be suspended from production pending remediation — the risk of continued use outweighs the operational cost of suspension. High: material remediation required within 30 days; continued use must be approved by a senior governance authority. Medium: remediation required within 90 days; ongoing monitoring enhanced in the interim. Low: remediation at the next scheduled review cycle; no immediate operational impact. This scale applies across all pillars and all model types.</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Each pillar addresses a distinct dimension of model risk.</w:t>
      </w:r>
    </w:p>
    <w:p>
      <w:pPr>
        <w:pStyle w:val="Heading3"/>
      </w:pPr>
      <w:r>
        <w:rPr>
          <w:rFonts w:ascii="Times New Roman" w:hAnsi="Times New Roman"/>
        </w:rPr>
        <w:t>Pillar 1 — Model Governance</w:t>
      </w:r>
    </w:p>
    <w:p>
      <w:pPr>
        <w:pStyle w:val="BodyText"/>
        <w:spacing w:lineRule="auto" w:line="360" w:before="0" w:after="120"/>
        <w:ind w:firstLine="283"/>
      </w:pPr>
      <w:r>
        <w:rPr>
          <w:rFonts w:ascii="Times New Roman" w:hAnsi="Times New Roman"/>
          <w:b w:val="0"/>
          <w:i w:val="0"/>
          <w:sz w:val="24"/>
        </w:rPr>
        <w:t>Governance is the foundation on which all other validation work rests. Without a clear governance structure, even a technically excellent model cannot be adequately managed over time.</w:t>
      </w:r>
    </w:p>
    <w:p>
      <w:pPr>
        <w:pStyle w:val="ListBullet"/>
        <w:spacing w:lineRule="auto" w:line="360" w:before="0" w:after="60"/>
      </w:pPr>
      <w:r>
        <w:rPr>
          <w:rFonts w:ascii="Times New Roman" w:hAnsi="Times New Roman"/>
          <w:b w:val="0"/>
          <w:i w:val="0"/>
          <w:sz w:val="24"/>
        </w:rPr>
        <w:t>Model inventory: every model must be registered in a firm-wide model inventory. Entry includes: model name, owner, purpose, methodology, risk tier, validation status, and last validation date.</w:t>
      </w:r>
    </w:p>
    <w:p>
      <w:pPr>
        <w:pStyle w:val="ListBullet"/>
        <w:spacing w:lineRule="auto" w:line="360" w:before="0" w:after="60"/>
      </w:pPr>
      <w:r>
        <w:rPr>
          <w:rFonts w:ascii="Times New Roman" w:hAnsi="Times New Roman"/>
          <w:b w:val="0"/>
          <w:i w:val="0"/>
          <w:sz w:val="24"/>
        </w:rPr>
        <w:t>Ownership and accountability: each model must have a named owner responsible for its performance, documentation, and compliance with governance requirements.</w:t>
      </w:r>
    </w:p>
    <w:p>
      <w:pPr>
        <w:pStyle w:val="ListBullet"/>
        <w:spacing w:lineRule="auto" w:line="360" w:before="0" w:after="60"/>
      </w:pPr>
      <w:r>
        <w:rPr>
          <w:rFonts w:ascii="Times New Roman" w:hAnsi="Times New Roman"/>
          <w:b w:val="0"/>
          <w:i w:val="0"/>
          <w:sz w:val="24"/>
        </w:rPr>
        <w:t>Change management: any change to a model — threshold adjustment, parameter update, feature addition — must go through a documented approval process before deployment.</w:t>
      </w:r>
    </w:p>
    <w:p>
      <w:pPr>
        <w:pStyle w:val="ListBullet"/>
        <w:spacing w:lineRule="auto" w:line="360" w:before="0" w:after="60"/>
      </w:pPr>
      <w:r>
        <w:rPr>
          <w:rFonts w:ascii="Times New Roman" w:hAnsi="Times New Roman"/>
          <w:b w:val="0"/>
          <w:i w:val="0"/>
          <w:sz w:val="24"/>
        </w:rPr>
        <w:t>Approval workflow: models must be approved before deployment by an authority commensurate with their risk tier. A material AML model typically requires sign-off from the Chief Risk Officer or equivalent.</w:t>
      </w:r>
    </w:p>
    <w:p>
      <w:pPr>
        <w:pStyle w:val="Heading3"/>
      </w:pPr>
      <w:r>
        <w:rPr>
          <w:rFonts w:ascii="Times New Roman" w:hAnsi="Times New Roman"/>
        </w:rPr>
        <w:t>Pillar 2 — Model Framework</w:t>
      </w:r>
    </w:p>
    <w:p>
      <w:pPr>
        <w:pStyle w:val="BodyText"/>
        <w:spacing w:lineRule="auto" w:line="360" w:before="0" w:after="120"/>
        <w:ind w:firstLine="283"/>
      </w:pPr>
      <w:r>
        <w:rPr>
          <w:rFonts w:ascii="Times New Roman" w:hAnsi="Times New Roman"/>
          <w:b w:val="0"/>
          <w:i w:val="0"/>
          <w:sz w:val="24"/>
        </w:rPr>
        <w:t>The framework document is the model's technical specification. It must be sufficient for a competent reviewer — including an external examiner — to understand what the model does, why it was designed that way, and what its limitations are.</w:t>
      </w:r>
    </w:p>
    <w:p>
      <w:pPr>
        <w:pStyle w:val="ListBullet"/>
        <w:spacing w:lineRule="auto" w:line="360" w:before="0" w:after="60"/>
      </w:pPr>
      <w:r>
        <w:rPr>
          <w:rFonts w:ascii="Times New Roman" w:hAnsi="Times New Roman"/>
          <w:b w:val="0"/>
          <w:i w:val="0"/>
          <w:sz w:val="24"/>
        </w:rPr>
        <w:t>Purpose statement: what business problem does the model solve? What regulatory requirement does it address?</w:t>
      </w:r>
    </w:p>
    <w:p>
      <w:pPr>
        <w:pStyle w:val="ListBullet"/>
        <w:spacing w:lineRule="auto" w:line="360" w:before="0" w:after="60"/>
      </w:pPr>
      <w:r>
        <w:rPr>
          <w:rFonts w:ascii="Times New Roman" w:hAnsi="Times New Roman"/>
          <w:b w:val="0"/>
          <w:i w:val="0"/>
          <w:sz w:val="24"/>
        </w:rPr>
        <w:t>Methodology: what algorithm, rule logic, or statistical approach is used? Why was this approach chosen over alternatives?</w:t>
      </w:r>
    </w:p>
    <w:p>
      <w:pPr>
        <w:pStyle w:val="ListBullet"/>
        <w:spacing w:lineRule="auto" w:line="360" w:before="0" w:after="60"/>
      </w:pPr>
      <w:r>
        <w:rPr>
          <w:rFonts w:ascii="Times New Roman" w:hAnsi="Times New Roman"/>
          <w:b w:val="0"/>
          <w:i w:val="0"/>
          <w:sz w:val="24"/>
        </w:rPr>
        <w:t>Inputs and outputs: what data does the model consume? What does it produce? What decisions does its output inform?</w:t>
      </w:r>
    </w:p>
    <w:p>
      <w:pPr>
        <w:pStyle w:val="ListBullet"/>
        <w:spacing w:lineRule="auto" w:line="360" w:before="0" w:after="60"/>
      </w:pPr>
      <w:r>
        <w:rPr>
          <w:rFonts w:ascii="Times New Roman" w:hAnsi="Times New Roman"/>
          <w:b w:val="0"/>
          <w:i w:val="0"/>
          <w:sz w:val="24"/>
        </w:rPr>
        <w:t>Assumptions and limitations: what assumptions underlie the methodology? Under what conditions would the model perform poorly or fail?</w:t>
      </w:r>
    </w:p>
    <w:p>
      <w:pPr>
        <w:pStyle w:val="Heading3"/>
      </w:pPr>
      <w:r>
        <w:rPr>
          <w:rFonts w:ascii="Times New Roman" w:hAnsi="Times New Roman"/>
        </w:rPr>
        <w:t>Pillar 3 — Data Quality</w:t>
      </w:r>
    </w:p>
    <w:p>
      <w:pPr>
        <w:pStyle w:val="BodyText"/>
        <w:spacing w:lineRule="auto" w:line="360" w:before="0" w:after="120"/>
        <w:ind w:firstLine="283"/>
      </w:pPr>
      <w:r>
        <w:rPr>
          <w:rFonts w:ascii="Times New Roman" w:hAnsi="Times New Roman"/>
          <w:b w:val="0"/>
          <w:i w:val="0"/>
          <w:sz w:val="24"/>
        </w:rPr>
        <w:t>A model is only as good as its inputs. Data quality assessment is one of the most important and most frequently neglected parts of model validation in AML. Critical/Key Data Elements (CDE/KDE) are the specific data fields a model requires to function correctly — the transaction amount for a cash threshold rule, the CRR score for a risk-based segmentation, the account age for a triage model. Critical/Key Data Elements (CDE/KDE) (KDEs) are the subset of CDEs that are most material to the model's output: if a CDE/KDE is corrupted, the model fails in its core purpose. Every model has a defined CDE set; every validation must test them. The DQ assessment follows four sequential steps:</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9.4  </w:t>
            </w:r>
            <w:r>
              <w:rPr>
                <w:rFonts w:ascii="Times New Roman" w:hAnsi="Times New Roman"/>
                <w:b/>
                <w:i/>
                <w:sz w:val="22"/>
              </w:rPr>
              <w:t>The DQ Validation Protocol — Four Sequential Steps</w:t>
            </w:r>
          </w:p>
          <w:p>
            <w:pPr>
              <w:spacing w:lineRule="auto" w:line="312" w:before="20" w:after="40"/>
              <w:ind w:left="113"/>
            </w:pPr>
            <w:r>
              <w:rPr>
                <w:rFonts w:ascii="Times New Roman" w:hAnsi="Times New Roman"/>
                <w:b w:val="0"/>
                <w:i w:val="0"/>
                <w:sz w:val="22"/>
              </w:rPr>
              <w:t>Step 1 — Lineage: Where does each CDE come from? Map each field from its source system (core banking, CDD, payment ledger) through any transformation layers to the model's input table. A field whose provenance cannot be established cannot be validated. Lineage documentation is the prerequisite for all subsequent steps — without it, a reconciliation failure cannot be attributed to a root cause.</w:t>
            </w:r>
          </w:p>
          <w:p>
            <w:pPr>
              <w:spacing w:lineRule="auto" w:line="312" w:before="20" w:after="40"/>
              <w:ind w:left="113"/>
            </w:pPr>
            <w:r>
              <w:rPr>
                <w:rFonts w:ascii="Times New Roman" w:hAnsi="Times New Roman"/>
                <w:b w:val="0"/>
                <w:i w:val="0"/>
                <w:sz w:val="22"/>
              </w:rPr>
              <w:t>Step 2 — Reconciliation: Does the data in the model's input match the source system? Row counts, aggregate totals, and key field distributions should be reconciled between source and model input at each scheduled monitoring run. A 2% unexplained shortfall in transaction counts is a material reconciliation failure. Reconciliation outputs must be retained as evidence in the model governance register.</w:t>
            </w:r>
          </w:p>
          <w:p>
            <w:pPr>
              <w:spacing w:lineRule="auto" w:line="312" w:before="20" w:after="40"/>
              <w:ind w:left="113"/>
            </w:pPr>
            <w:r>
              <w:rPr>
                <w:rFonts w:ascii="Times New Roman" w:hAnsi="Times New Roman"/>
                <w:b w:val="0"/>
                <w:i w:val="0"/>
                <w:sz w:val="22"/>
              </w:rPr>
              <w:t>Step 3 — CDE Identification and Testing: Test each CDE across five dimensions: (1) Completeness — what proportion of records have a non-null value? A cash deposit amount field with 15% nulls is a material CDE completeness failure. (2) Uniqueness — are there duplicated records? Duplicate transactions inflate alert counts and distort aggregate features used in ML models. (3) Referential Integrity — do foreign key relationships hold? A customer ID in the transaction table with no match in the CDD table is an orphaned record; the model cannot access CDD features for that customer. (4) Distribution — is the field distribution consistent with expectation and prior periods? An occupation code field where 40% of values are 'Unknown' in one month vs. 5% in the prior month signals an upstream data problem. (5) Missing Values and Illegal Characters — are there values that pass a null check but are not valid? A transaction amount of '-99999' or an occupation code of '0000' is an illegal-character problem masquerading as completeness. The standard four industry dimensions (Completeness, Accuracy, Timeliness, Consistency) map into this step: Completeness and Accuracy are addressed by CDE testing dimensions (1)–(5); Timeliness is assessed by checking whether data is available before the monitoring run's scheduled execution; Consistency is assessed by Referential Integrity and cross-system Distribution checks.</w:t>
            </w:r>
          </w:p>
          <w:p>
            <w:pPr>
              <w:spacing w:lineRule="auto" w:line="312" w:before="20" w:after="40"/>
              <w:ind w:left="113"/>
            </w:pPr>
            <w:r>
              <w:rPr>
                <w:rFonts w:ascii="Times New Roman" w:hAnsi="Times New Roman"/>
                <w:b w:val="0"/>
                <w:i w:val="0"/>
                <w:sz w:val="22"/>
              </w:rPr>
              <w:t>Step 4 — Feedback Loop: DQ findings from the validation must be routed back to the data owners and data engineering teams responsible for the source systems. A finding with no feedback loop will recur at the next validation cycle. The model governance register should track each DQ finding, the data owner responsible, and the remediation timeline. Closing the loop is what distinguishes a DQ assessment from a DQ inventory.</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9.5  </w:t>
            </w:r>
            <w:r>
              <w:rPr>
                <w:rFonts w:ascii="Times New Roman" w:hAnsi="Times New Roman"/>
                <w:b/>
                <w:i/>
                <w:sz w:val="22"/>
              </w:rPr>
              <w:t>No Data is Bad Data</w:t>
            </w:r>
          </w:p>
          <w:p>
            <w:pPr>
              <w:spacing w:lineRule="auto" w:line="312" w:before="20" w:after="40"/>
              <w:ind w:left="113"/>
            </w:pPr>
            <w:r>
              <w:rPr>
                <w:rFonts w:ascii="Times New Roman" w:hAnsi="Times New Roman"/>
                <w:b w:val="0"/>
                <w:i w:val="0"/>
                <w:sz w:val="22"/>
              </w:rPr>
              <w:t>A null occupation code is not random noise — it is information about the onboarding process, the data migration, or the customer's willingness to disclose. Missing or imperfect data is not 'bad'; it tells you something. The validation question is not 'is the data perfect?' but 'does the model account for what the data cannot tell it?' A model that imputes missing CRR scores as the population mean, without documenting this as a limitation, is making an untested assumption that may systematically under-flag high-risk customers who declined to provide CDD information. Validation must surface these assumptions — they are the hidden inputs that often drive the most consequential model outputs.</w:t>
            </w:r>
          </w:p>
        </w:tc>
      </w:tr>
    </w:tbl>
    <w:p>
      <w:pPr>
        <w:spacing w:lineRule="auto" w:line="240" w:before="0" w:after="160"/>
      </w:pPr>
    </w:p>
    <w:p>
      <w:pPr>
        <w:pStyle w:val="Heading3"/>
      </w:pPr>
      <w:r>
        <w:rPr>
          <w:rFonts w:ascii="Times New Roman" w:hAnsi="Times New Roman"/>
        </w:rPr>
        <w:t>Pillar 4 — Model Methodology</w:t>
      </w:r>
    </w:p>
    <w:p>
      <w:pPr>
        <w:pStyle w:val="BodyText"/>
        <w:spacing w:lineRule="auto" w:line="360" w:before="0" w:after="120"/>
        <w:ind w:firstLine="283"/>
      </w:pPr>
      <w:r>
        <w:rPr>
          <w:rFonts w:ascii="Times New Roman" w:hAnsi="Times New Roman"/>
          <w:b w:val="0"/>
          <w:i w:val="0"/>
          <w:sz w:val="24"/>
        </w:rPr>
        <w:t>Methodology validation assesses whether the chosen approach is conceptually sound and fit for purpose. For AML models, this means asking whether the model would work — not just whether it is implemented correctly.</w:t>
      </w:r>
    </w:p>
    <w:p>
      <w:pPr>
        <w:pStyle w:val="ListBullet"/>
        <w:spacing w:lineRule="auto" w:line="360" w:before="0" w:after="60"/>
      </w:pPr>
      <w:r>
        <w:rPr>
          <w:rFonts w:ascii="Times New Roman" w:hAnsi="Times New Roman"/>
          <w:b w:val="0"/>
          <w:i w:val="0"/>
          <w:sz w:val="24"/>
        </w:rPr>
        <w:t>Conceptual soundness: is the methodology appropriate for the problem? Using K-Means for segmentation is conceptually sound; using it to classify individual transactions as suspicious is not.</w:t>
      </w:r>
    </w:p>
    <w:p>
      <w:pPr>
        <w:pStyle w:val="ListBullet"/>
        <w:spacing w:lineRule="auto" w:line="360" w:before="0" w:after="60"/>
      </w:pPr>
      <w:r>
        <w:rPr>
          <w:rFonts w:ascii="Times New Roman" w:hAnsi="Times New Roman"/>
          <w:b w:val="0"/>
          <w:i w:val="0"/>
          <w:sz w:val="24"/>
        </w:rPr>
        <w:t>Backtesting: does the model produce the expected output when applied to historical data? For a scenario rule, this means checking whether it would have generated alerts on known SAR cases. Note the fundamental limitation: backtesting in AML can only test against known SARs — which are themselves the output of the current model. A scenario that missed suspicious activity in the past generated no SAR for that activity, so the backtest will not detect the miss. This circular dependency means backtesting tests whether the model would have caught what was already caught; it cannot test whether it would catch what was missed. BTL sampling (Chapter 6) and coverage assessment (Chapter 7) are essential complements to backtesting precisely because they probe what the model does not see.</w:t>
      </w:r>
    </w:p>
    <w:p>
      <w:pPr>
        <w:pStyle w:val="ListBullet"/>
        <w:spacing w:lineRule="auto" w:line="360" w:before="0" w:after="60"/>
      </w:pPr>
      <w:r>
        <w:rPr>
          <w:rFonts w:ascii="Times New Roman" w:hAnsi="Times New Roman"/>
          <w:b w:val="0"/>
          <w:i w:val="0"/>
          <w:sz w:val="24"/>
        </w:rPr>
        <w:t>Benchmarking: how does the model perform relative to a challenger model or an expert judgement baseline? A scenario that generates fewer SARs per analyst hour than manual review is not adding value.</w:t>
      </w:r>
    </w:p>
    <w:p>
      <w:pPr>
        <w:pStyle w:val="ListBullet"/>
        <w:spacing w:lineRule="auto" w:line="360" w:before="0" w:after="60"/>
      </w:pPr>
      <w:r>
        <w:rPr>
          <w:rFonts w:ascii="Times New Roman" w:hAnsi="Times New Roman"/>
          <w:b w:val="0"/>
          <w:i w:val="0"/>
          <w:sz w:val="24"/>
        </w:rPr>
        <w:t>Sensitivity analysis: how sensitive is the model output to small changes in input parameters? A threshold model that generates wildly different alert volumes for a $500 change in the threshold has poor stability.</w:t>
      </w:r>
    </w:p>
    <w:p>
      <w:pPr>
        <w:pStyle w:val="Heading3"/>
      </w:pPr>
      <w:r>
        <w:rPr>
          <w:rFonts w:ascii="Times New Roman" w:hAnsi="Times New Roman"/>
        </w:rPr>
        <w:t>Pillar 5 — Model Documentation</w:t>
      </w:r>
    </w:p>
    <w:p>
      <w:pPr>
        <w:pStyle w:val="BodyText"/>
        <w:spacing w:lineRule="auto" w:line="360" w:before="0" w:after="120"/>
        <w:ind w:firstLine="283"/>
      </w:pPr>
      <w:r>
        <w:rPr>
          <w:rFonts w:ascii="Times New Roman" w:hAnsi="Times New Roman"/>
          <w:b w:val="0"/>
          <w:i w:val="0"/>
          <w:sz w:val="24"/>
        </w:rPr>
        <w:t>Documentation is both the output of the validation process and evidence that the process was conducted properly. A validation without documentation is a validation that cannot be demonstrated to a regulator.</w:t>
      </w:r>
    </w:p>
    <w:p>
      <w:pPr>
        <w:pStyle w:val="ListBullet"/>
        <w:spacing w:lineRule="auto" w:line="360" w:before="0" w:after="60"/>
      </w:pPr>
      <w:r>
        <w:rPr>
          <w:rFonts w:ascii="Times New Roman" w:hAnsi="Times New Roman"/>
          <w:b w:val="0"/>
          <w:i w:val="0"/>
          <w:sz w:val="24"/>
        </w:rPr>
        <w:t>Validation report: a structured document covering: scope, methodology, findings (with severity ratings), recommendations, and management response.</w:t>
      </w:r>
    </w:p>
    <w:p>
      <w:pPr>
        <w:pStyle w:val="ListBullet"/>
        <w:spacing w:lineRule="auto" w:line="360" w:before="0" w:after="60"/>
      </w:pPr>
      <w:r>
        <w:rPr>
          <w:rFonts w:ascii="Times New Roman" w:hAnsi="Times New Roman"/>
          <w:b w:val="0"/>
          <w:i w:val="0"/>
          <w:sz w:val="24"/>
        </w:rPr>
        <w:t>Finding severity ratings: findings are typically rated as Critical (model must be suspended), High (remediation required within 30 days), Medium (remediation within 90 days), or Low (remediation at next review cycle).</w:t>
      </w:r>
    </w:p>
    <w:p>
      <w:pPr>
        <w:pStyle w:val="ListBullet"/>
        <w:spacing w:lineRule="auto" w:line="360" w:before="0" w:after="60"/>
      </w:pPr>
      <w:r>
        <w:rPr>
          <w:rFonts w:ascii="Times New Roman" w:hAnsi="Times New Roman"/>
          <w:b w:val="0"/>
          <w:i w:val="0"/>
          <w:sz w:val="24"/>
        </w:rPr>
        <w:t>Management response: for each finding, model owners must document their agreed remediation action and timeline. Disagreements must be escalated.</w:t>
      </w:r>
    </w:p>
    <w:p>
      <w:pPr>
        <w:pStyle w:val="ListBullet"/>
        <w:spacing w:lineRule="auto" w:line="360" w:before="0" w:after="60"/>
      </w:pPr>
      <w:r>
        <w:rPr>
          <w:rFonts w:ascii="Times New Roman" w:hAnsi="Times New Roman"/>
          <w:b w:val="0"/>
          <w:i w:val="0"/>
          <w:sz w:val="24"/>
        </w:rPr>
        <w:t>Ongoing monitoring: validation is not a one-time event. Models must be monitored continuously for performance degradation, data drift, and changes in the operating environment.</w:t>
      </w:r>
    </w:p>
    <w:p>
      <w:pPr>
        <w:pStyle w:val="Heading2"/>
      </w:pPr>
      <w:r>
        <w:rPr>
          <w:rFonts w:ascii="Times New Roman" w:hAnsi="Times New Roman"/>
        </w:rPr>
        <w:t>9.5 Common Validation Failures and Regulatory Consequences</w:t>
      </w:r>
    </w:p>
    <w:p>
      <w:pPr>
        <w:spacing w:lineRule="auto" w:line="240" w:before="60" w:after="120"/>
        <w:ind w:firstLine="0"/>
        <w:jc w:val="left"/>
      </w:pPr>
      <w:r>
        <w:rPr>
          <w:rFonts w:ascii="Times New Roman" w:hAnsi="Times New Roman"/>
          <w:b w:val="0"/>
          <w:i/>
          <w:sz w:val="20"/>
        </w:rPr>
        <w:t>Table 9.2  Validation Failure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4536"/>
        <w:gridCol w:w="4536"/>
      </w:tblGrid>
      <w:tr>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Validation Failure</w:t>
            </w:r>
          </w:p>
        </w:tc>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Regulatory Consequence</w:t>
            </w:r>
          </w:p>
        </w:tc>
      </w:tr>
      <w:tr>
        <w:tc>
          <w:tcPr>
            <w:tcW w:w="4536" w:type="dxa"/>
          </w:tcPr>
          <w:p>
            <w:pPr>
              <w:spacing w:lineRule="auto" w:line="288" w:before="60" w:after="60"/>
              <w:ind w:left="57" w:right="57"/>
            </w:pPr>
            <w:r>
              <w:rPr>
                <w:rFonts w:ascii="Times New Roman" w:hAnsi="Times New Roman"/>
                <w:b w:val="0"/>
                <w:i w:val="0"/>
                <w:sz w:val="20"/>
              </w:rPr>
              <w:t>No model inventory — scenarios and ML models not registered</w:t>
            </w:r>
          </w:p>
        </w:tc>
        <w:tc>
          <w:tcPr>
            <w:tcW w:w="4536" w:type="dxa"/>
          </w:tcPr>
          <w:p>
            <w:pPr>
              <w:spacing w:lineRule="auto" w:line="288" w:before="60" w:after="60"/>
              <w:ind w:left="57" w:right="57"/>
            </w:pPr>
            <w:r>
              <w:rPr>
                <w:rFonts w:ascii="Times New Roman" w:hAnsi="Times New Roman"/>
                <w:b w:val="0"/>
                <w:i w:val="0"/>
                <w:sz w:val="20"/>
              </w:rPr>
              <w:t>Matter Requiring Attention (MRA) in US examination; supervisory concern in FinCEN review. Immediate requirement to construct inventory.</w:t>
            </w:r>
          </w:p>
        </w:tc>
      </w:tr>
      <w:tr>
        <w:tc>
          <w:tcPr>
            <w:tcW w:w="4536" w:type="dxa"/>
          </w:tcPr>
          <w:p>
            <w:pPr>
              <w:spacing w:lineRule="auto" w:line="288" w:before="60" w:after="60"/>
              <w:ind w:left="57" w:right="57"/>
            </w:pPr>
            <w:r>
              <w:rPr>
                <w:rFonts w:ascii="Times New Roman" w:hAnsi="Times New Roman"/>
                <w:b w:val="0"/>
                <w:i w:val="0"/>
                <w:sz w:val="20"/>
              </w:rPr>
              <w:t>No independent validation — model validated by its own development team</w:t>
            </w:r>
          </w:p>
        </w:tc>
        <w:tc>
          <w:tcPr>
            <w:tcW w:w="4536" w:type="dxa"/>
          </w:tcPr>
          <w:p>
            <w:pPr>
              <w:spacing w:lineRule="auto" w:line="288" w:before="60" w:after="60"/>
              <w:ind w:left="57" w:right="57"/>
            </w:pPr>
            <w:r>
              <w:rPr>
                <w:rFonts w:ascii="Times New Roman" w:hAnsi="Times New Roman"/>
                <w:b w:val="0"/>
                <w:i w:val="0"/>
                <w:sz w:val="20"/>
              </w:rPr>
              <w:t>Enforcement action risk. SR 26-2 explicitly requires independence. Finding will be rated High or Critical.</w:t>
            </w:r>
          </w:p>
        </w:tc>
      </w:tr>
      <w:tr>
        <w:tc>
          <w:tcPr>
            <w:tcW w:w="4536" w:type="dxa"/>
          </w:tcPr>
          <w:p>
            <w:pPr>
              <w:spacing w:lineRule="auto" w:line="288" w:before="60" w:after="60"/>
              <w:ind w:left="57" w:right="57"/>
            </w:pPr>
            <w:r>
              <w:rPr>
                <w:rFonts w:ascii="Times New Roman" w:hAnsi="Times New Roman"/>
                <w:b w:val="0"/>
                <w:i w:val="0"/>
                <w:sz w:val="20"/>
              </w:rPr>
              <w:t>Data quality not assessed — no documentation of input data completeness or accuracy</w:t>
            </w:r>
          </w:p>
        </w:tc>
        <w:tc>
          <w:tcPr>
            <w:tcW w:w="4536" w:type="dxa"/>
          </w:tcPr>
          <w:p>
            <w:pPr>
              <w:spacing w:lineRule="auto" w:line="288" w:before="60" w:after="60"/>
              <w:ind w:left="57" w:right="57"/>
            </w:pPr>
            <w:r>
              <w:rPr>
                <w:rFonts w:ascii="Times New Roman" w:hAnsi="Times New Roman"/>
                <w:b w:val="0"/>
                <w:i w:val="0"/>
                <w:sz w:val="20"/>
              </w:rPr>
              <w:t>Model output reliability cannot be established. Regulator may question all SARs produced by the model during the unvalidated period.</w:t>
            </w:r>
          </w:p>
        </w:tc>
      </w:tr>
      <w:tr>
        <w:tc>
          <w:tcPr>
            <w:tcW w:w="4536" w:type="dxa"/>
          </w:tcPr>
          <w:p>
            <w:pPr>
              <w:spacing w:lineRule="auto" w:line="288" w:before="60" w:after="60"/>
              <w:ind w:left="57" w:right="57"/>
            </w:pPr>
            <w:r>
              <w:rPr>
                <w:rFonts w:ascii="Times New Roman" w:hAnsi="Times New Roman"/>
                <w:b w:val="0"/>
                <w:i w:val="0"/>
                <w:sz w:val="20"/>
              </w:rPr>
              <w:t>No backtesting evidence — model not tested against known SAR cases</w:t>
            </w:r>
          </w:p>
        </w:tc>
        <w:tc>
          <w:tcPr>
            <w:tcW w:w="4536" w:type="dxa"/>
          </w:tcPr>
          <w:p>
            <w:pPr>
              <w:spacing w:lineRule="auto" w:line="288" w:before="60" w:after="60"/>
              <w:ind w:left="57" w:right="57"/>
            </w:pPr>
            <w:r>
              <w:rPr>
                <w:rFonts w:ascii="Times New Roman" w:hAnsi="Times New Roman"/>
                <w:b w:val="0"/>
                <w:i w:val="0"/>
                <w:sz w:val="20"/>
              </w:rPr>
              <w:t>Conceptual soundness cannot be demonstrated. Regulator may require suspension pending remediation.</w:t>
            </w:r>
          </w:p>
        </w:tc>
      </w:tr>
      <w:tr>
        <w:tc>
          <w:tcPr>
            <w:tcW w:w="4536" w:type="dxa"/>
          </w:tcPr>
          <w:p>
            <w:pPr>
              <w:spacing w:lineRule="auto" w:line="288" w:before="60" w:after="60"/>
              <w:ind w:left="57" w:right="57"/>
            </w:pPr>
            <w:r>
              <w:rPr>
                <w:rFonts w:ascii="Times New Roman" w:hAnsi="Times New Roman"/>
                <w:b w:val="0"/>
                <w:i w:val="0"/>
                <w:sz w:val="20"/>
              </w:rPr>
              <w:t>Threshold changes deployed without approval</w:t>
            </w:r>
          </w:p>
        </w:tc>
        <w:tc>
          <w:tcPr>
            <w:tcW w:w="4536" w:type="dxa"/>
          </w:tcPr>
          <w:p>
            <w:pPr>
              <w:spacing w:lineRule="auto" w:line="288" w:before="60" w:after="60"/>
              <w:ind w:left="57" w:right="57"/>
            </w:pPr>
            <w:r>
              <w:rPr>
                <w:rFonts w:ascii="Times New Roman" w:hAnsi="Times New Roman"/>
                <w:b w:val="0"/>
                <w:i w:val="0"/>
                <w:sz w:val="20"/>
              </w:rPr>
              <w:t>Change management failure. Creates gap in the audit trail. May require retrospective review of all alerts generated at the unapproved threshold.</w:t>
            </w:r>
          </w:p>
        </w:tc>
      </w:tr>
      <w:tr>
        <w:tc>
          <w:tcPr>
            <w:tcW w:w="4536" w:type="dxa"/>
          </w:tcPr>
          <w:p>
            <w:pPr>
              <w:spacing w:lineRule="auto" w:line="288" w:before="60" w:after="60"/>
              <w:ind w:left="57" w:right="57"/>
            </w:pPr>
            <w:r>
              <w:rPr>
                <w:rFonts w:ascii="Times New Roman" w:hAnsi="Times New Roman"/>
                <w:b w:val="0"/>
                <w:i w:val="0"/>
                <w:sz w:val="20"/>
              </w:rPr>
              <w:t>Validation findings not remediated — management response without action</w:t>
            </w:r>
          </w:p>
        </w:tc>
        <w:tc>
          <w:tcPr>
            <w:tcW w:w="4536" w:type="dxa"/>
          </w:tcPr>
          <w:p>
            <w:pPr>
              <w:spacing w:lineRule="auto" w:line="288" w:before="60" w:after="60"/>
              <w:ind w:left="57" w:right="57"/>
            </w:pPr>
            <w:r>
              <w:rPr>
                <w:rFonts w:ascii="Times New Roman" w:hAnsi="Times New Roman"/>
                <w:b w:val="0"/>
                <w:i w:val="0"/>
                <w:sz w:val="20"/>
              </w:rPr>
              <w:t>Demonstrates that governance is performative rather than effective. Escalation to senior management and potential enforcement action.</w:t>
            </w:r>
          </w:p>
        </w:tc>
      </w:tr>
    </w:tbl>
    <w:p>
      <w:pPr>
        <w:spacing w:lineRule="auto" w:line="240" w:before="0" w:after="20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9.6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You may be familiar with cross-validation, train-test splits, and accuracy metrics from machine learning coursework. These are methodology validation techniques — they assess whether a model generalises beyond its training data. In AML model validation, methodology assessment is only one of five pillars. A model that passes every statistical test but has no governance structure, no data quality assessment, and no documentation has failed validation under SR 26-2 (US) and PRA SS1/23 (UK). The regulatory framework is broader than the technical framework.</w:t>
            </w:r>
          </w:p>
        </w:tc>
      </w:tr>
    </w:tbl>
    <w:p>
      <w:pPr>
        <w:spacing w:lineRule="auto" w:line="240" w:before="0" w:after="160"/>
      </w:pPr>
    </w:p>
    <w:p>
      <w:pPr>
        <w:pStyle w:val="Heading2"/>
      </w:pPr>
      <w:r>
        <w:rPr>
          <w:rFonts w:ascii="Times New Roman" w:hAnsi="Times New Roman"/>
        </w:rPr>
        <w:t>9.6 Applying the Five Pillars to the Northgate Model Suite</w:t>
      </w:r>
    </w:p>
    <w:p>
      <w:pPr>
        <w:pStyle w:val="BodyText"/>
        <w:spacing w:lineRule="auto" w:line="360" w:before="0" w:after="120"/>
        <w:ind w:firstLine="283"/>
      </w:pPr>
      <w:r>
        <w:rPr>
          <w:rFonts w:ascii="Times New Roman" w:hAnsi="Times New Roman"/>
          <w:b w:val="0"/>
          <w:i w:val="0"/>
          <w:sz w:val="24"/>
        </w:rPr>
        <w:t>We now apply the five-pillar framework to the three models built for the Northgate scenario throughout this book: the NRB-STRUCT-001 scenario rule, the K-Means segmentation, and the Isolation Forest triage model.</w:t>
      </w:r>
    </w:p>
    <w:p>
      <w:pPr>
        <w:spacing w:lineRule="auto" w:line="240" w:before="60" w:after="120"/>
        <w:ind w:firstLine="0"/>
        <w:jc w:val="left"/>
      </w:pPr>
      <w:r>
        <w:rPr>
          <w:rFonts w:ascii="Times New Roman" w:hAnsi="Times New Roman"/>
          <w:b w:val="0"/>
          <w:i/>
          <w:sz w:val="20"/>
        </w:rPr>
        <w:t>Table 9.3  Pillar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1814"/>
        <w:gridCol w:w="1814"/>
        <w:gridCol w:w="1814"/>
        <w:gridCol w:w="1814"/>
        <w:gridCol w:w="1814"/>
      </w:tblGrid>
      <w:tr>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Pillar</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Requirements</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NRB-STRUCT-001 (Scenario Rule)</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K-Means Segmentation</w:t>
            </w:r>
          </w:p>
        </w:tc>
        <w:tc>
          <w:tcPr>
            <w:tcW w:w="181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Isolation Forest Triage</w:t>
            </w:r>
          </w:p>
        </w:tc>
      </w:tr>
      <w:tr>
        <w:tc>
          <w:tcPr>
            <w:tcW w:w="1814" w:type="dxa"/>
          </w:tcPr>
          <w:p>
            <w:pPr>
              <w:spacing w:lineRule="auto" w:line="288" w:before="60" w:after="60"/>
              <w:ind w:left="57" w:right="57"/>
            </w:pPr>
            <w:r>
              <w:rPr>
                <w:rFonts w:ascii="Times New Roman" w:hAnsi="Times New Roman"/>
                <w:b w:val="0"/>
                <w:i w:val="0"/>
                <w:sz w:val="20"/>
              </w:rPr>
              <w:t>1 — Governance</w:t>
            </w:r>
          </w:p>
        </w:tc>
        <w:tc>
          <w:tcPr>
            <w:tcW w:w="1814" w:type="dxa"/>
          </w:tcPr>
          <w:p>
            <w:pPr>
              <w:spacing w:lineRule="auto" w:line="288" w:before="60" w:after="60"/>
              <w:ind w:left="57" w:right="57"/>
            </w:pPr>
            <w:r>
              <w:rPr>
                <w:rFonts w:ascii="Times New Roman" w:hAnsi="Times New Roman"/>
                <w:b w:val="0"/>
                <w:i w:val="0"/>
                <w:sz w:val="20"/>
              </w:rPr>
              <w:t>Model inventory entry; named owner; change management process</w:t>
            </w:r>
          </w:p>
        </w:tc>
        <w:tc>
          <w:tcPr>
            <w:tcW w:w="1814" w:type="dxa"/>
          </w:tcPr>
          <w:p>
            <w:pPr>
              <w:spacing w:lineRule="auto" w:line="288" w:before="60" w:after="60"/>
              <w:ind w:left="57" w:right="57"/>
            </w:pPr>
            <w:r>
              <w:rPr>
                <w:rFonts w:ascii="Times New Roman" w:hAnsi="Times New Roman"/>
                <w:b w:val="0"/>
                <w:i w:val="0"/>
                <w:sz w:val="20"/>
              </w:rPr>
              <w:t>Finding: No formal inventory entry. Recommendation: Register model with risk tier 'High' given regulatory scope.</w:t>
            </w:r>
          </w:p>
        </w:tc>
        <w:tc>
          <w:tcPr>
            <w:tcW w:w="1814" w:type="dxa"/>
          </w:tcPr>
          <w:p>
            <w:pPr>
              <w:spacing w:lineRule="auto" w:line="288" w:before="60" w:after="60"/>
              <w:ind w:left="57" w:right="57"/>
            </w:pPr>
            <w:r>
              <w:rPr>
                <w:rFonts w:ascii="Times New Roman" w:hAnsi="Times New Roman"/>
                <w:b w:val="0"/>
                <w:i w:val="0"/>
                <w:sz w:val="20"/>
              </w:rPr>
              <w:t>Finding: Not in inventory. Recommendation: Register with tier 'Medium'; changes to K require approval.</w:t>
            </w:r>
          </w:p>
        </w:tc>
        <w:tc>
          <w:tcPr>
            <w:tcW w:w="1814" w:type="dxa"/>
          </w:tcPr>
          <w:p>
            <w:pPr>
              <w:spacing w:lineRule="auto" w:line="288" w:before="60" w:after="60"/>
              <w:ind w:left="57" w:right="57"/>
            </w:pPr>
            <w:r>
              <w:rPr>
                <w:rFonts w:ascii="Times New Roman" w:hAnsi="Times New Roman"/>
                <w:b w:val="0"/>
                <w:i w:val="0"/>
                <w:sz w:val="20"/>
              </w:rPr>
              <w:t>Finding: Not in inventory. Recommendation: Register with tier 'High'; any retraining requires approval.</w:t>
            </w:r>
          </w:p>
        </w:tc>
      </w:tr>
      <w:tr>
        <w:tc>
          <w:tcPr>
            <w:tcW w:w="1814" w:type="dxa"/>
          </w:tcPr>
          <w:p>
            <w:pPr>
              <w:spacing w:lineRule="auto" w:line="288" w:before="60" w:after="60"/>
              <w:ind w:left="57" w:right="57"/>
            </w:pPr>
            <w:r>
              <w:rPr>
                <w:rFonts w:ascii="Times New Roman" w:hAnsi="Times New Roman"/>
                <w:b w:val="0"/>
                <w:i w:val="0"/>
                <w:sz w:val="20"/>
              </w:rPr>
              <w:t>2 — Framework</w:t>
            </w:r>
          </w:p>
        </w:tc>
        <w:tc>
          <w:tcPr>
            <w:tcW w:w="1814" w:type="dxa"/>
          </w:tcPr>
          <w:p>
            <w:pPr>
              <w:spacing w:lineRule="auto" w:line="288" w:before="60" w:after="60"/>
              <w:ind w:left="57" w:right="57"/>
            </w:pPr>
            <w:r>
              <w:rPr>
                <w:rFonts w:ascii="Times New Roman" w:hAnsi="Times New Roman"/>
                <w:b w:val="0"/>
                <w:i w:val="0"/>
                <w:sz w:val="20"/>
              </w:rPr>
              <w:t>Purpose, methodology, inputs, outputs, assumptions, limitations documented</w:t>
            </w:r>
          </w:p>
        </w:tc>
        <w:tc>
          <w:tcPr>
            <w:tcW w:w="1814" w:type="dxa"/>
          </w:tcPr>
          <w:p>
            <w:pPr>
              <w:spacing w:lineRule="auto" w:line="288" w:before="60" w:after="60"/>
              <w:ind w:left="57" w:right="57"/>
            </w:pPr>
            <w:r>
              <w:rPr>
                <w:rFonts w:ascii="Times New Roman" w:hAnsi="Times New Roman"/>
                <w:b w:val="0"/>
                <w:i w:val="0"/>
                <w:sz w:val="20"/>
              </w:rPr>
              <w:t>Partially documented. Rule logic is clear; assumptions about lookback window not documented. Recommendation: Complete framework document.</w:t>
            </w:r>
          </w:p>
        </w:tc>
        <w:tc>
          <w:tcPr>
            <w:tcW w:w="1814" w:type="dxa"/>
          </w:tcPr>
          <w:p>
            <w:pPr>
              <w:spacing w:lineRule="auto" w:line="288" w:before="60" w:after="60"/>
              <w:ind w:left="57" w:right="57"/>
            </w:pPr>
            <w:r>
              <w:rPr>
                <w:rFonts w:ascii="Times New Roman" w:hAnsi="Times New Roman"/>
                <w:b w:val="0"/>
                <w:i w:val="0"/>
                <w:sz w:val="20"/>
              </w:rPr>
              <w:t>Methodology documented in Chapter 5. Assumption that K=3 is optimal not fully justified. Recommendation: Add silhouette analysis to documentation.</w:t>
            </w:r>
          </w:p>
        </w:tc>
        <w:tc>
          <w:tcPr>
            <w:tcW w:w="1814" w:type="dxa"/>
          </w:tcPr>
          <w:p>
            <w:pPr>
              <w:spacing w:lineRule="auto" w:line="288" w:before="60" w:after="60"/>
              <w:ind w:left="57" w:right="57"/>
            </w:pPr>
            <w:r>
              <w:rPr>
                <w:rFonts w:ascii="Times New Roman" w:hAnsi="Times New Roman"/>
                <w:b w:val="0"/>
                <w:i w:val="0"/>
                <w:sz w:val="20"/>
              </w:rPr>
              <w:t>Purpose and methodology documented. Contamination=0.12 assumption requires justification. Recommendation: Link to calibration exercise from Ch 6.</w:t>
            </w:r>
          </w:p>
        </w:tc>
      </w:tr>
      <w:tr>
        <w:tc>
          <w:tcPr>
            <w:tcW w:w="1814" w:type="dxa"/>
          </w:tcPr>
          <w:p>
            <w:pPr>
              <w:spacing w:lineRule="auto" w:line="288" w:before="60" w:after="60"/>
              <w:ind w:left="57" w:right="57"/>
            </w:pPr>
            <w:r>
              <w:rPr>
                <w:rFonts w:ascii="Times New Roman" w:hAnsi="Times New Roman"/>
                <w:b w:val="0"/>
                <w:i w:val="0"/>
                <w:sz w:val="20"/>
              </w:rPr>
              <w:t>3 — Data Quality</w:t>
            </w:r>
          </w:p>
        </w:tc>
        <w:tc>
          <w:tcPr>
            <w:tcW w:w="1814" w:type="dxa"/>
          </w:tcPr>
          <w:p>
            <w:pPr>
              <w:spacing w:lineRule="auto" w:line="288" w:before="60" w:after="60"/>
              <w:ind w:left="57" w:right="57"/>
            </w:pPr>
            <w:r>
              <w:rPr>
                <w:rFonts w:ascii="Times New Roman" w:hAnsi="Times New Roman"/>
                <w:b w:val="0"/>
                <w:i w:val="0"/>
                <w:sz w:val="20"/>
              </w:rPr>
              <w:t>Lineage, Reconciliation, CDE Testing (5 dimensions), Feedback Loop</w:t>
            </w:r>
          </w:p>
        </w:tc>
        <w:tc>
          <w:tcPr>
            <w:tcW w:w="1814" w:type="dxa"/>
          </w:tcPr>
          <w:p>
            <w:pPr>
              <w:spacing w:lineRule="auto" w:line="288" w:before="60" w:after="60"/>
              <w:ind w:left="57" w:right="57"/>
            </w:pPr>
            <w:r>
              <w:rPr>
                <w:rFonts w:ascii="Times New Roman" w:hAnsi="Times New Roman"/>
                <w:b w:val="0"/>
                <w:i w:val="0"/>
                <w:sz w:val="20"/>
              </w:rPr>
              <w:t>CDE Finding (High): Cash deposit amount completeness not assessed against source system — lineage undocumented. Recommendation: Establish lineage map; implement CDE completeness check with &gt;98% threshold; reconcile to core banking daily.</w:t>
            </w:r>
          </w:p>
        </w:tc>
        <w:tc>
          <w:tcPr>
            <w:tcW w:w="1814" w:type="dxa"/>
          </w:tcPr>
          <w:p>
            <w:pPr>
              <w:spacing w:lineRule="auto" w:line="288" w:before="60" w:after="60"/>
              <w:ind w:left="57" w:right="57"/>
            </w:pPr>
            <w:r>
              <w:rPr>
                <w:rFonts w:ascii="Times New Roman" w:hAnsi="Times New Roman"/>
                <w:b w:val="0"/>
                <w:i w:val="0"/>
                <w:sz w:val="20"/>
              </w:rPr>
              <w:t>CDE Finding (High): CRR score has 8% null rate — a CDE/KDE for this model. K-Means silently assigns nulls to nearest centroid; undocumented behaviour that may systematically misclassify high-risk customers who declined CDD disclosure. Recommendation: Imputation strategy required; document as model limitation; add to feedback loop for CDD data remediation.</w:t>
            </w:r>
          </w:p>
        </w:tc>
        <w:tc>
          <w:tcPr>
            <w:tcW w:w="1814" w:type="dxa"/>
          </w:tcPr>
          <w:p>
            <w:pPr>
              <w:spacing w:lineRule="auto" w:line="288" w:before="60" w:after="60"/>
              <w:ind w:left="57" w:right="57"/>
            </w:pPr>
            <w:r>
              <w:rPr>
                <w:rFonts w:ascii="Times New Roman" w:hAnsi="Times New Roman"/>
                <w:b w:val="0"/>
                <w:i w:val="0"/>
                <w:sz w:val="20"/>
              </w:rPr>
              <w:t>CDE Finding (Medium): days_since_last_alert has no DQ check. Recommendation: Assert non-null and non-negative before each model run; add to reconciliation checklist.</w:t>
            </w:r>
          </w:p>
        </w:tc>
      </w:tr>
      <w:tr>
        <w:tc>
          <w:tcPr>
            <w:tcW w:w="1814" w:type="dxa"/>
          </w:tcPr>
          <w:p>
            <w:pPr>
              <w:spacing w:lineRule="auto" w:line="288" w:before="60" w:after="60"/>
              <w:ind w:left="57" w:right="57"/>
            </w:pPr>
            <w:r>
              <w:rPr>
                <w:rFonts w:ascii="Times New Roman" w:hAnsi="Times New Roman"/>
                <w:b w:val="0"/>
                <w:i w:val="0"/>
                <w:sz w:val="20"/>
              </w:rPr>
              <w:t>4 — Methodology</w:t>
            </w:r>
          </w:p>
        </w:tc>
        <w:tc>
          <w:tcPr>
            <w:tcW w:w="1814" w:type="dxa"/>
          </w:tcPr>
          <w:p>
            <w:pPr>
              <w:spacing w:lineRule="auto" w:line="288" w:before="60" w:after="60"/>
              <w:ind w:left="57" w:right="57"/>
            </w:pPr>
            <w:r>
              <w:rPr>
                <w:rFonts w:ascii="Times New Roman" w:hAnsi="Times New Roman"/>
                <w:b w:val="0"/>
                <w:i w:val="0"/>
                <w:sz w:val="20"/>
              </w:rPr>
              <w:t>Conceptual soundness; backtesting; benchmarking; sensitivity analysis</w:t>
            </w:r>
          </w:p>
        </w:tc>
        <w:tc>
          <w:tcPr>
            <w:tcW w:w="1814" w:type="dxa"/>
          </w:tcPr>
          <w:p>
            <w:pPr>
              <w:spacing w:lineRule="auto" w:line="288" w:before="60" w:after="60"/>
              <w:ind w:left="57" w:right="57"/>
            </w:pPr>
            <w:r>
              <w:rPr>
                <w:rFonts w:ascii="Times New Roman" w:hAnsi="Times New Roman"/>
                <w:b w:val="0"/>
                <w:i w:val="0"/>
                <w:sz w:val="20"/>
              </w:rPr>
              <w:t>Finding: No backtesting against known SAR cases. Recommendation: Apply rule to 12-month historical data; calculate retrospective SAR rate.</w:t>
            </w:r>
          </w:p>
        </w:tc>
        <w:tc>
          <w:tcPr>
            <w:tcW w:w="1814" w:type="dxa"/>
          </w:tcPr>
          <w:p>
            <w:pPr>
              <w:spacing w:lineRule="auto" w:line="288" w:before="60" w:after="60"/>
              <w:ind w:left="57" w:right="57"/>
            </w:pPr>
            <w:r>
              <w:rPr>
                <w:rFonts w:ascii="Times New Roman" w:hAnsi="Times New Roman"/>
                <w:b w:val="0"/>
                <w:i w:val="0"/>
                <w:sz w:val="20"/>
              </w:rPr>
              <w:t>Finding: No benchmarking against top-down segmentation alternative. Recommendation: Compare K-Means clusters to product-based segmentation.</w:t>
            </w:r>
          </w:p>
        </w:tc>
        <w:tc>
          <w:tcPr>
            <w:tcW w:w="1814" w:type="dxa"/>
          </w:tcPr>
          <w:p>
            <w:pPr>
              <w:spacing w:lineRule="auto" w:line="288" w:before="60" w:after="60"/>
              <w:ind w:left="57" w:right="57"/>
            </w:pPr>
            <w:r>
              <w:rPr>
                <w:rFonts w:ascii="Times New Roman" w:hAnsi="Times New Roman"/>
                <w:b w:val="0"/>
                <w:i w:val="0"/>
                <w:sz w:val="20"/>
              </w:rPr>
              <w:t>Finding: No sensitivity analysis on contamination parameter. Recommendation: Run at 0.08, 0.12, 0.16 and document impact on top-20 SAR rate.</w:t>
            </w:r>
          </w:p>
        </w:tc>
      </w:tr>
      <w:tr>
        <w:tc>
          <w:tcPr>
            <w:tcW w:w="1814" w:type="dxa"/>
          </w:tcPr>
          <w:p>
            <w:pPr>
              <w:spacing w:lineRule="auto" w:line="288" w:before="60" w:after="60"/>
              <w:ind w:left="57" w:right="57"/>
            </w:pPr>
            <w:r>
              <w:rPr>
                <w:rFonts w:ascii="Times New Roman" w:hAnsi="Times New Roman"/>
                <w:b w:val="0"/>
                <w:i w:val="0"/>
                <w:sz w:val="20"/>
              </w:rPr>
              <w:t>5 — Documentation</w:t>
            </w:r>
          </w:p>
        </w:tc>
        <w:tc>
          <w:tcPr>
            <w:tcW w:w="1814" w:type="dxa"/>
          </w:tcPr>
          <w:p>
            <w:pPr>
              <w:spacing w:lineRule="auto" w:line="288" w:before="60" w:after="60"/>
              <w:ind w:left="57" w:right="57"/>
            </w:pPr>
            <w:r>
              <w:rPr>
                <w:rFonts w:ascii="Times New Roman" w:hAnsi="Times New Roman"/>
                <w:b w:val="0"/>
                <w:i w:val="0"/>
                <w:sz w:val="20"/>
              </w:rPr>
              <w:t>Validation report with findings, severity ratings, management response, ongoing monitoring plan</w:t>
            </w:r>
          </w:p>
        </w:tc>
        <w:tc>
          <w:tcPr>
            <w:tcW w:w="1814" w:type="dxa"/>
          </w:tcPr>
          <w:p>
            <w:pPr>
              <w:spacing w:lineRule="auto" w:line="288" w:before="60" w:after="60"/>
              <w:ind w:left="57" w:right="57"/>
            </w:pPr>
            <w:r>
              <w:rPr>
                <w:rFonts w:ascii="Times New Roman" w:hAnsi="Times New Roman"/>
                <w:b w:val="0"/>
                <w:i w:val="0"/>
                <w:sz w:val="20"/>
              </w:rPr>
              <w:t>No validation report exists. All findings above are High severity. Recommendation: Complete validation and produce report within 30 days.</w:t>
            </w:r>
          </w:p>
        </w:tc>
        <w:tc>
          <w:tcPr>
            <w:tcW w:w="1814" w:type="dxa"/>
          </w:tcPr>
          <w:p>
            <w:pPr>
              <w:spacing w:lineRule="auto" w:line="288" w:before="60" w:after="60"/>
              <w:ind w:left="57" w:right="57"/>
            </w:pPr>
            <w:r>
              <w:rPr>
                <w:rFonts w:ascii="Times New Roman" w:hAnsi="Times New Roman"/>
                <w:b w:val="0"/>
                <w:i w:val="0"/>
                <w:sz w:val="20"/>
              </w:rPr>
              <w:t>No validation report exists. Findings rated Medium. Recommendation: Complete validation within 60 days.</w:t>
            </w:r>
          </w:p>
        </w:tc>
        <w:tc>
          <w:tcPr>
            <w:tcW w:w="1814" w:type="dxa"/>
          </w:tcPr>
          <w:p>
            <w:pPr>
              <w:spacing w:lineRule="auto" w:line="288" w:before="60" w:after="60"/>
              <w:ind w:left="57" w:right="57"/>
            </w:pPr>
            <w:r>
              <w:rPr>
                <w:rFonts w:ascii="Times New Roman" w:hAnsi="Times New Roman"/>
                <w:b w:val="0"/>
                <w:i w:val="0"/>
                <w:sz w:val="20"/>
              </w:rPr>
              <w:t>No validation report exists. Findings rated High given ML complexity. Recommendation: Complete validation within 30 days; include explainability assessment.</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A note on severity ratings: NRB-STRUCT-001 and Isolation Forest findings are rated High because both models directly govern SAR-triggering decisions — NRB-STRUCT-001 generates the alerts that analysts review; Isolation Forest determines which of those alerts reach an analyst first. A failure in either model has a direct and immediate impact on SAR output quality. K-Means findings are rated Medium because the segmentation model influences threshold selection and peer group definition indirectly — a K-Means failure degrades calibration quality over time but does not produce immediate, observable SAR errors. In a programme where SAR quality is under regulatory scrutiny, this distinction may need revisiting.</w:t>
      </w:r>
    </w:p>
    <w:p>
      <w:pPr>
        <w:pStyle w:val="Heading2"/>
      </w:pPr>
      <w:r>
        <w:rPr>
          <w:rFonts w:ascii="Times New Roman" w:hAnsi="Times New Roman"/>
        </w:rPr>
        <w:t>9.7 Scenario Design Evaluation</w:t>
      </w:r>
    </w:p>
    <w:p>
      <w:pPr>
        <w:pStyle w:val="BodyText"/>
        <w:spacing w:lineRule="auto" w:line="360" w:before="0" w:after="120"/>
        <w:ind w:firstLine="283"/>
      </w:pPr>
      <w:r>
        <w:rPr>
          <w:rFonts w:ascii="Times New Roman" w:hAnsi="Times New Roman"/>
          <w:b w:val="0"/>
          <w:i w:val="0"/>
          <w:sz w:val="24"/>
        </w:rPr>
        <w:t>Scenario design evaluation — how to assess whether a scenario achieves adequate coverage of its target typology — was introduced in the scenario design methodology (Chapter 4, Section 4.6). This section provides the formal validation framework.</w:t>
      </w:r>
    </w:p>
    <w:p>
      <w:pPr>
        <w:pStyle w:val="BodyText"/>
        <w:spacing w:lineRule="auto" w:line="360" w:before="0" w:after="120"/>
        <w:ind w:firstLine="283"/>
      </w:pPr>
      <w:r>
        <w:rPr>
          <w:rFonts w:ascii="Times New Roman" w:hAnsi="Times New Roman"/>
          <w:b w:val="0"/>
          <w:i w:val="0"/>
          <w:sz w:val="24"/>
        </w:rPr>
        <w:t>The key question in scenario design evaluation is not precision or recall in the conventional ML sense — it is coverage. Does the scenario logic, as implemented, address the typology it was designed to detect? The evaluation chain is: Risks → Red Flags → Typologies → Scenarios → Parameters. Each link in the chain must be documented and traceable. A validator reviewing a deployed scenario asks: is the scenario traceable to a documented regulatory red flag? Does the logic correctly encode that red flag? Are the parameters calibrated to produce alerts at the right sensitivity level for the target typology?</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9.7  </w:t>
            </w:r>
            <w:r>
              <w:rPr>
                <w:rFonts w:ascii="Times New Roman" w:hAnsi="Times New Roman"/>
                <w:b/>
                <w:i/>
                <w:sz w:val="22"/>
              </w:rPr>
              <w:t>Cross-Reference: Scenario Design Chain</w:t>
            </w:r>
          </w:p>
          <w:p>
            <w:pPr>
              <w:spacing w:lineRule="auto" w:line="312" w:before="20" w:after="40"/>
              <w:ind w:left="113"/>
            </w:pPr>
            <w:r>
              <w:rPr>
                <w:rFonts w:ascii="Times New Roman" w:hAnsi="Times New Roman"/>
                <w:b w:val="0"/>
                <w:i w:val="0"/>
                <w:sz w:val="22"/>
              </w:rPr>
              <w:t>Chapter 4 introduced the five-step scenario design chain: (1) Identify risks from regulatory red flags → (2) Select/design typologies → (3) Design scenarios → (4) Set parameters → (5) Test and validate. Model validation in Chapter 9 provides the independent verification that this chain was executed correctly. Validation does not redesign the scenario — it tests whether the design was sound.</w:t>
            </w:r>
          </w:p>
          <w:p>
            <w:pPr>
              <w:spacing w:lineRule="auto" w:line="312" w:before="20" w:after="40"/>
              <w:ind w:left="113"/>
            </w:pPr>
            <w:r>
              <w:rPr>
                <w:rFonts w:ascii="Times New Roman" w:hAnsi="Times New Roman"/>
                <w:b w:val="0"/>
                <w:i w:val="0"/>
                <w:sz w:val="22"/>
              </w:rPr>
              <w:t>Chapter 6 introduced hypergeometric BTL sampling as the methodology for estimating the false negative rate and assessing whether it falls within the institution's risk appetite. In a model validation context, BTL sampling results are a required input to Pillar 4 (Model Methodology) — the validator must assess whether the sampling methodology is sound and whether the BTL SAR rate, as estimated, is within the institution's documented risk appetite threshold.</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Risk appetite connects to validation criteria: the institution must document what level of missed suspicious activity is acceptable (the risk appetite threshold), and the model validation must confirm that the BTL sampling results demonstrate the threshold is met. This is the mechanism by which risk appetite — defined in governance — is operationalised through analytics. If the BTL SAR rate exceeds the risk appetite threshold, the model fails validation on coverage grounds, regardless of its precision and recall on the ATL population.</w:t>
      </w:r>
    </w:p>
    <w:p>
      <w:pPr>
        <w:pStyle w:val="BodyText"/>
        <w:spacing w:lineRule="auto" w:line="360" w:before="0" w:after="120"/>
        <w:ind w:firstLine="283"/>
      </w:pPr>
      <w:r>
        <w:rPr>
          <w:rFonts w:ascii="Times New Roman" w:hAnsi="Times New Roman"/>
          <w:b w:val="0"/>
          <w:i w:val="0"/>
          <w:sz w:val="24"/>
        </w:rPr>
        <w:t>L1/L2/L3 investigation sits within the First Line (1LoD) — per the correction in Chapter 3. When model validation assesses the alert review process, it must reflect this: the validation is assessing a First Line operational control, challenged by the Second Line (model risk / FinCrime compliance) and independently reviewed by the Third Line (Internal Audit/IMR). Validation documentation must correctly position the alert review tiers within the 3LoD framework.</w:t>
      </w:r>
    </w:p>
    <w:p>
      <w:pPr>
        <w:pStyle w:val="Heading2"/>
      </w:pPr>
      <w:r>
        <w:rPr>
          <w:rFonts w:ascii="Times New Roman" w:hAnsi="Times New Roman"/>
        </w:rPr>
        <w:t>9.8 Risk Considerations</w:t>
      </w:r>
    </w:p>
    <w:p>
      <w:pPr>
        <w:pStyle w:val="ListBullet"/>
        <w:spacing w:lineRule="auto" w:line="360" w:before="0" w:after="60"/>
      </w:pPr>
      <w:r>
        <w:rPr>
          <w:rFonts w:ascii="Times New Roman" w:hAnsi="Times New Roman"/>
          <w:b w:val="0"/>
          <w:i w:val="0"/>
          <w:sz w:val="24"/>
        </w:rPr>
        <w:t>Independence of validation: The most common governance failure is validation conducted by the team that built the model. In smaller organisations where full independence is impractical, compensating controls are required — and must be documented as such. Documenting the independence limitation and the compensating controls is not a weakness; claiming independence where none exists is. Examples of compensating controls: external third-party review, peer review by a team in a different jurisdiction or business line, or enhanced documentation standards subject to senior management sign-off.</w:t>
      </w:r>
    </w:p>
    <w:p>
      <w:pPr>
        <w:pStyle w:val="ListBullet"/>
        <w:spacing w:lineRule="auto" w:line="360" w:before="0" w:after="60"/>
      </w:pPr>
      <w:r>
        <w:rPr>
          <w:rFonts w:ascii="Times New Roman" w:hAnsi="Times New Roman"/>
          <w:b w:val="0"/>
          <w:i w:val="0"/>
          <w:sz w:val="24"/>
        </w:rPr>
        <w:t>Model drift: A model that was valid at the time of its last review may no longer be valid today. Transaction patterns shift, customer populations change, and money-laundering methods evolve. Ongoing monitoring — tracking alert volumes, SAR rates, data quality metrics, and feature distributions — is the early warning system for model drift.</w:t>
      </w:r>
    </w:p>
    <w:p>
      <w:pPr>
        <w:pStyle w:val="ListBullet"/>
        <w:spacing w:lineRule="auto" w:line="360" w:before="0" w:after="60"/>
      </w:pPr>
      <w:r>
        <w:rPr>
          <w:rFonts w:ascii="Times New Roman" w:hAnsi="Times New Roman"/>
          <w:b w:val="0"/>
          <w:i w:val="0"/>
          <w:sz w:val="24"/>
        </w:rPr>
        <w:t>Challenger models: SR 26-2 recommends that material models be periodically benchmarked against challenger models — alternative methodologies applied to the same problem. For the Northgate segmentation, a rule-based top-down segmentation is a natural challenger to K-Means.</w:t>
      </w:r>
    </w:p>
    <w:p>
      <w:pPr>
        <w:pStyle w:val="ListBullet"/>
        <w:spacing w:lineRule="auto" w:line="360" w:before="0" w:after="60"/>
      </w:pPr>
      <w:r>
        <w:rPr>
          <w:rFonts w:ascii="Times New Roman" w:hAnsi="Times New Roman"/>
          <w:b w:val="0"/>
          <w:i w:val="0"/>
          <w:sz w:val="24"/>
        </w:rPr>
        <w:t>Regulatory examination of ML models: Examiners are increasingly technically sophisticated. Expect to be asked not just 'do you have a validation?' but 'can you explain how the model makes its decisions?', 'what happens if a key data field is missing?', and 'how do you know the model is still performing as intended?'</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9.8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Every AML TM model — scenario rules, segmentation, ML triage — is subject to model risk management requirements under SR 26-2 (US) and PRA SS1/23 (UK). The five pillars are our synthesis of those requirements into a single operational framework.</w:t>
            </w:r>
          </w:p>
          <w:p>
            <w:pPr>
              <w:spacing w:lineRule="auto" w:line="312" w:before="20" w:after="40"/>
              <w:ind w:left="113"/>
            </w:pPr>
            <w:r>
              <w:rPr>
                <w:rFonts w:ascii="Times New Roman" w:hAnsi="Times New Roman"/>
                <w:b w:val="0"/>
                <w:i w:val="0"/>
                <w:sz w:val="22"/>
              </w:rPr>
              <w:t>The five pillars are: Model Governance, Model Framework, Data Quality, Model Methodology, and Model Documentation. All five must be addressed. Pillar 3 (Data Quality) follows a four-step protocol: Lineage → Reconciliation → CDE Testing → Feedback Loop.</w:t>
            </w:r>
          </w:p>
          <w:p>
            <w:pPr>
              <w:spacing w:lineRule="auto" w:line="312" w:before="20" w:after="40"/>
              <w:ind w:left="113"/>
            </w:pPr>
            <w:r>
              <w:rPr>
                <w:rFonts w:ascii="Times New Roman" w:hAnsi="Times New Roman"/>
                <w:b w:val="0"/>
                <w:i w:val="0"/>
                <w:sz w:val="22"/>
              </w:rPr>
              <w:t>Model validation must be independent of model development — mapping to the 2nd Line in the Three Lines of Defence. Where full independence is impractical, compensating controls must be documented.</w:t>
            </w:r>
          </w:p>
          <w:p>
            <w:pPr>
              <w:spacing w:lineRule="auto" w:line="312" w:before="20" w:after="40"/>
              <w:ind w:left="113"/>
            </w:pPr>
            <w:r>
              <w:rPr>
                <w:rFonts w:ascii="Times New Roman" w:hAnsi="Times New Roman"/>
                <w:b w:val="0"/>
                <w:i w:val="0"/>
                <w:sz w:val="22"/>
              </w:rPr>
              <w:t>Common failures include: missing model inventory, no backtesting evidence, unassessed CDEs, and findings that receive management responses but no remediation action.</w:t>
            </w:r>
          </w:p>
          <w:p>
            <w:pPr>
              <w:spacing w:lineRule="auto" w:line="312" w:before="20" w:after="40"/>
              <w:ind w:left="113"/>
            </w:pPr>
            <w:r>
              <w:rPr>
                <w:rFonts w:ascii="Times New Roman" w:hAnsi="Times New Roman"/>
                <w:b w:val="0"/>
                <w:i w:val="0"/>
                <w:sz w:val="22"/>
              </w:rPr>
              <w:t>Ongoing monitoring is required. A validation completed two years ago does not guarantee a model is still fit for purpose today. Alert volume drift, SAR rate drift, and feature distribution drift are early warning indicators.</w:t>
            </w:r>
          </w:p>
          <w:p>
            <w:pPr>
              <w:spacing w:lineRule="auto" w:line="312" w:before="20" w:after="40"/>
              <w:ind w:left="113"/>
            </w:pPr>
            <w:r>
              <w:rPr>
                <w:rFonts w:ascii="Times New Roman" w:hAnsi="Times New Roman"/>
                <w:b w:val="0"/>
                <w:i w:val="0"/>
                <w:sz w:val="22"/>
              </w:rPr>
              <w:t>An institution that has completed model inventory, independent validation, and operationalised ongoing monitoring has reached the Established maturity stage. Multiple validation cycles with documented governance response and demonstrated remediation moves it to Advanced.</w:t>
            </w:r>
          </w:p>
          <w:p>
            <w:pPr>
              <w:spacing w:lineRule="auto" w:line="312" w:before="20" w:after="40"/>
              <w:ind w:left="113"/>
            </w:pPr>
            <w:r>
              <w:rPr>
                <w:rFonts w:ascii="Times New Roman" w:hAnsi="Times New Roman"/>
                <w:b w:val="0"/>
                <w:i w:val="0"/>
                <w:sz w:val="22"/>
              </w:rPr>
              <w:t>Chapter 10 extends the Northgate case study to frontier techniques — including Entity Consolidation and graph/network analysis — that also require model validation under this framework.</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9.1 — Validate the Northgate Model Suite  [Advanced]</w:t>
            </w:r>
          </w:p>
          <w:p>
            <w:pPr>
              <w:spacing w:lineRule="auto" w:line="312" w:before="20" w:after="40"/>
              <w:ind w:left="113"/>
            </w:pPr>
            <w:r>
              <w:rPr>
                <w:rFonts w:ascii="Times New Roman" w:hAnsi="Times New Roman"/>
                <w:b w:val="0"/>
                <w:i w:val="0"/>
                <w:sz w:val="22"/>
              </w:rPr>
              <w:t>Recap: In Exercise 8.1 you applied ML triage to the Northgate alert population. You have now built three models: NRB-STRUCT-001 (scenario rule), K-Means segmentation (Chapter 5), and Isolation Forest triage (Chapter 8). Now validate all three against the five pillars.</w:t>
            </w:r>
          </w:p>
        </w:tc>
      </w:tr>
    </w:tbl>
    <w:p>
      <w:pPr>
        <w:spacing w:lineRule="auto" w:line="240" w:before="0" w:after="8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A — Model Framework Documents: For each of the three models, write a Model Framework document (one paragraph per model) covering: purpose, methodology, inputs, outputs, key assumptions, and one material limitation.</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B — Data Quality Assessment: Use the 500-customer dataset from Chapter 5 for NRB-STRUCT-001 and K-Means; use the 200-alert dataset from Chapter 8 for Isolation Forest. Following the four-step DQ protocol (Lineage → Reconciliation → CDE Testing → Feedback Loop), assess data quality for each model. Specifically: (1) What is the null rate for each CDE used by each model? (2) For NRB-STRUCT-001, what is the impact on alert volume if transaction_amount is null for 15% of records? (3) For K-Means, what happens to cluster assignments if crr_score is imputed as the population mean — and what type of customer is most likely to have a missing CRR score?</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C — Validation Finding: Write one formal validation finding for the most material weakness you identified across the three models. Use the standard format: Observation | Risk | Root Cause | Recommendation | Proposed Management Response. Rate the severity (Critical / High / Medium / Low) and justify your rating.</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D — Ongoing Monitoring Plan: Define four metrics that should be monitored monthly for the Northgate model suite. For each metric, specify: what it measures, how it is calculated, and what threshold would trigger a model review.</w:t>
            </w:r>
          </w:p>
          <w:p>
            <w:pPr>
              <w:spacing w:lineRule="auto" w:line="312" w:before="20" w:after="40"/>
              <w:ind w:left="170"/>
            </w:pPr>
            <w:r>
              <w:rPr>
                <w:rFonts w:ascii="Times New Roman" w:hAnsi="Times New Roman"/>
                <w:b w:val="0"/>
                <w:i w:val="0"/>
                <w:sz w:val="22"/>
              </w:rPr>
              <w:t>See the Instructor's Solutions Manual for worked answers. In Chapter 10, we look forward — extending the Northgate scenario to address the emerging threat of crypto-based money mules.</w:t>
            </w:r>
          </w:p>
        </w:tc>
      </w:tr>
    </w:tbl>
    <w:p>
      <w:pPr>
        <w:spacing w:lineRule="auto" w:line="240" w:before="0" w:after="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9.2 — Meridian Trading Ltd: Extending the Validation to TBML-INVOICE-001  [Applied / Out-of-the-Box]</w:t>
            </w:r>
          </w:p>
          <w:p>
            <w:pPr>
              <w:spacing w:lineRule="auto" w:line="312" w:before="20" w:after="40"/>
              <w:ind w:left="113"/>
            </w:pPr>
            <w:r>
              <w:rPr>
                <w:rFonts w:ascii="Times New Roman" w:hAnsi="Times New Roman"/>
                <w:b w:val="0"/>
                <w:i w:val="0"/>
                <w:sz w:val="22"/>
              </w:rPr>
              <w:t>Project Sentinel's model suite now includes four models: the three Northgate models from Parts A–D, plus TBML-INVOICE-001 (the Meridian commercial scenario). Apply the five-pillar validation framework to TBML-INVOICE-001.</w:t>
            </w:r>
          </w:p>
          <w:p>
            <w:pPr>
              <w:spacing w:lineRule="auto" w:line="312" w:before="20" w:after="40"/>
              <w:ind w:left="113"/>
            </w:pPr>
            <w:r>
              <w:rPr>
                <w:rFonts w:ascii="Times New Roman" w:hAnsi="Times New Roman"/>
                <w:b w:val="0"/>
                <w:i w:val="0"/>
                <w:sz w:val="22"/>
              </w:rPr>
              <w:t>Pillar 3 is Data Quality. Apply the DQ four-step protocol (Lineage → Reconciliation → CDE Testing → Feedback Loop) to the Meridian invoice data. You established in Chapter 3's Part B that SWIFT MT700 data has significant lineage complexity. What is the CDE null rate for 'commodity HS code' across Meridian's 89 invoices if 27 of them carry only a free-text commodity description with no structured HS code? Rate the severity of this finding (Low / Medium / High / Critical) and justify your rating with reference to the 'No Data is Bad Data' principle.</w:t>
            </w:r>
          </w:p>
          <w:p>
            <w:pPr>
              <w:spacing w:lineRule="auto" w:line="312" w:before="20" w:after="40"/>
              <w:ind w:left="113"/>
            </w:pPr>
            <w:r>
              <w:rPr>
                <w:rFonts w:ascii="Times New Roman" w:hAnsi="Times New Roman"/>
                <w:b w:val="0"/>
                <w:i w:val="0"/>
                <w:sz w:val="22"/>
              </w:rPr>
              <w:t>Pillar 4 is Model Methodology. TBML-INVOICE-001 uses a commodity price benchmark ratio as its detection logic. The 3rd Line internal auditor challenges this: 'The benchmark is based on HMRC average import prices, which are lagged by 6 months. Over-invoicing by less than 1.8x the lagged benchmark would not fire the rule — but it is still suspicious.' Write the 2nd Line model risk manager's response. Reference the backtesting circular dependency note from the chapter and explain what independent benchmark source would strengthen the model's methodology.</w:t>
            </w:r>
          </w:p>
          <w:p>
            <w:pPr>
              <w:spacing w:lineRule="auto" w:line="312" w:before="20" w:after="40"/>
              <w:ind w:left="113"/>
            </w:pPr>
            <w:r>
              <w:rPr>
                <w:rFonts w:ascii="Times New Roman" w:hAnsi="Times New Roman"/>
                <w:b w:val="0"/>
                <w:i w:val="0"/>
                <w:sz w:val="22"/>
              </w:rPr>
              <w:t>Write a combined findings summary for the four-model suite (three Northgate models + TBML-INVOICE-001). Produce a table: Model | Pillar | Finding | Severity | Owner. Rank by severity. Which model has the most material finding, and what should Project Sentinel remediate first?</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9.3 — Project Sentinel: The MRC Paper  [Synthesis / Stretch]</w:t>
            </w:r>
          </w:p>
          <w:p>
            <w:pPr>
              <w:spacing w:lineRule="auto" w:line="312" w:before="20" w:after="40"/>
              <w:ind w:left="113"/>
            </w:pPr>
            <w:r>
              <w:rPr>
                <w:rFonts w:ascii="Times New Roman" w:hAnsi="Times New Roman"/>
                <w:b w:val="0"/>
                <w:i w:val="0"/>
                <w:sz w:val="22"/>
              </w:rPr>
              <w:t>Project Sentinel must present a Model Risk Committee (MRC) paper summarising the validation outcomes for the four-model suite. The MRC includes: the CRO (chair), the Head of Financial Crime (1st Line), the Head of Model Risk (2nd Line), and the Chief Internal Auditor (3rd Line). Your paper must be no longer than 500 words. It must cover: executive summary of findings, severity-ranked finding table (from Part E question 3), the remediation priority and timeline, and the conditions under which the MRC should convene an extraordinary review before the next scheduled quarterly meeting.</w:t>
            </w:r>
          </w:p>
          <w:p>
            <w:pPr>
              <w:spacing w:lineRule="auto" w:line="312" w:before="20" w:after="40"/>
              <w:ind w:left="113"/>
            </w:pPr>
            <w:r>
              <w:rPr>
                <w:rFonts w:ascii="Times New Roman" w:hAnsi="Times New Roman"/>
                <w:b w:val="0"/>
                <w:i w:val="0"/>
                <w:sz w:val="22"/>
              </w:rPr>
              <w:t>Write the MRC paper. Your paper must be well-structured (with clear headings), written in a register appropriate for a senior governance committee, and must not exceed 500 words. Mark any section that goes over a sub-limit with '[OVERLENGTH]' — regulatory governance documents must demonstrate discipline.</w:t>
            </w:r>
          </w:p>
          <w:p>
            <w:pPr>
              <w:spacing w:lineRule="auto" w:line="312" w:before="20" w:after="40"/>
              <w:ind w:left="113"/>
            </w:pPr>
            <w:r>
              <w:rPr>
                <w:rFonts w:ascii="Times New Roman" w:hAnsi="Times New Roman"/>
                <w:b w:val="0"/>
                <w:i w:val="0"/>
                <w:sz w:val="22"/>
              </w:rPr>
              <w:t>The 3rd Line internal auditor has reviewed the draft MRC paper and has flagged the following statement as requiring rewrite: 'The TBML-INVOICE-001 model has been validated and is approved for production use, subject to the remediation of the HS code CDE null rate finding.' The auditor's challenge: 'This statement mischaracterises the validation outcome. A model with a Critical DQ finding is not validated — it is conditionally approved pending remediation, which is a materially different governance status.' Rewrite the statement to reflect the correct governance position, in no more than 50 words. Then write a one-paragraph explanation of why the distinction matters from a regulatory risk perspective.</w:t>
            </w:r>
          </w:p>
          <w:p>
            <w:pPr>
              <w:spacing w:lineRule="auto" w:line="312" w:before="20" w:after="40"/>
              <w:ind w:left="113"/>
            </w:pPr>
            <w:r>
              <w:rPr>
                <w:rFonts w:ascii="Times New Roman" w:hAnsi="Times New Roman"/>
                <w:b w:val="0"/>
                <w:i w:val="0"/>
                <w:sz w:val="22"/>
              </w:rPr>
              <w:t>This is the penultimate exercise in the book. In Chapter 10, the Northgate investigation takes a new turn: the mule network has moved to crypto, and Project Sentinel must extend its capabilities to meet the emerging threat.</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Board of Governors of the Federal Reserve System / OCC, 'Supervisory Guidance on Model Risk Management' (SR 26-2, OCC 2026). This is the definitive US standard for model risk management. Read Section IV ('Validation') in full. Map each of the four validation activities described onto the five-pillar framework from this chapter. Where do they align, and where does the five-pillar framework go further?</w:t>
      </w:r>
    </w:p>
    <w:p>
      <w:pPr>
        <w:pStyle w:val="ListBullet"/>
        <w:spacing w:lineRule="auto" w:line="360" w:before="0" w:after="60"/>
      </w:pPr>
      <w:r>
        <w:rPr>
          <w:rFonts w:ascii="Times New Roman" w:hAnsi="Times New Roman"/>
          <w:b w:val="0"/>
          <w:i w:val="0"/>
          <w:sz w:val="24"/>
        </w:rPr>
        <w:t>PRA SS1/23, 'Model Risk Management Principles for Banks'. This is the UK equivalent of SR 26-2, published in 2023. Compare Section 4 ('Model validation') with Section 9.2 ('Validation') of SR 26-2. What is the single most significant difference in the UK standard's expectations for AML model validation?</w:t>
      </w:r>
    </w:p>
    <w:p>
      <w:pPr>
        <w:pStyle w:val="ListBullet"/>
        <w:spacing w:lineRule="auto" w:line="360" w:before="0" w:after="60"/>
      </w:pPr>
      <w:r>
        <w:rPr>
          <w:rFonts w:ascii="Times New Roman" w:hAnsi="Times New Roman"/>
          <w:b w:val="0"/>
          <w:i w:val="0"/>
          <w:sz w:val="24"/>
        </w:rPr>
        <w:t>Research Question: The BCBS 'Principles for effective risk data aggregation and risk reporting' (BCBS 239, 2013) requires banks to maintain data quality standards across all risk models. Although written for market and credit risk, its principles apply directly to AML model data governance. Read Principles 2 through 6. For each, write one sentence explaining how it applies to the Northgate model suite.</w:t>
      </w:r>
    </w:p>
    <w:p>
      <w:pPr>
        <w:pStyle w:val="ListBullet"/>
        <w:spacing w:lineRule="auto" w:line="360" w:before="0" w:after="60"/>
      </w:pPr>
      <w:r>
        <w:rPr>
          <w:rFonts w:ascii="Times New Roman" w:hAnsi="Times New Roman"/>
          <w:b w:val="0"/>
          <w:i w:val="0"/>
          <w:sz w:val="24"/>
        </w:rPr>
        <w:t>Case study: The FCA's Final Notice for Commerzbank AG London Branch (2020, available at fca.org.uk) cited, among other failings, inadequate AML model validation and data quality controls. Read the Final Notice. Identify three specific failings that correspond to findings in this chapter's five-pillar framework. Which pillar does each failing correspond to, and what remediation would have prevented it?</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Federal Reserve (2011) SR 11-7: Model Risk Management. Federal Reserve Board.</w:t>
      </w:r>
    </w:p>
    <w:p>
      <w:pPr>
        <w:pStyle w:val="ListBullet"/>
        <w:spacing w:lineRule="auto" w:line="288" w:before="0" w:after="80"/>
      </w:pPr>
      <w:r>
        <w:rPr>
          <w:rFonts w:ascii="Times New Roman" w:hAnsi="Times New Roman"/>
          <w:b w:val="0"/>
          <w:i w:val="0"/>
          <w:sz w:val="22"/>
        </w:rPr>
        <w:t>Basel Committee (2017) Supervisory and Bank Stress Testing. BIS, Basel.</w:t>
      </w:r>
    </w:p>
    <w:p>
      <w:pPr>
        <w:pStyle w:val="ListBullet"/>
        <w:spacing w:lineRule="auto" w:line="288" w:before="0" w:after="80"/>
      </w:pPr>
      <w:r>
        <w:rPr>
          <w:rFonts w:ascii="Times New Roman" w:hAnsi="Times New Roman"/>
          <w:b w:val="0"/>
          <w:i w:val="0"/>
          <w:sz w:val="22"/>
        </w:rPr>
        <w:t>Doshi-Velez, F. and Kim, B. (2017) Towards a Rigorous Science of Interpretable ML. arXiv:1702.08608.</w:t>
      </w:r>
    </w:p>
    <w:p>
      <w:pPr>
        <w:pStyle w:val="ListBullet"/>
        <w:spacing w:lineRule="auto" w:line="288" w:before="0" w:after="80"/>
      </w:pPr>
      <w:r>
        <w:rPr>
          <w:rFonts w:ascii="Times New Roman" w:hAnsi="Times New Roman"/>
          <w:b w:val="0"/>
          <w:i w:val="0"/>
          <w:sz w:val="22"/>
        </w:rPr>
        <w:t>Goodhart, C. (1975) Problems of Monetary Management. Papers in Monetary Economics, 1.</w:t>
      </w:r>
    </w:p>
    <w:p>
      <w:r>
        <w:br w:type="page"/>
      </w:r>
    </w:p>
    <w:p>
      <w:pPr>
        <w:pStyle w:val="Heading1"/>
      </w:pPr>
      <w:r>
        <w:rPr>
          <w:rFonts w:ascii="Times New Roman" w:hAnsi="Times New Roman"/>
        </w:rPr>
        <w:t>Chapter 10: The Future of AML</w:t>
      </w:r>
    </w:p>
    <w:p>
      <w:pPr>
        <w:pStyle w:val="BodyText"/>
        <w:spacing w:lineRule="auto" w:line="360" w:before="200" w:after="120"/>
        <w:ind w:firstLine="0"/>
      </w:pPr>
      <w:r>
        <w:rPr>
          <w:rFonts w:ascii="Times New Roman" w:hAnsi="Times New Roman"/>
          <w:b/>
          <w:i w:val="0"/>
          <w:sz w:val="24"/>
        </w:rPr>
        <w:t xml:space="preserve">Abstract  </w:t>
      </w:r>
      <w:r>
        <w:rPr>
          <w:rFonts w:ascii="Times New Roman" w:hAnsi="Times New Roman"/>
          <w:b w:val="0"/>
          <w:i w:val="0"/>
          <w:sz w:val="24"/>
        </w:rPr>
        <w:t>Three forces are reshaping AML: advances in AI and ML; network analytics and graph-based detection; and the rise of digital assets. This chapter surveys each trend with institutional examples and examines how the regulatory expectation of explainability shapes what AI tools can be deployed.</w:t>
      </w:r>
    </w:p>
    <w:p>
      <w:pPr>
        <w:pStyle w:val="BodyText"/>
        <w:spacing w:lineRule="auto" w:line="360" w:before="0" w:after="280"/>
        <w:ind w:firstLine="0"/>
      </w:pPr>
      <w:r>
        <w:rPr>
          <w:rFonts w:ascii="Times New Roman" w:hAnsi="Times New Roman"/>
          <w:b/>
          <w:i w:val="0"/>
          <w:sz w:val="24"/>
        </w:rPr>
        <w:t xml:space="preserve">Keywords: </w:t>
      </w:r>
      <w:r>
        <w:rPr>
          <w:rFonts w:ascii="Times New Roman" w:hAnsi="Times New Roman"/>
          <w:b w:val="0"/>
          <w:i/>
          <w:sz w:val="24"/>
        </w:rPr>
        <w:t>AI in AML · Graph analytics · Digital assets · Explainability · RegTech · Future of financial crime</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Learning Objectives 10.1  </w:t>
            </w:r>
            <w:r>
              <w:rPr>
                <w:rFonts w:ascii="Times New Roman" w:hAnsi="Times New Roman"/>
                <w:b/>
                <w:i/>
                <w:sz w:val="22"/>
              </w:rPr>
              <w:t>Learning Objectives — By the end of this chapter you will be able to:</w:t>
            </w:r>
          </w:p>
          <w:p>
            <w:pPr>
              <w:spacing w:lineRule="auto" w:line="312" w:before="20" w:after="40"/>
              <w:ind w:left="113"/>
            </w:pPr>
            <w:r>
              <w:rPr>
                <w:rFonts w:ascii="Times New Roman" w:hAnsi="Times New Roman"/>
                <w:b w:val="0"/>
                <w:i w:val="0"/>
                <w:sz w:val="22"/>
              </w:rPr>
              <w:t>Describe the key technological and regulatory developments reshaping AML transaction monitoring.</w:t>
            </w:r>
          </w:p>
          <w:p>
            <w:pPr>
              <w:spacing w:lineRule="auto" w:line="312" w:before="20" w:after="40"/>
              <w:ind w:left="113"/>
            </w:pPr>
            <w:r>
              <w:rPr>
                <w:rFonts w:ascii="Times New Roman" w:hAnsi="Times New Roman"/>
                <w:b w:val="0"/>
                <w:i w:val="0"/>
                <w:sz w:val="22"/>
              </w:rPr>
              <w:t>Assess the limitations of current TM approaches when applied to crypto assets and decentralised finance.</w:t>
            </w:r>
          </w:p>
          <w:p>
            <w:pPr>
              <w:spacing w:lineRule="auto" w:line="312" w:before="20" w:after="40"/>
              <w:ind w:left="113"/>
            </w:pPr>
            <w:r>
              <w:rPr>
                <w:rFonts w:ascii="Times New Roman" w:hAnsi="Times New Roman"/>
                <w:b w:val="0"/>
                <w:i w:val="0"/>
                <w:sz w:val="22"/>
              </w:rPr>
              <w:t>Evaluate how AI advancements change both the tools available to analysts and the threats they face.</w:t>
            </w:r>
          </w:p>
          <w:p>
            <w:pPr>
              <w:spacing w:lineRule="auto" w:line="312" w:before="20" w:after="40"/>
              <w:ind w:left="113"/>
            </w:pPr>
            <w:r>
              <w:rPr>
                <w:rFonts w:ascii="Times New Roman" w:hAnsi="Times New Roman"/>
                <w:b w:val="0"/>
                <w:i w:val="0"/>
                <w:sz w:val="22"/>
              </w:rPr>
              <w:t>Redesign the Northgate structuring scenario to detect crypto-based money mules, applying the full methodology from this book.</w:t>
            </w:r>
          </w:p>
        </w:tc>
      </w:tr>
    </w:tbl>
    <w:p>
      <w:pPr>
        <w:spacing w:lineRule="auto" w:line="240" w:before="0" w:after="160"/>
      </w:pPr>
    </w:p>
    <w:p>
      <w:pPr>
        <w:pStyle w:val="Heading2"/>
      </w:pPr>
      <w:r>
        <w:rPr>
          <w:rFonts w:ascii="Times New Roman" w:hAnsi="Times New Roman"/>
        </w:rPr>
        <w:t>10.1 Business Context: The Landscape Does Not Stand Still</w:t>
      </w:r>
    </w:p>
    <w:p>
      <w:pPr>
        <w:pStyle w:val="BodyText"/>
        <w:spacing w:lineRule="auto" w:line="360" w:before="0" w:after="120"/>
        <w:ind w:firstLine="283"/>
      </w:pPr>
      <w:r>
        <w:rPr>
          <w:rFonts w:ascii="Times New Roman" w:hAnsi="Times New Roman"/>
          <w:b w:val="0"/>
          <w:i w:val="0"/>
          <w:sz w:val="24"/>
        </w:rPr>
        <w:t>Everything in this book describes how AML transaction monitoring works today. It will not describe how it works in five years. The techniques are sound — segmentation, threshold calibration, coverage assessment, ML triage, model validation — but the environment in which they operate is changing rapidly.</w:t>
      </w:r>
    </w:p>
    <w:p>
      <w:pPr>
        <w:pStyle w:val="BodyText"/>
        <w:spacing w:lineRule="auto" w:line="360" w:before="0" w:after="120"/>
        <w:ind w:firstLine="283"/>
      </w:pPr>
      <w:r>
        <w:rPr>
          <w:rFonts w:ascii="Times New Roman" w:hAnsi="Times New Roman"/>
          <w:b w:val="0"/>
          <w:i w:val="0"/>
          <w:sz w:val="24"/>
        </w:rPr>
        <w:t>Three forces are driving that change. First, the technology available to financial institutions is advancing: graph neural networks, large language models, and real-time streaming analytics are moving from research to production. Second, the technology available to criminals is advancing at the same pace — and criminals face fewer governance constraints. Third, the regulatory framework is adapting to new financial products, particularly crypto assets, that did not exist when most of the regulatory infrastructure in this book was designed.</w:t>
      </w:r>
    </w:p>
    <w:p>
      <w:pPr>
        <w:pStyle w:val="BodyText"/>
        <w:spacing w:lineRule="auto" w:line="360" w:before="0" w:after="120"/>
        <w:ind w:firstLine="283"/>
      </w:pPr>
      <w:r>
        <w:rPr>
          <w:rFonts w:ascii="Times New Roman" w:hAnsi="Times New Roman"/>
          <w:b w:val="0"/>
          <w:i w:val="0"/>
          <w:sz w:val="24"/>
        </w:rPr>
        <w:t>This chapter introduces you to those forces. It does not make predictions — the AML profession has a poor track record of forecasting the precise shape of future threats. Instead, it gives you the conceptual tools to evaluate new developments as they emerge and to extend the analytical framework from this book to whatever environment you encounter in practice.</w:t>
      </w:r>
    </w:p>
    <w:p>
      <w:pPr>
        <w:pStyle w:val="Heading2"/>
      </w:pPr>
      <w:r>
        <w:rPr>
          <w:rFonts w:ascii="Times New Roman" w:hAnsi="Times New Roman"/>
        </w:rPr>
        <w:t>10.2 FinTech, Digital Banking, and Embedded Finance</w:t>
      </w:r>
    </w:p>
    <w:p>
      <w:pPr>
        <w:pStyle w:val="BodyText"/>
        <w:spacing w:lineRule="auto" w:line="360" w:before="0" w:after="120"/>
        <w:ind w:firstLine="283"/>
      </w:pPr>
      <w:r>
        <w:rPr>
          <w:rFonts w:ascii="Times New Roman" w:hAnsi="Times New Roman"/>
          <w:b w:val="0"/>
          <w:i w:val="0"/>
          <w:sz w:val="24"/>
        </w:rPr>
        <w:t>The boundaries of the banking system are blurring. Ten years ago, a retail bank customer had a current account, a savings account, and perhaps a credit card. Today, the same customer may use a challenger bank for day-to-day spending, a buy-now-pay-later (BNPL) provider for purchases, a payment app for peer-to-peer transfers, and a crypto exchange for investment. Each of these providers may or may not be subject to AML obligations equivalent to a traditional bank.</w:t>
      </w:r>
    </w:p>
    <w:p>
      <w:pPr>
        <w:pStyle w:val="BodyText"/>
        <w:spacing w:lineRule="auto" w:line="360" w:before="0" w:after="120"/>
        <w:ind w:firstLine="283"/>
      </w:pPr>
      <w:r>
        <w:rPr>
          <w:rFonts w:ascii="Times New Roman" w:hAnsi="Times New Roman"/>
          <w:b w:val="0"/>
          <w:i w:val="0"/>
          <w:sz w:val="24"/>
        </w:rPr>
        <w:t>This fragmentation creates monitoring gaps. A money mule who receives funds into a traditional bank account and immediately transfers them to a BNPL provider, then to a crypto exchange, leaves a transaction trail that no single institution can see in full. Each institution sees only its own slice. The coordinated cross-institution view that would reveal the full picture requires either information sharing (limited by legal constraints) or regulatory extension to all participants in the value chain.</w:t>
      </w:r>
    </w:p>
    <w:p>
      <w:pPr>
        <w:pStyle w:val="ListBullet"/>
        <w:spacing w:lineRule="auto" w:line="360" w:before="0" w:after="60"/>
      </w:pPr>
      <w:r>
        <w:rPr>
          <w:rFonts w:ascii="Times New Roman" w:hAnsi="Times New Roman"/>
          <w:b w:val="0"/>
          <w:i w:val="0"/>
          <w:sz w:val="24"/>
        </w:rPr>
        <w:t>BNPL providers have come under increasing regulatory scrutiny. The FCA has extended its regulatory perimeter to cover most BNPL products in the UK — readers should verify the precise effective date, as FCA's BNPL regulation timeline has shifted across successive consultation rounds and the implementation phasing may differ from earlier projections. The direction of travel is unambiguous: BNPL is moving within full AML obligations. Institutions offering or distributing BNPL products should assume coverage and act accordingly.</w:t>
      </w:r>
    </w:p>
    <w:p>
      <w:pPr>
        <w:pStyle w:val="ListBullet"/>
        <w:spacing w:lineRule="auto" w:line="360" w:before="0" w:after="60"/>
      </w:pPr>
      <w:r>
        <w:rPr>
          <w:rFonts w:ascii="Times New Roman" w:hAnsi="Times New Roman"/>
          <w:b w:val="0"/>
          <w:i w:val="0"/>
          <w:sz w:val="24"/>
        </w:rPr>
        <w:t>Open Banking and account aggregation services create new data flows — and new attack surfaces. An aggregation API that exposes transaction data to third parties creates a channel for information leakage that traditional TM systems are not designed to monitor.</w:t>
      </w:r>
    </w:p>
    <w:p>
      <w:pPr>
        <w:pStyle w:val="ListBullet"/>
        <w:spacing w:lineRule="auto" w:line="360" w:before="0" w:after="60"/>
      </w:pPr>
      <w:r>
        <w:rPr>
          <w:rFonts w:ascii="Times New Roman" w:hAnsi="Times New Roman"/>
          <w:b w:val="0"/>
          <w:i w:val="0"/>
          <w:sz w:val="24"/>
        </w:rPr>
        <w:t>Embedded finance — financial services delivered through non-financial platforms (e.g., a supermarket offering current accounts) — creates new customer relationships that may not be subject to the same CDD standards as traditional banks.</w:t>
      </w:r>
    </w:p>
    <w:p>
      <w:pPr>
        <w:pStyle w:val="BodyText"/>
        <w:spacing w:lineRule="auto" w:line="360" w:before="0" w:after="120"/>
        <w:ind w:firstLine="283"/>
      </w:pPr>
      <w:r>
        <w:rPr>
          <w:rFonts w:ascii="Times New Roman" w:hAnsi="Times New Roman"/>
          <w:b w:val="0"/>
          <w:i w:val="0"/>
          <w:sz w:val="24"/>
        </w:rPr>
        <w:t>Neobanks — digital-first institutions that combine traditional banking services with crypto and blockchain capabilities — are emerging as the major players in this new regulatory landscape. They straddle the boundary between traditional and crypto finance, which makes them both uniquely positioned for innovation and uniquely exposed to regulatory risk. A Neobank that allows seamless movement between a current account, a crypto wallet, and a DeFi yield product creates precisely the multi-instrument layering environment that traditional TM scenarios are not designed to monitor. Regulators are watching Neobanks closely; several have already received enforcement action for inadequate TM frameworks relative to the complexity of their product set.</w:t>
      </w:r>
    </w:p>
    <w:p>
      <w:pPr>
        <w:pStyle w:val="Heading2"/>
      </w:pPr>
      <w:r>
        <w:rPr>
          <w:rFonts w:ascii="Times New Roman" w:hAnsi="Times New Roman"/>
        </w:rPr>
        <w:t>10.3 Blockchain, Crypto Assets, and Decentralised Finance</w:t>
      </w:r>
    </w:p>
    <w:p>
      <w:pPr>
        <w:pStyle w:val="BodyText"/>
        <w:spacing w:lineRule="auto" w:line="360" w:before="0" w:after="120"/>
        <w:ind w:firstLine="283"/>
      </w:pPr>
      <w:r>
        <w:rPr>
          <w:rFonts w:ascii="Times New Roman" w:hAnsi="Times New Roman"/>
          <w:b w:val="0"/>
          <w:i w:val="0"/>
          <w:sz w:val="24"/>
        </w:rPr>
        <w:t>The Binance case — a $4.3 billion settlement in 2023 — demonstrated that crypto exchanges are not immune to AML obligations. It also demonstrated how severe the consequences of non-compliance can be. Crypto has moved from a niche technology to a mainstream financial instrument, and regulators have moved with it.</w:t>
      </w:r>
    </w:p>
    <w:p>
      <w:pPr>
        <w:pStyle w:val="Heading3"/>
      </w:pPr>
      <w:r>
        <w:rPr>
          <w:rFonts w:ascii="Times New Roman" w:hAnsi="Times New Roman"/>
        </w:rPr>
        <w:t>10.3.1 How Blockchain Works — The AML-Relevant Features</w:t>
      </w:r>
    </w:p>
    <w:p>
      <w:pPr>
        <w:pStyle w:val="BodyText"/>
        <w:spacing w:lineRule="auto" w:line="360" w:before="0" w:after="120"/>
        <w:ind w:firstLine="283"/>
      </w:pPr>
      <w:r>
        <w:rPr>
          <w:rFonts w:ascii="Times New Roman" w:hAnsi="Times New Roman"/>
          <w:b w:val="0"/>
          <w:i w:val="0"/>
          <w:sz w:val="24"/>
        </w:rPr>
        <w:t>A blockchain is a distributed public ledger. Every transaction is recorded permanently and is visible to anyone with access to the network. Addresses — not names — are the unit of identity. The same person can control thousands of addresses, and addresses can be created instantly and at no cost.</w:t>
      </w:r>
    </w:p>
    <w:p>
      <w:pPr>
        <w:pStyle w:val="BodyText"/>
        <w:spacing w:lineRule="auto" w:line="360" w:before="0" w:after="120"/>
        <w:ind w:firstLine="283"/>
      </w:pPr>
      <w:r>
        <w:rPr>
          <w:rFonts w:ascii="Times New Roman" w:hAnsi="Times New Roman"/>
          <w:b w:val="0"/>
          <w:i w:val="0"/>
          <w:sz w:val="24"/>
        </w:rPr>
        <w:t>These features create an unusual AML environment. On one hand, blockchain transactions are more transparent than traditional banking: every transaction is publicly recorded. On the other hand, the pseudonymity of addresses means that linking a transaction to a real-world identity requires additional analytical work — blockchain analytics.</w:t>
      </w:r>
    </w:p>
    <w:p>
      <w:pPr>
        <w:pStyle w:val="Heading3"/>
      </w:pPr>
      <w:r>
        <w:rPr>
          <w:rFonts w:ascii="Times New Roman" w:hAnsi="Times New Roman"/>
        </w:rPr>
        <w:t>10.3.2 Money-Laundering Methods in Crypto</w:t>
      </w:r>
    </w:p>
    <w:p>
      <w:pPr>
        <w:spacing w:lineRule="auto" w:line="240" w:before="60" w:after="120"/>
        <w:ind w:firstLine="0"/>
        <w:jc w:val="left"/>
      </w:pPr>
      <w:r>
        <w:rPr>
          <w:rFonts w:ascii="Times New Roman" w:hAnsi="Times New Roman"/>
          <w:b w:val="0"/>
          <w:i/>
          <w:sz w:val="20"/>
        </w:rPr>
        <w:t>Table 10.1  Method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Method</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How It Works</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Detection Challenge</w:t>
            </w:r>
          </w:p>
        </w:tc>
      </w:tr>
      <w:tr>
        <w:tc>
          <w:tcPr>
            <w:tcW w:w="3024" w:type="dxa"/>
          </w:tcPr>
          <w:p>
            <w:pPr>
              <w:spacing w:lineRule="auto" w:line="288" w:before="60" w:after="60"/>
              <w:ind w:left="57" w:right="57"/>
            </w:pPr>
            <w:r>
              <w:rPr>
                <w:rFonts w:ascii="Times New Roman" w:hAnsi="Times New Roman"/>
                <w:b w:val="0"/>
                <w:i w:val="0"/>
                <w:sz w:val="20"/>
              </w:rPr>
              <w:t>Mixers / Tumblers</w:t>
            </w:r>
          </w:p>
        </w:tc>
        <w:tc>
          <w:tcPr>
            <w:tcW w:w="3024" w:type="dxa"/>
          </w:tcPr>
          <w:p>
            <w:pPr>
              <w:spacing w:lineRule="auto" w:line="288" w:before="60" w:after="60"/>
              <w:ind w:left="57" w:right="57"/>
            </w:pPr>
            <w:r>
              <w:rPr>
                <w:rFonts w:ascii="Times New Roman" w:hAnsi="Times New Roman"/>
                <w:b w:val="0"/>
                <w:i w:val="0"/>
                <w:sz w:val="20"/>
              </w:rPr>
              <w:t>Combine transactions from multiple users so that inputs cannot be matched to outputs. The criminal deposits dirty crypto and receives clean crypto in return.</w:t>
            </w:r>
          </w:p>
        </w:tc>
        <w:tc>
          <w:tcPr>
            <w:tcW w:w="3024" w:type="dxa"/>
          </w:tcPr>
          <w:p>
            <w:pPr>
              <w:spacing w:lineRule="auto" w:line="288" w:before="60" w:after="60"/>
              <w:ind w:left="57" w:right="57"/>
            </w:pPr>
            <w:r>
              <w:rPr>
                <w:rFonts w:ascii="Times New Roman" w:hAnsi="Times New Roman"/>
                <w:b w:val="0"/>
                <w:i w:val="0"/>
                <w:sz w:val="20"/>
              </w:rPr>
              <w:t>Identifying mixer addresses is possible with blockchain analytics tools, but mixers constantly change structure to evade detection.</w:t>
            </w:r>
          </w:p>
        </w:tc>
      </w:tr>
      <w:tr>
        <w:tc>
          <w:tcPr>
            <w:tcW w:w="3024" w:type="dxa"/>
          </w:tcPr>
          <w:p>
            <w:pPr>
              <w:spacing w:lineRule="auto" w:line="288" w:before="60" w:after="60"/>
              <w:ind w:left="57" w:right="57"/>
            </w:pPr>
            <w:r>
              <w:rPr>
                <w:rFonts w:ascii="Times New Roman" w:hAnsi="Times New Roman"/>
                <w:b w:val="0"/>
                <w:i w:val="0"/>
                <w:sz w:val="20"/>
              </w:rPr>
              <w:t>Chain-hopping</w:t>
            </w:r>
          </w:p>
        </w:tc>
        <w:tc>
          <w:tcPr>
            <w:tcW w:w="3024" w:type="dxa"/>
          </w:tcPr>
          <w:p>
            <w:pPr>
              <w:spacing w:lineRule="auto" w:line="288" w:before="60" w:after="60"/>
              <w:ind w:left="57" w:right="57"/>
            </w:pPr>
            <w:r>
              <w:rPr>
                <w:rFonts w:ascii="Times New Roman" w:hAnsi="Times New Roman"/>
                <w:b w:val="0"/>
                <w:i w:val="0"/>
                <w:sz w:val="20"/>
              </w:rPr>
              <w:t>Convert value across multiple blockchains (e.g., Bitcoin to Ethereum to Monero) to break the transaction trail.</w:t>
            </w:r>
          </w:p>
        </w:tc>
        <w:tc>
          <w:tcPr>
            <w:tcW w:w="3024" w:type="dxa"/>
          </w:tcPr>
          <w:p>
            <w:pPr>
              <w:spacing w:lineRule="auto" w:line="288" w:before="60" w:after="60"/>
              <w:ind w:left="57" w:right="57"/>
            </w:pPr>
            <w:r>
              <w:rPr>
                <w:rFonts w:ascii="Times New Roman" w:hAnsi="Times New Roman"/>
                <w:b w:val="0"/>
                <w:i w:val="0"/>
                <w:sz w:val="20"/>
              </w:rPr>
              <w:t>Requires monitoring across multiple chains simultaneously. Privacy coins (Monero, Zcash) are specifically designed to resist tracing.</w:t>
            </w:r>
          </w:p>
        </w:tc>
      </w:tr>
      <w:tr>
        <w:tc>
          <w:tcPr>
            <w:tcW w:w="3024" w:type="dxa"/>
          </w:tcPr>
          <w:p>
            <w:pPr>
              <w:spacing w:lineRule="auto" w:line="288" w:before="60" w:after="60"/>
              <w:ind w:left="57" w:right="57"/>
            </w:pPr>
            <w:r>
              <w:rPr>
                <w:rFonts w:ascii="Times New Roman" w:hAnsi="Times New Roman"/>
                <w:b w:val="0"/>
                <w:i w:val="0"/>
                <w:sz w:val="20"/>
              </w:rPr>
              <w:t>Peer-to-Peer (P2P) exchanges</w:t>
            </w:r>
          </w:p>
        </w:tc>
        <w:tc>
          <w:tcPr>
            <w:tcW w:w="3024" w:type="dxa"/>
          </w:tcPr>
          <w:p>
            <w:pPr>
              <w:spacing w:lineRule="auto" w:line="288" w:before="60" w:after="60"/>
              <w:ind w:left="57" w:right="57"/>
            </w:pPr>
            <w:r>
              <w:rPr>
                <w:rFonts w:ascii="Times New Roman" w:hAnsi="Times New Roman"/>
                <w:b w:val="0"/>
                <w:i w:val="0"/>
                <w:sz w:val="20"/>
              </w:rPr>
              <w:t>Use informal P2P platforms that match buyers and sellers directly, often with weak or no KYC.</w:t>
            </w:r>
          </w:p>
        </w:tc>
        <w:tc>
          <w:tcPr>
            <w:tcW w:w="3024" w:type="dxa"/>
          </w:tcPr>
          <w:p>
            <w:pPr>
              <w:spacing w:lineRule="auto" w:line="288" w:before="60" w:after="60"/>
              <w:ind w:left="57" w:right="57"/>
            </w:pPr>
            <w:r>
              <w:rPr>
                <w:rFonts w:ascii="Times New Roman" w:hAnsi="Times New Roman"/>
                <w:b w:val="0"/>
                <w:i w:val="0"/>
                <w:sz w:val="20"/>
              </w:rPr>
              <w:t>P2P platforms operating below regulatory thresholds may not be subject to AML obligations in some jurisdictions.</w:t>
            </w:r>
          </w:p>
        </w:tc>
      </w:tr>
      <w:tr>
        <w:tc>
          <w:tcPr>
            <w:tcW w:w="3024" w:type="dxa"/>
          </w:tcPr>
          <w:p>
            <w:pPr>
              <w:spacing w:lineRule="auto" w:line="288" w:before="60" w:after="60"/>
              <w:ind w:left="57" w:right="57"/>
            </w:pPr>
            <w:r>
              <w:rPr>
                <w:rFonts w:ascii="Times New Roman" w:hAnsi="Times New Roman"/>
                <w:b w:val="0"/>
                <w:i w:val="0"/>
                <w:sz w:val="20"/>
              </w:rPr>
              <w:t>Layering through DeFi</w:t>
            </w:r>
          </w:p>
        </w:tc>
        <w:tc>
          <w:tcPr>
            <w:tcW w:w="3024" w:type="dxa"/>
          </w:tcPr>
          <w:p>
            <w:pPr>
              <w:spacing w:lineRule="auto" w:line="288" w:before="60" w:after="60"/>
              <w:ind w:left="57" w:right="57"/>
            </w:pPr>
            <w:r>
              <w:rPr>
                <w:rFonts w:ascii="Times New Roman" w:hAnsi="Times New Roman"/>
                <w:b w:val="0"/>
                <w:i w:val="0"/>
                <w:sz w:val="20"/>
              </w:rPr>
              <w:t>Use decentralised finance protocols (automated market makers, liquidity pools) to layer transactions without any central counterparty that could file a SAR.</w:t>
            </w:r>
          </w:p>
        </w:tc>
        <w:tc>
          <w:tcPr>
            <w:tcW w:w="3024" w:type="dxa"/>
          </w:tcPr>
          <w:p>
            <w:pPr>
              <w:spacing w:lineRule="auto" w:line="288" w:before="60" w:after="60"/>
              <w:ind w:left="57" w:right="57"/>
            </w:pPr>
            <w:r>
              <w:rPr>
                <w:rFonts w:ascii="Times New Roman" w:hAnsi="Times New Roman"/>
                <w:b w:val="0"/>
                <w:i w:val="0"/>
                <w:sz w:val="20"/>
              </w:rPr>
              <w:t>DeFi protocols have no legal entity to impose AML obligations on. Regulatory frameworks are still developing.</w:t>
            </w:r>
          </w:p>
        </w:tc>
      </w:tr>
      <w:tr>
        <w:tc>
          <w:tcPr>
            <w:tcW w:w="3024" w:type="dxa"/>
          </w:tcPr>
          <w:p>
            <w:pPr>
              <w:spacing w:lineRule="auto" w:line="288" w:before="60" w:after="60"/>
              <w:ind w:left="57" w:right="57"/>
            </w:pPr>
            <w:r>
              <w:rPr>
                <w:rFonts w:ascii="Times New Roman" w:hAnsi="Times New Roman"/>
                <w:b w:val="0"/>
                <w:i w:val="0"/>
                <w:sz w:val="20"/>
              </w:rPr>
              <w:t>NFT wash trading</w:t>
            </w:r>
          </w:p>
        </w:tc>
        <w:tc>
          <w:tcPr>
            <w:tcW w:w="3024" w:type="dxa"/>
          </w:tcPr>
          <w:p>
            <w:pPr>
              <w:spacing w:lineRule="auto" w:line="288" w:before="60" w:after="60"/>
              <w:ind w:left="57" w:right="57"/>
            </w:pPr>
            <w:r>
              <w:rPr>
                <w:rFonts w:ascii="Times New Roman" w:hAnsi="Times New Roman"/>
                <w:b w:val="0"/>
                <w:i w:val="0"/>
                <w:sz w:val="20"/>
              </w:rPr>
              <w:t>Buy and sell NFTs between addresses controlled by the same person at escalating prices to create the appearance of legitimate income.</w:t>
            </w:r>
          </w:p>
        </w:tc>
        <w:tc>
          <w:tcPr>
            <w:tcW w:w="3024" w:type="dxa"/>
          </w:tcPr>
          <w:p>
            <w:pPr>
              <w:spacing w:lineRule="auto" w:line="288" w:before="60" w:after="60"/>
              <w:ind w:left="57" w:right="57"/>
            </w:pPr>
            <w:r>
              <w:rPr>
                <w:rFonts w:ascii="Times New Roman" w:hAnsi="Times New Roman"/>
                <w:b w:val="0"/>
                <w:i w:val="0"/>
                <w:sz w:val="20"/>
              </w:rPr>
              <w:t>Transaction monitoring must identify intra-network transfers where both sides are controlled by the same beneficial owner.</w:t>
            </w:r>
          </w:p>
        </w:tc>
      </w:tr>
    </w:tbl>
    <w:p>
      <w:pPr>
        <w:spacing w:lineRule="auto" w:line="240" w:before="0" w:after="200"/>
      </w:pPr>
    </w:p>
    <w:p>
      <w:pPr>
        <w:pStyle w:val="Heading3"/>
      </w:pPr>
      <w:r>
        <w:rPr>
          <w:rFonts w:ascii="Times New Roman" w:hAnsi="Times New Roman"/>
        </w:rPr>
        <w:t>10.3.3 Blockchain Analytics Tools</w:t>
      </w:r>
    </w:p>
    <w:p>
      <w:pPr>
        <w:pStyle w:val="BodyText"/>
        <w:spacing w:lineRule="auto" w:line="360" w:before="0" w:after="120"/>
        <w:ind w:firstLine="283"/>
      </w:pPr>
      <w:r>
        <w:rPr>
          <w:rFonts w:ascii="Times New Roman" w:hAnsi="Times New Roman"/>
          <w:b w:val="0"/>
          <w:i w:val="0"/>
          <w:sz w:val="24"/>
        </w:rPr>
        <w:t>Blockchain analytics firms have built databases that cluster addresses by likely ownership, tag known criminal addresses (mixer services, sanctioned exchanges, darknet markets), and trace transaction flows across complex networks. The vendor landscape is consolidating rapidly: Ciphertrace (now integrated into Mastercard's crypto monitoring suite) and Chainalysis lead in coverage breadth; Elliptic and TRM Labs are strong alternatives with different regional and asset-class strengths. Institutions evaluating blockchain analytics tools should assess: which blockchains are covered, how address clustering is performed and validated, how frequently sanctioned entity lists are updated, and what API integration is available for TM data pipelines.</w:t>
      </w:r>
    </w:p>
    <w:p>
      <w:pPr>
        <w:pStyle w:val="BodyText"/>
        <w:spacing w:lineRule="auto" w:line="360" w:before="0" w:after="120"/>
        <w:ind w:firstLine="283"/>
      </w:pPr>
      <w:r>
        <w:rPr>
          <w:rFonts w:ascii="Times New Roman" w:hAnsi="Times New Roman"/>
          <w:b w:val="0"/>
          <w:i w:val="0"/>
          <w:sz w:val="24"/>
        </w:rPr>
        <w:t>These tools do not replace TM scenario design — they augment it. A bank that accepts crypto deposits needs to integrate blockchain analytics data into its TM data model, applying the same segmentation, calibration, and coverage assessment disciplines from this book to a new data source.</w:t>
      </w:r>
    </w:p>
    <w:p>
      <w:pPr>
        <w:pStyle w:val="BodyText"/>
        <w:spacing w:lineRule="auto" w:line="360" w:before="0" w:after="120"/>
        <w:ind w:firstLine="283"/>
      </w:pPr>
      <w:r>
        <w:rPr>
          <w:rFonts w:ascii="Times New Roman" w:hAnsi="Times New Roman"/>
          <w:b w:val="0"/>
          <w:i w:val="0"/>
          <w:sz w:val="24"/>
        </w:rPr>
        <w:t>The industry has invested heavily in KYT — Know Your Transaction — tools that trace crypto transaction flows across the blockchain. These tools are useful, but they address the wrong end of the problem. The core challenge in crypto AML is not KYT but KYC: knowing who controls the wallet, not merely what the wallet did. Without reliable beneficial ownership information, transaction tracing produces a detailed graph of pseudonymous addresses that cannot be connected to a legal person. KYT is a supplement to KYC, not a substitute for it. The most analytically sophisticated transaction graph is of limited regulatory value if the beneficial owner of the controlling address cannot be identified.</w:t>
      </w:r>
    </w:p>
    <w:p>
      <w:pPr>
        <w:pStyle w:val="BodyText"/>
        <w:spacing w:lineRule="auto" w:line="360" w:before="0" w:after="120"/>
        <w:ind w:firstLine="283"/>
      </w:pPr>
      <w:r>
        <w:rPr>
          <w:rFonts w:ascii="Times New Roman" w:hAnsi="Times New Roman"/>
          <w:b w:val="0"/>
          <w:i w:val="0"/>
          <w:sz w:val="24"/>
        </w:rPr>
        <w:t>Graph-based approaches — including both blockchain analytics and the GNN techniques discussed below — depend on a prerequisite: entity consolidation. In AML, entity consolidation means combining customer records that refer to the same underlying entity into a single monitoring profile, so that the full picture of that entity's behaviour is visible before analysis begins. Without entity consolidation, the transaction graph contains duplicate or fragmented nodes, and the network structure is distorted. Entity consolidation (combining entities for monitoring purposes) is distinct from entity resolution (resolving identities for investigative purposes) — both are essential to graph-based AML, and neither is delivered automatically by the analytics tools that operate downstream of them.</w:t>
      </w:r>
    </w:p>
    <w:p>
      <w:pPr>
        <w:pStyle w:val="BodyText"/>
        <w:spacing w:lineRule="auto" w:line="360" w:before="0" w:after="120"/>
        <w:ind w:firstLine="283"/>
      </w:pPr>
      <w:r>
        <w:rPr>
          <w:rFonts w:ascii="Times New Roman" w:hAnsi="Times New Roman"/>
          <w:b w:val="0"/>
          <w:i w:val="0"/>
          <w:sz w:val="24"/>
        </w:rPr>
        <w:t>Integrating blockchain analytics data also introduces new data quality challenges. Blockchain data has DQ issues that traditional banking data does not: address reuse ambiguity (an address used by multiple parties), unconfirmed transactions (present in the mempool but not yet settled on-chain), chain reorganisations (rare but capable of invalidating confirmed transaction records), and probabilistic address clustering (the analytics firm's attribution of an address to an entity is an estimate, not a fact). The author's DQ validation protocol (Lineage → Reconciliation → CDE Testing → Feedback Loop) applies to blockchain data feeds with added complexity in the Reconciliation step — the 'source of truth' for an unconfirmed transaction is not fixed until block confirmation.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10.2  </w:t>
            </w:r>
            <w:r>
              <w:rPr>
                <w:rFonts w:ascii="Times New Roman" w:hAnsi="Times New Roman"/>
                <w:b/>
                <w:i/>
                <w:sz w:val="22"/>
              </w:rPr>
              <w:t>From School to Practice</w:t>
            </w:r>
          </w:p>
          <w:p>
            <w:pPr>
              <w:spacing w:lineRule="auto" w:line="312" w:before="20" w:after="40"/>
              <w:ind w:left="113"/>
            </w:pPr>
            <w:r>
              <w:rPr>
                <w:rFonts w:ascii="Times New Roman" w:hAnsi="Times New Roman"/>
                <w:b w:val="0"/>
                <w:i w:val="0"/>
                <w:sz w:val="22"/>
              </w:rPr>
              <w:t>Graph neural networks (GNNs) extend the neural network architecture to graph-structured data — networks of nodes and edges. In a blockchain transaction graph, each address is a node and each transaction is a directed edge. A GNN can learn that a particular address is suspicious not just because of its own transaction history, but because of who it transacts with — and who those counterparties transact with in turn. This is structurally identical to the money-mule detection problem we have been working on throughout this book. The seventeen Northgate mules form a connected subgraph in the bank's transaction network. NRB-STRUCT-001 monitors individual nodes — each account in isolation. A GNN would score the subgraph structure itself, detecting the network that the individual rule cannot see. This is the distinction between account-level and network-level detection, and it is why graph analysis is a frontier capability rather than an incremental improvement to existing methods.</w:t>
            </w:r>
          </w:p>
        </w:tc>
      </w:tr>
    </w:tbl>
    <w:p>
      <w:pPr>
        <w:spacing w:lineRule="auto" w:line="240" w:before="0" w:after="160"/>
      </w:pPr>
    </w:p>
    <w:p>
      <w:pPr>
        <w:pStyle w:val="Heading2"/>
      </w:pPr>
      <w:r>
        <w:rPr>
          <w:rFonts w:ascii="Times New Roman" w:hAnsi="Times New Roman"/>
        </w:rPr>
        <w:t>10.4 The Metaverse and Virtual Economies</w:t>
      </w:r>
    </w:p>
    <w:p>
      <w:pPr>
        <w:pStyle w:val="BodyText"/>
        <w:spacing w:lineRule="auto" w:line="360" w:before="0" w:after="120"/>
        <w:ind w:firstLine="283"/>
      </w:pPr>
      <w:r>
        <w:rPr>
          <w:rFonts w:ascii="Times New Roman" w:hAnsi="Times New Roman"/>
          <w:b w:val="0"/>
          <w:i w:val="0"/>
          <w:sz w:val="24"/>
        </w:rPr>
        <w:t>Virtual economies — in-game currency systems, virtual real estate markets, NFT marketplaces — are emerging as a potential vector for money laundering. The standard analytical instinct is to map Metaverse money laundering onto the familiar three-stage model: Placement (converting criminal fiat into a virtual asset), Layering (transacting within the virtual economy to obscure origin), and Integration (converting back to fiat). This instinct, while understandable, may be analytically misleading in close-looped virtual economies — and it is the starting point of the author's published research on this topic.</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10.3  </w:t>
            </w:r>
            <w:r>
              <w:rPr>
                <w:rFonts w:ascii="Times New Roman" w:hAnsi="Times New Roman"/>
                <w:b/>
                <w:i/>
                <w:sz w:val="22"/>
              </w:rPr>
              <w:t>Author's Framework — Settle → Stake → Blend</w:t>
            </w:r>
          </w:p>
          <w:p>
            <w:pPr>
              <w:spacing w:lineRule="auto" w:line="312" w:before="20" w:after="40"/>
              <w:ind w:left="113"/>
            </w:pPr>
            <w:r>
              <w:rPr>
                <w:rFonts w:ascii="Times New Roman" w:hAnsi="Times New Roman"/>
                <w:b w:val="0"/>
                <w:i w:val="0"/>
                <w:sz w:val="22"/>
              </w:rPr>
              <w:t>In 'Reinventing AML Frameworks for the Metaverse' (Haibo Zhang), the author argues that the traditional Placement → Layering → Integration model does not adequately describe money laundering in close-looped virtual economies — environments where value can be created, transacted, and realised entirely within the virtual world without ever requiring fiat conversion. The author proposes an alternative three-stage model: Settle (acquiring a position within the virtual economy — purchasing virtual land, staking in a DeFi protocol, or establishing an in-game persona with economic capacity), Stake (using that position to generate apparent legitimate income — rental income from virtual real estate, yield from staking, or rewards from gameplay), and Blend (allowing virtual income to blend with criminal proceeds, making the mixed fund appear to have a legitimate virtual-economy origin). The Settle → Stake → Blend model describes a structurally different laundering cycle in which the criminal need not convert to and from fiat at all — value remains within the virtual economy, appreciating and generating apparent returns that obscure the criminal origin of the underlying stake.</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The regulatory implication is significant. If the traditional three-stage model does not apply, then the detection techniques designed around it — monitoring for rapid fiat-to-crypto conversion, tracking mixer usage, applying the travel rule — are not calibrated to detect this behaviour. A monitoring programme focused on conversion events will be structurally blind to laundering that occurs entirely within a close-looped economy.</w:t>
      </w:r>
    </w:p>
    <w:p>
      <w:pPr>
        <w:pStyle w:val="BodyText"/>
        <w:spacing w:lineRule="auto" w:line="360" w:before="0" w:after="120"/>
        <w:ind w:firstLine="283"/>
      </w:pPr>
      <w:r>
        <w:rPr>
          <w:rFonts w:ascii="Times New Roman" w:hAnsi="Times New Roman"/>
          <w:b w:val="0"/>
          <w:i w:val="0"/>
          <w:sz w:val="24"/>
        </w:rPr>
        <w:t>The scale of this risk is currently assessed as moderate. Virtual economies are relatively small compared to traditional financial markets, and conversion to and from fiat remains a chokepoint for most virtual economy laundering. However, as virtual economies grow in scale, as in-world assets become more liquid, and as decentralised platforms reduce the visibility of conversion events, the Settle → Stake → Blend pathway will become increasingly material.</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Box 10.4  </w:t>
            </w:r>
            <w:r>
              <w:rPr>
                <w:rFonts w:ascii="Times New Roman" w:hAnsi="Times New Roman"/>
                <w:b/>
                <w:i/>
                <w:sz w:val="22"/>
              </w:rPr>
              <w:t>The On-Chain Regulatory Compliance Framework (OCRCF) and Meta Standards</w:t>
            </w:r>
          </w:p>
          <w:p>
            <w:pPr>
              <w:spacing w:lineRule="auto" w:line="312" w:before="20" w:after="40"/>
              <w:ind w:left="113"/>
            </w:pPr>
            <w:r>
              <w:rPr>
                <w:rFonts w:ascii="Times New Roman" w:hAnsi="Times New Roman"/>
                <w:b w:val="0"/>
                <w:i w:val="0"/>
                <w:sz w:val="22"/>
              </w:rPr>
              <w:t>The author's published work proposes a regulatory model for the Metaverse: Compliance as a Service (CaaS), implemented through the On-Chain Regulatory Compliance Framework (OCRCF). Traditional regulatory models impose AML obligations on centralised intermediaries — banks, exchanges, brokers — that can be licensed, supervised, and sanctioned. In decentralised virtual economies, there may be no intermediary to bear the obligation. The OCRCF proposes that compliance obligations be embedded directly into the blockchain infrastructure as smart contracts: self-executing code that enforces AML rules at the protocol level. A transaction that violates a compliance rule is rejected by the protocol before it is recorded, rather than flagged by a surveillance system after the fact.</w:t>
            </w:r>
          </w:p>
          <w:p>
            <w:pPr>
              <w:spacing w:lineRule="auto" w:line="312" w:before="20" w:after="40"/>
              <w:ind w:left="113"/>
            </w:pPr>
            <w:r>
              <w:rPr>
                <w:rFonts w:ascii="Times New Roman" w:hAnsi="Times New Roman"/>
                <w:b w:val="0"/>
                <w:i w:val="0"/>
                <w:sz w:val="22"/>
              </w:rPr>
              <w:t>Underpinning the OCRCF is the concept of Meta Standards — global, non-governmental, virtual-economy-native AML standards with three components. The Defense Outlet is the reporting and escalation mechanism for flagged activity — the functional equivalent of a SAR, but native to the virtual economy. The Defense Oracle is the shared intelligence layer that identifies and tags suspicious addresses and entities across virtual economies — a decentralised equivalent of the blockchain analytics vendor databases described in Section 10.3.3. The Handshake Protocol is the authentication mechanism that confirms a participant's compliance status before allowing high-value transactions — the virtual equivalent of CDD at account opening.</w:t>
            </w:r>
          </w:p>
          <w:p>
            <w:pPr>
              <w:spacing w:lineRule="auto" w:line="312" w:before="20" w:after="40"/>
              <w:ind w:left="113"/>
            </w:pPr>
            <w:r>
              <w:rPr>
                <w:rFonts w:ascii="Times New Roman" w:hAnsi="Times New Roman"/>
                <w:b w:val="0"/>
                <w:i w:val="0"/>
                <w:sz w:val="22"/>
              </w:rPr>
              <w:t>Meta Standards are deliberately non-jurisdictional — designed to operate across the virtual economies of multiple countries and platforms simultaneously. This is a necessary design choice: virtual economies do not respect national borders, and a jurisdictionally-bound compliance framework cannot be effective in a globally distributed environment. The author's papers ('Reinventing AML Frameworks for the Metaverse' and 'Characteristics of Financial Crime Compliance Framework in the Blockchain Era') provide a detailed treatment of the OCRCF and Meta Standards architecture.</w:t>
            </w:r>
          </w:p>
        </w:tc>
      </w:tr>
    </w:tbl>
    <w:p>
      <w:pPr>
        <w:spacing w:lineRule="auto" w:line="240" w:before="0" w:after="160"/>
      </w:pPr>
    </w:p>
    <w:p>
      <w:pPr>
        <w:pStyle w:val="BodyText"/>
        <w:spacing w:lineRule="auto" w:line="360" w:before="0" w:after="120"/>
        <w:ind w:firstLine="283"/>
      </w:pPr>
      <w:r>
        <w:rPr>
          <w:rFonts w:ascii="Times New Roman" w:hAnsi="Times New Roman"/>
          <w:b w:val="0"/>
          <w:i w:val="0"/>
          <w:sz w:val="24"/>
        </w:rPr>
        <w:t>Analysts should monitor FATF's typology reports on virtual assets — updated annually — for the most current assessment of emerging risks in this space. The conceptual frameworks above are the author's analytical contributions to a field where regulatory consensus is still forming; they should be read as a structured basis for thinking about the problem, not as settled regulatory practice.</w:t>
      </w:r>
    </w:p>
    <w:p>
      <w:pPr>
        <w:pStyle w:val="Heading2"/>
      </w:pPr>
      <w:r>
        <w:rPr>
          <w:rFonts w:ascii="Times New Roman" w:hAnsi="Times New Roman"/>
        </w:rPr>
        <w:t>10.5 AI and Large Language Models in AML</w:t>
      </w:r>
    </w:p>
    <w:p>
      <w:pPr>
        <w:pStyle w:val="Heading3"/>
      </w:pPr>
      <w:r>
        <w:rPr>
          <w:rFonts w:ascii="Times New Roman" w:hAnsi="Times New Roman"/>
        </w:rPr>
        <w:t>10.5.1 Where AI Is Adding Value</w:t>
      </w:r>
    </w:p>
    <w:p>
      <w:pPr>
        <w:pStyle w:val="ListBullet"/>
        <w:spacing w:lineRule="auto" w:line="360" w:before="0" w:after="60"/>
      </w:pPr>
      <w:r>
        <w:rPr>
          <w:rFonts w:ascii="Times New Roman" w:hAnsi="Times New Roman"/>
          <w:b w:val="0"/>
          <w:i w:val="0"/>
          <w:sz w:val="24"/>
        </w:rPr>
        <w:t>SAR narrative generation: large language models can draft SAR narratives from structured case data, reducing analyst time on administrative tasks. Human review of the draft remains essential — the analyst is responsible for accuracy, not the model. An LLM used for SAR narrative drafting is a model under SR 26-2 (US) and PRA SS1/23 (UK) and requires model inventory registration, validation, and governance documentation — even if it is marketed as a productivity tool rather than a detection model. The five-pillar framework from Chapter 9 applies: purpose, methodology, data quality, methodology validation, and documentation are all required.</w:t>
      </w:r>
    </w:p>
    <w:p>
      <w:pPr>
        <w:pStyle w:val="ListBullet"/>
        <w:spacing w:lineRule="auto" w:line="360" w:before="0" w:after="60"/>
      </w:pPr>
      <w:r>
        <w:rPr>
          <w:rFonts w:ascii="Times New Roman" w:hAnsi="Times New Roman"/>
          <w:b w:val="0"/>
          <w:i w:val="0"/>
          <w:sz w:val="24"/>
        </w:rPr>
        <w:t>Regulatory text analysis: LLMs can parse lengthy regulatory guidance and extract obligations, red flags, and definitions at scale — automating the first step of the coverage assessment process from Chapter 7.</w:t>
      </w:r>
    </w:p>
    <w:p>
      <w:pPr>
        <w:pStyle w:val="ListBullet"/>
        <w:spacing w:lineRule="auto" w:line="360" w:before="0" w:after="60"/>
      </w:pPr>
      <w:r>
        <w:rPr>
          <w:rFonts w:ascii="Times New Roman" w:hAnsi="Times New Roman"/>
          <w:b w:val="0"/>
          <w:i w:val="0"/>
          <w:sz w:val="24"/>
        </w:rPr>
        <w:t>Customer risk assessment: ML models trained on CDD data can produce more nuanced customer risk ratings than rule-based CRR models, incorporating a wider range of signals.</w:t>
      </w:r>
    </w:p>
    <w:p>
      <w:pPr>
        <w:pStyle w:val="ListBullet"/>
        <w:spacing w:lineRule="auto" w:line="360" w:before="0" w:after="60"/>
      </w:pPr>
      <w:r>
        <w:rPr>
          <w:rFonts w:ascii="Times New Roman" w:hAnsi="Times New Roman"/>
          <w:b w:val="0"/>
          <w:i w:val="0"/>
          <w:sz w:val="24"/>
        </w:rPr>
        <w:t>Real-time monitoring: streaming ML models applied to transaction data as it is generated — rather than in nightly batch runs — can dramatically reduce the time between suspicious activity and alert generation.</w:t>
      </w:r>
    </w:p>
    <w:p>
      <w:pPr>
        <w:pStyle w:val="Heading3"/>
      </w:pPr>
      <w:r>
        <w:rPr>
          <w:rFonts w:ascii="Times New Roman" w:hAnsi="Times New Roman"/>
        </w:rPr>
        <w:t>10.5.2 The Adversarial Dimension</w:t>
      </w:r>
    </w:p>
    <w:p>
      <w:pPr>
        <w:pStyle w:val="BodyText"/>
        <w:spacing w:lineRule="auto" w:line="360" w:before="0" w:after="120"/>
        <w:ind w:firstLine="283"/>
      </w:pPr>
      <w:r>
        <w:rPr>
          <w:rFonts w:ascii="Times New Roman" w:hAnsi="Times New Roman"/>
          <w:b w:val="0"/>
          <w:i w:val="0"/>
          <w:sz w:val="24"/>
        </w:rPr>
        <w:t>AI is available to criminals as well as compliance functions. The adversarial dimension of AML is evolving rapidly.</w:t>
      </w:r>
    </w:p>
    <w:p>
      <w:pPr>
        <w:pStyle w:val="ListBullet"/>
        <w:spacing w:lineRule="auto" w:line="360" w:before="0" w:after="60"/>
      </w:pPr>
      <w:r>
        <w:rPr>
          <w:rFonts w:ascii="Times New Roman" w:hAnsi="Times New Roman"/>
          <w:b w:val="0"/>
          <w:i w:val="0"/>
          <w:sz w:val="24"/>
        </w:rPr>
        <w:t>Probing detection rules: A sophisticated criminal operation can probe a bank's detection rules by conducting test transactions just below known thresholds. AI can automate this probing at scale, identifying detection gaps far more efficiently than manual experimentation.</w:t>
      </w:r>
    </w:p>
    <w:p>
      <w:pPr>
        <w:pStyle w:val="ListBullet"/>
        <w:spacing w:lineRule="auto" w:line="360" w:before="0" w:after="60"/>
      </w:pPr>
      <w:r>
        <w:rPr>
          <w:rFonts w:ascii="Times New Roman" w:hAnsi="Times New Roman"/>
          <w:b w:val="0"/>
          <w:i w:val="0"/>
          <w:sz w:val="24"/>
        </w:rPr>
        <w:t>Synthetic identity fraud: Generative AI can produce convincing synthetic identities — with fabricated documents, social media histories, and financial records — that pass CDD checks. The money mule of 2030 may not be a real person.</w:t>
      </w:r>
    </w:p>
    <w:p>
      <w:pPr>
        <w:pStyle w:val="ListBullet"/>
        <w:spacing w:lineRule="auto" w:line="360" w:before="0" w:after="60"/>
      </w:pPr>
      <w:r>
        <w:rPr>
          <w:rFonts w:ascii="Times New Roman" w:hAnsi="Times New Roman"/>
          <w:b w:val="0"/>
          <w:i w:val="0"/>
          <w:sz w:val="24"/>
        </w:rPr>
        <w:t>Adaptive money laundering: ML models can be trained to evade detection by a specific TM system, if the adversary has sufficient visibility into the system's behaviour. This is a long-term systemic risk rather than an immediate operational one — but it underlines why the analytics profession must stay ahead of the technology curve.</w:t>
      </w:r>
    </w:p>
    <w:p>
      <w:pPr>
        <w:pStyle w:val="Heading2"/>
      </w:pPr>
      <w:r>
        <w:rPr>
          <w:rFonts w:ascii="Times New Roman" w:hAnsi="Times New Roman"/>
        </w:rPr>
        <w:t>10.6 The Future of the AML Analytics Profession</w:t>
      </w:r>
    </w:p>
    <w:p>
      <w:pPr>
        <w:pStyle w:val="BodyText"/>
        <w:spacing w:lineRule="auto" w:line="360" w:before="0" w:after="120"/>
        <w:ind w:firstLine="283"/>
      </w:pPr>
      <w:r>
        <w:rPr>
          <w:rFonts w:ascii="Times New Roman" w:hAnsi="Times New Roman"/>
          <w:b w:val="0"/>
          <w:i w:val="0"/>
          <w:sz w:val="24"/>
        </w:rPr>
        <w:t>The skills that define an excellent AML analyst in 2026 are not identical to those that will define one in 2031. The core judgement — understanding risk, evaluating evidence, making defensible decisions — is permanent. The technical toolkit is evolving.</w:t>
      </w:r>
    </w:p>
    <w:p>
      <w:pPr>
        <w:spacing w:lineRule="auto" w:line="240" w:before="60" w:after="120"/>
        <w:ind w:firstLine="0"/>
        <w:jc w:val="left"/>
      </w:pPr>
      <w:r>
        <w:rPr>
          <w:rFonts w:ascii="Times New Roman" w:hAnsi="Times New Roman"/>
          <w:b w:val="0"/>
          <w:i/>
          <w:sz w:val="20"/>
        </w:rPr>
        <w:t>Table 10.2  Skill Area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Skill Area</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Current State</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Direction of Travel</w:t>
            </w:r>
          </w:p>
        </w:tc>
      </w:tr>
      <w:tr>
        <w:tc>
          <w:tcPr>
            <w:tcW w:w="3024" w:type="dxa"/>
          </w:tcPr>
          <w:p>
            <w:pPr>
              <w:spacing w:lineRule="auto" w:line="288" w:before="60" w:after="60"/>
              <w:ind w:left="57" w:right="57"/>
            </w:pPr>
            <w:r>
              <w:rPr>
                <w:rFonts w:ascii="Times New Roman" w:hAnsi="Times New Roman"/>
                <w:b w:val="0"/>
                <w:i w:val="0"/>
                <w:sz w:val="20"/>
              </w:rPr>
              <w:t>Statistical modelling</w:t>
            </w:r>
          </w:p>
        </w:tc>
        <w:tc>
          <w:tcPr>
            <w:tcW w:w="3024" w:type="dxa"/>
          </w:tcPr>
          <w:p>
            <w:pPr>
              <w:spacing w:lineRule="auto" w:line="288" w:before="60" w:after="60"/>
              <w:ind w:left="57" w:right="57"/>
            </w:pPr>
            <w:r>
              <w:rPr>
                <w:rFonts w:ascii="Times New Roman" w:hAnsi="Times New Roman"/>
                <w:b w:val="0"/>
                <w:i w:val="0"/>
                <w:sz w:val="20"/>
              </w:rPr>
              <w:t>K-Means, hypergeometric sampling, regression — well-established in most teams.</w:t>
            </w:r>
          </w:p>
        </w:tc>
        <w:tc>
          <w:tcPr>
            <w:tcW w:w="3024" w:type="dxa"/>
          </w:tcPr>
          <w:p>
            <w:pPr>
              <w:spacing w:lineRule="auto" w:line="288" w:before="60" w:after="60"/>
              <w:ind w:left="57" w:right="57"/>
            </w:pPr>
            <w:r>
              <w:rPr>
                <w:rFonts w:ascii="Times New Roman" w:hAnsi="Times New Roman"/>
                <w:b w:val="0"/>
                <w:i w:val="0"/>
                <w:sz w:val="20"/>
              </w:rPr>
              <w:t>Graph analytics, network analysis, and streaming statistics will become standard requirements.</w:t>
            </w:r>
          </w:p>
        </w:tc>
      </w:tr>
      <w:tr>
        <w:tc>
          <w:tcPr>
            <w:tcW w:w="3024" w:type="dxa"/>
          </w:tcPr>
          <w:p>
            <w:pPr>
              <w:spacing w:lineRule="auto" w:line="288" w:before="60" w:after="60"/>
              <w:ind w:left="57" w:right="57"/>
            </w:pPr>
            <w:r>
              <w:rPr>
                <w:rFonts w:ascii="Times New Roman" w:hAnsi="Times New Roman"/>
                <w:b w:val="0"/>
                <w:i w:val="0"/>
                <w:sz w:val="20"/>
              </w:rPr>
              <w:t>Machine learning</w:t>
            </w:r>
          </w:p>
        </w:tc>
        <w:tc>
          <w:tcPr>
            <w:tcW w:w="3024" w:type="dxa"/>
          </w:tcPr>
          <w:p>
            <w:pPr>
              <w:spacing w:lineRule="auto" w:line="288" w:before="60" w:after="60"/>
              <w:ind w:left="57" w:right="57"/>
            </w:pPr>
            <w:r>
              <w:rPr>
                <w:rFonts w:ascii="Times New Roman" w:hAnsi="Times New Roman"/>
                <w:b w:val="0"/>
                <w:i w:val="0"/>
                <w:sz w:val="20"/>
              </w:rPr>
              <w:t>Isolation Forest, gradient boosting — increasingly deployed but often without adequate governance.</w:t>
            </w:r>
          </w:p>
        </w:tc>
        <w:tc>
          <w:tcPr>
            <w:tcW w:w="3024" w:type="dxa"/>
          </w:tcPr>
          <w:p>
            <w:pPr>
              <w:spacing w:lineRule="auto" w:line="288" w:before="60" w:after="60"/>
              <w:ind w:left="57" w:right="57"/>
            </w:pPr>
            <w:r>
              <w:rPr>
                <w:rFonts w:ascii="Times New Roman" w:hAnsi="Times New Roman"/>
                <w:b w:val="0"/>
                <w:i w:val="0"/>
                <w:sz w:val="20"/>
              </w:rPr>
              <w:t>GNNs, transformer-based models, and federated learning (for cross-institution monitoring) will enter production.</w:t>
            </w:r>
          </w:p>
        </w:tc>
      </w:tr>
      <w:tr>
        <w:tc>
          <w:tcPr>
            <w:tcW w:w="3024" w:type="dxa"/>
          </w:tcPr>
          <w:p>
            <w:pPr>
              <w:spacing w:lineRule="auto" w:line="288" w:before="60" w:after="60"/>
              <w:ind w:left="57" w:right="57"/>
            </w:pPr>
            <w:r>
              <w:rPr>
                <w:rFonts w:ascii="Times New Roman" w:hAnsi="Times New Roman"/>
                <w:b w:val="0"/>
                <w:i w:val="0"/>
                <w:sz w:val="20"/>
              </w:rPr>
              <w:t>Regulatory knowledge</w:t>
            </w:r>
          </w:p>
        </w:tc>
        <w:tc>
          <w:tcPr>
            <w:tcW w:w="3024" w:type="dxa"/>
          </w:tcPr>
          <w:p>
            <w:pPr>
              <w:spacing w:lineRule="auto" w:line="288" w:before="60" w:after="60"/>
              <w:ind w:left="57" w:right="57"/>
            </w:pPr>
            <w:r>
              <w:rPr>
                <w:rFonts w:ascii="Times New Roman" w:hAnsi="Times New Roman"/>
                <w:b w:val="0"/>
                <w:i w:val="0"/>
                <w:sz w:val="20"/>
              </w:rPr>
              <w:t>Focus on domestic jurisdiction (US/UK/EU/Singapore).</w:t>
            </w:r>
          </w:p>
        </w:tc>
        <w:tc>
          <w:tcPr>
            <w:tcW w:w="3024" w:type="dxa"/>
          </w:tcPr>
          <w:p>
            <w:pPr>
              <w:spacing w:lineRule="auto" w:line="288" w:before="60" w:after="60"/>
              <w:ind w:left="57" w:right="57"/>
            </w:pPr>
            <w:r>
              <w:rPr>
                <w:rFonts w:ascii="Times New Roman" w:hAnsi="Times New Roman"/>
                <w:b w:val="0"/>
                <w:i w:val="0"/>
                <w:sz w:val="20"/>
              </w:rPr>
              <w:t>Cross-jurisdictional complexity will increase as crypto, DeFi, and embedded finance create multi-regulatory operating environments.</w:t>
            </w:r>
          </w:p>
        </w:tc>
      </w:tr>
      <w:tr>
        <w:tc>
          <w:tcPr>
            <w:tcW w:w="3024" w:type="dxa"/>
          </w:tcPr>
          <w:p>
            <w:pPr>
              <w:spacing w:lineRule="auto" w:line="288" w:before="60" w:after="60"/>
              <w:ind w:left="57" w:right="57"/>
            </w:pPr>
            <w:r>
              <w:rPr>
                <w:rFonts w:ascii="Times New Roman" w:hAnsi="Times New Roman"/>
                <w:b w:val="0"/>
                <w:i w:val="0"/>
                <w:sz w:val="20"/>
              </w:rPr>
              <w:t>AI governance</w:t>
            </w:r>
          </w:p>
        </w:tc>
        <w:tc>
          <w:tcPr>
            <w:tcW w:w="3024" w:type="dxa"/>
          </w:tcPr>
          <w:p>
            <w:pPr>
              <w:spacing w:lineRule="auto" w:line="288" w:before="60" w:after="60"/>
              <w:ind w:left="57" w:right="57"/>
            </w:pPr>
            <w:r>
              <w:rPr>
                <w:rFonts w:ascii="Times New Roman" w:hAnsi="Times New Roman"/>
                <w:b w:val="0"/>
                <w:i w:val="0"/>
                <w:sz w:val="20"/>
              </w:rPr>
              <w:t>Emerging — most teams are building model inventories and validation frameworks for the first time.</w:t>
            </w:r>
          </w:p>
        </w:tc>
        <w:tc>
          <w:tcPr>
            <w:tcW w:w="3024" w:type="dxa"/>
          </w:tcPr>
          <w:p>
            <w:pPr>
              <w:spacing w:lineRule="auto" w:line="288" w:before="60" w:after="60"/>
              <w:ind w:left="57" w:right="57"/>
            </w:pPr>
            <w:r>
              <w:rPr>
                <w:rFonts w:ascii="Times New Roman" w:hAnsi="Times New Roman"/>
                <w:b w:val="0"/>
                <w:i w:val="0"/>
                <w:sz w:val="20"/>
              </w:rPr>
              <w:t>AI auditing, algorithmic bias testing, and explainability documentation will become standard job requirements.</w:t>
            </w:r>
          </w:p>
        </w:tc>
      </w:tr>
      <w:tr>
        <w:tc>
          <w:tcPr>
            <w:tcW w:w="3024" w:type="dxa"/>
          </w:tcPr>
          <w:p>
            <w:pPr>
              <w:spacing w:lineRule="auto" w:line="288" w:before="60" w:after="60"/>
              <w:ind w:left="57" w:right="57"/>
            </w:pPr>
            <w:r>
              <w:rPr>
                <w:rFonts w:ascii="Times New Roman" w:hAnsi="Times New Roman"/>
                <w:b w:val="0"/>
                <w:i w:val="0"/>
                <w:sz w:val="20"/>
              </w:rPr>
              <w:t>Data engineering</w:t>
            </w:r>
          </w:p>
        </w:tc>
        <w:tc>
          <w:tcPr>
            <w:tcW w:w="3024" w:type="dxa"/>
          </w:tcPr>
          <w:p>
            <w:pPr>
              <w:spacing w:lineRule="auto" w:line="288" w:before="60" w:after="60"/>
              <w:ind w:left="57" w:right="57"/>
            </w:pPr>
            <w:r>
              <w:rPr>
                <w:rFonts w:ascii="Times New Roman" w:hAnsi="Times New Roman"/>
                <w:b w:val="0"/>
                <w:i w:val="0"/>
                <w:sz w:val="20"/>
              </w:rPr>
              <w:t>Basic SQL and Python for data extraction and analysis.</w:t>
            </w:r>
          </w:p>
        </w:tc>
        <w:tc>
          <w:tcPr>
            <w:tcW w:w="3024" w:type="dxa"/>
          </w:tcPr>
          <w:p>
            <w:pPr>
              <w:spacing w:lineRule="auto" w:line="288" w:before="60" w:after="60"/>
              <w:ind w:left="57" w:right="57"/>
            </w:pPr>
            <w:r>
              <w:rPr>
                <w:rFonts w:ascii="Times New Roman" w:hAnsi="Times New Roman"/>
                <w:b w:val="0"/>
                <w:i w:val="0"/>
                <w:sz w:val="20"/>
              </w:rPr>
              <w:t>Real-time streaming (Kafka, Spark), graph databases (Neo4j), and blockchain data integration will be required skills.</w:t>
            </w:r>
          </w:p>
        </w:tc>
      </w:tr>
    </w:tbl>
    <w:p>
      <w:pPr>
        <w:spacing w:lineRule="auto" w:line="240" w:before="0" w:after="200"/>
      </w:pPr>
    </w:p>
    <w:p>
      <w:pPr>
        <w:pStyle w:val="Heading2"/>
      </w:pPr>
      <w:r>
        <w:rPr>
          <w:rFonts w:ascii="Times New Roman" w:hAnsi="Times New Roman"/>
        </w:rPr>
        <w:t>10.7 Risk Considerations</w:t>
      </w:r>
    </w:p>
    <w:p>
      <w:pPr>
        <w:pStyle w:val="ListBullet"/>
        <w:spacing w:lineRule="auto" w:line="360" w:before="0" w:after="60"/>
      </w:pPr>
      <w:r>
        <w:rPr>
          <w:rFonts w:ascii="Times New Roman" w:hAnsi="Times New Roman"/>
          <w:b w:val="0"/>
          <w:i w:val="0"/>
          <w:sz w:val="24"/>
        </w:rPr>
        <w:t>Technology risk in AML systems: Advanced AI systems introduce new model risks: more complex failure modes, harder-to-detect bias, and greater dependence on data pipeline integrity. The five-pillar validation framework from Chapter 9 applies with even greater force to AI-driven TM systems.</w:t>
      </w:r>
    </w:p>
    <w:p>
      <w:pPr>
        <w:pStyle w:val="ListBullet"/>
        <w:spacing w:lineRule="auto" w:line="360" w:before="0" w:after="60"/>
      </w:pPr>
      <w:r>
        <w:rPr>
          <w:rFonts w:ascii="Times New Roman" w:hAnsi="Times New Roman"/>
          <w:b w:val="0"/>
          <w:i w:val="0"/>
          <w:sz w:val="24"/>
        </w:rPr>
        <w:t>Regulatory lag: The regulatory framework consistently lags the technology. AMLD 5 addressed crypto assets in 2018, seven years after Bitcoin became widely used. Analysts and their institutions must act in the gap: apply the spirit of existing obligations to new technologies before explicit guidance arrives. Waiting for a regulation to be published before treating a new financial product with AML seriousness is not a defensible position — it is a predictable gap that examiners will flag as a failure of risk management judgement.</w:t>
      </w:r>
    </w:p>
    <w:p>
      <w:pPr>
        <w:pStyle w:val="ListBullet"/>
        <w:spacing w:lineRule="auto" w:line="360" w:before="0" w:after="60"/>
      </w:pPr>
      <w:r>
        <w:rPr>
          <w:rFonts w:ascii="Times New Roman" w:hAnsi="Times New Roman"/>
          <w:b w:val="0"/>
          <w:i w:val="0"/>
          <w:sz w:val="24"/>
        </w:rPr>
        <w:t>Over-reliance on external tools: Blockchain analytics tools from Chainalysis, Elliptic, and TRM Labs are powerful but imperfect. They make probabilistic assessments of address ownership that carry significant uncertainty. Treating their outputs as definitive findings — rather than as inputs to human investigation — is a governance failure.</w:t>
      </w:r>
    </w:p>
    <w:p>
      <w:pPr>
        <w:pStyle w:val="ListBullet"/>
        <w:spacing w:lineRule="auto" w:line="360" w:before="0" w:after="60"/>
      </w:pPr>
      <w:r>
        <w:rPr>
          <w:rFonts w:ascii="Times New Roman" w:hAnsi="Times New Roman"/>
          <w:b w:val="0"/>
          <w:i w:val="0"/>
          <w:sz w:val="24"/>
        </w:rPr>
        <w:t>The explainability imperative: As AI models become more complex, the pressure for explainability will increase, not decrease. Regulators, courts, and customers will demand clear explanations for adverse decisions. The analyst who can explain their model's reasoning in plain English will be more valuable than the analyst who can only improve its accuracy metric.</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 xml:space="preserve">Key Takeaways 10.5  </w:t>
            </w:r>
            <w:r>
              <w:rPr>
                <w:rFonts w:ascii="Times New Roman" w:hAnsi="Times New Roman"/>
                <w:b/>
                <w:i/>
                <w:sz w:val="22"/>
              </w:rPr>
              <w:t>Key Takeaways</w:t>
            </w:r>
          </w:p>
          <w:p>
            <w:pPr>
              <w:spacing w:lineRule="auto" w:line="312" w:before="20" w:after="40"/>
              <w:ind w:left="113"/>
            </w:pPr>
            <w:r>
              <w:rPr>
                <w:rFonts w:ascii="Times New Roman" w:hAnsi="Times New Roman"/>
                <w:b w:val="0"/>
                <w:i w:val="0"/>
                <w:sz w:val="22"/>
              </w:rPr>
              <w:t>FinTech fragmentation, crypto assets, Neobanks, and embedded finance create cross-institutional monitoring gaps that no single institution can close alone. The regulatory perimeter is expanding to cover these participants — institutions should not wait for the regulation to arrive.</w:t>
            </w:r>
          </w:p>
          <w:p>
            <w:pPr>
              <w:spacing w:lineRule="auto" w:line="312" w:before="20" w:after="40"/>
              <w:ind w:left="113"/>
            </w:pPr>
            <w:r>
              <w:rPr>
                <w:rFonts w:ascii="Times New Roman" w:hAnsi="Times New Roman"/>
                <w:b w:val="0"/>
                <w:i w:val="0"/>
                <w:sz w:val="22"/>
              </w:rPr>
              <w:t>Blockchain is pseudonymous, not anonymous. KYT (Know Your Transaction) is a supplement to KYC, not a substitute. The core problem remains beneficial ownership. Blockchain analytics tools trace flows — but require entity consolidation and the same governance discipline as any other AML model.</w:t>
            </w:r>
          </w:p>
          <w:p>
            <w:pPr>
              <w:spacing w:lineRule="auto" w:line="312" w:before="20" w:after="40"/>
              <w:ind w:left="113"/>
            </w:pPr>
            <w:r>
              <w:rPr>
                <w:rFonts w:ascii="Times New Roman" w:hAnsi="Times New Roman"/>
                <w:b w:val="0"/>
                <w:i w:val="0"/>
                <w:sz w:val="22"/>
              </w:rPr>
              <w:t>The traditional Placement → Layering → Integration model may not apply in close-looped virtual economies. The Settle → Stake → Blend alternative, the OCRCF, and the Meta Standards framework (Defense Outlet, Defense Oracle, Handshake Protocol) represent the author's published contribution to this emerging field.</w:t>
            </w:r>
          </w:p>
          <w:p>
            <w:pPr>
              <w:spacing w:lineRule="auto" w:line="312" w:before="20" w:after="40"/>
              <w:ind w:left="113"/>
            </w:pPr>
            <w:r>
              <w:rPr>
                <w:rFonts w:ascii="Times New Roman" w:hAnsi="Times New Roman"/>
                <w:b w:val="0"/>
                <w:i w:val="0"/>
                <w:sz w:val="22"/>
              </w:rPr>
              <w:t>AI is available to both compliance functions and criminals. SAR narrative LLMs, real-time streaming models, and GNNs are all models under SR 26-2 (US) and PRA SS1/23 (UK) — they require governance regardless of how they are marketed.</w:t>
            </w:r>
          </w:p>
          <w:p>
            <w:pPr>
              <w:spacing w:lineRule="auto" w:line="312" w:before="20" w:after="40"/>
              <w:ind w:left="113"/>
            </w:pPr>
            <w:r>
              <w:rPr>
                <w:rFonts w:ascii="Times New Roman" w:hAnsi="Times New Roman"/>
                <w:b w:val="0"/>
                <w:i w:val="0"/>
                <w:sz w:val="22"/>
              </w:rPr>
              <w:t>Graph neural networks represent one of the most significant methodological advances for AML — they can detect network-level suspicion that rule-based and individual-account ML approaches structurally cannot. Entity consolidation is the prerequisite; without it, the graph is distorted before analysis begins.</w:t>
            </w:r>
          </w:p>
          <w:p>
            <w:pPr>
              <w:spacing w:lineRule="auto" w:line="312" w:before="20" w:after="40"/>
              <w:ind w:left="113"/>
            </w:pPr>
            <w:r>
              <w:rPr>
                <w:rFonts w:ascii="Times New Roman" w:hAnsi="Times New Roman"/>
                <w:b w:val="0"/>
                <w:i w:val="0"/>
                <w:sz w:val="22"/>
              </w:rPr>
              <w:t>The five-pillar model validation framework applies with greater, not lesser, force to AI-driven TM systems. The analyst who can explain model reasoning in plain English will be more valuable than the one who can only improve its accuracy metric.</w:t>
            </w:r>
          </w:p>
          <w:p>
            <w:pPr>
              <w:spacing w:lineRule="auto" w:line="312" w:before="20" w:after="40"/>
              <w:ind w:left="113"/>
            </w:pPr>
            <w:r>
              <w:rPr>
                <w:rFonts w:ascii="Times New Roman" w:hAnsi="Times New Roman"/>
                <w:b w:val="0"/>
                <w:i w:val="0"/>
                <w:sz w:val="22"/>
              </w:rPr>
              <w:t>An institution that can evaluate and incorporate new analytical technologies — graph analytics, blockchain data feeds, AI-driven triage — through its existing governance and validation framework, without requiring a transformation programme for each one, has reached the Matured stage of the TM lifecycle maturity model.</w:t>
            </w:r>
          </w:p>
        </w:tc>
      </w:tr>
    </w:tbl>
    <w:p>
      <w:pPr>
        <w:spacing w:lineRule="auto" w:line="240" w:before="0" w:after="16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10.1 — Redesigning the Northgate Scenario for Crypto Money Mules  [Advanced]</w:t>
            </w:r>
          </w:p>
          <w:p>
            <w:pPr>
              <w:spacing w:lineRule="auto" w:line="312" w:before="20" w:after="40"/>
              <w:ind w:left="113"/>
            </w:pPr>
            <w:r>
              <w:rPr>
                <w:rFonts w:ascii="Times New Roman" w:hAnsi="Times New Roman"/>
                <w:b w:val="0"/>
                <w:i w:val="0"/>
                <w:sz w:val="22"/>
              </w:rPr>
              <w:t>Recap: In Exercise 9.1 you validated the Northgate model suite against the five pillars. The investigation has now revealed a new development: the mule network has begun routing funds through a crypto exchange before converting back to fiat. The exchange is registered in a jurisdiction with weak AML controls.</w:t>
            </w:r>
          </w:p>
        </w:tc>
      </w:tr>
    </w:tbl>
    <w:p>
      <w:pPr>
        <w:spacing w:lineRule="auto" w:line="240" w:before="0" w:after="8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A — Data Requirements: Identify the new data sources the bank would need to detect the crypto-routing pattern. For each, describe: what the data contains, how the bank would obtain it (internal systems, third-party provider, or regulatory sharing), and the practical barriers to obtaining it in real time.</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B — Hybrid Rule Design: Redesign NRB-STRUCT-001 as a hybrid scenario (NRB-STRUCT-002) that detects the following pattern: (1) multiple cash deposits below the reporting threshold in a 30-day window (the original structuring pattern), (2) rapid outward transfer to an address associated with a crypto exchange within 72 hours, (3) an inward transfer from a different crypto exchange or fiat ramp within 14 days. Write the full rule specification using the methodology from Chapter 4, including typology, red flags, logic, parameters, customer scope, and limitations.</w:t>
            </w:r>
          </w:p>
        </w:tc>
      </w:tr>
    </w:tbl>
    <w:p>
      <w:pPr>
        <w:spacing w:lineRule="auto" w:line="240" w:before="0" w:after="60"/>
      </w:pPr>
    </w:p>
    <w:tbl>
      <w:tblPr>
        <w:tblLayout w:type="fixed"/>
        <w:tblLook w:firstColumn="1" w:firstRow="1" w:lastColumn="0" w:lastRow="0" w:noHBand="0" w:noVBand="1" w:val="04A0"/>
        <w:tblW w:w="8845" w:type="dxa"/>
        <w:tblBorders>
          <w:top w:val="none" w:sz="0" w:space="0" w:color="auto"/>
          <w:bottom w:val="none" w:sz="0" w:space="0" w:color="auto"/>
          <w:right w:val="none" w:sz="0" w:space="0" w:color="auto"/>
          <w:insideH w:val="none" w:sz="0" w:space="0" w:color="auto"/>
          <w:insideV w:val="none" w:sz="0" w:space="0" w:color="auto"/>
          <w:left w:val="single" w:sz="8" w:space="4" w:color="455A64"/>
        </w:tblBorders>
        <w:tblInd w:w="226" w:type="dxa"/>
      </w:tblPr>
      <w:tblGrid>
        <w:gridCol w:w="9072"/>
      </w:tblGrid>
      <w:tr>
        <w:tc>
          <w:tcPr>
            <w:tcW w:w="8845" w:type="dxa"/>
          </w:tcPr>
          <w:p>
            <w:pPr>
              <w:spacing w:lineRule="auto" w:line="276" w:before="80" w:after="60"/>
              <w:ind w:left="170"/>
            </w:pPr>
            <w:r>
              <w:rPr>
                <w:rFonts w:ascii="Times New Roman" w:hAnsi="Times New Roman"/>
                <w:b/>
                <w:i w:val="0"/>
                <w:sz w:val="22"/>
              </w:rPr>
              <w:t>Part C — Vendor Requirements: You have been asked to evaluate blockchain analytics tools to support NRB-STRUCT-002. Write a one-page vendor requirements specification. If you have not written a vendor requirements document before, use the following structure: Background (one paragraph explaining why the bank needs the tool and what regulatory obligation it supports), Functional Requirements (a numbered list of specific capabilities the tool must have), Non-Functional Requirements (governance documentation the vendor must provide — model methodology disclosure, data lineage, SLA, regulatory examination support), and Evaluation Criteria (how you will score competing vendors). Your specification should cover at minimum: required blockchain coverage, address clustering methodology and validation approach, sanctioned entity list update frequency, API integration specification, and SR 26-2 (US) / PRA SS1/23 (UK) compliance documentation requirements.</w:t>
            </w:r>
          </w:p>
          <w:p>
            <w:pPr>
              <w:spacing w:lineRule="auto" w:line="312" w:before="20" w:after="40"/>
              <w:ind w:left="170"/>
            </w:pPr>
            <w:r>
              <w:rPr>
                <w:rFonts w:ascii="Times New Roman" w:hAnsi="Times New Roman"/>
                <w:b w:val="0"/>
                <w:i w:val="0"/>
                <w:sz w:val="22"/>
              </w:rPr>
              <w:t>Discussion: The mule network has now adapted to the rule you designed in Chapter 4. What does this tell you about the limitations of rule-based monitoring? How does this strengthen the case for the ML-based approaches from Chapter 8? Is there a monitoring approach that is genuinely adaptive rather than merely reactive?</w:t>
            </w:r>
          </w:p>
          <w:p>
            <w:pPr>
              <w:spacing w:lineRule="auto" w:line="312" w:before="20" w:after="40"/>
              <w:ind w:left="170"/>
            </w:pPr>
            <w:r>
              <w:rPr>
                <w:rFonts w:ascii="Times New Roman" w:hAnsi="Times New Roman"/>
                <w:b w:val="0"/>
                <w:i w:val="0"/>
                <w:sz w:val="22"/>
              </w:rPr>
              <w:t>See the Instructor's Solutions Manual for worked answers and a full sample vendor requirements specification.</w:t>
            </w:r>
          </w:p>
        </w:tc>
      </w:tr>
    </w:tbl>
    <w:p>
      <w:pPr>
        <w:spacing w:lineRule="auto" w:line="240" w:before="0" w:after="6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10.2 — Meridian Trading Ltd: The Full Network in One Graph  [Applied]</w:t>
            </w:r>
          </w:p>
          <w:p>
            <w:pPr>
              <w:spacing w:lineRule="auto" w:line="312" w:before="20" w:after="40"/>
              <w:ind w:left="113"/>
            </w:pPr>
            <w:r>
              <w:rPr>
                <w:rFonts w:ascii="Times New Roman" w:hAnsi="Times New Roman"/>
                <w:b w:val="0"/>
                <w:i w:val="0"/>
                <w:sz w:val="22"/>
              </w:rPr>
              <w:t>The investigation has evolved. The GNN from Section 10.3.3 now reveals a three-layer subgraph: Layer 1 — the six Northgate mule accounts (retail cash structuring, placement); Layer 2 — Meridian Trading Ltd (TBML, over-invoicing, layering); Layer 3 — a cluster of crypto wallet addresses connected to Meridian's principals, routed through the same weak-AML-jurisdiction exchange identified in Parts A and B (integration/obfuscation). This is the complete Northgate → Meridian → Crypto arc — the full three-stage ML cycle visible in a single graph.</w:t>
            </w:r>
          </w:p>
          <w:p>
            <w:pPr>
              <w:spacing w:lineRule="auto" w:line="312" w:before="20" w:after="40"/>
              <w:ind w:left="113"/>
            </w:pPr>
            <w:r>
              <w:rPr>
                <w:rFonts w:ascii="Times New Roman" w:hAnsi="Times New Roman"/>
                <w:b w:val="0"/>
                <w:i w:val="0"/>
                <w:sz w:val="22"/>
              </w:rPr>
              <w:t>Apply the Settle → Stake → Blend framework from Section 10.4 to the full three-layer arc. Map each layer to a stage: which layer corresponds to Settle (placement), which to Stake (layering/consolidation), which to Blend (integration/obfuscation)? For each layer, identify the specific detection technique from this book that is best suited to detect it — and name the chapter in which that technique was introduced.</w:t>
            </w:r>
          </w:p>
          <w:p>
            <w:pPr>
              <w:spacing w:lineRule="auto" w:line="312" w:before="20" w:after="40"/>
              <w:ind w:left="113"/>
            </w:pPr>
            <w:r>
              <w:rPr>
                <w:rFonts w:ascii="Times New Roman" w:hAnsi="Times New Roman"/>
                <w:b w:val="0"/>
                <w:i w:val="0"/>
                <w:sz w:val="22"/>
              </w:rPr>
              <w:t>The GNN requires new data for Layer 3 (on-chain wallet transactions). Apply the DQ four-step protocol (from Chapter 3 and Chapter 9) to the blockchain data feed. What are the CDE/KDEs for a crypto GNN node? What new lineage challenges does on-chain data introduce compared to the retail transaction feed used in earlier chapters?</w:t>
            </w:r>
          </w:p>
          <w:p>
            <w:pPr>
              <w:spacing w:lineRule="auto" w:line="312" w:before="20" w:after="40"/>
              <w:ind w:left="113"/>
            </w:pPr>
            <w:r>
              <w:rPr>
                <w:rFonts w:ascii="Times New Roman" w:hAnsi="Times New Roman"/>
                <w:b w:val="0"/>
                <w:i w:val="0"/>
                <w:sz w:val="22"/>
              </w:rPr>
              <w:t>At what maturity stage (Nascent / Basic / Established / Advanced / Matured) is a Transaction Monitoring Framework that can detect Layer 1 and Layer 2 but not Layer 3? What single investment would move it to the next maturity stage — in terms of data, models, or governance? Be specific: name the technology, the data source, and the governance prerequisite.</w:t>
            </w:r>
          </w:p>
        </w:tc>
      </w:tr>
    </w:tbl>
    <w:p>
      <w:pPr>
        <w:spacing w:lineRule="auto" w:line="240" w:before="0" w:after="80"/>
      </w:pPr>
    </w:p>
    <w:p>
      <w:pPr>
        <w:spacing w:lineRule="auto" w:line="240" w:before="0" w:after="120"/>
      </w:pP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9072"/>
      </w:tblGrid>
      <w:tr>
        <w:tc>
          <w:tcPr>
            <w:tcW w:w="9072" w:type="dxa"/>
          </w:tcPr>
          <w:p>
            <w:pPr>
              <w:spacing w:lineRule="auto" w:line="276" w:before="120" w:after="80"/>
              <w:ind w:left="113"/>
            </w:pPr>
            <w:r>
              <w:rPr>
                <w:rFonts w:ascii="Times New Roman" w:hAnsi="Times New Roman"/>
                <w:b/>
                <w:i w:val="0"/>
                <w:sz w:val="22"/>
              </w:rPr>
              <w:t>Exercise 10.3 — Project Sentinel: The Capstone Synthesis  [Synthesis / Stretch — This is the book's final exercise]</w:t>
            </w:r>
          </w:p>
          <w:p>
            <w:pPr>
              <w:spacing w:lineRule="auto" w:line="312" w:before="20" w:after="40"/>
              <w:ind w:left="113"/>
            </w:pPr>
            <w:r>
              <w:rPr>
                <w:rFonts w:ascii="Times New Roman" w:hAnsi="Times New Roman"/>
                <w:b w:val="0"/>
                <w:i w:val="0"/>
                <w:sz w:val="22"/>
              </w:rPr>
              <w:t>Project Sentinel's Head of Financial Crime has been asked by the FCA to submit a TMS Effectiveness Assessment — a structured self-assessment of the bank's Transaction Monitoring Framework, covering all models deployed from Chapters 4 through 10. The assessment must address: what the programme detected (confirmed suspicious activity), what it missed (known gaps confirmed by law enforcement feedback), what has been validated (models that have passed a formal five-pillar validation), and what remediation is planned. This is the book's culminating exercise: it requires you to synthesise everything you have built, tested, validated, and governed across all ten chapters.</w:t>
            </w:r>
          </w:p>
          <w:p>
            <w:pPr>
              <w:spacing w:lineRule="auto" w:line="312" w:before="20" w:after="40"/>
              <w:ind w:left="113"/>
            </w:pPr>
            <w:r>
              <w:rPr>
                <w:rFonts w:ascii="Times New Roman" w:hAnsi="Times New Roman"/>
                <w:b w:val="0"/>
                <w:i w:val="0"/>
                <w:sz w:val="22"/>
              </w:rPr>
              <w:t>Write the TMS Effectiveness Assessment (approximately 600 words). Structure it with these four headings: (1) Programme Overview — the models deployed, their typology coverage, and the customer populations monitored; (2) Detected Activity — a summary of what the programme would have detected in the Northgate/Meridian scenario, with reference to which specific model(s) fired and what the outcome was; (3) Known Gaps and Missed Activity — the material gaps identified across Chapters 7 and 9, including the crypto-routing extension from Chapter 10; (4) Remediation Plan — the three highest-priority actions, with owners, timelines, and success criteria. Write in a regulatory register: factual, specific, and free of weasel words.</w:t>
            </w:r>
          </w:p>
          <w:p>
            <w:pPr>
              <w:spacing w:lineRule="auto" w:line="312" w:before="20" w:after="40"/>
              <w:ind w:left="113"/>
            </w:pPr>
            <w:r>
              <w:rPr>
                <w:rFonts w:ascii="Times New Roman" w:hAnsi="Times New Roman"/>
                <w:b w:val="0"/>
                <w:i w:val="0"/>
                <w:sz w:val="22"/>
              </w:rPr>
              <w:t>Grade the TMS on the three-point scale used by the FCA in its assessment framework [AUTHOR FLAG: FinCEN uses this Effective / Partially Effective / Not Effective terminology in the US context; for UK bank Northgate/Project Sentinel, the relevant supervisor is the FCA. Please confirm whether to attribute this scale to the FCA or to frame it as a generic industry assessment scale not tied to a specific regulator]: Effective (programme is operating as designed, with no material gaps), Partially Effective (programme has material gaps but management has identified them and remediation is in progress), or Not Effective (programme has material gaps and no credible remediation plan). State your grade, provide a one-paragraph justification referencing the specific evidence from the assessment, and identify the single action that would be required to upgrade the grade by one level.</w:t>
            </w:r>
          </w:p>
          <w:p>
            <w:pPr>
              <w:spacing w:lineRule="auto" w:line="312" w:before="20" w:after="40"/>
              <w:ind w:left="113"/>
            </w:pPr>
            <w:r>
              <w:rPr>
                <w:rFonts w:ascii="Times New Roman" w:hAnsi="Times New Roman"/>
                <w:b w:val="0"/>
                <w:i w:val="0"/>
                <w:sz w:val="22"/>
              </w:rPr>
              <w:t>This is the final exercise in the book. The Northgate mule network has been detected, linked to Meridian Trading Ltd, and traced through three layers of money laundering — placement, layering, and integration — using every technique introduced across Chapters 1 through 10. The programme is not perfect. The crypto layer was a step ahead. But it is documented, governed, and improving. That is what an effective TMS looks like in practice.</w:t>
            </w:r>
          </w:p>
        </w:tc>
      </w:tr>
    </w:tbl>
    <w:p>
      <w:pPr>
        <w:spacing w:lineRule="auto" w:line="240" w:before="0" w:after="80"/>
      </w:pPr>
    </w:p>
    <w:p>
      <w:pPr>
        <w:spacing w:lineRule="auto" w:line="240" w:before="0" w:after="120"/>
      </w:pPr>
    </w:p>
    <w:p>
      <w:pPr>
        <w:pStyle w:val="Heading2"/>
      </w:pPr>
      <w:r>
        <w:rPr>
          <w:rFonts w:ascii="Times New Roman" w:hAnsi="Times New Roman"/>
        </w:rPr>
        <w:t>Further Reading and Research Topics</w:t>
      </w:r>
    </w:p>
    <w:p>
      <w:pPr>
        <w:pStyle w:val="ListBullet"/>
        <w:spacing w:lineRule="auto" w:line="360" w:before="0" w:after="60"/>
      </w:pPr>
      <w:r>
        <w:rPr>
          <w:rFonts w:ascii="Times New Roman" w:hAnsi="Times New Roman"/>
          <w:b w:val="0"/>
          <w:i w:val="0"/>
          <w:sz w:val="24"/>
        </w:rPr>
        <w:t>Financial Action Task Force, 'Virtual Assets and Virtual Asset Service Providers' (FATF Guidance, 2019, updated 2021). This is the FATF's definitive guidance on crypto AML obligations. Read Sections 3 and 4 (risk assessment and AML programme requirements for VASPs). What obligations does FATF impose on banks that interact with VASPs as correspondent partners, and how would these obligations change Project Sentinel's blockchain data acquisition strategy?</w:t>
      </w:r>
    </w:p>
    <w:p>
      <w:pPr>
        <w:pStyle w:val="ListBullet"/>
        <w:spacing w:lineRule="auto" w:line="360" w:before="0" w:after="60"/>
      </w:pPr>
      <w:r>
        <w:rPr>
          <w:rFonts w:ascii="Times New Roman" w:hAnsi="Times New Roman"/>
          <w:b w:val="0"/>
          <w:i w:val="0"/>
          <w:sz w:val="24"/>
        </w:rPr>
        <w:t>Chainalysis, 'The Crypto Crime Report' (published annually — free registration at chainalysis.com). The most recent report provides data on the volume and typology of on-chain money laundering. Download the most recent edition. What percentage of crypto crime proceeds were processed through DeFi protocols versus centralised exchanges? What does this imply for the adequacy of exchange-only blockchain analytics coverage?</w:t>
      </w:r>
    </w:p>
    <w:p>
      <w:pPr>
        <w:pStyle w:val="ListBullet"/>
        <w:spacing w:lineRule="auto" w:line="360" w:before="0" w:after="60"/>
      </w:pPr>
      <w:r>
        <w:rPr>
          <w:rFonts w:ascii="Times New Roman" w:hAnsi="Times New Roman"/>
          <w:b w:val="0"/>
          <w:i w:val="0"/>
          <w:sz w:val="24"/>
        </w:rPr>
        <w:t>Research Question: The FCA's 'Guidance on Cryptoassets' (FCA Policy Statement PS19/22) and the subsequent FCA registration regime for crypto asset businesses created a new supervisory framework for UK-based crypto firms. Review FCA's published list of registered and rejected cryptoasset businesses. What does the rejection rate tell you about the maturity of AML controls in the UK crypto sector — and what risk does this create for banks that receive fiat from crypto-to-fiat conversions at unregistered firms?</w:t>
      </w:r>
    </w:p>
    <w:p>
      <w:pPr>
        <w:pStyle w:val="ListBullet"/>
        <w:spacing w:lineRule="auto" w:line="360" w:before="0" w:after="60"/>
      </w:pPr>
      <w:r>
        <w:rPr>
          <w:rFonts w:ascii="Times New Roman" w:hAnsi="Times New Roman"/>
          <w:b w:val="0"/>
          <w:i w:val="0"/>
          <w:sz w:val="24"/>
        </w:rPr>
        <w:t>Capstone challenge: You have now completed all ten chapters and all case studies. Return to Chapter 1's Exercise 1.1 Part A, question 1: 'What three behaviours in the scenario description do you find most suspicious, and why?' Write a new answer — but this time, draw on everything you have learned. Your answer should reference: the specific typology each behaviour corresponds to, the regulatory obligation it triggers, the TM rule that would detect it, and the model governance requirement that would govern that rule. Compare your answer to what you wrote (or would have written) at the start of the book. What has changed?</w:t>
      </w:r>
    </w:p>
    <w:p>
      <w:pPr>
        <w:pStyle w:val="Heading2"/>
      </w:pPr>
      <w:r>
        <w:rPr>
          <w:rFonts w:ascii="Times New Roman" w:hAnsi="Times New Roman"/>
        </w:rPr>
        <w:t>References</w:t>
      </w:r>
    </w:p>
    <w:p>
      <w:pPr>
        <w:pStyle w:val="ListBullet"/>
        <w:spacing w:lineRule="auto" w:line="288" w:before="0" w:after="80"/>
      </w:pPr>
      <w:r>
        <w:rPr>
          <w:rFonts w:ascii="Times New Roman" w:hAnsi="Times New Roman"/>
          <w:b w:val="0"/>
          <w:i w:val="0"/>
          <w:sz w:val="22"/>
        </w:rPr>
        <w:t>FATF (2021) Opportunities and Challenges of New Technologies for AML/CFT. FATF, Paris.</w:t>
      </w:r>
    </w:p>
    <w:p>
      <w:pPr>
        <w:pStyle w:val="ListBullet"/>
        <w:spacing w:lineRule="auto" w:line="288" w:before="0" w:after="80"/>
      </w:pPr>
      <w:r>
        <w:rPr>
          <w:rFonts w:ascii="Times New Roman" w:hAnsi="Times New Roman"/>
          <w:b w:val="0"/>
          <w:i w:val="0"/>
          <w:sz w:val="22"/>
        </w:rPr>
        <w:t>Kurshan, E. and Shen, H. (2020) Graph Computing for Financial Crime. arXiv:2005.03236.</w:t>
      </w:r>
    </w:p>
    <w:p>
      <w:pPr>
        <w:pStyle w:val="ListBullet"/>
        <w:spacing w:lineRule="auto" w:line="288" w:before="0" w:after="80"/>
      </w:pPr>
      <w:r>
        <w:rPr>
          <w:rFonts w:ascii="Times New Roman" w:hAnsi="Times New Roman"/>
          <w:b w:val="0"/>
          <w:i w:val="0"/>
          <w:sz w:val="22"/>
        </w:rPr>
        <w:t>ECB (2022) Crypto-Assets: Implications for Financial Stability. ECB Occasional Paper.</w:t>
      </w:r>
    </w:p>
    <w:p>
      <w:pPr>
        <w:pStyle w:val="ListBullet"/>
        <w:spacing w:lineRule="auto" w:line="288" w:before="0" w:after="80"/>
      </w:pPr>
      <w:r>
        <w:rPr>
          <w:rFonts w:ascii="Times New Roman" w:hAnsi="Times New Roman"/>
          <w:b w:val="0"/>
          <w:i w:val="0"/>
          <w:sz w:val="22"/>
        </w:rPr>
        <w:t>Goodfellow, I., Bengio, Y. and Courville, A. (2016) Deep Learning. MIT Press.</w:t>
      </w:r>
    </w:p>
    <w:p>
      <w:r>
        <w:br w:type="page"/>
      </w:r>
    </w:p>
    <w:p>
      <w:pPr>
        <w:pStyle w:val="Heading1"/>
      </w:pPr>
      <w:r>
        <w:rPr>
          <w:rFonts w:ascii="Times New Roman" w:hAnsi="Times New Roman"/>
        </w:rPr>
        <w:t>Appendix A: Glossary of Key Terms</w:t>
      </w:r>
    </w:p>
    <w:p>
      <w:pPr>
        <w:pStyle w:val="BodyText"/>
        <w:spacing w:lineRule="auto" w:line="360" w:before="0" w:after="120"/>
        <w:ind w:firstLine="0"/>
      </w:pPr>
      <w:r>
        <w:rPr>
          <w:rFonts w:ascii="Times New Roman" w:hAnsi="Times New Roman"/>
          <w:b w:val="0"/>
          <w:i w:val="0"/>
          <w:sz w:val="24"/>
        </w:rPr>
        <w:t>Canonical definitions for all terms used in this book. Terms appear in bold on first use in each chapter.</w:t>
      </w:r>
    </w:p>
    <w:p>
      <w:pPr>
        <w:pStyle w:val="BodyText"/>
        <w:spacing w:lineRule="auto" w:line="360" w:before="0" w:after="120"/>
        <w:ind w:firstLine="283"/>
      </w:pPr>
      <w:r>
        <w:rPr>
          <w:rFonts w:ascii="Times New Roman" w:hAnsi="Times New Roman"/>
          <w:b w:val="0"/>
          <w:i w:val="0"/>
          <w:sz w:val="24"/>
        </w:rPr>
        <w:t>Canonical definitions for all terms used in this book. Terms appear in bold on first use in each chapter. Definitions are authoritative — do not paraphrase or redefine these terms in analytical work.</w:t>
      </w:r>
    </w:p>
    <w:p>
      <w:pPr>
        <w:spacing w:lineRule="auto" w:line="240" w:before="60" w:after="120"/>
        <w:ind w:firstLine="0"/>
        <w:jc w:val="left"/>
      </w:pPr>
      <w:r>
        <w:rPr>
          <w:rFonts w:ascii="Times New Roman" w:hAnsi="Times New Roman"/>
          <w:b w:val="0"/>
          <w:i/>
          <w:sz w:val="20"/>
        </w:rPr>
        <w:t>Table A.1  Term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4536"/>
        <w:gridCol w:w="4536"/>
      </w:tblGrid>
      <w:tr>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Term</w:t>
            </w:r>
          </w:p>
        </w:tc>
        <w:tc>
          <w:tcPr>
            <w:tcW w:w="4536"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Definition</w:t>
            </w:r>
          </w:p>
        </w:tc>
      </w:tr>
      <w:tr>
        <w:tc>
          <w:tcPr>
            <w:tcW w:w="4536" w:type="dxa"/>
          </w:tcPr>
          <w:p>
            <w:pPr>
              <w:spacing w:lineRule="auto" w:line="288" w:before="60" w:after="60"/>
              <w:ind w:left="57" w:right="57"/>
            </w:pPr>
            <w:r>
              <w:rPr>
                <w:rFonts w:ascii="Times New Roman" w:hAnsi="Times New Roman"/>
                <w:b w:val="0"/>
                <w:i w:val="0"/>
                <w:sz w:val="20"/>
              </w:rPr>
              <w:t>Alert</w:t>
            </w:r>
          </w:p>
        </w:tc>
        <w:tc>
          <w:tcPr>
            <w:tcW w:w="4536" w:type="dxa"/>
          </w:tcPr>
          <w:p>
            <w:pPr>
              <w:spacing w:lineRule="auto" w:line="288" w:before="60" w:after="60"/>
              <w:ind w:left="57" w:right="57"/>
            </w:pPr>
            <w:r>
              <w:rPr>
                <w:rFonts w:ascii="Times New Roman" w:hAnsi="Times New Roman"/>
                <w:b w:val="0"/>
                <w:i w:val="0"/>
                <w:sz w:val="20"/>
              </w:rPr>
              <w:t>A signal generated by a transaction monitoring system or manual process that warrants further investigation. An alert is not a finding — it is a prompt for review. An alert is distinct from an event (which is broader — any piece of evidence contributing to an investigation) and from an infraction (a vendor-specific intermediate signal that may not yet constitute a formal alert). These terms are not interchangeable without qualification.</w:t>
            </w:r>
          </w:p>
        </w:tc>
      </w:tr>
      <w:tr>
        <w:tc>
          <w:tcPr>
            <w:tcW w:w="4536" w:type="dxa"/>
          </w:tcPr>
          <w:p>
            <w:pPr>
              <w:spacing w:lineRule="auto" w:line="288" w:before="60" w:after="60"/>
              <w:ind w:left="57" w:right="57"/>
            </w:pPr>
            <w:r>
              <w:rPr>
                <w:rFonts w:ascii="Times New Roman" w:hAnsi="Times New Roman"/>
                <w:b w:val="0"/>
                <w:i w:val="0"/>
                <w:sz w:val="20"/>
              </w:rPr>
              <w:t>AMLA 2020</w:t>
            </w:r>
          </w:p>
        </w:tc>
        <w:tc>
          <w:tcPr>
            <w:tcW w:w="4536" w:type="dxa"/>
          </w:tcPr>
          <w:p>
            <w:pPr>
              <w:spacing w:lineRule="auto" w:line="288" w:before="60" w:after="60"/>
              <w:ind w:left="57" w:right="57"/>
            </w:pPr>
            <w:r>
              <w:rPr>
                <w:rFonts w:ascii="Times New Roman" w:hAnsi="Times New Roman"/>
                <w:b w:val="0"/>
                <w:i w:val="0"/>
                <w:sz w:val="20"/>
              </w:rPr>
              <w:t>Anti-Money Laundering Act 2020 (US). The most significant update to US AML law in two decades, introducing beneficial ownership registration, innovation incentives, and an effectiveness standard for AML programmes.</w:t>
            </w:r>
          </w:p>
        </w:tc>
      </w:tr>
      <w:tr>
        <w:tc>
          <w:tcPr>
            <w:tcW w:w="4536" w:type="dxa"/>
          </w:tcPr>
          <w:p>
            <w:pPr>
              <w:spacing w:lineRule="auto" w:line="288" w:before="60" w:after="60"/>
              <w:ind w:left="57" w:right="57"/>
            </w:pPr>
            <w:r>
              <w:rPr>
                <w:rFonts w:ascii="Times New Roman" w:hAnsi="Times New Roman"/>
                <w:b w:val="0"/>
                <w:i w:val="0"/>
                <w:sz w:val="20"/>
              </w:rPr>
              <w:t>AMLD (Anti-Money Laundering Directive)</w:t>
            </w:r>
          </w:p>
        </w:tc>
        <w:tc>
          <w:tcPr>
            <w:tcW w:w="4536" w:type="dxa"/>
          </w:tcPr>
          <w:p>
            <w:pPr>
              <w:spacing w:lineRule="auto" w:line="288" w:before="60" w:after="60"/>
              <w:ind w:left="57" w:right="57"/>
            </w:pPr>
            <w:r>
              <w:rPr>
                <w:rFonts w:ascii="Times New Roman" w:hAnsi="Times New Roman"/>
                <w:b w:val="0"/>
                <w:i w:val="0"/>
                <w:sz w:val="20"/>
              </w:rPr>
              <w:t>A series of EU directives (AMLD 1 through AMLD 6) establishing AML standards for member states. AMLD 5 (2018) extended obligations to crypto asset providers; AMLD 6 (2020) expanded predicate offences and criminal liability.</w:t>
            </w:r>
          </w:p>
        </w:tc>
      </w:tr>
      <w:tr>
        <w:tc>
          <w:tcPr>
            <w:tcW w:w="4536" w:type="dxa"/>
          </w:tcPr>
          <w:p>
            <w:pPr>
              <w:spacing w:lineRule="auto" w:line="288" w:before="60" w:after="60"/>
              <w:ind w:left="57" w:right="57"/>
            </w:pPr>
            <w:r>
              <w:rPr>
                <w:rFonts w:ascii="Times New Roman" w:hAnsi="Times New Roman"/>
                <w:b w:val="0"/>
                <w:i w:val="0"/>
                <w:sz w:val="20"/>
              </w:rPr>
              <w:t>Analytics Protocols</w:t>
            </w:r>
          </w:p>
        </w:tc>
        <w:tc>
          <w:tcPr>
            <w:tcW w:w="4536" w:type="dxa"/>
          </w:tcPr>
          <w:p>
            <w:pPr>
              <w:spacing w:lineRule="auto" w:line="288" w:before="60" w:after="60"/>
              <w:ind w:left="57" w:right="57"/>
            </w:pPr>
            <w:r>
              <w:rPr>
                <w:rFonts w:ascii="Times New Roman" w:hAnsi="Times New Roman"/>
                <w:b w:val="0"/>
                <w:i w:val="0"/>
                <w:sz w:val="20"/>
              </w:rPr>
              <w:t>A control framework ensuring proper alignment of algorithms, data, and business knowledge in the execution of AML analytics. The subject of Book 2 in this series.</w:t>
            </w:r>
          </w:p>
        </w:tc>
      </w:tr>
      <w:tr>
        <w:tc>
          <w:tcPr>
            <w:tcW w:w="4536" w:type="dxa"/>
          </w:tcPr>
          <w:p>
            <w:pPr>
              <w:spacing w:lineRule="auto" w:line="288" w:before="60" w:after="60"/>
              <w:ind w:left="57" w:right="57"/>
            </w:pPr>
            <w:r>
              <w:rPr>
                <w:rFonts w:ascii="Times New Roman" w:hAnsi="Times New Roman"/>
                <w:b w:val="0"/>
                <w:i w:val="0"/>
                <w:sz w:val="20"/>
              </w:rPr>
              <w:t>ATL (Above the Line)</w:t>
            </w:r>
          </w:p>
        </w:tc>
        <w:tc>
          <w:tcPr>
            <w:tcW w:w="4536" w:type="dxa"/>
          </w:tcPr>
          <w:p>
            <w:pPr>
              <w:spacing w:lineRule="auto" w:line="288" w:before="60" w:after="60"/>
              <w:ind w:left="57" w:right="57"/>
            </w:pPr>
            <w:r>
              <w:rPr>
                <w:rFonts w:ascii="Times New Roman" w:hAnsi="Times New Roman"/>
                <w:b w:val="0"/>
                <w:i w:val="0"/>
                <w:sz w:val="20"/>
              </w:rPr>
              <w:t>Transactions or behaviours above a monitoring threshold that generate an alert. The ATL population is the set of transactions that have been flagged for review. See also: BTL.</w:t>
            </w:r>
          </w:p>
        </w:tc>
      </w:tr>
      <w:tr>
        <w:tc>
          <w:tcPr>
            <w:tcW w:w="4536" w:type="dxa"/>
          </w:tcPr>
          <w:p>
            <w:pPr>
              <w:spacing w:lineRule="auto" w:line="288" w:before="60" w:after="60"/>
              <w:ind w:left="57" w:right="57"/>
            </w:pPr>
            <w:r>
              <w:rPr>
                <w:rFonts w:ascii="Times New Roman" w:hAnsi="Times New Roman"/>
                <w:b w:val="0"/>
                <w:i w:val="0"/>
                <w:sz w:val="20"/>
              </w:rPr>
              <w:t>BSA (Bank Secrecy Act)</w:t>
            </w:r>
          </w:p>
        </w:tc>
        <w:tc>
          <w:tcPr>
            <w:tcW w:w="4536" w:type="dxa"/>
          </w:tcPr>
          <w:p>
            <w:pPr>
              <w:spacing w:lineRule="auto" w:line="288" w:before="60" w:after="60"/>
              <w:ind w:left="57" w:right="57"/>
            </w:pPr>
            <w:r>
              <w:rPr>
                <w:rFonts w:ascii="Times New Roman" w:hAnsi="Times New Roman"/>
                <w:b w:val="0"/>
                <w:i w:val="0"/>
                <w:sz w:val="20"/>
              </w:rPr>
              <w:t>Bank Secrecy Act (US, 1970). The foundational US AML statute, requiring financial institutions to file Currency Transaction Reports (CTRs) for cash transactions exceeding $10,000, Suspicious Activity Reports (SARs) for suspicious transactions, and to maintain records supporting AML investigations.</w:t>
            </w:r>
          </w:p>
        </w:tc>
      </w:tr>
      <w:tr>
        <w:tc>
          <w:tcPr>
            <w:tcW w:w="4536" w:type="dxa"/>
          </w:tcPr>
          <w:p>
            <w:pPr>
              <w:spacing w:lineRule="auto" w:line="288" w:before="60" w:after="60"/>
              <w:ind w:left="57" w:right="57"/>
            </w:pPr>
            <w:r>
              <w:rPr>
                <w:rFonts w:ascii="Times New Roman" w:hAnsi="Times New Roman"/>
                <w:b w:val="0"/>
                <w:i w:val="0"/>
                <w:sz w:val="20"/>
              </w:rPr>
              <w:t>BTL (Below the Line)</w:t>
            </w:r>
          </w:p>
        </w:tc>
        <w:tc>
          <w:tcPr>
            <w:tcW w:w="4536" w:type="dxa"/>
          </w:tcPr>
          <w:p>
            <w:pPr>
              <w:spacing w:lineRule="auto" w:line="288" w:before="60" w:after="60"/>
              <w:ind w:left="57" w:right="57"/>
            </w:pPr>
            <w:r>
              <w:rPr>
                <w:rFonts w:ascii="Times New Roman" w:hAnsi="Times New Roman"/>
                <w:b w:val="0"/>
                <w:i w:val="0"/>
                <w:sz w:val="20"/>
              </w:rPr>
              <w:t>Transactions or behaviours below a monitoring threshold that do not generate an alert. The BTL population is unreviewed. Hypergeometric sampling (Chapter 6) is used to estimate the SAR rate within it.</w:t>
            </w:r>
          </w:p>
        </w:tc>
      </w:tr>
      <w:tr>
        <w:tc>
          <w:tcPr>
            <w:tcW w:w="4536" w:type="dxa"/>
          </w:tcPr>
          <w:p>
            <w:pPr>
              <w:spacing w:lineRule="auto" w:line="288" w:before="60" w:after="60"/>
              <w:ind w:left="57" w:right="57"/>
            </w:pPr>
            <w:r>
              <w:rPr>
                <w:rFonts w:ascii="Times New Roman" w:hAnsi="Times New Roman"/>
                <w:b w:val="0"/>
                <w:i w:val="0"/>
                <w:sz w:val="20"/>
              </w:rPr>
              <w:t>Case</w:t>
            </w:r>
          </w:p>
        </w:tc>
        <w:tc>
          <w:tcPr>
            <w:tcW w:w="4536" w:type="dxa"/>
          </w:tcPr>
          <w:p>
            <w:pPr>
              <w:spacing w:lineRule="auto" w:line="288" w:before="60" w:after="60"/>
              <w:ind w:left="57" w:right="57"/>
            </w:pPr>
            <w:r>
              <w:rPr>
                <w:rFonts w:ascii="Times New Roman" w:hAnsi="Times New Roman"/>
                <w:b w:val="0"/>
                <w:i w:val="0"/>
                <w:sz w:val="20"/>
              </w:rPr>
              <w:t>A collection of information compiled to investigate potentially suspicious behaviour. A case is opened when an alert is escalated from L1 to L2 or L3. It aggregates alerts, customer data, transaction records, and analyst notes.</w:t>
            </w:r>
          </w:p>
        </w:tc>
      </w:tr>
      <w:tr>
        <w:tc>
          <w:tcPr>
            <w:tcW w:w="4536" w:type="dxa"/>
          </w:tcPr>
          <w:p>
            <w:pPr>
              <w:spacing w:lineRule="auto" w:line="288" w:before="60" w:after="60"/>
              <w:ind w:left="57" w:right="57"/>
            </w:pPr>
            <w:r>
              <w:rPr>
                <w:rFonts w:ascii="Times New Roman" w:hAnsi="Times New Roman"/>
                <w:b w:val="0"/>
                <w:i w:val="0"/>
                <w:sz w:val="20"/>
              </w:rPr>
              <w:t>CDD (Customer Due Diligence)</w:t>
            </w:r>
          </w:p>
        </w:tc>
        <w:tc>
          <w:tcPr>
            <w:tcW w:w="4536" w:type="dxa"/>
          </w:tcPr>
          <w:p>
            <w:pPr>
              <w:spacing w:lineRule="auto" w:line="288" w:before="60" w:after="60"/>
              <w:ind w:left="57" w:right="57"/>
            </w:pPr>
            <w:r>
              <w:rPr>
                <w:rFonts w:ascii="Times New Roman" w:hAnsi="Times New Roman"/>
                <w:b w:val="0"/>
                <w:i w:val="0"/>
                <w:sz w:val="20"/>
              </w:rPr>
              <w:t>The process of verifying a customer's identity, understanding the nature of their business, and assessing their risk profile. CDD is required at onboarding and must be updated periodically. Enhanced Due Diligence (EDD) applies to higher-risk customers.</w:t>
            </w:r>
          </w:p>
        </w:tc>
      </w:tr>
      <w:tr>
        <w:tc>
          <w:tcPr>
            <w:tcW w:w="4536" w:type="dxa"/>
          </w:tcPr>
          <w:p>
            <w:pPr>
              <w:spacing w:lineRule="auto" w:line="288" w:before="60" w:after="60"/>
              <w:ind w:left="57" w:right="57"/>
            </w:pPr>
            <w:r>
              <w:rPr>
                <w:rFonts w:ascii="Times New Roman" w:hAnsi="Times New Roman"/>
                <w:b w:val="0"/>
                <w:i w:val="0"/>
                <w:sz w:val="20"/>
              </w:rPr>
              <w:t>CDE / KDE (Critical / Key Data Elements)</w:t>
            </w:r>
          </w:p>
        </w:tc>
        <w:tc>
          <w:tcPr>
            <w:tcW w:w="4536" w:type="dxa"/>
          </w:tcPr>
          <w:p>
            <w:pPr>
              <w:spacing w:lineRule="auto" w:line="288" w:before="60" w:after="60"/>
              <w:ind w:left="57" w:right="57"/>
            </w:pPr>
            <w:r>
              <w:rPr>
                <w:rFonts w:ascii="Times New Roman" w:hAnsi="Times New Roman"/>
                <w:b w:val="0"/>
                <w:i w:val="0"/>
                <w:sz w:val="20"/>
              </w:rPr>
              <w:t>Interchangeable terms for the data fields that a scenario or model absolutely requires to function. Different institutions and vendors use different terms — CDE and KDE refer to the same concept: fields whose absence or inaccuracy would directly impair a scenario's ability to fire or an investigator's ability to reach a conclusion. The book uses CDE/KDE to reflect this equivalence. CDE testing is the third step of the DQ validation protocol (Lineage → Reconciliation → CDE Testing → Feedback Loop) and assesses five dimensions: Completeness, Uniqueness, Referential Integrity, Distribution, and Missing Values / Illegal Characters. See Chapter 9, Pillar 3.</w:t>
            </w:r>
          </w:p>
        </w:tc>
      </w:tr>
      <w:tr>
        <w:tc>
          <w:tcPr>
            <w:tcW w:w="4536" w:type="dxa"/>
          </w:tcPr>
          <w:p>
            <w:pPr>
              <w:spacing w:lineRule="auto" w:line="288" w:before="60" w:after="60"/>
              <w:ind w:left="57" w:right="57"/>
            </w:pPr>
            <w:r>
              <w:rPr>
                <w:rFonts w:ascii="Times New Roman" w:hAnsi="Times New Roman"/>
                <w:b w:val="0"/>
                <w:i w:val="0"/>
                <w:sz w:val="20"/>
              </w:rPr>
              <w:t>CDSA</w:t>
            </w:r>
          </w:p>
        </w:tc>
        <w:tc>
          <w:tcPr>
            <w:tcW w:w="4536" w:type="dxa"/>
          </w:tcPr>
          <w:p>
            <w:pPr>
              <w:spacing w:lineRule="auto" w:line="288" w:before="60" w:after="60"/>
              <w:ind w:left="57" w:right="57"/>
            </w:pPr>
            <w:r>
              <w:rPr>
                <w:rFonts w:ascii="Times New Roman" w:hAnsi="Times New Roman"/>
                <w:b w:val="0"/>
                <w:i w:val="0"/>
                <w:sz w:val="20"/>
              </w:rPr>
              <w:t>Corruption, Drug Trafficking and Other Serious Crimes (Confiscation of Benefits) Act (Singapore). The primary statute criminalising money laundering in Singapore and imposing Suspicious Transaction Report (STR) obligations.</w:t>
            </w:r>
          </w:p>
        </w:tc>
      </w:tr>
      <w:tr>
        <w:tc>
          <w:tcPr>
            <w:tcW w:w="4536" w:type="dxa"/>
          </w:tcPr>
          <w:p>
            <w:pPr>
              <w:spacing w:lineRule="auto" w:line="288" w:before="60" w:after="60"/>
              <w:ind w:left="57" w:right="57"/>
            </w:pPr>
            <w:r>
              <w:rPr>
                <w:rFonts w:ascii="Times New Roman" w:hAnsi="Times New Roman"/>
                <w:b w:val="0"/>
                <w:i w:val="0"/>
                <w:sz w:val="20"/>
              </w:rPr>
              <w:t>Controls</w:t>
            </w:r>
          </w:p>
        </w:tc>
        <w:tc>
          <w:tcPr>
            <w:tcW w:w="4536" w:type="dxa"/>
          </w:tcPr>
          <w:p>
            <w:pPr>
              <w:spacing w:lineRule="auto" w:line="288" w:before="60" w:after="60"/>
              <w:ind w:left="57" w:right="57"/>
            </w:pPr>
            <w:r>
              <w:rPr>
                <w:rFonts w:ascii="Times New Roman" w:hAnsi="Times New Roman"/>
                <w:b w:val="0"/>
                <w:i w:val="0"/>
                <w:sz w:val="20"/>
              </w:rPr>
              <w:t>Means to manage risks. Controls may be automatic (system-enforced) or manual (process-based). In AML, controls include KYC processes, transaction monitoring systems, SAR filing procedures, and staff training programmes.</w:t>
            </w:r>
          </w:p>
        </w:tc>
      </w:tr>
      <w:tr>
        <w:tc>
          <w:tcPr>
            <w:tcW w:w="4536" w:type="dxa"/>
          </w:tcPr>
          <w:p>
            <w:pPr>
              <w:spacing w:lineRule="auto" w:line="288" w:before="60" w:after="60"/>
              <w:ind w:left="57" w:right="57"/>
            </w:pPr>
            <w:r>
              <w:rPr>
                <w:rFonts w:ascii="Times New Roman" w:hAnsi="Times New Roman"/>
                <w:b w:val="0"/>
                <w:i w:val="0"/>
                <w:sz w:val="20"/>
              </w:rPr>
              <w:t>Coverage Assessment</w:t>
            </w:r>
          </w:p>
        </w:tc>
        <w:tc>
          <w:tcPr>
            <w:tcW w:w="4536" w:type="dxa"/>
          </w:tcPr>
          <w:p>
            <w:pPr>
              <w:spacing w:lineRule="auto" w:line="288" w:before="60" w:after="60"/>
              <w:ind w:left="57" w:right="57"/>
            </w:pPr>
            <w:r>
              <w:rPr>
                <w:rFonts w:ascii="Times New Roman" w:hAnsi="Times New Roman"/>
                <w:b w:val="0"/>
                <w:i w:val="0"/>
                <w:sz w:val="20"/>
              </w:rPr>
              <w:t>The process of systematically evaluating whether a TM scenario set covers the risks identified in the firm's risk assessment. A coverage assessment maps each regulatory red flag or typology indicator to the scenarios that detect it, identifies gaps, and produces a documented gap analysis with remediation timelines. Coverage assessment is the first stage of the TM lifecycle — it determines what scenarios are needed before they are designed. The benchmark for structuring coverage is the FFIEC BSA/AML Examination Manual red flag list. See Chapter 7.</w:t>
            </w:r>
          </w:p>
        </w:tc>
      </w:tr>
      <w:tr>
        <w:tc>
          <w:tcPr>
            <w:tcW w:w="4536" w:type="dxa"/>
          </w:tcPr>
          <w:p>
            <w:pPr>
              <w:spacing w:lineRule="auto" w:line="288" w:before="60" w:after="60"/>
              <w:ind w:left="57" w:right="57"/>
            </w:pPr>
            <w:r>
              <w:rPr>
                <w:rFonts w:ascii="Times New Roman" w:hAnsi="Times New Roman"/>
                <w:b w:val="0"/>
                <w:i w:val="0"/>
                <w:sz w:val="20"/>
              </w:rPr>
              <w:t>CRR (Customer Risk Rating)</w:t>
            </w:r>
          </w:p>
        </w:tc>
        <w:tc>
          <w:tcPr>
            <w:tcW w:w="4536" w:type="dxa"/>
          </w:tcPr>
          <w:p>
            <w:pPr>
              <w:spacing w:lineRule="auto" w:line="288" w:before="60" w:after="60"/>
              <w:ind w:left="57" w:right="57"/>
            </w:pPr>
            <w:r>
              <w:rPr>
                <w:rFonts w:ascii="Times New Roman" w:hAnsi="Times New Roman"/>
                <w:b w:val="0"/>
                <w:i w:val="0"/>
                <w:sz w:val="20"/>
              </w:rPr>
              <w:t>A risk score assigned to a customer based on policies, reference data (e.g., nationality, occupation, products held), and transactional behaviour. CRR drives the level of due diligence applied and the peer group to which a customer is assigned for transaction monitoring.</w:t>
            </w:r>
          </w:p>
        </w:tc>
      </w:tr>
      <w:tr>
        <w:tc>
          <w:tcPr>
            <w:tcW w:w="4536" w:type="dxa"/>
          </w:tcPr>
          <w:p>
            <w:pPr>
              <w:spacing w:lineRule="auto" w:line="288" w:before="60" w:after="60"/>
              <w:ind w:left="57" w:right="57"/>
            </w:pPr>
            <w:r>
              <w:rPr>
                <w:rFonts w:ascii="Times New Roman" w:hAnsi="Times New Roman"/>
                <w:b w:val="0"/>
                <w:i w:val="0"/>
                <w:sz w:val="20"/>
              </w:rPr>
              <w:t>Data Quality</w:t>
            </w:r>
          </w:p>
        </w:tc>
        <w:tc>
          <w:tcPr>
            <w:tcW w:w="4536" w:type="dxa"/>
          </w:tcPr>
          <w:p>
            <w:pPr>
              <w:spacing w:lineRule="auto" w:line="288" w:before="60" w:after="60"/>
              <w:ind w:left="57" w:right="57"/>
            </w:pPr>
            <w:r>
              <w:rPr>
                <w:rFonts w:ascii="Times New Roman" w:hAnsi="Times New Roman"/>
                <w:b w:val="0"/>
                <w:i w:val="0"/>
                <w:sz w:val="20"/>
              </w:rPr>
              <w:t>The fitness of data for the purpose for which it is used. One of the five most imprecisely used terms in AML analytics — 'data quality' is often cited as a problem without specifying which fields are affected, to what degree, and with what operational consequence. The author's DQ framework addresses this through a four-step protocol (Lineage → Reconciliation → CDE Identification and Testing → Feedback Loop) that produces specific, actionable findings rather than a general assessment. The core position: missing or imperfect data is not 'bad' — it tells you something about the data pipeline, the onboarding process, or the customer's behaviour. The validation question is not 'is the data perfect?' but 'does the model account for what the data cannot tell it?' See Chapter 9, Pillar 3, and the CDE/KDE entry.</w:t>
            </w:r>
          </w:p>
        </w:tc>
      </w:tr>
      <w:tr>
        <w:tc>
          <w:tcPr>
            <w:tcW w:w="4536" w:type="dxa"/>
          </w:tcPr>
          <w:p>
            <w:pPr>
              <w:spacing w:lineRule="auto" w:line="288" w:before="60" w:after="60"/>
              <w:ind w:left="57" w:right="57"/>
            </w:pPr>
            <w:r>
              <w:rPr>
                <w:rFonts w:ascii="Times New Roman" w:hAnsi="Times New Roman"/>
                <w:b w:val="0"/>
                <w:i w:val="0"/>
                <w:sz w:val="20"/>
              </w:rPr>
              <w:t>Disposition</w:t>
            </w:r>
          </w:p>
        </w:tc>
        <w:tc>
          <w:tcPr>
            <w:tcW w:w="4536" w:type="dxa"/>
          </w:tcPr>
          <w:p>
            <w:pPr>
              <w:spacing w:lineRule="auto" w:line="288" w:before="60" w:after="60"/>
              <w:ind w:left="57" w:right="57"/>
            </w:pPr>
            <w:r>
              <w:rPr>
                <w:rFonts w:ascii="Times New Roman" w:hAnsi="Times New Roman"/>
                <w:b w:val="0"/>
                <w:i w:val="0"/>
                <w:sz w:val="20"/>
              </w:rPr>
              <w:t>The conclusion of an alert investigation, recorded with supporting reasons and evidence. The three standard dispositions are L1 (not interesting — close), L2 (interesting — escalate for full investigation), and L3 (SAR-worthy — file a report).</w:t>
            </w:r>
          </w:p>
        </w:tc>
      </w:tr>
      <w:tr>
        <w:tc>
          <w:tcPr>
            <w:tcW w:w="4536" w:type="dxa"/>
          </w:tcPr>
          <w:p>
            <w:pPr>
              <w:spacing w:lineRule="auto" w:line="288" w:before="60" w:after="60"/>
              <w:ind w:left="57" w:right="57"/>
            </w:pPr>
            <w:r>
              <w:rPr>
                <w:rFonts w:ascii="Times New Roman" w:hAnsi="Times New Roman"/>
                <w:b w:val="0"/>
                <w:i w:val="0"/>
                <w:sz w:val="20"/>
              </w:rPr>
              <w:t>EDD (Enhanced Due Diligence)</w:t>
            </w:r>
          </w:p>
        </w:tc>
        <w:tc>
          <w:tcPr>
            <w:tcW w:w="4536" w:type="dxa"/>
          </w:tcPr>
          <w:p>
            <w:pPr>
              <w:spacing w:lineRule="auto" w:line="288" w:before="60" w:after="60"/>
              <w:ind w:left="57" w:right="57"/>
            </w:pPr>
            <w:r>
              <w:rPr>
                <w:rFonts w:ascii="Times New Roman" w:hAnsi="Times New Roman"/>
                <w:b w:val="0"/>
                <w:i w:val="0"/>
                <w:sz w:val="20"/>
              </w:rPr>
              <w:t>Additional scrutiny applied to higher-risk customers, including politically exposed persons (PEPs), customers from high-risk jurisdictions, and those with complex ownership structures. EDD involves more intensive source of funds and source of wealth investigations than standard CDD.</w:t>
            </w:r>
          </w:p>
        </w:tc>
      </w:tr>
      <w:tr>
        <w:tc>
          <w:tcPr>
            <w:tcW w:w="4536" w:type="dxa"/>
          </w:tcPr>
          <w:p>
            <w:pPr>
              <w:spacing w:lineRule="auto" w:line="288" w:before="60" w:after="60"/>
              <w:ind w:left="57" w:right="57"/>
            </w:pPr>
            <w:r>
              <w:rPr>
                <w:rFonts w:ascii="Times New Roman" w:hAnsi="Times New Roman"/>
                <w:b w:val="0"/>
                <w:i w:val="0"/>
                <w:sz w:val="20"/>
              </w:rPr>
              <w:t>Entity Consolidation</w:t>
            </w:r>
          </w:p>
        </w:tc>
        <w:tc>
          <w:tcPr>
            <w:tcW w:w="4536" w:type="dxa"/>
          </w:tcPr>
          <w:p>
            <w:pPr>
              <w:spacing w:lineRule="auto" w:line="288" w:before="60" w:after="60"/>
              <w:ind w:left="57" w:right="57"/>
            </w:pPr>
            <w:r>
              <w:rPr>
                <w:rFonts w:ascii="Times New Roman" w:hAnsi="Times New Roman"/>
                <w:b w:val="0"/>
                <w:i w:val="0"/>
                <w:sz w:val="20"/>
              </w:rPr>
              <w:t>Combining customer and counterparty records that refer to the same underlying entity into a single monitoring profile, so that the full picture of that entity's transactional behaviour is visible before analysis begins. Entity consolidation is a prerequisite for graph-based AML and for any scenario that aggregates behaviour across accounts or products. Without entity consolidation, the monitoring graph contains fragmented or duplicate nodes, distorting network analysis. Entity consolidation (for monitoring) is distinct from Entity Resolution (for investigation) — see that entry. A frontier component of modern AML architecture. See Chapter 10, Section 10.3.3.</w:t>
            </w:r>
          </w:p>
        </w:tc>
      </w:tr>
      <w:tr>
        <w:tc>
          <w:tcPr>
            <w:tcW w:w="4536" w:type="dxa"/>
          </w:tcPr>
          <w:p>
            <w:pPr>
              <w:spacing w:lineRule="auto" w:line="288" w:before="60" w:after="60"/>
              <w:ind w:left="57" w:right="57"/>
            </w:pPr>
            <w:r>
              <w:rPr>
                <w:rFonts w:ascii="Times New Roman" w:hAnsi="Times New Roman"/>
                <w:b w:val="0"/>
                <w:i w:val="0"/>
                <w:sz w:val="20"/>
              </w:rPr>
              <w:t>Entity Resolution</w:t>
            </w:r>
          </w:p>
        </w:tc>
        <w:tc>
          <w:tcPr>
            <w:tcW w:w="4536" w:type="dxa"/>
          </w:tcPr>
          <w:p>
            <w:pPr>
              <w:spacing w:lineRule="auto" w:line="288" w:before="60" w:after="60"/>
              <w:ind w:left="57" w:right="57"/>
            </w:pPr>
            <w:r>
              <w:rPr>
                <w:rFonts w:ascii="Times New Roman" w:hAnsi="Times New Roman"/>
                <w:b w:val="0"/>
                <w:i w:val="0"/>
                <w:sz w:val="20"/>
              </w:rPr>
              <w:t>Resolving the identity of entities for investigative purposes — determining who a pseudonymous address, account holder, or shell company actually is. Entity resolution is used in case investigation to establish beneficial ownership and connect suspicious activity to a real-world person or organisation. Distinct from Entity Consolidation (which combines records for monitoring) — both are essential to advanced AML analytics but operate at different stages of the detection-to-investigation lifecycle. See also: Entity Consolidation.</w:t>
            </w:r>
          </w:p>
        </w:tc>
      </w:tr>
      <w:tr>
        <w:tc>
          <w:tcPr>
            <w:tcW w:w="4536" w:type="dxa"/>
          </w:tcPr>
          <w:p>
            <w:pPr>
              <w:spacing w:lineRule="auto" w:line="288" w:before="60" w:after="60"/>
              <w:ind w:left="57" w:right="57"/>
            </w:pPr>
            <w:r>
              <w:rPr>
                <w:rFonts w:ascii="Times New Roman" w:hAnsi="Times New Roman"/>
                <w:b w:val="0"/>
                <w:i w:val="0"/>
                <w:sz w:val="20"/>
              </w:rPr>
              <w:t>Event</w:t>
            </w:r>
          </w:p>
        </w:tc>
        <w:tc>
          <w:tcPr>
            <w:tcW w:w="4536" w:type="dxa"/>
          </w:tcPr>
          <w:p>
            <w:pPr>
              <w:spacing w:lineRule="auto" w:line="288" w:before="60" w:after="60"/>
              <w:ind w:left="57" w:right="57"/>
            </w:pPr>
            <w:r>
              <w:rPr>
                <w:rFonts w:ascii="Times New Roman" w:hAnsi="Times New Roman"/>
                <w:b w:val="0"/>
                <w:i w:val="0"/>
                <w:sz w:val="20"/>
              </w:rPr>
              <w:t>Any piece of evidence potentially valuable for creating or contributing to a case investigation. Events are broader than alerts: a branch observation, a fraud referral, or a customer complaint may all be events that contribute to a case even if they did not generate a TM alert.</w:t>
            </w:r>
          </w:p>
        </w:tc>
      </w:tr>
      <w:tr>
        <w:tc>
          <w:tcPr>
            <w:tcW w:w="4536" w:type="dxa"/>
          </w:tcPr>
          <w:p>
            <w:pPr>
              <w:spacing w:lineRule="auto" w:line="288" w:before="60" w:after="60"/>
              <w:ind w:left="57" w:right="57"/>
            </w:pPr>
            <w:r>
              <w:rPr>
                <w:rFonts w:ascii="Times New Roman" w:hAnsi="Times New Roman"/>
                <w:b w:val="0"/>
                <w:i w:val="0"/>
                <w:sz w:val="20"/>
              </w:rPr>
              <w:t>False Negative</w:t>
            </w:r>
          </w:p>
        </w:tc>
        <w:tc>
          <w:tcPr>
            <w:tcW w:w="4536" w:type="dxa"/>
          </w:tcPr>
          <w:p>
            <w:pPr>
              <w:spacing w:lineRule="auto" w:line="288" w:before="60" w:after="60"/>
              <w:ind w:left="57" w:right="57"/>
            </w:pPr>
            <w:r>
              <w:rPr>
                <w:rFonts w:ascii="Times New Roman" w:hAnsi="Times New Roman"/>
                <w:b w:val="0"/>
                <w:i w:val="0"/>
                <w:sz w:val="20"/>
              </w:rPr>
              <w:t>A case of genuinely suspicious activity that does not generate a TM alert — because the scenario logic does not capture the pattern, the threshold is set too high, or the customer is assigned to the wrong peer group. False negatives are the silent risk in TM: they are undetectable from within the alert population. BTL sampling (Chapter 6) and coverage assessment (Chapter 7) are the primary tools for estimating and reducing the false negative rate. A scenario optimised exclusively for low false positive rates will typically have a high false negative rate.</w:t>
            </w:r>
          </w:p>
        </w:tc>
      </w:tr>
      <w:tr>
        <w:tc>
          <w:tcPr>
            <w:tcW w:w="4536" w:type="dxa"/>
          </w:tcPr>
          <w:p>
            <w:pPr>
              <w:spacing w:lineRule="auto" w:line="288" w:before="60" w:after="60"/>
              <w:ind w:left="57" w:right="57"/>
            </w:pPr>
            <w:r>
              <w:rPr>
                <w:rFonts w:ascii="Times New Roman" w:hAnsi="Times New Roman"/>
                <w:b w:val="0"/>
                <w:i w:val="0"/>
                <w:sz w:val="20"/>
              </w:rPr>
              <w:t>False Positive (correct usage)</w:t>
            </w:r>
          </w:p>
        </w:tc>
        <w:tc>
          <w:tcPr>
            <w:tcW w:w="4536" w:type="dxa"/>
          </w:tcPr>
          <w:p>
            <w:pPr>
              <w:spacing w:lineRule="auto" w:line="288" w:before="60" w:after="60"/>
              <w:ind w:left="57" w:right="57"/>
            </w:pPr>
            <w:r>
              <w:rPr>
                <w:rFonts w:ascii="Times New Roman" w:hAnsi="Times New Roman"/>
                <w:b w:val="0"/>
                <w:i w:val="0"/>
                <w:sz w:val="20"/>
              </w:rPr>
              <w:t>An alert caused by code bugs, data errors, or scenario design flaws that does not fit the spirit of the scenario. A system failure, not a legitimate alert. Distinct from a noisy alert (see that entry). The AML industry routinely misuses 'false positive' to describe any alert that investigation finds non-suspicious — this misuse implies the scenario malfunctioned when it did not. Reserving 'false positive' for genuine system failures is analytically and operationally important: the remediation for a false positive (fix the bug or data error) is fundamentally different from the remediation for high noise (retune the threshold or improve segmentation). See Chapters 5, 6, and the Noisy Alert entry.</w:t>
            </w:r>
          </w:p>
        </w:tc>
      </w:tr>
      <w:tr>
        <w:tc>
          <w:tcPr>
            <w:tcW w:w="4536" w:type="dxa"/>
          </w:tcPr>
          <w:p>
            <w:pPr>
              <w:spacing w:lineRule="auto" w:line="288" w:before="60" w:after="60"/>
              <w:ind w:left="57" w:right="57"/>
            </w:pPr>
            <w:r>
              <w:rPr>
                <w:rFonts w:ascii="Times New Roman" w:hAnsi="Times New Roman"/>
                <w:b w:val="0"/>
                <w:i w:val="0"/>
                <w:sz w:val="20"/>
              </w:rPr>
              <w:t>FATF (Financial Action Task Force)</w:t>
            </w:r>
          </w:p>
        </w:tc>
        <w:tc>
          <w:tcPr>
            <w:tcW w:w="4536" w:type="dxa"/>
          </w:tcPr>
          <w:p>
            <w:pPr>
              <w:spacing w:lineRule="auto" w:line="288" w:before="60" w:after="60"/>
              <w:ind w:left="57" w:right="57"/>
            </w:pPr>
            <w:r>
              <w:rPr>
                <w:rFonts w:ascii="Times New Roman" w:hAnsi="Times New Roman"/>
                <w:b w:val="0"/>
                <w:i w:val="0"/>
                <w:sz w:val="20"/>
              </w:rPr>
              <w:t>The international standard-setting body for AML and counter-terrorist financing (CFT). FATF's 40 Recommendations are the global benchmark for AML frameworks. Countries are assessed against these standards in mutual evaluation reviews; non-compliance can result in placement on the FATF grey or black list.</w:t>
            </w:r>
          </w:p>
        </w:tc>
      </w:tr>
      <w:tr>
        <w:tc>
          <w:tcPr>
            <w:tcW w:w="4536" w:type="dxa"/>
          </w:tcPr>
          <w:p>
            <w:pPr>
              <w:spacing w:lineRule="auto" w:line="288" w:before="60" w:after="60"/>
              <w:ind w:left="57" w:right="57"/>
            </w:pPr>
            <w:r>
              <w:rPr>
                <w:rFonts w:ascii="Times New Roman" w:hAnsi="Times New Roman"/>
                <w:b w:val="0"/>
                <w:i w:val="0"/>
                <w:sz w:val="20"/>
              </w:rPr>
              <w:t>FCA (Financial Conduct Authority)</w:t>
            </w:r>
          </w:p>
        </w:tc>
        <w:tc>
          <w:tcPr>
            <w:tcW w:w="4536" w:type="dxa"/>
          </w:tcPr>
          <w:p>
            <w:pPr>
              <w:spacing w:lineRule="auto" w:line="288" w:before="60" w:after="60"/>
              <w:ind w:left="57" w:right="57"/>
            </w:pPr>
            <w:r>
              <w:rPr>
                <w:rFonts w:ascii="Times New Roman" w:hAnsi="Times New Roman"/>
                <w:b w:val="0"/>
                <w:i w:val="0"/>
                <w:sz w:val="20"/>
              </w:rPr>
              <w:t>The UK's primary financial services regulator. The FCA supervises AML compliance for most UK financial services firms, including retail banks, and has powers to impose unlimited fines and pursue criminal prosecution.</w:t>
            </w:r>
          </w:p>
        </w:tc>
      </w:tr>
      <w:tr>
        <w:tc>
          <w:tcPr>
            <w:tcW w:w="4536" w:type="dxa"/>
          </w:tcPr>
          <w:p>
            <w:pPr>
              <w:spacing w:lineRule="auto" w:line="288" w:before="60" w:after="60"/>
              <w:ind w:left="57" w:right="57"/>
            </w:pPr>
            <w:r>
              <w:rPr>
                <w:rFonts w:ascii="Times New Roman" w:hAnsi="Times New Roman"/>
                <w:b w:val="0"/>
                <w:i w:val="0"/>
                <w:sz w:val="20"/>
              </w:rPr>
              <w:t>FFIEC</w:t>
            </w:r>
          </w:p>
        </w:tc>
        <w:tc>
          <w:tcPr>
            <w:tcW w:w="4536" w:type="dxa"/>
          </w:tcPr>
          <w:p>
            <w:pPr>
              <w:spacing w:lineRule="auto" w:line="288" w:before="60" w:after="60"/>
              <w:ind w:left="57" w:right="57"/>
            </w:pPr>
            <w:r>
              <w:rPr>
                <w:rFonts w:ascii="Times New Roman" w:hAnsi="Times New Roman"/>
                <w:b w:val="0"/>
                <w:i w:val="0"/>
                <w:sz w:val="20"/>
              </w:rPr>
              <w:t>Federal Financial Institutions Examination Council (US). The FFIEC publishes the BSA/AML Examination Manual — the definitive reference for how US bank examiners assess AML compliance. Widely referenced internationally.</w:t>
            </w:r>
          </w:p>
        </w:tc>
      </w:tr>
      <w:tr>
        <w:tc>
          <w:tcPr>
            <w:tcW w:w="4536" w:type="dxa"/>
          </w:tcPr>
          <w:p>
            <w:pPr>
              <w:spacing w:lineRule="auto" w:line="288" w:before="60" w:after="60"/>
              <w:ind w:left="57" w:right="57"/>
            </w:pPr>
            <w:r>
              <w:rPr>
                <w:rFonts w:ascii="Times New Roman" w:hAnsi="Times New Roman"/>
                <w:b w:val="0"/>
                <w:i w:val="0"/>
                <w:sz w:val="20"/>
              </w:rPr>
              <w:t>FinCEN</w:t>
            </w:r>
          </w:p>
        </w:tc>
        <w:tc>
          <w:tcPr>
            <w:tcW w:w="4536" w:type="dxa"/>
          </w:tcPr>
          <w:p>
            <w:pPr>
              <w:spacing w:lineRule="auto" w:line="288" w:before="60" w:after="60"/>
              <w:ind w:left="57" w:right="57"/>
            </w:pPr>
            <w:r>
              <w:rPr>
                <w:rFonts w:ascii="Times New Roman" w:hAnsi="Times New Roman"/>
                <w:b w:val="0"/>
                <w:i w:val="0"/>
                <w:sz w:val="20"/>
              </w:rPr>
              <w:t>Financial Crimes Enforcement Network. A bureau of the US Department of the Treasury that administers and enforces the Bank Secrecy Act, issues AML guidance, and manages the SAR database.</w:t>
            </w:r>
          </w:p>
        </w:tc>
      </w:tr>
      <w:tr>
        <w:tc>
          <w:tcPr>
            <w:tcW w:w="4536" w:type="dxa"/>
          </w:tcPr>
          <w:p>
            <w:pPr>
              <w:spacing w:lineRule="auto" w:line="288" w:before="60" w:after="60"/>
              <w:ind w:left="57" w:right="57"/>
            </w:pPr>
            <w:r>
              <w:rPr>
                <w:rFonts w:ascii="Times New Roman" w:hAnsi="Times New Roman"/>
                <w:b w:val="0"/>
                <w:i w:val="0"/>
                <w:sz w:val="20"/>
              </w:rPr>
              <w:t>FRAML</w:t>
            </w:r>
          </w:p>
        </w:tc>
        <w:tc>
          <w:tcPr>
            <w:tcW w:w="4536" w:type="dxa"/>
          </w:tcPr>
          <w:p>
            <w:pPr>
              <w:spacing w:lineRule="auto" w:line="288" w:before="60" w:after="60"/>
              <w:ind w:left="57" w:right="57"/>
            </w:pPr>
            <w:r>
              <w:rPr>
                <w:rFonts w:ascii="Times New Roman" w:hAnsi="Times New Roman"/>
                <w:b w:val="0"/>
                <w:i w:val="0"/>
                <w:sz w:val="20"/>
              </w:rPr>
              <w:t>Fraud + AML — the convergence approach that combines fraud detection and AML analytics into a unified function, sharing data, models, and analyst resources. The rationale: fraud and money laundering frequently co-occur (mule accounts are often recruited through fraud schemes; account takeover is used to layer funds), and a single integrated view of the customer reduces duplicate effort and improves detection coverage. Use with care — FRAML can imply a structural merger of two functions with distinct regulatory obligations, governance frameworks, and supervisory relationships. In many jurisdictions, the SAR filing obligation and the fraud reporting obligation remain separate. Integration at the analytics level is well-established best practice; integration at the governance level requires careful regulatory analysis.</w:t>
            </w:r>
          </w:p>
        </w:tc>
      </w:tr>
      <w:tr>
        <w:tc>
          <w:tcPr>
            <w:tcW w:w="4536" w:type="dxa"/>
          </w:tcPr>
          <w:p>
            <w:pPr>
              <w:spacing w:lineRule="auto" w:line="288" w:before="60" w:after="60"/>
              <w:ind w:left="57" w:right="57"/>
            </w:pPr>
            <w:r>
              <w:rPr>
                <w:rFonts w:ascii="Times New Roman" w:hAnsi="Times New Roman"/>
                <w:b w:val="0"/>
                <w:i w:val="0"/>
                <w:sz w:val="20"/>
              </w:rPr>
              <w:t>Hypergeometric Sampling</w:t>
            </w:r>
          </w:p>
        </w:tc>
        <w:tc>
          <w:tcPr>
            <w:tcW w:w="4536" w:type="dxa"/>
          </w:tcPr>
          <w:p>
            <w:pPr>
              <w:spacing w:lineRule="auto" w:line="288" w:before="60" w:after="60"/>
              <w:ind w:left="57" w:right="57"/>
            </w:pPr>
            <w:r>
              <w:rPr>
                <w:rFonts w:ascii="Times New Roman" w:hAnsi="Times New Roman"/>
                <w:b w:val="0"/>
                <w:i w:val="0"/>
                <w:sz w:val="20"/>
              </w:rPr>
              <w:t>A statistical sampling technique applied to the below-the-line (BTL) population to estimate the rate of suspicious activity that is not being detected by current scenarios. Hypergeometric sampling draws cases without replacement from a finite population, making it appropriate for BTL estimation where the population is known and bounded. Used in Chapter 6 to estimate the SAR rate in the below-the-line population without requiring review of every unalerted record.</w:t>
            </w:r>
          </w:p>
        </w:tc>
      </w:tr>
      <w:tr>
        <w:tc>
          <w:tcPr>
            <w:tcW w:w="4536" w:type="dxa"/>
          </w:tcPr>
          <w:p>
            <w:pPr>
              <w:spacing w:lineRule="auto" w:line="288" w:before="60" w:after="60"/>
              <w:ind w:left="57" w:right="57"/>
            </w:pPr>
            <w:r>
              <w:rPr>
                <w:rFonts w:ascii="Times New Roman" w:hAnsi="Times New Roman"/>
                <w:b w:val="0"/>
                <w:i w:val="0"/>
                <w:sz w:val="20"/>
              </w:rPr>
              <w:t>Infraction</w:t>
            </w:r>
          </w:p>
        </w:tc>
        <w:tc>
          <w:tcPr>
            <w:tcW w:w="4536" w:type="dxa"/>
          </w:tcPr>
          <w:p>
            <w:pPr>
              <w:spacing w:lineRule="auto" w:line="288" w:before="60" w:after="60"/>
              <w:ind w:left="57" w:right="57"/>
            </w:pPr>
            <w:r>
              <w:rPr>
                <w:rFonts w:ascii="Times New Roman" w:hAnsi="Times New Roman"/>
                <w:b w:val="0"/>
                <w:i w:val="0"/>
                <w:sz w:val="20"/>
              </w:rPr>
              <w:t>A vendor-specific term (used notably in some Actimize implementations) for rule-triggered events that may not yet constitute definitive alerts. Infractions are intermediate signals that may be combined or suppressed before generating a formal alert.</w:t>
            </w:r>
          </w:p>
        </w:tc>
      </w:tr>
      <w:tr>
        <w:tc>
          <w:tcPr>
            <w:tcW w:w="4536" w:type="dxa"/>
          </w:tcPr>
          <w:p>
            <w:pPr>
              <w:spacing w:lineRule="auto" w:line="288" w:before="60" w:after="60"/>
              <w:ind w:left="57" w:right="57"/>
            </w:pPr>
            <w:r>
              <w:rPr>
                <w:rFonts w:ascii="Times New Roman" w:hAnsi="Times New Roman"/>
                <w:b w:val="0"/>
                <w:i w:val="0"/>
                <w:sz w:val="20"/>
              </w:rPr>
              <w:t>Integration</w:t>
            </w:r>
          </w:p>
        </w:tc>
        <w:tc>
          <w:tcPr>
            <w:tcW w:w="4536" w:type="dxa"/>
          </w:tcPr>
          <w:p>
            <w:pPr>
              <w:spacing w:lineRule="auto" w:line="288" w:before="60" w:after="60"/>
              <w:ind w:left="57" w:right="57"/>
            </w:pPr>
            <w:r>
              <w:rPr>
                <w:rFonts w:ascii="Times New Roman" w:hAnsi="Times New Roman"/>
                <w:b w:val="0"/>
                <w:i w:val="0"/>
                <w:sz w:val="20"/>
              </w:rPr>
              <w:t>The third stage of money laundering. The laundered funds re-enter the legitimate economy, appearing to be legal income. Integration is the hardest stage to detect because by this point the funds may have passed through multiple jurisdictions and financial instruments.</w:t>
            </w:r>
          </w:p>
        </w:tc>
      </w:tr>
      <w:tr>
        <w:tc>
          <w:tcPr>
            <w:tcW w:w="4536" w:type="dxa"/>
          </w:tcPr>
          <w:p>
            <w:pPr>
              <w:spacing w:lineRule="auto" w:line="288" w:before="60" w:after="60"/>
              <w:ind w:left="57" w:right="57"/>
            </w:pPr>
            <w:r>
              <w:rPr>
                <w:rFonts w:ascii="Times New Roman" w:hAnsi="Times New Roman"/>
                <w:b w:val="0"/>
                <w:i w:val="0"/>
                <w:sz w:val="20"/>
              </w:rPr>
              <w:t>Isolation Forest</w:t>
            </w:r>
          </w:p>
        </w:tc>
        <w:tc>
          <w:tcPr>
            <w:tcW w:w="4536" w:type="dxa"/>
          </w:tcPr>
          <w:p>
            <w:pPr>
              <w:spacing w:lineRule="auto" w:line="288" w:before="60" w:after="60"/>
              <w:ind w:left="57" w:right="57"/>
            </w:pPr>
            <w:r>
              <w:rPr>
                <w:rFonts w:ascii="Times New Roman" w:hAnsi="Times New Roman"/>
                <w:b w:val="0"/>
                <w:i w:val="0"/>
                <w:sz w:val="20"/>
              </w:rPr>
              <w:t>An unsupervised machine learning algorithm used for anomaly detection. It isolates anomalies by randomly partitioning the feature space using decision trees. Anomalous observations require fewer partitions to isolate than normal ones. In AML, Isolation Forest is used to score and rank alerts by suspicion without requiring labelled training data.</w:t>
            </w:r>
          </w:p>
        </w:tc>
      </w:tr>
      <w:tr>
        <w:tc>
          <w:tcPr>
            <w:tcW w:w="4536" w:type="dxa"/>
          </w:tcPr>
          <w:p>
            <w:pPr>
              <w:spacing w:lineRule="auto" w:line="288" w:before="60" w:after="60"/>
              <w:ind w:left="57" w:right="57"/>
            </w:pPr>
            <w:r>
              <w:rPr>
                <w:rFonts w:ascii="Times New Roman" w:hAnsi="Times New Roman"/>
                <w:b w:val="0"/>
                <w:i w:val="0"/>
                <w:sz w:val="20"/>
              </w:rPr>
              <w:t>JMLSG</w:t>
            </w:r>
          </w:p>
        </w:tc>
        <w:tc>
          <w:tcPr>
            <w:tcW w:w="4536" w:type="dxa"/>
          </w:tcPr>
          <w:p>
            <w:pPr>
              <w:spacing w:lineRule="auto" w:line="288" w:before="60" w:after="60"/>
              <w:ind w:left="57" w:right="57"/>
            </w:pPr>
            <w:r>
              <w:rPr>
                <w:rFonts w:ascii="Times New Roman" w:hAnsi="Times New Roman"/>
                <w:b w:val="0"/>
                <w:i w:val="0"/>
                <w:sz w:val="20"/>
              </w:rPr>
              <w:t>Joint Money Laundering Steering Group. A UK private sector body that publishes AML/CFT guidance for financial services firms. JMLSG guidance is approved by HM Treasury and, while not legally binding, is treated as a near-mandatory standard in regulatory examinations.</w:t>
            </w:r>
          </w:p>
        </w:tc>
      </w:tr>
      <w:tr>
        <w:tc>
          <w:tcPr>
            <w:tcW w:w="4536" w:type="dxa"/>
          </w:tcPr>
          <w:p>
            <w:pPr>
              <w:spacing w:lineRule="auto" w:line="288" w:before="60" w:after="60"/>
              <w:ind w:left="57" w:right="57"/>
            </w:pPr>
            <w:r>
              <w:rPr>
                <w:rFonts w:ascii="Times New Roman" w:hAnsi="Times New Roman"/>
                <w:b w:val="0"/>
                <w:i w:val="0"/>
                <w:sz w:val="20"/>
              </w:rPr>
              <w:t>KYC (Know Your Customer)</w:t>
            </w:r>
          </w:p>
        </w:tc>
        <w:tc>
          <w:tcPr>
            <w:tcW w:w="4536" w:type="dxa"/>
          </w:tcPr>
          <w:p>
            <w:pPr>
              <w:spacing w:lineRule="auto" w:line="288" w:before="60" w:after="60"/>
              <w:ind w:left="57" w:right="57"/>
            </w:pPr>
            <w:r>
              <w:rPr>
                <w:rFonts w:ascii="Times New Roman" w:hAnsi="Times New Roman"/>
                <w:b w:val="0"/>
                <w:i w:val="0"/>
                <w:sz w:val="20"/>
              </w:rPr>
              <w:t>The process of verifying a customer's identity and understanding the nature of their intended business relationship. KYC is the foundation of Customer Due Diligence (CDD) and is required at onboarding under AML law in all major jurisdictions.</w:t>
            </w:r>
          </w:p>
        </w:tc>
      </w:tr>
      <w:tr>
        <w:tc>
          <w:tcPr>
            <w:tcW w:w="4536" w:type="dxa"/>
          </w:tcPr>
          <w:p>
            <w:pPr>
              <w:spacing w:lineRule="auto" w:line="288" w:before="60" w:after="60"/>
              <w:ind w:left="57" w:right="57"/>
            </w:pPr>
            <w:r>
              <w:rPr>
                <w:rFonts w:ascii="Times New Roman" w:hAnsi="Times New Roman"/>
                <w:b w:val="0"/>
                <w:i w:val="0"/>
                <w:sz w:val="20"/>
              </w:rPr>
              <w:t>L1 / L2 / L3 Investigation Levels</w:t>
            </w:r>
          </w:p>
        </w:tc>
        <w:tc>
          <w:tcPr>
            <w:tcW w:w="4536" w:type="dxa"/>
          </w:tcPr>
          <w:p>
            <w:pPr>
              <w:spacing w:lineRule="auto" w:line="288" w:before="60" w:after="60"/>
              <w:ind w:left="57" w:right="57"/>
            </w:pPr>
            <w:r>
              <w:rPr>
                <w:rFonts w:ascii="Times New Roman" w:hAnsi="Times New Roman"/>
                <w:b w:val="0"/>
                <w:i w:val="0"/>
                <w:sz w:val="20"/>
              </w:rPr>
              <w:t>Three-tier system for alert and case dispositions. L1: not interesting — alert is closed without escalation. L2: interesting — alert is escalated to a senior analyst or investigator for full case investigation. L3: SAR-worthy — the investigation concludes that suspicious activity has occurred and a SAR or STR must be filed.</w:t>
            </w:r>
          </w:p>
        </w:tc>
      </w:tr>
      <w:tr>
        <w:tc>
          <w:tcPr>
            <w:tcW w:w="4536" w:type="dxa"/>
          </w:tcPr>
          <w:p>
            <w:pPr>
              <w:spacing w:lineRule="auto" w:line="288" w:before="60" w:after="60"/>
              <w:ind w:left="57" w:right="57"/>
            </w:pPr>
            <w:r>
              <w:rPr>
                <w:rFonts w:ascii="Times New Roman" w:hAnsi="Times New Roman"/>
                <w:b w:val="0"/>
                <w:i w:val="0"/>
                <w:sz w:val="20"/>
              </w:rPr>
              <w:t>Layering</w:t>
            </w:r>
          </w:p>
        </w:tc>
        <w:tc>
          <w:tcPr>
            <w:tcW w:w="4536" w:type="dxa"/>
          </w:tcPr>
          <w:p>
            <w:pPr>
              <w:spacing w:lineRule="auto" w:line="288" w:before="60" w:after="60"/>
              <w:ind w:left="57" w:right="57"/>
            </w:pPr>
            <w:r>
              <w:rPr>
                <w:rFonts w:ascii="Times New Roman" w:hAnsi="Times New Roman"/>
                <w:b w:val="0"/>
                <w:i w:val="0"/>
                <w:sz w:val="20"/>
              </w:rPr>
              <w:t>The second stage of money laundering. Funds are moved through a series of transactions — wire transfers, currency conversions, asset purchases — to obscure their origin. Transaction monitoring is most effective at detecting layering patterns.</w:t>
            </w:r>
          </w:p>
        </w:tc>
      </w:tr>
      <w:tr>
        <w:tc>
          <w:tcPr>
            <w:tcW w:w="4536" w:type="dxa"/>
          </w:tcPr>
          <w:p>
            <w:pPr>
              <w:spacing w:lineRule="auto" w:line="288" w:before="60" w:after="60"/>
              <w:ind w:left="57" w:right="57"/>
            </w:pPr>
            <w:r>
              <w:rPr>
                <w:rFonts w:ascii="Times New Roman" w:hAnsi="Times New Roman"/>
                <w:b w:val="0"/>
                <w:i w:val="0"/>
                <w:sz w:val="20"/>
              </w:rPr>
              <w:t>MAS (Monetary Authority of Singapore)</w:t>
            </w:r>
          </w:p>
        </w:tc>
        <w:tc>
          <w:tcPr>
            <w:tcW w:w="4536" w:type="dxa"/>
          </w:tcPr>
          <w:p>
            <w:pPr>
              <w:spacing w:lineRule="auto" w:line="288" w:before="60" w:after="60"/>
              <w:ind w:left="57" w:right="57"/>
            </w:pPr>
            <w:r>
              <w:rPr>
                <w:rFonts w:ascii="Times New Roman" w:hAnsi="Times New Roman"/>
                <w:b w:val="0"/>
                <w:i w:val="0"/>
                <w:sz w:val="20"/>
              </w:rPr>
              <w:t>Singapore's central bank and integrated financial regulator. MAS administers AML obligations through Notice 1070 and the Technology Risk Management (TRM) Guidelines.</w:t>
            </w:r>
          </w:p>
        </w:tc>
      </w:tr>
      <w:tr>
        <w:tc>
          <w:tcPr>
            <w:tcW w:w="4536" w:type="dxa"/>
          </w:tcPr>
          <w:p>
            <w:pPr>
              <w:spacing w:lineRule="auto" w:line="288" w:before="60" w:after="60"/>
              <w:ind w:left="57" w:right="57"/>
            </w:pPr>
            <w:r>
              <w:rPr>
                <w:rFonts w:ascii="Times New Roman" w:hAnsi="Times New Roman"/>
                <w:b w:val="0"/>
                <w:i w:val="0"/>
                <w:sz w:val="20"/>
              </w:rPr>
              <w:t>MLRs (Money Laundering Regulations)</w:t>
            </w:r>
          </w:p>
        </w:tc>
        <w:tc>
          <w:tcPr>
            <w:tcW w:w="4536" w:type="dxa"/>
          </w:tcPr>
          <w:p>
            <w:pPr>
              <w:spacing w:lineRule="auto" w:line="288" w:before="60" w:after="60"/>
              <w:ind w:left="57" w:right="57"/>
            </w:pPr>
            <w:r>
              <w:rPr>
                <w:rFonts w:ascii="Times New Roman" w:hAnsi="Times New Roman"/>
                <w:b w:val="0"/>
                <w:i w:val="0"/>
                <w:sz w:val="20"/>
              </w:rPr>
              <w:t>The Money Laundering, Terrorist Financing and Transfer of Funds (Information on the Payer) Regulations 2017 (as amended). The primary implementing legislation for AML obligations on UK financial institutions, transposing EU AML Directives into UK law.</w:t>
            </w:r>
          </w:p>
        </w:tc>
      </w:tr>
      <w:tr>
        <w:tc>
          <w:tcPr>
            <w:tcW w:w="4536" w:type="dxa"/>
          </w:tcPr>
          <w:p>
            <w:pPr>
              <w:spacing w:lineRule="auto" w:line="288" w:before="60" w:after="60"/>
              <w:ind w:left="57" w:right="57"/>
            </w:pPr>
            <w:r>
              <w:rPr>
                <w:rFonts w:ascii="Times New Roman" w:hAnsi="Times New Roman"/>
                <w:b w:val="0"/>
                <w:i w:val="0"/>
                <w:sz w:val="20"/>
              </w:rPr>
              <w:t>Model Risk Management (MRM)</w:t>
            </w:r>
          </w:p>
        </w:tc>
        <w:tc>
          <w:tcPr>
            <w:tcW w:w="4536" w:type="dxa"/>
          </w:tcPr>
          <w:p>
            <w:pPr>
              <w:spacing w:lineRule="auto" w:line="288" w:before="60" w:after="60"/>
              <w:ind w:left="57" w:right="57"/>
            </w:pPr>
            <w:r>
              <w:rPr>
                <w:rFonts w:ascii="Times New Roman" w:hAnsi="Times New Roman"/>
                <w:b w:val="0"/>
                <w:i w:val="0"/>
                <w:sz w:val="20"/>
              </w:rPr>
              <w:t>The governance framework for identifying, measuring, monitoring, and controlling risks arising from the use of quantitative models. In AML, MRM applies to all scenario rules, segmentation models, threshold calibration methodologies, and ML triage systems. Key frameworks: SR 26-2 (US), PRA SS1/23 (UK).</w:t>
            </w:r>
          </w:p>
        </w:tc>
      </w:tr>
      <w:tr>
        <w:tc>
          <w:tcPr>
            <w:tcW w:w="4536" w:type="dxa"/>
          </w:tcPr>
          <w:p>
            <w:pPr>
              <w:spacing w:lineRule="auto" w:line="288" w:before="60" w:after="60"/>
              <w:ind w:left="57" w:right="57"/>
            </w:pPr>
            <w:r>
              <w:rPr>
                <w:rFonts w:ascii="Times New Roman" w:hAnsi="Times New Roman"/>
                <w:b w:val="0"/>
                <w:i w:val="0"/>
                <w:sz w:val="20"/>
              </w:rPr>
              <w:t>Model Validation</w:t>
            </w:r>
          </w:p>
        </w:tc>
        <w:tc>
          <w:tcPr>
            <w:tcW w:w="4536" w:type="dxa"/>
          </w:tcPr>
          <w:p>
            <w:pPr>
              <w:spacing w:lineRule="auto" w:line="288" w:before="60" w:after="60"/>
              <w:ind w:left="57" w:right="57"/>
            </w:pPr>
            <w:r>
              <w:rPr>
                <w:rFonts w:ascii="Times New Roman" w:hAnsi="Times New Roman"/>
                <w:b w:val="0"/>
                <w:i w:val="0"/>
                <w:sz w:val="20"/>
              </w:rPr>
              <w:t>The independent assessment of whether a model is fit for its intended purpose. Distinct from Model Risk Management (MRM), which is the governance framework within which validation operates: MRM is the structure; validation is the process. Under SR 26-2 (US) and PRA SS1/23 (UK), validation must be conducted independently of the model development team. The five-pillar framework (Model Governance, Model Framework, Data Quality, Model Methodology, Model Documentation) provides the operational structure for AML model validation. See Chapter 9.</w:t>
            </w:r>
          </w:p>
        </w:tc>
      </w:tr>
      <w:tr>
        <w:tc>
          <w:tcPr>
            <w:tcW w:w="4536" w:type="dxa"/>
          </w:tcPr>
          <w:p>
            <w:pPr>
              <w:spacing w:lineRule="auto" w:line="288" w:before="60" w:after="60"/>
              <w:ind w:left="57" w:right="57"/>
            </w:pPr>
            <w:r>
              <w:rPr>
                <w:rFonts w:ascii="Times New Roman" w:hAnsi="Times New Roman"/>
                <w:b w:val="0"/>
                <w:i w:val="0"/>
                <w:sz w:val="20"/>
              </w:rPr>
              <w:t>NLP (Natural Language Processing)</w:t>
            </w:r>
          </w:p>
        </w:tc>
        <w:tc>
          <w:tcPr>
            <w:tcW w:w="4536" w:type="dxa"/>
          </w:tcPr>
          <w:p>
            <w:pPr>
              <w:spacing w:lineRule="auto" w:line="288" w:before="60" w:after="60"/>
              <w:ind w:left="57" w:right="57"/>
            </w:pPr>
            <w:r>
              <w:rPr>
                <w:rFonts w:ascii="Times New Roman" w:hAnsi="Times New Roman"/>
                <w:b w:val="0"/>
                <w:i w:val="0"/>
                <w:sz w:val="20"/>
              </w:rPr>
              <w:t>A branch of artificial intelligence concerned with the analysis and generation of human language. In AML, NLP is applied to regulatory text parsing (extracting red flags from FFIEC or JMLSG guidance), SAR narrative generation, and automated coverage assessment.</w:t>
            </w:r>
          </w:p>
        </w:tc>
      </w:tr>
      <w:tr>
        <w:tc>
          <w:tcPr>
            <w:tcW w:w="4536" w:type="dxa"/>
          </w:tcPr>
          <w:p>
            <w:pPr>
              <w:spacing w:lineRule="auto" w:line="288" w:before="60" w:after="60"/>
              <w:ind w:left="57" w:right="57"/>
            </w:pPr>
            <w:r>
              <w:rPr>
                <w:rFonts w:ascii="Times New Roman" w:hAnsi="Times New Roman"/>
                <w:b w:val="0"/>
                <w:i w:val="0"/>
                <w:sz w:val="20"/>
              </w:rPr>
              <w:t>Peer Groups / Segments</w:t>
            </w:r>
          </w:p>
        </w:tc>
        <w:tc>
          <w:tcPr>
            <w:tcW w:w="4536" w:type="dxa"/>
          </w:tcPr>
          <w:p>
            <w:pPr>
              <w:spacing w:lineRule="auto" w:line="288" w:before="60" w:after="60"/>
              <w:ind w:left="57" w:right="57"/>
            </w:pPr>
            <w:r>
              <w:rPr>
                <w:rFonts w:ascii="Times New Roman" w:hAnsi="Times New Roman"/>
                <w:b w:val="0"/>
                <w:i w:val="0"/>
                <w:sz w:val="20"/>
              </w:rPr>
              <w:t>Groups of customers expected to exhibit similar transactional behaviours, used as the basis for risk-based threshold calibration. A customer's peer group determines the monitoring thresholds applied to their account. 'Peer group' and 'segment' are used interchangeably in this book.</w:t>
            </w:r>
          </w:p>
        </w:tc>
      </w:tr>
      <w:tr>
        <w:tc>
          <w:tcPr>
            <w:tcW w:w="4536" w:type="dxa"/>
          </w:tcPr>
          <w:p>
            <w:pPr>
              <w:spacing w:lineRule="auto" w:line="288" w:before="60" w:after="60"/>
              <w:ind w:left="57" w:right="57"/>
            </w:pPr>
            <w:r>
              <w:rPr>
                <w:rFonts w:ascii="Times New Roman" w:hAnsi="Times New Roman"/>
                <w:b w:val="0"/>
                <w:i w:val="0"/>
                <w:sz w:val="20"/>
              </w:rPr>
              <w:t>Placement</w:t>
            </w:r>
          </w:p>
        </w:tc>
        <w:tc>
          <w:tcPr>
            <w:tcW w:w="4536" w:type="dxa"/>
          </w:tcPr>
          <w:p>
            <w:pPr>
              <w:spacing w:lineRule="auto" w:line="288" w:before="60" w:after="60"/>
              <w:ind w:left="57" w:right="57"/>
            </w:pPr>
            <w:r>
              <w:rPr>
                <w:rFonts w:ascii="Times New Roman" w:hAnsi="Times New Roman"/>
                <w:b w:val="0"/>
                <w:i w:val="0"/>
                <w:sz w:val="20"/>
              </w:rPr>
              <w:t>The first stage of money laundering. The criminal introduces illegal funds into the financial system, typically as cash. This is the riskiest stage for the launderer — cash is conspicuous — and the stage at which banks' cash transaction reporting requirements are most directly targeted.</w:t>
            </w:r>
          </w:p>
        </w:tc>
      </w:tr>
      <w:tr>
        <w:tc>
          <w:tcPr>
            <w:tcW w:w="4536" w:type="dxa"/>
          </w:tcPr>
          <w:p>
            <w:pPr>
              <w:spacing w:lineRule="auto" w:line="288" w:before="60" w:after="60"/>
              <w:ind w:left="57" w:right="57"/>
            </w:pPr>
            <w:r>
              <w:rPr>
                <w:rFonts w:ascii="Times New Roman" w:hAnsi="Times New Roman"/>
                <w:b w:val="0"/>
                <w:i w:val="0"/>
                <w:sz w:val="20"/>
              </w:rPr>
              <w:t>POCA (Proceeds of Crime Act 2002)</w:t>
            </w:r>
          </w:p>
        </w:tc>
        <w:tc>
          <w:tcPr>
            <w:tcW w:w="4536" w:type="dxa"/>
          </w:tcPr>
          <w:p>
            <w:pPr>
              <w:spacing w:lineRule="auto" w:line="288" w:before="60" w:after="60"/>
              <w:ind w:left="57" w:right="57"/>
            </w:pPr>
            <w:r>
              <w:rPr>
                <w:rFonts w:ascii="Times New Roman" w:hAnsi="Times New Roman"/>
                <w:b w:val="0"/>
                <w:i w:val="0"/>
                <w:sz w:val="20"/>
              </w:rPr>
              <w:t>The UK statute that criminalises money laundering and tipping off. POCA defines money laundering broadly, covering acquisition, use, or possession of criminal property. The tipping off offence (s.333A) — disclosing that a SAR has been or may be filed — carries up to two years imprisonment.</w:t>
            </w:r>
          </w:p>
        </w:tc>
      </w:tr>
      <w:tr>
        <w:tc>
          <w:tcPr>
            <w:tcW w:w="4536" w:type="dxa"/>
          </w:tcPr>
          <w:p>
            <w:pPr>
              <w:spacing w:lineRule="auto" w:line="288" w:before="60" w:after="60"/>
              <w:ind w:left="57" w:right="57"/>
            </w:pPr>
            <w:r>
              <w:rPr>
                <w:rFonts w:ascii="Times New Roman" w:hAnsi="Times New Roman"/>
                <w:b w:val="0"/>
                <w:i w:val="0"/>
                <w:sz w:val="20"/>
              </w:rPr>
              <w:t>PRA (Prudential Regulation Authority)</w:t>
            </w:r>
          </w:p>
        </w:tc>
        <w:tc>
          <w:tcPr>
            <w:tcW w:w="4536" w:type="dxa"/>
          </w:tcPr>
          <w:p>
            <w:pPr>
              <w:spacing w:lineRule="auto" w:line="288" w:before="60" w:after="60"/>
              <w:ind w:left="57" w:right="57"/>
            </w:pPr>
            <w:r>
              <w:rPr>
                <w:rFonts w:ascii="Times New Roman" w:hAnsi="Times New Roman"/>
                <w:b w:val="0"/>
                <w:i w:val="0"/>
                <w:sz w:val="20"/>
              </w:rPr>
              <w:t>The UK's prudential regulator for banks, building societies, and major investment firms. The PRA published Supervisory Statement SS1/23 (2023), which establishes supervisory expectations for model risk management at UK banks.</w:t>
            </w:r>
          </w:p>
        </w:tc>
      </w:tr>
      <w:tr>
        <w:tc>
          <w:tcPr>
            <w:tcW w:w="4536" w:type="dxa"/>
          </w:tcPr>
          <w:p>
            <w:pPr>
              <w:spacing w:lineRule="auto" w:line="288" w:before="60" w:after="60"/>
              <w:ind w:left="57" w:right="57"/>
            </w:pPr>
            <w:r>
              <w:rPr>
                <w:rFonts w:ascii="Times New Roman" w:hAnsi="Times New Roman"/>
                <w:b w:val="0"/>
                <w:i w:val="0"/>
                <w:sz w:val="20"/>
              </w:rPr>
              <w:t>Red Flags</w:t>
            </w:r>
          </w:p>
        </w:tc>
        <w:tc>
          <w:tcPr>
            <w:tcW w:w="4536" w:type="dxa"/>
          </w:tcPr>
          <w:p>
            <w:pPr>
              <w:spacing w:lineRule="auto" w:line="288" w:before="60" w:after="60"/>
              <w:ind w:left="57" w:right="57"/>
            </w:pPr>
            <w:r>
              <w:rPr>
                <w:rFonts w:ascii="Times New Roman" w:hAnsi="Times New Roman"/>
                <w:b w:val="0"/>
                <w:i w:val="0"/>
                <w:sz w:val="20"/>
              </w:rPr>
              <w:t>Indicators in customer behaviour or transaction patterns that raise concerns about possible financial crime. Red flags are documented in regulatory guidance (FFIEC manual, JMLSG guidance, FATF typology reports) and form the basis of transaction monitoring scenario design.</w:t>
            </w:r>
          </w:p>
        </w:tc>
      </w:tr>
      <w:tr>
        <w:tc>
          <w:tcPr>
            <w:tcW w:w="4536" w:type="dxa"/>
          </w:tcPr>
          <w:p>
            <w:pPr>
              <w:spacing w:lineRule="auto" w:line="288" w:before="60" w:after="60"/>
              <w:ind w:left="57" w:right="57"/>
            </w:pPr>
            <w:r>
              <w:rPr>
                <w:rFonts w:ascii="Times New Roman" w:hAnsi="Times New Roman"/>
                <w:b w:val="0"/>
                <w:i w:val="0"/>
                <w:sz w:val="20"/>
              </w:rPr>
              <w:t>Risk Appetite</w:t>
            </w:r>
          </w:p>
        </w:tc>
        <w:tc>
          <w:tcPr>
            <w:tcW w:w="4536" w:type="dxa"/>
          </w:tcPr>
          <w:p>
            <w:pPr>
              <w:spacing w:lineRule="auto" w:line="288" w:before="60" w:after="60"/>
              <w:ind w:left="57" w:right="57"/>
            </w:pPr>
            <w:r>
              <w:rPr>
                <w:rFonts w:ascii="Times New Roman" w:hAnsi="Times New Roman"/>
                <w:b w:val="0"/>
                <w:i w:val="0"/>
                <w:sz w:val="20"/>
              </w:rPr>
              <w:t>An institution's defined tolerance for financial crime risk, including acceptable levels of missed suspicious activity (false negatives). Risk appetite is the governance mechanism by which the institution quantifies what coverage it is prepared to accept — for example, a documented statement that a BTL SAR rate below X% is within acceptable bounds. In a TM analytics context, risk appetite operationalises the balance between coverage and operational capacity: it defines what proportion of suspicious activity the institution accepts may go undetected. Risk appetite thresholds are inputs to BTL sampling analysis (Chapter 6) and model validation criteria (Chapter 9). Risk appetite is a governance decision — set by senior management and documented in policy — not an analytical output. See Chapters 1, 6, and 9.</w:t>
            </w:r>
          </w:p>
        </w:tc>
      </w:tr>
      <w:tr>
        <w:tc>
          <w:tcPr>
            <w:tcW w:w="4536" w:type="dxa"/>
          </w:tcPr>
          <w:p>
            <w:pPr>
              <w:spacing w:lineRule="auto" w:line="288" w:before="60" w:after="60"/>
              <w:ind w:left="57" w:right="57"/>
            </w:pPr>
            <w:r>
              <w:rPr>
                <w:rFonts w:ascii="Times New Roman" w:hAnsi="Times New Roman"/>
                <w:b w:val="0"/>
                <w:i w:val="0"/>
                <w:sz w:val="20"/>
              </w:rPr>
              <w:t>Risk Tolerance</w:t>
            </w:r>
          </w:p>
        </w:tc>
        <w:tc>
          <w:tcPr>
            <w:tcW w:w="4536" w:type="dxa"/>
          </w:tcPr>
          <w:p>
            <w:pPr>
              <w:spacing w:lineRule="auto" w:line="288" w:before="60" w:after="60"/>
              <w:ind w:left="57" w:right="57"/>
            </w:pPr>
            <w:r>
              <w:rPr>
                <w:rFonts w:ascii="Times New Roman" w:hAnsi="Times New Roman"/>
                <w:b w:val="0"/>
                <w:i w:val="0"/>
                <w:sz w:val="20"/>
              </w:rPr>
              <w:t>An organisation's defined baseline acceptance of financial crime risks — the level of residual risk it is prepared to accept after controls have been applied. Risk tolerance is typically expressed as quantitative limits (e.g., maximum acceptable false negative rate for a given scenario).</w:t>
            </w:r>
          </w:p>
        </w:tc>
      </w:tr>
      <w:tr>
        <w:tc>
          <w:tcPr>
            <w:tcW w:w="4536" w:type="dxa"/>
          </w:tcPr>
          <w:p>
            <w:pPr>
              <w:spacing w:lineRule="auto" w:line="288" w:before="60" w:after="60"/>
              <w:ind w:left="57" w:right="57"/>
            </w:pPr>
            <w:r>
              <w:rPr>
                <w:rFonts w:ascii="Times New Roman" w:hAnsi="Times New Roman"/>
                <w:b w:val="0"/>
                <w:i w:val="0"/>
                <w:sz w:val="20"/>
              </w:rPr>
              <w:t>RPA (Robotic Process Automation)</w:t>
            </w:r>
          </w:p>
        </w:tc>
        <w:tc>
          <w:tcPr>
            <w:tcW w:w="4536" w:type="dxa"/>
          </w:tcPr>
          <w:p>
            <w:pPr>
              <w:spacing w:lineRule="auto" w:line="288" w:before="60" w:after="60"/>
              <w:ind w:left="57" w:right="57"/>
            </w:pPr>
            <w:r>
              <w:rPr>
                <w:rFonts w:ascii="Times New Roman" w:hAnsi="Times New Roman"/>
                <w:b w:val="0"/>
                <w:i w:val="0"/>
                <w:sz w:val="20"/>
              </w:rPr>
              <w:t>Software tools that automate repetitive, rule-based tasks. In AML, RPA is applied to data gathering for alert investigations, report generation, and the population of case management systems — reducing analyst administrative burden.</w:t>
            </w:r>
          </w:p>
        </w:tc>
      </w:tr>
      <w:tr>
        <w:tc>
          <w:tcPr>
            <w:tcW w:w="4536" w:type="dxa"/>
          </w:tcPr>
          <w:p>
            <w:pPr>
              <w:spacing w:lineRule="auto" w:line="288" w:before="60" w:after="60"/>
              <w:ind w:left="57" w:right="57"/>
            </w:pPr>
            <w:r>
              <w:rPr>
                <w:rFonts w:ascii="Times New Roman" w:hAnsi="Times New Roman"/>
                <w:b w:val="0"/>
                <w:i w:val="0"/>
                <w:sz w:val="20"/>
              </w:rPr>
              <w:t>SAR (Suspicious Activity Report)</w:t>
            </w:r>
          </w:p>
        </w:tc>
        <w:tc>
          <w:tcPr>
            <w:tcW w:w="4536" w:type="dxa"/>
          </w:tcPr>
          <w:p>
            <w:pPr>
              <w:spacing w:lineRule="auto" w:line="288" w:before="60" w:after="60"/>
              <w:ind w:left="57" w:right="57"/>
            </w:pPr>
            <w:r>
              <w:rPr>
                <w:rFonts w:ascii="Times New Roman" w:hAnsi="Times New Roman"/>
                <w:b w:val="0"/>
                <w:i w:val="0"/>
                <w:sz w:val="20"/>
              </w:rPr>
              <w:t>A mandated regulatory report filed by a financial institution when it knows, suspects, or has reason to suspect that a transaction involves the proceeds of criminal activity. The US equivalent of a Suspicious Transaction Report (STR). Filing a SAR provides the institution with safe harbour against civil liability for the reported transaction.</w:t>
            </w:r>
          </w:p>
        </w:tc>
      </w:tr>
      <w:tr>
        <w:tc>
          <w:tcPr>
            <w:tcW w:w="4536" w:type="dxa"/>
          </w:tcPr>
          <w:p>
            <w:pPr>
              <w:spacing w:lineRule="auto" w:line="288" w:before="60" w:after="60"/>
              <w:ind w:left="57" w:right="57"/>
            </w:pPr>
            <w:r>
              <w:rPr>
                <w:rFonts w:ascii="Times New Roman" w:hAnsi="Times New Roman"/>
                <w:b w:val="0"/>
                <w:i w:val="0"/>
                <w:sz w:val="20"/>
              </w:rPr>
              <w:t>SAR-worthy</w:t>
            </w:r>
          </w:p>
        </w:tc>
        <w:tc>
          <w:tcPr>
            <w:tcW w:w="4536" w:type="dxa"/>
          </w:tcPr>
          <w:p>
            <w:pPr>
              <w:spacing w:lineRule="auto" w:line="288" w:before="60" w:after="60"/>
              <w:ind w:left="57" w:right="57"/>
            </w:pPr>
            <w:r>
              <w:rPr>
                <w:rFonts w:ascii="Times New Roman" w:hAnsi="Times New Roman"/>
                <w:b w:val="0"/>
                <w:i w:val="0"/>
                <w:sz w:val="20"/>
              </w:rPr>
              <w:t>A case or alert that meets the threshold for filing a Suspicious Activity Report. The threshold is reasonable suspicion, not certainty — an institution need not be certain that a crime has occurred. A SAR-worthy determination (L3 disposition) must be supported by documented reasoning.</w:t>
            </w:r>
          </w:p>
        </w:tc>
      </w:tr>
      <w:tr>
        <w:tc>
          <w:tcPr>
            <w:tcW w:w="4536" w:type="dxa"/>
          </w:tcPr>
          <w:p>
            <w:pPr>
              <w:spacing w:lineRule="auto" w:line="288" w:before="60" w:after="60"/>
              <w:ind w:left="57" w:right="57"/>
            </w:pPr>
            <w:r>
              <w:rPr>
                <w:rFonts w:ascii="Times New Roman" w:hAnsi="Times New Roman"/>
                <w:b w:val="0"/>
                <w:i w:val="0"/>
                <w:sz w:val="20"/>
              </w:rPr>
              <w:t>Scenarios</w:t>
            </w:r>
          </w:p>
        </w:tc>
        <w:tc>
          <w:tcPr>
            <w:tcW w:w="4536" w:type="dxa"/>
          </w:tcPr>
          <w:p>
            <w:pPr>
              <w:spacing w:lineRule="auto" w:line="288" w:before="60" w:after="60"/>
              <w:ind w:left="57" w:right="57"/>
            </w:pPr>
            <w:r>
              <w:rPr>
                <w:rFonts w:ascii="Times New Roman" w:hAnsi="Times New Roman"/>
                <w:b w:val="0"/>
                <w:i w:val="0"/>
                <w:sz w:val="20"/>
              </w:rPr>
              <w:t>Computer-implementable rules encoding logic derived from typologies and red flags. A scenario specifies: the typology it targets, the red flags it encodes, the rule logic, the threshold parameters, the lookback window, and the customer scope. See Chapter 4 for the full scenario design methodology.</w:t>
            </w:r>
          </w:p>
        </w:tc>
      </w:tr>
      <w:tr>
        <w:tc>
          <w:tcPr>
            <w:tcW w:w="4536" w:type="dxa"/>
          </w:tcPr>
          <w:p>
            <w:pPr>
              <w:spacing w:lineRule="auto" w:line="288" w:before="60" w:after="60"/>
              <w:ind w:left="57" w:right="57"/>
            </w:pPr>
            <w:r>
              <w:rPr>
                <w:rFonts w:ascii="Times New Roman" w:hAnsi="Times New Roman"/>
                <w:b w:val="0"/>
                <w:i w:val="0"/>
                <w:sz w:val="20"/>
              </w:rPr>
              <w:t>Segmentation</w:t>
            </w:r>
          </w:p>
        </w:tc>
        <w:tc>
          <w:tcPr>
            <w:tcW w:w="4536" w:type="dxa"/>
          </w:tcPr>
          <w:p>
            <w:pPr>
              <w:spacing w:lineRule="auto" w:line="288" w:before="60" w:after="60"/>
              <w:ind w:left="57" w:right="57"/>
            </w:pPr>
            <w:r>
              <w:rPr>
                <w:rFonts w:ascii="Times New Roman" w:hAnsi="Times New Roman"/>
                <w:b w:val="0"/>
                <w:i w:val="0"/>
                <w:sz w:val="20"/>
              </w:rPr>
              <w:t>The process of grouping customers into peer groups based on shared transactional characteristics, enabling risk-based threshold calibration. Segmentation reduces false positives by ensuring customers are monitored against thresholds appropriate to their behaviour profile. See Chapter 5.</w:t>
            </w:r>
          </w:p>
        </w:tc>
      </w:tr>
      <w:tr>
        <w:tc>
          <w:tcPr>
            <w:tcW w:w="4536" w:type="dxa"/>
          </w:tcPr>
          <w:p>
            <w:pPr>
              <w:spacing w:lineRule="auto" w:line="288" w:before="60" w:after="60"/>
              <w:ind w:left="57" w:right="57"/>
            </w:pPr>
            <w:r>
              <w:rPr>
                <w:rFonts w:ascii="Times New Roman" w:hAnsi="Times New Roman"/>
                <w:b w:val="0"/>
                <w:i w:val="0"/>
                <w:sz w:val="20"/>
              </w:rPr>
              <w:t>SR 26-2</w:t>
            </w:r>
          </w:p>
        </w:tc>
        <w:tc>
          <w:tcPr>
            <w:tcW w:w="4536" w:type="dxa"/>
          </w:tcPr>
          <w:p>
            <w:pPr>
              <w:spacing w:lineRule="auto" w:line="288" w:before="60" w:after="60"/>
              <w:ind w:left="57" w:right="57"/>
            </w:pPr>
            <w:r>
              <w:rPr>
                <w:rFonts w:ascii="Times New Roman" w:hAnsi="Times New Roman"/>
                <w:b w:val="0"/>
                <w:i w:val="0"/>
                <w:sz w:val="20"/>
              </w:rPr>
              <w:t>Federal Reserve / OCC Supervisory Guidance on Model Risk Management (2026). The current US framework for model governance, validation, and development, superseding the earlier SR 11-7 (2011). Establishes that models must be subject to independent validation, documented governance, and ongoing monitoring. Applies to all quantitative methods used in decision-making, including AML scenarios and ML models.</w:t>
            </w:r>
          </w:p>
        </w:tc>
      </w:tr>
      <w:tr>
        <w:tc>
          <w:tcPr>
            <w:tcW w:w="4536" w:type="dxa"/>
          </w:tcPr>
          <w:p>
            <w:pPr>
              <w:spacing w:lineRule="auto" w:line="288" w:before="60" w:after="60"/>
              <w:ind w:left="57" w:right="57"/>
            </w:pPr>
            <w:r>
              <w:rPr>
                <w:rFonts w:ascii="Times New Roman" w:hAnsi="Times New Roman"/>
                <w:b w:val="0"/>
                <w:i w:val="0"/>
                <w:sz w:val="20"/>
              </w:rPr>
              <w:t>STR (Suspicious Transaction Report)</w:t>
            </w:r>
          </w:p>
        </w:tc>
        <w:tc>
          <w:tcPr>
            <w:tcW w:w="4536" w:type="dxa"/>
          </w:tcPr>
          <w:p>
            <w:pPr>
              <w:spacing w:lineRule="auto" w:line="288" w:before="60" w:after="60"/>
              <w:ind w:left="57" w:right="57"/>
            </w:pPr>
            <w:r>
              <w:rPr>
                <w:rFonts w:ascii="Times New Roman" w:hAnsi="Times New Roman"/>
                <w:b w:val="0"/>
                <w:i w:val="0"/>
                <w:sz w:val="20"/>
              </w:rPr>
              <w:t>The equivalent of a SAR in Canada and certain other jurisdictions. Filed when a financial institution suspects that a transaction is related to money laundering or terrorist financing.</w:t>
            </w:r>
          </w:p>
        </w:tc>
      </w:tr>
      <w:tr>
        <w:tc>
          <w:tcPr>
            <w:tcW w:w="4536" w:type="dxa"/>
          </w:tcPr>
          <w:p>
            <w:pPr>
              <w:spacing w:lineRule="auto" w:line="288" w:before="60" w:after="60"/>
              <w:ind w:left="57" w:right="57"/>
            </w:pPr>
            <w:r>
              <w:rPr>
                <w:rFonts w:ascii="Times New Roman" w:hAnsi="Times New Roman"/>
                <w:b w:val="0"/>
                <w:i w:val="0"/>
                <w:sz w:val="20"/>
              </w:rPr>
              <w:t>TDA (Topological Data Analysis)</w:t>
            </w:r>
          </w:p>
        </w:tc>
        <w:tc>
          <w:tcPr>
            <w:tcW w:w="4536" w:type="dxa"/>
          </w:tcPr>
          <w:p>
            <w:pPr>
              <w:spacing w:lineRule="auto" w:line="288" w:before="60" w:after="60"/>
              <w:ind w:left="57" w:right="57"/>
            </w:pPr>
            <w:r>
              <w:rPr>
                <w:rFonts w:ascii="Times New Roman" w:hAnsi="Times New Roman"/>
                <w:b w:val="0"/>
                <w:i w:val="0"/>
                <w:sz w:val="20"/>
              </w:rPr>
              <w:t>A mathematical approach to analysing the shape and structure of complex, high-dimensional datasets using tools from algebraic topology (particularly persistent homology). In AML, TDA can detect structural features in transaction networks — such as ring structures in mule networks — that distance-based clustering methods may miss.</w:t>
            </w:r>
          </w:p>
        </w:tc>
      </w:tr>
      <w:tr>
        <w:tc>
          <w:tcPr>
            <w:tcW w:w="4536" w:type="dxa"/>
          </w:tcPr>
          <w:p>
            <w:pPr>
              <w:spacing w:lineRule="auto" w:line="288" w:before="60" w:after="60"/>
              <w:ind w:left="57" w:right="57"/>
            </w:pPr>
            <w:r>
              <w:rPr>
                <w:rFonts w:ascii="Times New Roman" w:hAnsi="Times New Roman"/>
                <w:b w:val="0"/>
                <w:i w:val="0"/>
                <w:sz w:val="20"/>
              </w:rPr>
              <w:t>Three Lines of Defence (3LoD)</w:t>
            </w:r>
          </w:p>
        </w:tc>
        <w:tc>
          <w:tcPr>
            <w:tcW w:w="4536" w:type="dxa"/>
          </w:tcPr>
          <w:p>
            <w:pPr>
              <w:spacing w:lineRule="auto" w:line="288" w:before="60" w:after="60"/>
              <w:ind w:left="57" w:right="57"/>
            </w:pPr>
            <w:r>
              <w:rPr>
                <w:rFonts w:ascii="Times New Roman" w:hAnsi="Times New Roman"/>
                <w:b w:val="0"/>
                <w:i w:val="0"/>
                <w:sz w:val="20"/>
              </w:rPr>
              <w:t>The governance model defining the roles and responsibilities of the three primary control functions in a financial institution. 1st Line (Line of Business): owns risk and implements controls in day-to-day operations. 1.5th Line (Operations): a distinctive layer in AML analytics — the alert review, case management, and SAR filing function that sits between the business and the FinCrime Risk function. The 1.5th Line is responsible for executing the TM process: reviewing alerts, making L1/L2/L3 dispositions, and filing SARs. 2nd Line (FinCrime Risk / Model Risk Management): independently validates models, sets policy, oversees the programme, and challenges 1st/1.5th Line decisions. 3rd Line (Internal Audit / Independent Model Review): provides periodic independent assurance over the controls and governance of both the 1st/1.5th Line operations and the 2nd Line validation function. The 'independence' requirements in SR 26-2 (US) and PRA SS1/23 (UK) map directly to this 2nd Line/3rd Line distinction.</w:t>
            </w:r>
          </w:p>
        </w:tc>
      </w:tr>
      <w:tr>
        <w:tc>
          <w:tcPr>
            <w:tcW w:w="4536" w:type="dxa"/>
          </w:tcPr>
          <w:p>
            <w:pPr>
              <w:spacing w:lineRule="auto" w:line="288" w:before="60" w:after="60"/>
              <w:ind w:left="57" w:right="57"/>
            </w:pPr>
            <w:r>
              <w:rPr>
                <w:rFonts w:ascii="Times New Roman" w:hAnsi="Times New Roman"/>
                <w:b w:val="0"/>
                <w:i w:val="0"/>
                <w:sz w:val="20"/>
              </w:rPr>
              <w:t>Tipping Off</w:t>
            </w:r>
          </w:p>
        </w:tc>
        <w:tc>
          <w:tcPr>
            <w:tcW w:w="4536" w:type="dxa"/>
          </w:tcPr>
          <w:p>
            <w:pPr>
              <w:spacing w:lineRule="auto" w:line="288" w:before="60" w:after="60"/>
              <w:ind w:left="57" w:right="57"/>
            </w:pPr>
            <w:r>
              <w:rPr>
                <w:rFonts w:ascii="Times New Roman" w:hAnsi="Times New Roman"/>
                <w:b w:val="0"/>
                <w:i w:val="0"/>
                <w:sz w:val="20"/>
              </w:rPr>
              <w:t>The criminal offence of disclosing to a customer or third party that a SAR has been or is about to be filed, or that a money laundering investigation is underway. Tipping off is an offence under POCA s.333A in the UK, the Bank Secrecy Act in the US, and equivalent legislation in all major jurisdictions. It carries criminal sanctions including imprisonment.</w:t>
            </w:r>
          </w:p>
        </w:tc>
      </w:tr>
      <w:tr>
        <w:tc>
          <w:tcPr>
            <w:tcW w:w="4536" w:type="dxa"/>
          </w:tcPr>
          <w:p>
            <w:pPr>
              <w:spacing w:lineRule="auto" w:line="288" w:before="60" w:after="60"/>
              <w:ind w:left="57" w:right="57"/>
            </w:pPr>
            <w:r>
              <w:rPr>
                <w:rFonts w:ascii="Times New Roman" w:hAnsi="Times New Roman"/>
                <w:b w:val="0"/>
                <w:i w:val="0"/>
                <w:sz w:val="20"/>
              </w:rPr>
              <w:t>Transaction Monitoring (TM)</w:t>
            </w:r>
          </w:p>
        </w:tc>
        <w:tc>
          <w:tcPr>
            <w:tcW w:w="4536" w:type="dxa"/>
          </w:tcPr>
          <w:p>
            <w:pPr>
              <w:spacing w:lineRule="auto" w:line="288" w:before="60" w:after="60"/>
              <w:ind w:left="57" w:right="57"/>
            </w:pPr>
            <w:r>
              <w:rPr>
                <w:rFonts w:ascii="Times New Roman" w:hAnsi="Times New Roman"/>
                <w:b w:val="0"/>
                <w:i w:val="0"/>
                <w:sz w:val="20"/>
              </w:rPr>
              <w:t>The process of monitoring transactions for financial crime risk. TM is what the institution does — the ongoing surveillance activity. Distinct from the Transaction Monitoring Framework (TMF) and the Transaction Monitoring System (TMS) — see those entries. TM applies scenario rules and ML models to customer transaction data to identify patterns that may indicate money laundering. See Chapter 3 for the full TM lifecycle.</w:t>
            </w:r>
          </w:p>
        </w:tc>
      </w:tr>
      <w:tr>
        <w:tc>
          <w:tcPr>
            <w:tcW w:w="4536" w:type="dxa"/>
          </w:tcPr>
          <w:p>
            <w:pPr>
              <w:spacing w:lineRule="auto" w:line="288" w:before="60" w:after="60"/>
              <w:ind w:left="57" w:right="57"/>
            </w:pPr>
            <w:r>
              <w:rPr>
                <w:rFonts w:ascii="Times New Roman" w:hAnsi="Times New Roman"/>
                <w:b w:val="0"/>
                <w:i w:val="0"/>
                <w:sz w:val="20"/>
              </w:rPr>
              <w:t>Typologies</w:t>
            </w:r>
          </w:p>
        </w:tc>
        <w:tc>
          <w:tcPr>
            <w:tcW w:w="4536" w:type="dxa"/>
          </w:tcPr>
          <w:p>
            <w:pPr>
              <w:spacing w:lineRule="auto" w:line="288" w:before="60" w:after="60"/>
              <w:ind w:left="57" w:right="57"/>
            </w:pPr>
            <w:r>
              <w:rPr>
                <w:rFonts w:ascii="Times New Roman" w:hAnsi="Times New Roman"/>
                <w:b w:val="0"/>
                <w:i w:val="0"/>
                <w:sz w:val="20"/>
              </w:rPr>
              <w:t>Broad classifications of financial crime behaviours, describing the general methods used to launder money. Typologies are documented by FATF, FFIEC, JMLSG, and other guidance bodies. Scenario design begins with typology identification and translates typological behaviour patterns into specific, computer-implementable rules.</w:t>
            </w:r>
          </w:p>
        </w:tc>
      </w:tr>
      <w:tr>
        <w:tc>
          <w:tcPr>
            <w:tcW w:w="4536" w:type="dxa"/>
          </w:tcPr>
          <w:p>
            <w:pPr>
              <w:spacing w:lineRule="auto" w:line="288" w:before="60" w:after="60"/>
              <w:ind w:left="57" w:right="57"/>
            </w:pPr>
            <w:r>
              <w:rPr>
                <w:rFonts w:ascii="Times New Roman" w:hAnsi="Times New Roman"/>
                <w:b w:val="0"/>
                <w:i w:val="0"/>
                <w:sz w:val="20"/>
              </w:rPr>
              <w:t>UML (Unsupervised Machine Learning)</w:t>
            </w:r>
          </w:p>
        </w:tc>
        <w:tc>
          <w:tcPr>
            <w:tcW w:w="4536" w:type="dxa"/>
          </w:tcPr>
          <w:p>
            <w:pPr>
              <w:spacing w:lineRule="auto" w:line="288" w:before="60" w:after="60"/>
              <w:ind w:left="57" w:right="57"/>
            </w:pPr>
            <w:r>
              <w:rPr>
                <w:rFonts w:ascii="Times New Roman" w:hAnsi="Times New Roman"/>
                <w:b w:val="0"/>
                <w:i w:val="0"/>
                <w:sz w:val="20"/>
              </w:rPr>
              <w:t>Machine learning techniques that identify patterns in data without labelled training examples. In AML triage, UML is used to score alerts by anomalousness without requiring a labelled dataset of confirmed SAR and non-SAR cases. Isolation Forest and autoencoders are the most commonly deployed UML approaches in AML. See Chapter 8.</w:t>
            </w:r>
          </w:p>
        </w:tc>
      </w:tr>
      <w:tr>
        <w:tc>
          <w:tcPr>
            <w:tcW w:w="4536" w:type="dxa"/>
          </w:tcPr>
          <w:p>
            <w:pPr>
              <w:spacing w:lineRule="auto" w:line="288" w:before="60" w:after="60"/>
              <w:ind w:left="57" w:right="57"/>
            </w:pPr>
            <w:r>
              <w:rPr>
                <w:rFonts w:ascii="Times New Roman" w:hAnsi="Times New Roman"/>
                <w:b w:val="0"/>
                <w:i w:val="0"/>
                <w:sz w:val="20"/>
              </w:rPr>
              <w:t>Noisy Alert</w:t>
            </w:r>
          </w:p>
        </w:tc>
        <w:tc>
          <w:tcPr>
            <w:tcW w:w="4536" w:type="dxa"/>
          </w:tcPr>
          <w:p>
            <w:pPr>
              <w:spacing w:lineRule="auto" w:line="288" w:before="60" w:after="60"/>
              <w:ind w:left="57" w:right="57"/>
            </w:pPr>
            <w:r>
              <w:rPr>
                <w:rFonts w:ascii="Times New Roman" w:hAnsi="Times New Roman"/>
                <w:b w:val="0"/>
                <w:i w:val="0"/>
                <w:sz w:val="20"/>
              </w:rPr>
              <w:t>An alert that fits the design intent of the scenario or model — the scenario fired correctly — but investigation determines is non-suspicious. Formerly and incorrectly called a 'false positive' in industry usage. A noisy alert is not a system failure; it is the expected output of a well-designed scenario operating at a threshold that accepts some noise in exchange for adequate coverage. The noisy alert rate is the primary operational efficiency metric for TM. Distinct from a False Positive (correct usage) — see that entry. See Chapters 1, 3, 6.</w:t>
            </w:r>
          </w:p>
        </w:tc>
      </w:tr>
      <w:tr>
        <w:tc>
          <w:tcPr>
            <w:tcW w:w="4536" w:type="dxa"/>
          </w:tcPr>
          <w:p>
            <w:pPr>
              <w:spacing w:lineRule="auto" w:line="288" w:before="60" w:after="60"/>
              <w:ind w:left="57" w:right="57"/>
            </w:pPr>
            <w:r>
              <w:rPr>
                <w:rFonts w:ascii="Times New Roman" w:hAnsi="Times New Roman"/>
                <w:b w:val="0"/>
                <w:i w:val="0"/>
                <w:sz w:val="20"/>
              </w:rPr>
              <w:t>Transaction Monitoring Framework (TMF)</w:t>
            </w:r>
          </w:p>
        </w:tc>
        <w:tc>
          <w:tcPr>
            <w:tcW w:w="4536" w:type="dxa"/>
          </w:tcPr>
          <w:p>
            <w:pPr>
              <w:spacing w:lineRule="auto" w:line="288" w:before="60" w:after="60"/>
              <w:ind w:left="57" w:right="57"/>
            </w:pPr>
            <w:r>
              <w:rPr>
                <w:rFonts w:ascii="Times New Roman" w:hAnsi="Times New Roman"/>
                <w:b w:val="0"/>
                <w:i w:val="0"/>
                <w:sz w:val="20"/>
              </w:rPr>
              <w:t>The holistic, end-to-end process including all policies, personas, governance structures, data flows, controls, and escalation paths that together constitute an institution's transaction monitoring capability. The TMF is how TM is organised and governed. Distinct from Transaction Monitoring (TM) — the process — and the Transaction Monitoring System (TMS) — the software. When a regulator examines a bank's transaction monitoring, they are examining the TMF in its entirety, not just the TMS. See Chapter 3.</w:t>
            </w:r>
          </w:p>
        </w:tc>
      </w:tr>
      <w:tr>
        <w:tc>
          <w:tcPr>
            <w:tcW w:w="4536" w:type="dxa"/>
          </w:tcPr>
          <w:p>
            <w:pPr>
              <w:spacing w:lineRule="auto" w:line="288" w:before="60" w:after="60"/>
              <w:ind w:left="57" w:right="57"/>
            </w:pPr>
            <w:r>
              <w:rPr>
                <w:rFonts w:ascii="Times New Roman" w:hAnsi="Times New Roman"/>
                <w:b w:val="0"/>
                <w:i w:val="0"/>
                <w:sz w:val="20"/>
              </w:rPr>
              <w:t>Transaction Monitoring System (TMS)</w:t>
            </w:r>
          </w:p>
        </w:tc>
        <w:tc>
          <w:tcPr>
            <w:tcW w:w="4536" w:type="dxa"/>
          </w:tcPr>
          <w:p>
            <w:pPr>
              <w:spacing w:lineRule="auto" w:line="288" w:before="60" w:after="60"/>
              <w:ind w:left="57" w:right="57"/>
            </w:pPr>
            <w:r>
              <w:rPr>
                <w:rFonts w:ascii="Times New Roman" w:hAnsi="Times New Roman"/>
                <w:b w:val="0"/>
                <w:i w:val="0"/>
                <w:sz w:val="20"/>
              </w:rPr>
              <w:t>The software or technology platform implementing transaction monitoring — whether vendor-built (e.g. NICE Actimize, Quantexa, SymphonyAI) or internally developed. The TMS is one component of the Transaction Monitoring Framework (TMF). It executes scenarios, generates alerts, and may support case management. The TMS is never used to refer to the TM process or the TMF. See Chapter 3.</w:t>
            </w:r>
          </w:p>
        </w:tc>
      </w:tr>
      <w:tr>
        <w:tc>
          <w:tcPr>
            <w:tcW w:w="4536" w:type="dxa"/>
          </w:tcPr>
          <w:p>
            <w:pPr>
              <w:spacing w:lineRule="auto" w:line="288" w:before="60" w:after="60"/>
              <w:ind w:left="57" w:right="57"/>
            </w:pPr>
            <w:r>
              <w:rPr>
                <w:rFonts w:ascii="Times New Roman" w:hAnsi="Times New Roman"/>
                <w:b w:val="0"/>
                <w:i w:val="0"/>
                <w:sz w:val="20"/>
              </w:rPr>
              <w:t>Full Coverage</w:t>
            </w:r>
          </w:p>
        </w:tc>
        <w:tc>
          <w:tcPr>
            <w:tcW w:w="4536" w:type="dxa"/>
          </w:tcPr>
          <w:p>
            <w:pPr>
              <w:spacing w:lineRule="auto" w:line="288" w:before="60" w:after="60"/>
              <w:ind w:left="57" w:right="57"/>
            </w:pPr>
            <w:r>
              <w:rPr>
                <w:rFonts w:ascii="Times New Roman" w:hAnsi="Times New Roman"/>
                <w:b w:val="0"/>
                <w:i w:val="0"/>
                <w:sz w:val="20"/>
              </w:rPr>
              <w:t>A risk is fully addressed by an existing control. The scenario is deployed, data quality for required CDE/KDEs is confirmed, and calibration has been validated. The risk is considered controlled at this point in time. Coverage state is point-in-time, not permanent. See Chapter 7.</w:t>
            </w:r>
          </w:p>
        </w:tc>
      </w:tr>
      <w:tr>
        <w:tc>
          <w:tcPr>
            <w:tcW w:w="4536" w:type="dxa"/>
          </w:tcPr>
          <w:p>
            <w:pPr>
              <w:spacing w:lineRule="auto" w:line="288" w:before="60" w:after="60"/>
              <w:ind w:left="57" w:right="57"/>
            </w:pPr>
            <w:r>
              <w:rPr>
                <w:rFonts w:ascii="Times New Roman" w:hAnsi="Times New Roman"/>
                <w:b w:val="0"/>
                <w:i w:val="0"/>
                <w:sz w:val="20"/>
              </w:rPr>
              <w:t>Partial Coverage</w:t>
            </w:r>
          </w:p>
        </w:tc>
        <w:tc>
          <w:tcPr>
            <w:tcW w:w="4536" w:type="dxa"/>
          </w:tcPr>
          <w:p>
            <w:pPr>
              <w:spacing w:lineRule="auto" w:line="288" w:before="60" w:after="60"/>
              <w:ind w:left="57" w:right="57"/>
            </w:pPr>
            <w:r>
              <w:rPr>
                <w:rFonts w:ascii="Times New Roman" w:hAnsi="Times New Roman"/>
                <w:b w:val="0"/>
                <w:i w:val="0"/>
                <w:sz w:val="20"/>
              </w:rPr>
              <w:t>A risk is addressed but gaps remain — for example: a scenario exists but does not cover all variants of the typology; the required CDE/KDE data is incomplete; or the scenario covers the red flag for one customer segment but not another. Partial Coverage requires a documented remediation plan and timeline. See Chapter 7.</w:t>
            </w:r>
          </w:p>
        </w:tc>
      </w:tr>
      <w:tr>
        <w:tc>
          <w:tcPr>
            <w:tcW w:w="4536" w:type="dxa"/>
          </w:tcPr>
          <w:p>
            <w:pPr>
              <w:spacing w:lineRule="auto" w:line="288" w:before="60" w:after="60"/>
              <w:ind w:left="57" w:right="57"/>
            </w:pPr>
            <w:r>
              <w:rPr>
                <w:rFonts w:ascii="Times New Roman" w:hAnsi="Times New Roman"/>
                <w:b w:val="0"/>
                <w:i w:val="0"/>
                <w:sz w:val="20"/>
              </w:rPr>
              <w:t>No Coverage</w:t>
            </w:r>
          </w:p>
        </w:tc>
        <w:tc>
          <w:tcPr>
            <w:tcW w:w="4536" w:type="dxa"/>
          </w:tcPr>
          <w:p>
            <w:pPr>
              <w:spacing w:lineRule="auto" w:line="288" w:before="60" w:after="60"/>
              <w:ind w:left="57" w:right="57"/>
            </w:pPr>
            <w:r>
              <w:rPr>
                <w:rFonts w:ascii="Times New Roman" w:hAnsi="Times New Roman"/>
                <w:b w:val="0"/>
                <w:i w:val="0"/>
                <w:sz w:val="20"/>
              </w:rPr>
              <w:t>A risk has been identified — through the risk assessment, regulatory red flag lists, or investigator feedback — but no control exists to address it. No Coverage findings represent the institution's most significant regulatory exposure and require immediate escalation to the governance forum. See Chapter 7.</w:t>
            </w:r>
          </w:p>
        </w:tc>
      </w:tr>
    </w:tbl>
    <w:p>
      <w:pPr>
        <w:spacing w:lineRule="auto" w:line="240" w:before="0" w:after="200"/>
      </w:pPr>
    </w:p>
    <w:p>
      <w:pPr>
        <w:pStyle w:val="Heading2"/>
      </w:pPr>
      <w:r>
        <w:rPr>
          <w:rFonts w:ascii="Times New Roman" w:hAnsi="Times New Roman"/>
        </w:rPr>
        <w:t>Appendix C: Feature Reference Table — Event Triage ML (~30 Features)</w:t>
      </w:r>
    </w:p>
    <w:p>
      <w:pPr>
        <w:pStyle w:val="BodyText"/>
        <w:spacing w:lineRule="auto" w:line="360" w:before="0" w:after="120"/>
        <w:ind w:firstLine="283"/>
      </w:pPr>
      <w:r>
        <w:rPr>
          <w:rFonts w:ascii="Times New Roman" w:hAnsi="Times New Roman"/>
          <w:b w:val="0"/>
          <w:i w:val="0"/>
          <w:sz w:val="24"/>
        </w:rPr>
        <w:t>The following table provides the standard ~30-feature reference for event triage machine learning models (Chapter 8, Section 8.9). Features are organised into three categories. This table is a starting framework; institutions should validate and adapt based on their product mix, customer population, and deployed scenarios.</w:t>
      </w:r>
    </w:p>
    <w:p>
      <w:pPr>
        <w:spacing w:lineRule="auto" w:line="240" w:before="60" w:after="120"/>
        <w:ind w:firstLine="0"/>
        <w:jc w:val="left"/>
      </w:pPr>
      <w:r>
        <w:rPr>
          <w:rFonts w:ascii="Times New Roman" w:hAnsi="Times New Roman"/>
          <w:b w:val="0"/>
          <w:i/>
          <w:sz w:val="20"/>
        </w:rPr>
        <w:t>Table A.2  Feature Name comparison</w:t>
      </w:r>
    </w:p>
    <w:tbl>
      <w:tblPr>
        <w:tblLayout w:type="fixed"/>
        <w:tblLook w:firstColumn="1" w:firstRow="1" w:lastColumn="0" w:lastRow="0" w:noHBand="0" w:noVBand="1" w:val="04A0"/>
        <w:tblW w:w="9072" w:type="dxa"/>
        <w:tblBorders>
          <w:top w:val="single" w:sz="12" w:space="0" w:color="000000"/>
          <w:bottom w:val="single" w:sz="12" w:space="0" w:color="000000"/>
          <w:left w:val="none" w:sz="0" w:space="0" w:color="auto"/>
          <w:right w:val="none" w:sz="0" w:space="0" w:color="auto"/>
          <w:insideH w:val="single" w:sz="4" w:space="0" w:color="000000"/>
          <w:insideV w:val="none" w:sz="0" w:space="0" w:color="auto"/>
        </w:tblBorders>
      </w:tblPr>
      <w:tblGrid>
        <w:gridCol w:w="3024"/>
        <w:gridCol w:w="3024"/>
        <w:gridCol w:w="3024"/>
      </w:tblGrid>
      <w:tr>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Feature Name</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Category</w:t>
            </w:r>
          </w:p>
        </w:tc>
        <w:tc>
          <w:tcPr>
            <w:tcW w:w="3024" w:type="dxa"/>
            <w:shd w:val="clear" w:color="auto" w:fill="E8E8E8"/>
            <w:tcBorders>
              <w:top w:val="none" w:sz="0" w:space="0" w:color="auto"/>
              <w:bottom w:val="single" w:sz="6" w:space="0" w:color="000000"/>
              <w:left w:val="none" w:sz="0" w:space="0" w:color="auto"/>
              <w:right w:val="none" w:sz="0" w:space="0" w:color="auto"/>
            </w:tcBorders>
          </w:tcPr>
          <w:p>
            <w:pPr>
              <w:spacing w:lineRule="auto" w:line="276" w:before="80" w:after="80"/>
              <w:ind w:left="57" w:right="57"/>
            </w:pPr>
            <w:r>
              <w:rPr>
                <w:rFonts w:ascii="Times New Roman" w:hAnsi="Times New Roman"/>
                <w:b/>
                <w:i w:val="0"/>
                <w:sz w:val="20"/>
              </w:rPr>
              <w:t>Description / Risk Signal</w:t>
            </w:r>
          </w:p>
        </w:tc>
      </w:tr>
      <w:tr>
        <w:tc>
          <w:tcPr>
            <w:tcW w:w="3024" w:type="dxa"/>
          </w:tcPr>
          <w:p>
            <w:pPr>
              <w:spacing w:lineRule="auto" w:line="288" w:before="60" w:after="60"/>
              <w:ind w:left="57" w:right="57"/>
            </w:pPr>
            <w:r>
              <w:rPr>
                <w:rFonts w:ascii="Times New Roman" w:hAnsi="Times New Roman"/>
                <w:b w:val="0"/>
                <w:i w:val="0"/>
                <w:sz w:val="20"/>
              </w:rPr>
              <w:t>CRR Score</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Customer Risk Rating 1–5. Primary risk classifier from KYC/CDD process.</w:t>
            </w:r>
          </w:p>
        </w:tc>
      </w:tr>
      <w:tr>
        <w:tc>
          <w:tcPr>
            <w:tcW w:w="3024" w:type="dxa"/>
          </w:tcPr>
          <w:p>
            <w:pPr>
              <w:spacing w:lineRule="auto" w:line="288" w:before="60" w:after="60"/>
              <w:ind w:left="57" w:right="57"/>
            </w:pPr>
            <w:r>
              <w:rPr>
                <w:rFonts w:ascii="Times New Roman" w:hAnsi="Times New Roman"/>
                <w:b w:val="0"/>
                <w:i w:val="0"/>
                <w:sz w:val="20"/>
              </w:rPr>
              <w:t>Risk Category</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Band derived from CRR: Low / Medium / High.</w:t>
            </w:r>
          </w:p>
        </w:tc>
      </w:tr>
      <w:tr>
        <w:tc>
          <w:tcPr>
            <w:tcW w:w="3024" w:type="dxa"/>
          </w:tcPr>
          <w:p>
            <w:pPr>
              <w:spacing w:lineRule="auto" w:line="288" w:before="60" w:after="60"/>
              <w:ind w:left="57" w:right="57"/>
            </w:pPr>
            <w:r>
              <w:rPr>
                <w:rFonts w:ascii="Times New Roman" w:hAnsi="Times New Roman"/>
                <w:b w:val="0"/>
                <w:i w:val="0"/>
                <w:sz w:val="20"/>
              </w:rPr>
              <w:t>Customer Type</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Personal / Business / Correspondent / Other.</w:t>
            </w:r>
          </w:p>
        </w:tc>
      </w:tr>
      <w:tr>
        <w:tc>
          <w:tcPr>
            <w:tcW w:w="3024" w:type="dxa"/>
          </w:tcPr>
          <w:p>
            <w:pPr>
              <w:spacing w:lineRule="auto" w:line="288" w:before="60" w:after="60"/>
              <w:ind w:left="57" w:right="57"/>
            </w:pPr>
            <w:r>
              <w:rPr>
                <w:rFonts w:ascii="Times New Roman" w:hAnsi="Times New Roman"/>
                <w:b w:val="0"/>
                <w:i w:val="0"/>
                <w:sz w:val="20"/>
              </w:rPr>
              <w:t>Account Type</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Current / Savings / Business / Other.</w:t>
            </w:r>
          </w:p>
        </w:tc>
      </w:tr>
      <w:tr>
        <w:tc>
          <w:tcPr>
            <w:tcW w:w="3024" w:type="dxa"/>
          </w:tcPr>
          <w:p>
            <w:pPr>
              <w:spacing w:lineRule="auto" w:line="288" w:before="60" w:after="60"/>
              <w:ind w:left="57" w:right="57"/>
            </w:pPr>
            <w:r>
              <w:rPr>
                <w:rFonts w:ascii="Times New Roman" w:hAnsi="Times New Roman"/>
                <w:b w:val="0"/>
                <w:i w:val="0"/>
                <w:sz w:val="20"/>
              </w:rPr>
              <w:t>Jurisdiction</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Country of registration or domicile.</w:t>
            </w:r>
          </w:p>
        </w:tc>
      </w:tr>
      <w:tr>
        <w:tc>
          <w:tcPr>
            <w:tcW w:w="3024" w:type="dxa"/>
          </w:tcPr>
          <w:p>
            <w:pPr>
              <w:spacing w:lineRule="auto" w:line="288" w:before="60" w:after="60"/>
              <w:ind w:left="57" w:right="57"/>
            </w:pPr>
            <w:r>
              <w:rPr>
                <w:rFonts w:ascii="Times New Roman" w:hAnsi="Times New Roman"/>
                <w:b w:val="0"/>
                <w:i w:val="0"/>
                <w:sz w:val="20"/>
              </w:rPr>
              <w:t>Industry / SIC Code</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Sector classification for business accounts.</w:t>
            </w:r>
          </w:p>
        </w:tc>
      </w:tr>
      <w:tr>
        <w:tc>
          <w:tcPr>
            <w:tcW w:w="3024" w:type="dxa"/>
          </w:tcPr>
          <w:p>
            <w:pPr>
              <w:spacing w:lineRule="auto" w:line="288" w:before="60" w:after="60"/>
              <w:ind w:left="57" w:right="57"/>
            </w:pPr>
            <w:r>
              <w:rPr>
                <w:rFonts w:ascii="Times New Roman" w:hAnsi="Times New Roman"/>
                <w:b w:val="0"/>
                <w:i w:val="0"/>
                <w:sz w:val="20"/>
              </w:rPr>
              <w:t>Account Age (months)</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Months since account opening — short tenure with high activity is a risk indicator.</w:t>
            </w:r>
          </w:p>
        </w:tc>
      </w:tr>
      <w:tr>
        <w:tc>
          <w:tcPr>
            <w:tcW w:w="3024" w:type="dxa"/>
          </w:tcPr>
          <w:p>
            <w:pPr>
              <w:spacing w:lineRule="auto" w:line="288" w:before="60" w:after="60"/>
              <w:ind w:left="57" w:right="57"/>
            </w:pPr>
            <w:r>
              <w:rPr>
                <w:rFonts w:ascii="Times New Roman" w:hAnsi="Times New Roman"/>
                <w:b w:val="0"/>
                <w:i w:val="0"/>
                <w:sz w:val="20"/>
              </w:rPr>
              <w:t>KYC/CDD Status</w:t>
            </w:r>
          </w:p>
        </w:tc>
        <w:tc>
          <w:tcPr>
            <w:tcW w:w="3024" w:type="dxa"/>
          </w:tcPr>
          <w:p>
            <w:pPr>
              <w:spacing w:lineRule="auto" w:line="288" w:before="60" w:after="60"/>
              <w:ind w:left="57" w:right="57"/>
            </w:pPr>
            <w:r>
              <w:rPr>
                <w:rFonts w:ascii="Times New Roman" w:hAnsi="Times New Roman"/>
                <w:b w:val="0"/>
                <w:i w:val="0"/>
                <w:sz w:val="20"/>
              </w:rPr>
              <w:t>Reference</w:t>
            </w:r>
          </w:p>
        </w:tc>
        <w:tc>
          <w:tcPr>
            <w:tcW w:w="3024" w:type="dxa"/>
          </w:tcPr>
          <w:p>
            <w:pPr>
              <w:spacing w:lineRule="auto" w:line="288" w:before="60" w:after="60"/>
              <w:ind w:left="57" w:right="57"/>
            </w:pPr>
            <w:r>
              <w:rPr>
                <w:rFonts w:ascii="Times New Roman" w:hAnsi="Times New Roman"/>
                <w:b w:val="0"/>
                <w:i w:val="0"/>
                <w:sz w:val="20"/>
              </w:rPr>
              <w:t>Current or overdue. Days since last review.</w:t>
            </w:r>
          </w:p>
        </w:tc>
      </w:tr>
      <w:tr>
        <w:tc>
          <w:tcPr>
            <w:tcW w:w="3024" w:type="dxa"/>
          </w:tcPr>
          <w:p>
            <w:pPr>
              <w:spacing w:lineRule="auto" w:line="288" w:before="60" w:after="60"/>
              <w:ind w:left="57" w:right="57"/>
            </w:pPr>
            <w:r>
              <w:rPr>
                <w:rFonts w:ascii="Times New Roman" w:hAnsi="Times New Roman"/>
                <w:b w:val="0"/>
                <w:i w:val="0"/>
                <w:sz w:val="20"/>
              </w:rPr>
              <w:t>30-Day Inbound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Total value of inbound transactions in past 30 days.</w:t>
            </w:r>
          </w:p>
        </w:tc>
      </w:tr>
      <w:tr>
        <w:tc>
          <w:tcPr>
            <w:tcW w:w="3024" w:type="dxa"/>
          </w:tcPr>
          <w:p>
            <w:pPr>
              <w:spacing w:lineRule="auto" w:line="288" w:before="60" w:after="60"/>
              <w:ind w:left="57" w:right="57"/>
            </w:pPr>
            <w:r>
              <w:rPr>
                <w:rFonts w:ascii="Times New Roman" w:hAnsi="Times New Roman"/>
                <w:b w:val="0"/>
                <w:i w:val="0"/>
                <w:sz w:val="20"/>
              </w:rPr>
              <w:t>30-Day Inbound Volume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Count of inbound transactions in past 30 days.</w:t>
            </w:r>
          </w:p>
        </w:tc>
      </w:tr>
      <w:tr>
        <w:tc>
          <w:tcPr>
            <w:tcW w:w="3024" w:type="dxa"/>
          </w:tcPr>
          <w:p>
            <w:pPr>
              <w:spacing w:lineRule="auto" w:line="288" w:before="60" w:after="60"/>
              <w:ind w:left="57" w:right="57"/>
            </w:pPr>
            <w:r>
              <w:rPr>
                <w:rFonts w:ascii="Times New Roman" w:hAnsi="Times New Roman"/>
                <w:b w:val="0"/>
                <w:i w:val="0"/>
                <w:sz w:val="20"/>
              </w:rPr>
              <w:t>30-Day Outbound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Total value of outbound transactions in past 30 days.</w:t>
            </w:r>
          </w:p>
        </w:tc>
      </w:tr>
      <w:tr>
        <w:tc>
          <w:tcPr>
            <w:tcW w:w="3024" w:type="dxa"/>
          </w:tcPr>
          <w:p>
            <w:pPr>
              <w:spacing w:lineRule="auto" w:line="288" w:before="60" w:after="60"/>
              <w:ind w:left="57" w:right="57"/>
            </w:pPr>
            <w:r>
              <w:rPr>
                <w:rFonts w:ascii="Times New Roman" w:hAnsi="Times New Roman"/>
                <w:b w:val="0"/>
                <w:i w:val="0"/>
                <w:sz w:val="20"/>
              </w:rPr>
              <w:t>30-Day Outbound Volume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Count of outbound transactions in past 30 days.</w:t>
            </w:r>
          </w:p>
        </w:tc>
      </w:tr>
      <w:tr>
        <w:tc>
          <w:tcPr>
            <w:tcW w:w="3024" w:type="dxa"/>
          </w:tcPr>
          <w:p>
            <w:pPr>
              <w:spacing w:lineRule="auto" w:line="288" w:before="60" w:after="60"/>
              <w:ind w:left="57" w:right="57"/>
            </w:pPr>
            <w:r>
              <w:rPr>
                <w:rFonts w:ascii="Times New Roman" w:hAnsi="Times New Roman"/>
                <w:b w:val="0"/>
                <w:i w:val="0"/>
                <w:sz w:val="20"/>
              </w:rPr>
              <w:t>7-Day Inbound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Short-window inbound value — captures rapid accumulation (placement/layering indicator).</w:t>
            </w:r>
          </w:p>
        </w:tc>
      </w:tr>
      <w:tr>
        <w:tc>
          <w:tcPr>
            <w:tcW w:w="3024" w:type="dxa"/>
          </w:tcPr>
          <w:p>
            <w:pPr>
              <w:spacing w:lineRule="auto" w:line="288" w:before="60" w:after="60"/>
              <w:ind w:left="57" w:right="57"/>
            </w:pPr>
            <w:r>
              <w:rPr>
                <w:rFonts w:ascii="Times New Roman" w:hAnsi="Times New Roman"/>
                <w:b w:val="0"/>
                <w:i w:val="0"/>
                <w:sz w:val="20"/>
              </w:rPr>
              <w:t>7-Day Outbound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Short-window outbound value — captures rapid dispersal (layering indicator).</w:t>
            </w:r>
          </w:p>
        </w:tc>
      </w:tr>
      <w:tr>
        <w:tc>
          <w:tcPr>
            <w:tcW w:w="3024" w:type="dxa"/>
          </w:tcPr>
          <w:p>
            <w:pPr>
              <w:spacing w:lineRule="auto" w:line="288" w:before="60" w:after="60"/>
              <w:ind w:left="57" w:right="57"/>
            </w:pPr>
            <w:r>
              <w:rPr>
                <w:rFonts w:ascii="Times New Roman" w:hAnsi="Times New Roman"/>
                <w:b w:val="0"/>
                <w:i w:val="0"/>
                <w:sz w:val="20"/>
              </w:rPr>
              <w:t>30-Day Cash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Total cash transaction value (in and out combined).</w:t>
            </w:r>
          </w:p>
        </w:tc>
      </w:tr>
      <w:tr>
        <w:tc>
          <w:tcPr>
            <w:tcW w:w="3024" w:type="dxa"/>
          </w:tcPr>
          <w:p>
            <w:pPr>
              <w:spacing w:lineRule="auto" w:line="288" w:before="60" w:after="60"/>
              <w:ind w:left="57" w:right="57"/>
            </w:pPr>
            <w:r>
              <w:rPr>
                <w:rFonts w:ascii="Times New Roman" w:hAnsi="Times New Roman"/>
                <w:b w:val="0"/>
                <w:i w:val="0"/>
                <w:sz w:val="20"/>
              </w:rPr>
              <w:t>30-Day Cash Volume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Count of cash transactions.</w:t>
            </w:r>
          </w:p>
        </w:tc>
      </w:tr>
      <w:tr>
        <w:tc>
          <w:tcPr>
            <w:tcW w:w="3024" w:type="dxa"/>
          </w:tcPr>
          <w:p>
            <w:pPr>
              <w:spacing w:lineRule="auto" w:line="288" w:before="60" w:after="60"/>
              <w:ind w:left="57" w:right="57"/>
            </w:pPr>
            <w:r>
              <w:rPr>
                <w:rFonts w:ascii="Times New Roman" w:hAnsi="Times New Roman"/>
                <w:b w:val="0"/>
                <w:i w:val="0"/>
                <w:sz w:val="20"/>
              </w:rPr>
              <w:t>30-Day Wire Value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Total wire transfer value.</w:t>
            </w:r>
          </w:p>
        </w:tc>
      </w:tr>
      <w:tr>
        <w:tc>
          <w:tcPr>
            <w:tcW w:w="3024" w:type="dxa"/>
          </w:tcPr>
          <w:p>
            <w:pPr>
              <w:spacing w:lineRule="auto" w:line="288" w:before="60" w:after="60"/>
              <w:ind w:left="57" w:right="57"/>
            </w:pPr>
            <w:r>
              <w:rPr>
                <w:rFonts w:ascii="Times New Roman" w:hAnsi="Times New Roman"/>
                <w:b w:val="0"/>
                <w:i w:val="0"/>
                <w:sz w:val="20"/>
              </w:rPr>
              <w:t>30-Day Wire Volume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Count of wire transfers.</w:t>
            </w:r>
          </w:p>
        </w:tc>
      </w:tr>
      <w:tr>
        <w:tc>
          <w:tcPr>
            <w:tcW w:w="3024" w:type="dxa"/>
          </w:tcPr>
          <w:p>
            <w:pPr>
              <w:spacing w:lineRule="auto" w:line="288" w:before="60" w:after="60"/>
              <w:ind w:left="57" w:right="57"/>
            </w:pPr>
            <w:r>
              <w:rPr>
                <w:rFonts w:ascii="Times New Roman" w:hAnsi="Times New Roman"/>
                <w:b w:val="0"/>
                <w:i w:val="0"/>
                <w:sz w:val="20"/>
              </w:rPr>
              <w:t>Unique Counterparties (30-Day)</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Number of distinct counterparties — high count with small transactions is a mule indicator.</w:t>
            </w:r>
          </w:p>
        </w:tc>
      </w:tr>
      <w:tr>
        <w:tc>
          <w:tcPr>
            <w:tcW w:w="3024" w:type="dxa"/>
          </w:tcPr>
          <w:p>
            <w:pPr>
              <w:spacing w:lineRule="auto" w:line="288" w:before="60" w:after="60"/>
              <w:ind w:left="57" w:right="57"/>
            </w:pPr>
            <w:r>
              <w:rPr>
                <w:rFonts w:ascii="Times New Roman" w:hAnsi="Times New Roman"/>
                <w:b w:val="0"/>
                <w:i w:val="0"/>
                <w:sz w:val="20"/>
              </w:rPr>
              <w:t>Average Transaction Size</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Mean transaction value over 30 days.</w:t>
            </w:r>
          </w:p>
        </w:tc>
      </w:tr>
      <w:tr>
        <w:tc>
          <w:tcPr>
            <w:tcW w:w="3024" w:type="dxa"/>
          </w:tcPr>
          <w:p>
            <w:pPr>
              <w:spacing w:lineRule="auto" w:line="288" w:before="60" w:after="60"/>
              <w:ind w:left="57" w:right="57"/>
            </w:pPr>
            <w:r>
              <w:rPr>
                <w:rFonts w:ascii="Times New Roman" w:hAnsi="Times New Roman"/>
                <w:b w:val="0"/>
                <w:i w:val="0"/>
                <w:sz w:val="20"/>
              </w:rPr>
              <w:t>Inbound/Outbound Ratio</w:t>
            </w:r>
          </w:p>
        </w:tc>
        <w:tc>
          <w:tcPr>
            <w:tcW w:w="3024" w:type="dxa"/>
          </w:tcPr>
          <w:p>
            <w:pPr>
              <w:spacing w:lineRule="auto" w:line="288" w:before="60" w:after="60"/>
              <w:ind w:left="57" w:right="57"/>
            </w:pPr>
            <w:r>
              <w:rPr>
                <w:rFonts w:ascii="Times New Roman" w:hAnsi="Times New Roman"/>
                <w:b w:val="0"/>
                <w:i w:val="0"/>
                <w:sz w:val="20"/>
              </w:rPr>
              <w:t>Activity</w:t>
            </w:r>
          </w:p>
        </w:tc>
        <w:tc>
          <w:tcPr>
            <w:tcW w:w="3024" w:type="dxa"/>
          </w:tcPr>
          <w:p>
            <w:pPr>
              <w:spacing w:lineRule="auto" w:line="288" w:before="60" w:after="60"/>
              <w:ind w:left="57" w:right="57"/>
            </w:pPr>
            <w:r>
              <w:rPr>
                <w:rFonts w:ascii="Times New Roman" w:hAnsi="Times New Roman"/>
                <w:b w:val="0"/>
                <w:i w:val="0"/>
                <w:sz w:val="20"/>
              </w:rPr>
              <w:t>Ratio of inbound to outbound value — high ratio indicates accumulation without dispersal.</w:t>
            </w:r>
          </w:p>
        </w:tc>
      </w:tr>
      <w:tr>
        <w:tc>
          <w:tcPr>
            <w:tcW w:w="3024" w:type="dxa"/>
          </w:tcPr>
          <w:p>
            <w:pPr>
              <w:spacing w:lineRule="auto" w:line="288" w:before="60" w:after="60"/>
              <w:ind w:left="57" w:right="57"/>
            </w:pPr>
            <w:r>
              <w:rPr>
                <w:rFonts w:ascii="Times New Roman" w:hAnsi="Times New Roman"/>
                <w:b w:val="0"/>
                <w:i w:val="0"/>
                <w:sz w:val="20"/>
              </w:rPr>
              <w:t>Sanctions Flag</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Binary — any party to the transaction on a sanctions list.</w:t>
            </w:r>
          </w:p>
        </w:tc>
      </w:tr>
      <w:tr>
        <w:tc>
          <w:tcPr>
            <w:tcW w:w="3024" w:type="dxa"/>
          </w:tcPr>
          <w:p>
            <w:pPr>
              <w:spacing w:lineRule="auto" w:line="288" w:before="60" w:after="60"/>
              <w:ind w:left="57" w:right="57"/>
            </w:pPr>
            <w:r>
              <w:rPr>
                <w:rFonts w:ascii="Times New Roman" w:hAnsi="Times New Roman"/>
                <w:b w:val="0"/>
                <w:i w:val="0"/>
                <w:sz w:val="20"/>
              </w:rPr>
              <w:t>PEP Flag</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Binary — customer or connected party is a Politically Exposed Person.</w:t>
            </w:r>
          </w:p>
        </w:tc>
      </w:tr>
      <w:tr>
        <w:tc>
          <w:tcPr>
            <w:tcW w:w="3024" w:type="dxa"/>
          </w:tcPr>
          <w:p>
            <w:pPr>
              <w:spacing w:lineRule="auto" w:line="288" w:before="60" w:after="60"/>
              <w:ind w:left="57" w:right="57"/>
            </w:pPr>
            <w:r>
              <w:rPr>
                <w:rFonts w:ascii="Times New Roman" w:hAnsi="Times New Roman"/>
                <w:b w:val="0"/>
                <w:i w:val="0"/>
                <w:sz w:val="20"/>
              </w:rPr>
              <w:t>Previous Fraud Flag</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Binary — customer has had a confirmed fraud incident.</w:t>
            </w:r>
          </w:p>
        </w:tc>
      </w:tr>
      <w:tr>
        <w:tc>
          <w:tcPr>
            <w:tcW w:w="3024" w:type="dxa"/>
          </w:tcPr>
          <w:p>
            <w:pPr>
              <w:spacing w:lineRule="auto" w:line="288" w:before="60" w:after="60"/>
              <w:ind w:left="57" w:right="57"/>
            </w:pPr>
            <w:r>
              <w:rPr>
                <w:rFonts w:ascii="Times New Roman" w:hAnsi="Times New Roman"/>
                <w:b w:val="0"/>
                <w:i w:val="0"/>
                <w:sz w:val="20"/>
              </w:rPr>
              <w:t>Previous SAR Flag</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Binary — SAR previously filed on this customer. High-risk recurrence indicator.</w:t>
            </w:r>
          </w:p>
        </w:tc>
      </w:tr>
      <w:tr>
        <w:tc>
          <w:tcPr>
            <w:tcW w:w="3024" w:type="dxa"/>
          </w:tcPr>
          <w:p>
            <w:pPr>
              <w:spacing w:lineRule="auto" w:line="288" w:before="60" w:after="60"/>
              <w:ind w:left="57" w:right="57"/>
            </w:pPr>
            <w:r>
              <w:rPr>
                <w:rFonts w:ascii="Times New Roman" w:hAnsi="Times New Roman"/>
                <w:b w:val="0"/>
                <w:i w:val="0"/>
                <w:sz w:val="20"/>
              </w:rPr>
              <w:t>High-Risk Jurisdiction Value (30-Day)</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Total value of transactions involving high-risk jurisdictions.</w:t>
            </w:r>
          </w:p>
        </w:tc>
      </w:tr>
      <w:tr>
        <w:tc>
          <w:tcPr>
            <w:tcW w:w="3024" w:type="dxa"/>
          </w:tcPr>
          <w:p>
            <w:pPr>
              <w:spacing w:lineRule="auto" w:line="288" w:before="60" w:after="60"/>
              <w:ind w:left="57" w:right="57"/>
            </w:pPr>
            <w:r>
              <w:rPr>
                <w:rFonts w:ascii="Times New Roman" w:hAnsi="Times New Roman"/>
                <w:b w:val="0"/>
                <w:i w:val="0"/>
                <w:sz w:val="20"/>
              </w:rPr>
              <w:t>High-Risk Jurisdiction Volume (30-Day)</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Count of transactions involving high-risk jurisdictions.</w:t>
            </w:r>
          </w:p>
        </w:tc>
      </w:tr>
      <w:tr>
        <w:tc>
          <w:tcPr>
            <w:tcW w:w="3024" w:type="dxa"/>
          </w:tcPr>
          <w:p>
            <w:pPr>
              <w:spacing w:lineRule="auto" w:line="288" w:before="60" w:after="60"/>
              <w:ind w:left="57" w:right="57"/>
            </w:pPr>
            <w:r>
              <w:rPr>
                <w:rFonts w:ascii="Times New Roman" w:hAnsi="Times New Roman"/>
                <w:b w:val="0"/>
                <w:i w:val="0"/>
                <w:sz w:val="20"/>
              </w:rPr>
              <w:t>Round-Amount Count</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Number of transactions with amounts rounded to nearest 1,000 — structuring/placement indicator.</w:t>
            </w:r>
          </w:p>
        </w:tc>
      </w:tr>
      <w:tr>
        <w:tc>
          <w:tcPr>
            <w:tcW w:w="3024" w:type="dxa"/>
          </w:tcPr>
          <w:p>
            <w:pPr>
              <w:spacing w:lineRule="auto" w:line="288" w:before="60" w:after="60"/>
              <w:ind w:left="57" w:right="57"/>
            </w:pPr>
            <w:r>
              <w:rPr>
                <w:rFonts w:ascii="Times New Roman" w:hAnsi="Times New Roman"/>
                <w:b w:val="0"/>
                <w:i w:val="0"/>
                <w:sz w:val="20"/>
              </w:rPr>
              <w:t>Rapid In-and-Out Ratio</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Ratio of outbound value within 48h of inbound — layering indicator.</w:t>
            </w:r>
          </w:p>
        </w:tc>
      </w:tr>
      <w:tr>
        <w:tc>
          <w:tcPr>
            <w:tcW w:w="3024" w:type="dxa"/>
          </w:tcPr>
          <w:p>
            <w:pPr>
              <w:spacing w:lineRule="auto" w:line="288" w:before="60" w:after="60"/>
              <w:ind w:left="57" w:right="57"/>
            </w:pPr>
            <w:r>
              <w:rPr>
                <w:rFonts w:ascii="Times New Roman" w:hAnsi="Times New Roman"/>
                <w:b w:val="0"/>
                <w:i w:val="0"/>
                <w:sz w:val="20"/>
              </w:rPr>
              <w:t>Dormancy Flag</w:t>
            </w:r>
          </w:p>
        </w:tc>
        <w:tc>
          <w:tcPr>
            <w:tcW w:w="3024" w:type="dxa"/>
          </w:tcPr>
          <w:p>
            <w:pPr>
              <w:spacing w:lineRule="auto" w:line="288" w:before="60" w:after="60"/>
              <w:ind w:left="57" w:right="57"/>
            </w:pPr>
            <w:r>
              <w:rPr>
                <w:rFonts w:ascii="Times New Roman" w:hAnsi="Times New Roman"/>
                <w:b w:val="0"/>
                <w:i w:val="0"/>
                <w:sz w:val="20"/>
              </w:rPr>
              <w:t>Derived</w:t>
            </w:r>
          </w:p>
        </w:tc>
        <w:tc>
          <w:tcPr>
            <w:tcW w:w="3024" w:type="dxa"/>
          </w:tcPr>
          <w:p>
            <w:pPr>
              <w:spacing w:lineRule="auto" w:line="288" w:before="60" w:after="60"/>
              <w:ind w:left="57" w:right="57"/>
            </w:pPr>
            <w:r>
              <w:rPr>
                <w:rFonts w:ascii="Times New Roman" w:hAnsi="Times New Roman"/>
                <w:b w:val="0"/>
                <w:i w:val="0"/>
                <w:sz w:val="20"/>
              </w:rPr>
              <w:t>Binary — account dormant prior to current activity spike — reactivation for laundering indicator.</w:t>
            </w:r>
          </w:p>
        </w:tc>
      </w:tr>
    </w:tbl>
    <w:p>
      <w:pPr>
        <w:spacing w:lineRule="auto" w:line="240" w:before="0" w:after="200"/>
      </w:pPr>
    </w:p>
    <w:p>
      <w:pPr>
        <w:pStyle w:val="BodyText"/>
        <w:spacing w:lineRule="auto" w:line="360" w:before="0" w:after="120"/>
        <w:ind w:firstLine="283"/>
      </w:pPr>
      <w:r>
        <w:rPr>
          <w:rFonts w:ascii="Times New Roman" w:hAnsi="Times New Roman"/>
          <w:b w:val="0"/>
          <w:i w:val="0"/>
          <w:sz w:val="24"/>
        </w:rPr>
        <w:t>Note: This list requires validation against the integrated exercise dataset before publication. The exact feature names, lookback windows, and definitions should align with the deployed scenarios and the data available in the book's synthetic dataset. Author to review and finalise.</w:t>
      </w:r>
    </w:p>
    <w:p>
      <w:pPr>
        <w:pStyle w:val="Heading2"/>
      </w:pPr>
      <w:r>
        <w:rPr>
          <w:rFonts w:ascii="Times New Roman" w:hAnsi="Times New Roman"/>
        </w:rPr>
        <w:t>Appendix B: About the Author</w:t>
      </w:r>
    </w:p>
    <w:p>
      <w:pPr>
        <w:pStyle w:val="BodyText"/>
        <w:spacing w:lineRule="auto" w:line="360" w:before="0" w:after="120"/>
        <w:ind w:firstLine="283"/>
      </w:pPr>
      <w:r>
        <w:rPr>
          <w:rFonts w:ascii="Times New Roman" w:hAnsi="Times New Roman"/>
          <w:b w:val="0"/>
          <w:i w:val="0"/>
          <w:sz w:val="24"/>
        </w:rPr>
        <w:t>Haibo Zhang is a former HSBC Senior Vice President and Global Head of Applied Analytics for Financial Crime Threat Mitigation. He established HSBC's US AML Model Validation framework and led global AML and Fraud analytics teams spanning multiple continents.</w:t>
      </w:r>
    </w:p>
    <w:p>
      <w:pPr>
        <w:pStyle w:val="BodyText"/>
        <w:spacing w:lineRule="auto" w:line="360" w:before="0" w:after="120"/>
        <w:ind w:firstLine="283"/>
      </w:pPr>
      <w:r>
        <w:rPr>
          <w:rFonts w:ascii="Times New Roman" w:hAnsi="Times New Roman"/>
          <w:b w:val="0"/>
          <w:i w:val="0"/>
          <w:sz w:val="24"/>
        </w:rPr>
        <w:t>He holds a PhD in Computational Biology from Rutgers University / New Jersey Institute of Technology, bringing a rigorous quantitative background to the practical challenges of financial crime analytics. He has direct operational experience with Norkom, Actimize, Mantas, Ayasdi, and Quantexa transaction monitoring and analytics systems.</w:t>
      </w:r>
    </w:p>
    <w:p>
      <w:pPr>
        <w:pStyle w:val="BodyText"/>
        <w:spacing w:lineRule="auto" w:line="360" w:before="0" w:after="120"/>
        <w:ind w:firstLine="283"/>
      </w:pPr>
      <w:r>
        <w:rPr>
          <w:rFonts w:ascii="Times New Roman" w:hAnsi="Times New Roman"/>
          <w:b w:val="0"/>
          <w:i w:val="0"/>
          <w:sz w:val="24"/>
        </w:rPr>
        <w:t>Haibo is the founder of Compliance Analytics (compliance-analytics.co.uk), an advisory firm specialising in AML analytics, model validation, and analytics team design. He advises banks, FinTechs, and regulators on building analytics programmes that are both technically rigorous and operationally effective.</w:t>
      </w:r>
    </w:p>
    <w:p>
      <w:pPr>
        <w:pStyle w:val="BodyText"/>
        <w:spacing w:lineRule="auto" w:line="360" w:before="0" w:after="120"/>
        <w:ind w:firstLine="283"/>
      </w:pPr>
      <w:r>
        <w:rPr>
          <w:rFonts w:ascii="Times New Roman" w:hAnsi="Times New Roman"/>
          <w:b w:val="0"/>
          <w:i w:val="0"/>
          <w:sz w:val="24"/>
        </w:rPr>
        <w:t>He can be contacted at haibo@compliance-analytics.co.uk.</w:t>
      </w:r>
    </w:p>
    <w:p>
      <w:pPr>
        <w:pStyle w:val="BodyText"/>
        <w:spacing w:lineRule="auto" w:line="360" w:before="0" w:after="120"/>
        <w:ind w:firstLine="283"/>
      </w:pPr>
      <w:r>
        <w:rPr>
          <w:rFonts w:ascii="Times New Roman" w:hAnsi="Times New Roman"/>
          <w:b w:val="0"/>
          <w:i w:val="0"/>
          <w:sz w:val="24"/>
        </w:rPr>
        <w:t>This book is the first volume in the AML TM Analytics series. The second volume, AML TM Analytics Protocols, will cover the operational protocol frameworks for analytics programme design, team and persona setup, the DQ validation protocol, segmentation and tuning playbooks, and the maturity model for AML TM programmes.</w:t>
      </w:r>
    </w:p>
    <w:p>
      <w:r>
        <w:br w:type="page"/>
      </w:r>
    </w:p>
    <w:p>
      <w:pPr>
        <w:pStyle w:val="Heading1"/>
      </w:pPr>
      <w:r>
        <w:rPr>
          <w:rFonts w:ascii="Times New Roman" w:hAnsi="Times New Roman"/>
        </w:rPr>
        <w:t>About the Author</w:t>
      </w:r>
    </w:p>
    <w:p>
      <w:pPr>
        <w:pStyle w:val="BodyText"/>
        <w:spacing w:lineRule="auto" w:line="360" w:before="0" w:after="120"/>
        <w:ind w:firstLine="283"/>
      </w:pPr>
      <w:r>
        <w:rPr>
          <w:rFonts w:ascii="Times New Roman" w:hAnsi="Times New Roman"/>
          <w:b w:val="0"/>
          <w:i w:val="0"/>
          <w:sz w:val="24"/>
        </w:rPr>
        <w:t>Haibo Zhang is the founder of Compliance Analytics Ltd, a specialist consultancy in financial crime analytics and model validation. He holds a PhD in Computational Mathematics and spent over a decade at HSBC as Senior Vice President, leading quantitative AML analytics teams across global compliance functions.</w:t>
      </w:r>
    </w:p>
    <w:p>
      <w:pPr>
        <w:pStyle w:val="BodyText"/>
        <w:spacing w:lineRule="auto" w:line="360" w:before="0" w:after="120"/>
        <w:ind w:firstLine="283"/>
      </w:pPr>
      <w:r>
        <w:rPr>
          <w:rFonts w:ascii="Times New Roman" w:hAnsi="Times New Roman"/>
          <w:b w:val="0"/>
          <w:i w:val="0"/>
          <w:sz w:val="24"/>
        </w:rPr>
        <w:t>He is the author of both volumes in the Applied AML Analytics series and the AML TM Analytics Protocols practitioner's guide. Contact: haibo@compliance-analytics.co.uk.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276"/>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60" w:lineRule="auto" w:line="276"/>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Rule="auto" w:line="276"/>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Rule="auto" w:line="360"/>
      <w:ind w:firstLine="283"/>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