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36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up-horizontal-on-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4130F"/>
          <w:sz w:val="52"/>
        </w:rPr>
        <w:t>Brand Guidelines</w:t>
      </w:r>
    </w:p>
    <w:p>
      <w:pPr>
        <w:jc w:val="center"/>
      </w:pPr>
      <w:r>
        <w:rPr>
          <w:color w:val="9AA1A9"/>
          <w:sz w:val="24"/>
        </w:rPr>
        <w:t>Identidad visual · v3 · 2026</w:t>
      </w:r>
    </w:p>
    <w:p>
      <w:pPr>
        <w:jc w:val="center"/>
      </w:pPr>
      <w:r>
        <w:rPr>
          <w:i/>
          <w:color w:val="C9821A"/>
          <w:sz w:val="26"/>
        </w:rPr>
        <w:t>"Donde el riesgo se define."</w:t>
      </w:r>
    </w:p>
    <w:p>
      <w:r>
        <w:br w:type="page"/>
      </w:r>
    </w:p>
    <w:p>
      <w:pPr>
        <w:pStyle w:val="Heading1"/>
      </w:pPr>
      <w:r>
        <w:t>1. La marca</w:t>
      </w:r>
    </w:p>
    <w:p>
      <w:r>
        <w:t>Spread Trading Club es una comunidad educativa de opciones del mercado americano, bilingüe (español/inglés). Registro visual: terminal financiero (estilo Bloomberg) + la pertenencia de un Club. Sobrio, técnico, inteligente y honesto — sin hype ni promesas.</w:t>
      </w:r>
    </w:p>
    <w:p>
      <w:r>
        <w:t>El símbolo de marca es la curva de distribución (probabilidad) con los dos strikes de un spread vertical y la zona de profit sombreada: "operamos la distribución, entre los strikes".</w:t>
      </w:r>
    </w:p>
    <w:p>
      <w:pPr>
        <w:pStyle w:val="Heading1"/>
      </w:pPr>
      <w:r>
        <w:t>2. Logo</w:t>
      </w:r>
    </w:p>
    <w:p>
      <w:r>
        <w:t>El sistema tiene dos piezas, según el espacio disponible: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Símbolo (sin texto)</w:t>
            </w:r>
          </w:p>
          <w:p>
            <w:r>
              <w:t>Para espacios chicos: favicon, foto de perfil, app icon.</w:t>
            </w:r>
          </w:p>
          <w:p>
            <w:r/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rPr>
                <w:b/>
              </w:rPr>
              <w:t>Lockup (CON el nombre)</w:t>
            </w:r>
          </w:p>
          <w:p>
            <w:r>
              <w:t>Para web, portadas, tarjetas, firmas.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651760" cy="7071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ckup-horizontal-on-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07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Versiones disponibles: color (fondo oscuro), monocroma blanca/negra, modo claro, y avatar. Archivos en SVG (vector) y PNG.</w:t>
      </w:r>
    </w:p>
    <w:p>
      <w:pPr>
        <w:pStyle w:val="Heading1"/>
      </w:pPr>
      <w:r>
        <w:t>3. Color — Terminal Pro</w:t>
      </w:r>
    </w:p>
    <w:p>
      <w:r>
        <w:t>Casi monocromo + un solo acento ámbar. Disciplina = seriedad institucional.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fill="0A0B0D"/>
          </w:tcPr>
          <w:p>
            <w:r>
              <w:t xml:space="preserve">  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Black   #0A0B0D</w:t>
            </w:r>
          </w:p>
        </w:tc>
        <w:tc>
          <w:tcPr>
            <w:tcW w:type="dxa" w:w="2880"/>
          </w:tcPr>
          <w:p>
            <w:r>
              <w:t>Fondo base</w:t>
            </w:r>
          </w:p>
        </w:tc>
      </w:tr>
      <w:tr>
        <w:tc>
          <w:tcPr>
            <w:tcW w:type="dxa" w:w="864"/>
            <w:shd w:val="clear" w:fill="15171A"/>
          </w:tcPr>
          <w:p>
            <w:r>
              <w:t xml:space="preserve">  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Surface   #15171A</w:t>
            </w:r>
          </w:p>
        </w:tc>
        <w:tc>
          <w:tcPr>
            <w:tcW w:type="dxa" w:w="2880"/>
          </w:tcPr>
          <w:p>
            <w:r>
              <w:t>Tarjetas</w:t>
            </w:r>
          </w:p>
        </w:tc>
      </w:tr>
      <w:tr>
        <w:tc>
          <w:tcPr>
            <w:tcW w:type="dxa" w:w="864"/>
            <w:shd w:val="clear" w:fill="F5A623"/>
          </w:tcPr>
          <w:p>
            <w:r>
              <w:t xml:space="preserve">  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Amber   #F5A623</w:t>
            </w:r>
          </w:p>
        </w:tc>
        <w:tc>
          <w:tcPr>
            <w:tcW w:type="dxa" w:w="2880"/>
          </w:tcPr>
          <w:p>
            <w:r>
              <w:t>Único acento de marca</w:t>
            </w:r>
          </w:p>
        </w:tc>
      </w:tr>
      <w:tr>
        <w:tc>
          <w:tcPr>
            <w:tcW w:type="dxa" w:w="864"/>
            <w:shd w:val="clear" w:fill="9AA1A9"/>
          </w:tcPr>
          <w:p>
            <w:r>
              <w:t xml:space="preserve">  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Steel   #9AA1A9</w:t>
            </w:r>
          </w:p>
        </w:tc>
        <w:tc>
          <w:tcPr>
            <w:tcW w:type="dxa" w:w="2880"/>
          </w:tcPr>
          <w:p>
            <w:r>
              <w:t>Texto secundario</w:t>
            </w:r>
          </w:p>
        </w:tc>
      </w:tr>
      <w:tr>
        <w:tc>
          <w:tcPr>
            <w:tcW w:type="dxa" w:w="864"/>
            <w:shd w:val="clear" w:fill="F7F6F3"/>
          </w:tcPr>
          <w:p>
            <w:r>
              <w:t xml:space="preserve">  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Paper   #F7F6F3</w:t>
            </w:r>
          </w:p>
        </w:tc>
        <w:tc>
          <w:tcPr>
            <w:tcW w:type="dxa" w:w="2880"/>
          </w:tcPr>
          <w:p>
            <w:r>
              <w:t>Fondo claro</w:t>
            </w:r>
          </w:p>
        </w:tc>
      </w:tr>
      <w:tr>
        <w:tc>
          <w:tcPr>
            <w:tcW w:type="dxa" w:w="864"/>
            <w:shd w:val="clear" w:fill="F4F5F6"/>
          </w:tcPr>
          <w:p>
            <w:r>
              <w:t xml:space="preserve">  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White   #F4F5F6</w:t>
            </w:r>
          </w:p>
        </w:tc>
        <w:tc>
          <w:tcPr>
            <w:tcW w:type="dxa" w:w="2880"/>
          </w:tcPr>
          <w:p>
            <w:r>
              <w:t>Texto (oscuro)</w:t>
            </w:r>
          </w:p>
        </w:tc>
      </w:tr>
      <w:tr>
        <w:tc>
          <w:tcPr>
            <w:tcW w:type="dxa" w:w="864"/>
            <w:shd w:val="clear" w:fill="16C784"/>
          </w:tcPr>
          <w:p>
            <w:r>
              <w:t xml:space="preserve">  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Profit   #16C784</w:t>
            </w:r>
          </w:p>
        </w:tc>
        <w:tc>
          <w:tcPr>
            <w:tcW w:type="dxa" w:w="2880"/>
          </w:tcPr>
          <w:p>
            <w:r>
              <w:t>Ganancia (solo charts)</w:t>
            </w:r>
          </w:p>
        </w:tc>
      </w:tr>
      <w:tr>
        <w:tc>
          <w:tcPr>
            <w:tcW w:type="dxa" w:w="864"/>
            <w:shd w:val="clear" w:fill="EA3943"/>
          </w:tcPr>
          <w:p>
            <w:r>
              <w:t xml:space="preserve">  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Loss   #EA3943</w:t>
            </w:r>
          </w:p>
        </w:tc>
        <w:tc>
          <w:tcPr>
            <w:tcW w:type="dxa" w:w="2880"/>
          </w:tcPr>
          <w:p>
            <w:r>
              <w:t>Pérdida (solo charts)</w:t>
            </w:r>
          </w:p>
        </w:tc>
      </w:tr>
    </w:tbl>
    <w:p>
      <w:r>
        <w:t>Contraste ámbar sobre negro ≈ 9.6:1 (AAA). En modo claro, el ámbar solo como acento gráfico, nunca como texto.</w:t>
      </w:r>
    </w:p>
    <w:p>
      <w:pPr>
        <w:pStyle w:val="Heading1"/>
      </w:pPr>
      <w:r>
        <w:t>4. Tipografía</w:t>
      </w:r>
    </w:p>
    <w:p>
      <w:pPr>
        <w:pStyle w:val="ListBullet"/>
      </w:pPr>
      <w:r>
        <w:rPr>
          <w:b/>
        </w:rPr>
        <w:t>Space Grotesk (Bold/Medium)</w:t>
      </w:r>
      <w:r>
        <w:t xml:space="preserve"> — Títulos / display</w:t>
      </w:r>
    </w:p>
    <w:p>
      <w:pPr>
        <w:pStyle w:val="ListBullet"/>
      </w:pPr>
      <w:r>
        <w:rPr>
          <w:b/>
        </w:rPr>
        <w:t>Inter (400/500/600)</w:t>
      </w:r>
      <w:r>
        <w:t xml:space="preserve"> — Texto / cuerpo · bilingüe</w:t>
      </w:r>
    </w:p>
    <w:p>
      <w:pPr>
        <w:pStyle w:val="ListBullet"/>
      </w:pPr>
      <w:r>
        <w:rPr>
          <w:b/>
        </w:rPr>
        <w:t>JetBrains Mono (Medium)</w:t>
      </w:r>
      <w:r>
        <w:t xml:space="preserve"> — Datos / precios / ticker</w:t>
      </w:r>
    </w:p>
    <w:p>
      <w:pPr>
        <w:pStyle w:val="Heading1"/>
      </w:pPr>
      <w:r>
        <w:t>5. Reglas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✅ Hacer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❌ Evitar</w:t>
            </w:r>
          </w:p>
        </w:tc>
      </w:tr>
      <w:tr>
        <w:tc>
          <w:tcPr>
            <w:tcW w:type="dxa" w:w="4320"/>
          </w:tcPr>
          <w:p>
            <w:r>
              <w:t>Negro + datos en mono + un acento ámbar</w:t>
            </w:r>
          </w:p>
        </w:tc>
        <w:tc>
          <w:tcPr>
            <w:tcW w:type="dxa" w:w="4320"/>
          </w:tcPr>
          <w:p>
            <w:r>
              <w:t>Más colores (menta, oro, azul)</w:t>
            </w:r>
          </w:p>
        </w:tc>
      </w:tr>
      <w:tr>
        <w:tc>
          <w:tcPr>
            <w:tcW w:type="dxa" w:w="4320"/>
          </w:tcPr>
          <w:p>
            <w:r>
              <w:t>Símbolo solo en espacios chicos (favicon)</w:t>
            </w:r>
          </w:p>
        </w:tc>
        <w:tc>
          <w:tcPr>
            <w:tcW w:type="dxa" w:w="4320"/>
          </w:tcPr>
          <w:p>
            <w:r>
              <w:t>Usar el ícono detallado &lt; 40px</w:t>
            </w:r>
          </w:p>
        </w:tc>
      </w:tr>
      <w:tr>
        <w:tc>
          <w:tcPr>
            <w:tcW w:type="dxa" w:w="4320"/>
          </w:tcPr>
          <w:p>
            <w:r>
              <w:t>Ámbar solo de acento en fondo claro</w:t>
            </w:r>
          </w:p>
        </w:tc>
        <w:tc>
          <w:tcPr>
            <w:tcW w:type="dxa" w:w="4320"/>
          </w:tcPr>
          <w:p>
            <w:r>
              <w:t>Ámbar como texto sobre claro</w:t>
            </w:r>
          </w:p>
        </w:tc>
      </w:tr>
      <w:tr>
        <w:tc>
          <w:tcPr>
            <w:tcW w:type="dxa" w:w="4320"/>
          </w:tcPr>
          <w:p>
            <w:r>
              <w:t>Tono sobrio, honesto, con disclaimers</w:t>
            </w:r>
          </w:p>
        </w:tc>
        <w:tc>
          <w:tcPr>
            <w:tcW w:type="dxa" w:w="4320"/>
          </w:tcPr>
          <w:p>
            <w:r>
              <w:t>Emojis, neón, promesas de rentabilidad</w:t>
            </w:r>
          </w:p>
        </w:tc>
      </w:tr>
    </w:tbl>
    <w:p>
      <w:pPr>
        <w:pStyle w:val="Heading1"/>
      </w:pPr>
      <w:r>
        <w:t>6. Voz de marca</w:t>
      </w:r>
    </w:p>
    <w:p>
      <w:r>
        <w:t>Autoridad serena · claridad pedagógica · rigor verificable · bilingüe · anti-hype. Llamado a la acción: "Únete al Club / Join the Club".</w:t>
      </w:r>
    </w:p>
    <w:p>
      <w:r>
        <w:t>Nunca asesoramiento de inversión: contenido educativo, con disclaimer y sin promesas de rentabilidad.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