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Edges contra SCHH: catálogo priorizado</w:t>
      </w:r>
    </w:p>
    <w:p>
      <w:pPr>
        <w:spacing w:after="120"/>
      </w:pPr>
      <w:r>
        <w:t xml:space="preserve">Catálogo del descubrimiento de edges contra SCHH (skill descubrimiento-edge: seis investigadores, adversario y priorizador), 16 de octubre de 2026. Nada aquí es un backtest ni una recomendación fiscal: las reglas fiscales se confirman con un contador.</w:t>
      </w:r>
    </w:p>
    <w:p>
      <w:pPr>
        <w:spacing w:after="120"/>
      </w:pPr>
      <w:r>
        <w:rPr>
          <w:b/>
          <w:bCs/>
        </w:rPr>
        <w:t xml:space="preserve">Glosario mínimo.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Punto base (pb).</w:t>
      </w:r>
      <w:r>
        <w:t xml:space="preserve"> Una centésima de punto porcentual: +50 pb al año es medio punto porcentual de rendimiento extra cada año.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TIR neta.</w:t>
      </w:r>
      <w:r>
        <w:t xml:space="preserve"> El rendimiento anual de todas las aportaciones, después de impuestos, comisiones y costos.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Card.</w:t>
      </w:r>
      <w:r>
        <w:t xml:space="preserve"> Una hipótesis escrita con reglas exactas y condiciones para darla por muerta, lista para que el skill de validación (B) la pruebe.</w:t>
      </w:r>
    </w:p>
    <w:p>
      <w:pPr>
        <w:spacing w:after="120"/>
      </w:pPr>
      <w:r>
        <w:rPr>
          <w:b/>
          <w:bCs/>
        </w:rPr>
        <w:t xml:space="preserve">Etiquetas de calibración.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Verificado:</w:t>
      </w:r>
      <w:r>
        <w:t xml:space="preserve"> está en una fuente primaria o en el repo y la revisé.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Inferido:</w:t>
      </w:r>
      <w:r>
        <w:t xml:space="preserve"> se deduce de datos verificados, pero nadie lo ha medido así.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Estimado:</w:t>
      </w:r>
      <w:r>
        <w:t xml:space="preserve"> es un juicio o una aritmética con supuestos.</w:t>
      </w:r>
    </w:p>
    <w:p>
      <w:pPr>
        <w:pBdr>
          <w:bottom w:val="single" w:color="BFBFBF" w:sz="6" w:space="1"/>
        </w:pBdr>
      </w:pPr>
    </w:p>
    <w:p>
      <w:pPr>
        <w:pStyle w:val="Heading1"/>
      </w:pPr>
      <w:r>
        <w:t xml:space="preserve">1. Resumen ejecutivo</w:t>
      </w:r>
    </w:p>
    <w:p>
      <w:pPr>
        <w:spacing w:after="120"/>
      </w:pPr>
      <w:r>
        <w:rPr>
          <w:b/>
          <w:bCs/>
        </w:rPr>
        <w:t xml:space="preserve">Qué se hizo.</w:t>
      </w:r>
    </w:p>
    <w:p>
      <w:pPr>
        <w:pStyle w:val="ListParagraph"/>
        <w:numPr>
          <w:ilvl w:val="0"/>
          <w:numId w:val="2"/>
        </w:numPr>
      </w:pPr>
      <w:r>
        <w:t xml:space="preserve">Seis investigadores propusieron 14 hipótesis para ganarle a SCHH después de impuestos. Cubrieron seis familias: calendario, volatilidad, momentum, comparación entre emisoras, eventos y asiento estructural o fiscal.</w:t>
      </w:r>
    </w:p>
    <w:p>
      <w:pPr>
        <w:pStyle w:val="ListParagraph"/>
        <w:numPr>
          <w:ilvl w:val="0"/>
          <w:numId w:val="2"/>
        </w:numPr>
      </w:pPr>
      <w:r>
        <w:t xml:space="preserve">El adversario mató 9 y dejó vivas 5, todas degradadas.</w:t>
      </w:r>
    </w:p>
    <w:p>
      <w:pPr>
        <w:pStyle w:val="ListParagraph"/>
        <w:numPr>
          <w:ilvl w:val="0"/>
          <w:numId w:val="2"/>
        </w:numPr>
      </w:pPr>
      <w:r>
        <w:t xml:space="preserve">El priorizador auditó sus argumentos. No encontré ninguno vago, así que no reviví ninguna.</w:t>
      </w:r>
    </w:p>
    <w:p>
      <w:pPr>
        <w:pStyle w:val="ListParagraph"/>
        <w:numPr>
          <w:ilvl w:val="0"/>
          <w:numId w:val="2"/>
        </w:numPr>
      </w:pPr>
      <w:r>
        <w:t xml:space="preserve">Puntué las 5 vivas con la rúbrica de siete ejes y dejé 3 en el catálogo.</w:t>
      </w:r>
    </w:p>
    <w:p>
      <w:pPr>
        <w:pStyle w:val="ListParagraph"/>
        <w:numPr>
          <w:ilvl w:val="0"/>
          <w:numId w:val="2"/>
        </w:numPr>
      </w:pPr>
      <w:r>
        <w:t xml:space="preserve">No se corrió ningún backtest ni se miró el retorno de ninguna señal.</w:t>
      </w:r>
    </w:p>
    <w:p>
      <w:pPr>
        <w:spacing w:after="120"/>
      </w:pPr>
      <w:r>
        <w:rPr>
          <w:b/>
          <w:bCs/>
        </w:rPr>
        <w:t xml:space="preserve">¿Algo tiene posibilidad real de superar +50 pb al año?</w:t>
      </w:r>
      <w:r>
        <w:t xml:space="preserve"> Con franqueza: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Las reglas para escoger REITs o el día de compra: no, de manera realista.</w:t>
      </w:r>
    </w:p>
    <w:p>
      <w:pPr>
        <w:pStyle w:val="ListParagraph"/>
        <w:numPr>
          <w:ilvl w:val="1"/>
          <w:numId w:val="2"/>
        </w:numPr>
      </w:pPr>
      <w:r>
        <w:t xml:space="preserve">Sus centros van de 0 a +30 pb al año.</w:t>
      </w:r>
    </w:p>
    <w:p>
      <w:pPr>
        <w:pStyle w:val="ListParagraph"/>
        <w:numPr>
          <w:ilvl w:val="1"/>
          <w:numId w:val="2"/>
        </w:numPr>
      </w:pPr>
      <w:r>
        <w:t xml:space="preserve">El análisis de poder del repo muestra que el panel solo distingue del cero efectos de 59 a 110 pb (verificado, </w:t>
      </w:r>
      <w:r>
        <w:rPr>
          <w:rFonts w:ascii="Consolas" w:cs="Consolas" w:eastAsia="Consolas" w:hAnsi="Consolas"/>
          <w:sz w:val="18"/>
          <w:szCs w:val="18"/>
        </w:rPr>
        <w:t xml:space="preserve">poder_resultados.md</w:t>
      </w:r>
      <w:r>
        <w:t xml:space="preserve">).</w:t>
      </w:r>
    </w:p>
    <w:p>
      <w:pPr>
        <w:pStyle w:val="ListParagraph"/>
        <w:numPr>
          <w:ilvl w:val="1"/>
          <w:numId w:val="2"/>
        </w:numPr>
      </w:pPr>
      <w:r>
        <w:t xml:space="preserve">Con el error estándar que midió el repo (24 a 44 pb), una ventaja real de +30 pb daría una t de 0.7 a 1.3.</w:t>
      </w:r>
    </w:p>
    <w:p>
      <w:pPr>
        <w:pStyle w:val="ListParagraph"/>
        <w:numPr>
          <w:ilvl w:val="1"/>
          <w:numId w:val="2"/>
        </w:numPr>
      </w:pPr>
      <w:r>
        <w:t xml:space="preserve">El Sharpe deflactado, con los 41 intentos ya observados en este universo, pide una t del orden de 4 (estimado).</w:t>
      </w:r>
    </w:p>
    <w:p>
      <w:pPr>
        <w:pStyle w:val="ListParagraph"/>
        <w:numPr>
          <w:ilvl w:val="1"/>
          <w:numId w:val="2"/>
        </w:numPr>
      </w:pPr>
      <w:r>
        <w:t xml:space="preserve">Ninguna de estas cards puede ganarse un "sí" con los datos históricos: ahí solo pueden morir. Si alguna es real, se confirmaría hacia adelante, en papel, y tardaría años.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 único con un mecanismo que no depende de predecir el mercado es fiscal:</w:t>
      </w:r>
      <w:r>
        <w:t xml:space="preserve"> un ETF irlandés de acumulación (UCITS) sobre REITs de EE. UU., que no reparte dividendos.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Con IUSI (iShares, físico; cotiza en la BMV como IUSIN MM):</w:t>
      </w:r>
      <w:r>
        <w:t xml:space="preserve"> la ventaja es de +21 a +25 pb al año sin vender (aritmética re-corrida, estimado). Se suma la protección contra el impuesto sucesorio de EE. UU., que vale de 0 a +8 pb de valor esperado y mucho más en el peor caso para los herederos.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Con XRES (Invesco, sintético):</w:t>
      </w:r>
      <w:r>
        <w:t xml:space="preserve"> +57 a +59 pb sin vender. Es el único número del catálogo arriba de +50, pero tiene tres problemas:</w:t>
      </w:r>
    </w:p>
    <w:p>
      <w:pPr>
        <w:pStyle w:val="ListParagraph"/>
        <w:numPr>
          <w:ilvl w:val="2"/>
          <w:numId w:val="2"/>
        </w:numPr>
      </w:pPr>
      <w:r>
        <w:t xml:space="preserve">se invierte (de -38 a -53 pb) si algún día se vende, porque XRES no cotiza en la BMV y su ganancia no pagaría 10%;</w:t>
      </w:r>
    </w:p>
    <w:p>
      <w:pPr>
        <w:pStyle w:val="ListParagraph"/>
        <w:numPr>
          <w:ilvl w:val="2"/>
          <w:numId w:val="2"/>
        </w:numPr>
      </w:pPr>
      <w:r>
        <w:t xml:space="preserve">depende de dos supuestos fiscales que nadie ha confirmado;</w:t>
      </w:r>
    </w:p>
    <w:p>
      <w:pPr>
        <w:pStyle w:val="ListParagraph"/>
        <w:numPr>
          <w:ilvl w:val="2"/>
          <w:numId w:val="2"/>
        </w:numPr>
      </w:pPr>
      <w:r>
        <w:t xml:space="preserve">su índice tiene otra composición que SCHH, y eso puede mover el resultado más que la propia ventaja fiscal.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 estimación subjetiva (estimado)</w:t>
      </w:r>
      <w:r>
        <w:t xml:space="preserve"> de que la ventaja esperada pase de +50 pb y aguante: del orden de 1 en 4 con XRES, menos de 1 en 10 con IUSI y menos de 1 en 10 con cada card de selección.</w:t>
      </w:r>
    </w:p>
    <w:p>
      <w:pPr>
        <w:spacing w:after="120"/>
      </w:pPr>
      <w:r>
        <w:rPr>
          <w:b/>
          <w:bCs/>
        </w:rPr>
        <w:t xml:space="preserve">Recomendación práctica.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No cambiar la aportación por ninguna regla de selección.</w:t>
      </w:r>
      <w:r>
        <w:t xml:space="preserve"> Seguir aportando a SCHH.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Llevar a un contador cinco preguntas concretas.</w:t>
      </w:r>
      <w:r>
        <w:t xml:space="preserve"> Esta es la acción con más valor esperado de todo el ejercicio: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(a)</w:t>
      </w:r>
      <w:r>
        <w:t xml:space="preserve"> ¿El dividendo extranjero comprado por el SIC también se acumula a la tarifa anual (Art. 142 fr. V LISR)?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(b)</w:t>
      </w:r>
      <w:r>
        <w:t xml:space="preserve"> ¿SCHH está listado en el SIC y, si no, qué tasa pagaría su ganancia vendida por un broker extranjero?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(c)</w:t>
      </w:r>
      <w:r>
        <w:t xml:space="preserve"> ¿Un ETF UCITS de acumulación comprado por un minorista cae en el régimen de regímenes fiscales preferentes (REFIPRE, Arts. 176 a 178 LISR)?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(d)</w:t>
      </w:r>
      <w:r>
        <w:t xml:space="preserve"> ¿La ganancia de IUSIN MM vendida en el SIC paga 10% (Art. 129)?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(e)</w:t>
      </w:r>
      <w:r>
        <w:t xml:space="preserve"> ¿Cómo se trata la herencia de estas posiciones?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Si el contador confirma (c) y (d),</w:t>
      </w:r>
      <w:r>
        <w:t xml:space="preserve"> mandar la aportación NUEVA a IUSI, sin vender lo que ya está en SCHH.</w:t>
      </w:r>
    </w:p>
    <w:p>
      <w:pPr>
        <w:pStyle w:val="ListParagraph"/>
        <w:numPr>
          <w:ilvl w:val="1"/>
          <w:numId w:val="2"/>
        </w:numPr>
      </w:pPr>
      <w:r>
        <w:t xml:space="preserve">La ventaja esperada es de +20 a +30 pb al año más el seguro sucesorio.</w:t>
      </w:r>
    </w:p>
    <w:p>
      <w:pPr>
        <w:pStyle w:val="ListParagraph"/>
        <w:numPr>
          <w:ilvl w:val="1"/>
          <w:numId w:val="2"/>
        </w:numPr>
      </w:pPr>
      <w:r>
        <w:t xml:space="preserve">XRES solo conviene a quien esté seguro de no vender jamás y acepte un swap y la tarifa del Art. 120.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Las otras dos cards del catálogo, solo en papel y sin dinero real.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Corregir en el repo los cuatro hallazgos laterales (sección 8).</w:t>
      </w:r>
      <w:r>
        <w:t xml:space="preserve"> No cambian ningún veredicto pasado, pero sí cifras y supuestos fiscales del modelo.</w:t>
      </w:r>
    </w:p>
    <w:p>
      <w:pPr>
        <w:pBdr>
          <w:bottom w:val="single" w:color="BFBFBF" w:sz="6" w:space="1"/>
        </w:pBdr>
      </w:pPr>
    </w:p>
    <w:p>
      <w:pPr>
        <w:pStyle w:val="Heading1"/>
      </w:pPr>
      <w:r>
        <w:t xml:space="preserve">2. Ranking con desglose de la rúbrica</w:t>
      </w:r>
    </w:p>
    <w:p>
      <w:pPr>
        <w:spacing w:after="120"/>
      </w:pPr>
      <w:r>
        <w:rPr>
          <w:b/>
          <w:bCs/>
        </w:rPr>
        <w:t xml:space="preserve">Pesos.</w:t>
      </w:r>
      <w:r>
        <w:t xml:space="preserve"> Mecanismo 25%, ventaja estructural 15%, evidencia 15%, edge neto tras costos 15%, crowding 10%, datos 10%, simplicidad 10%.</w:t>
      </w:r>
    </w:p>
    <w:p>
      <w:pPr>
        <w:spacing w:after="120"/>
      </w:pPr>
      <w:r>
        <w:rPr>
          <w:b/>
          <w:bCs/>
        </w:rPr>
        <w:t xml:space="preserve">Escala.</w:t>
      </w:r>
      <w:r>
        <w:t xml:space="preserve"> Cada eje va de 1 a 5. En crowding, 5 = sin crowding; en datos, 5 = datos fáciles.</w:t>
      </w:r>
    </w:p>
    <w:p>
      <w:pPr>
        <w:spacing w:after="120"/>
      </w:pPr>
      <w:r>
        <w:rPr>
          <w:b/>
          <w:bCs/>
        </w:rPr>
        <w:t xml:space="preserve">Las cinco sobrevivientes del adversario</w:t>
      </w:r>
      <w:r>
        <w:t xml:space="preserve"> (no hubo revividas):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2"/>
        <w:gridCol w:w="2908"/>
        <w:gridCol w:w="332"/>
        <w:gridCol w:w="913"/>
        <w:gridCol w:w="415"/>
        <w:gridCol w:w="747"/>
        <w:gridCol w:w="498"/>
        <w:gridCol w:w="415"/>
        <w:gridCol w:w="498"/>
        <w:gridCol w:w="664"/>
        <w:gridCol w:w="1916"/>
      </w:tblGrid>
      <w:tr>
        <w:trPr>
          <w:tblHeader/>
        </w:trPr>
        <w:tc>
          <w:tcPr>
            <w:tcW w:type="dxa" w:w="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2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Card</w:t>
            </w:r>
          </w:p>
        </w:tc>
        <w:tc>
          <w:tcPr>
            <w:tcW w:type="dxa" w:w="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Mec.</w:t>
            </w:r>
          </w:p>
        </w:tc>
        <w:tc>
          <w:tcPr>
            <w:tcW w:type="dxa" w:w="9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Vent. estr.</w:t>
            </w:r>
          </w:p>
        </w:tc>
        <w:tc>
          <w:tcPr>
            <w:tcW w:type="dxa" w:w="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Evid.</w:t>
            </w:r>
          </w:p>
        </w:tc>
        <w:tc>
          <w:tcPr>
            <w:tcW w:type="dxa" w:w="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Edge neto</w:t>
            </w:r>
          </w:p>
        </w:tc>
        <w:tc>
          <w:tcPr>
            <w:tcW w:type="dxa" w:w="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Crowd.</w:t>
            </w:r>
          </w:p>
        </w:tc>
        <w:tc>
          <w:tcPr>
            <w:tcW w:type="dxa" w:w="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Datos</w:t>
            </w:r>
          </w:p>
        </w:tc>
        <w:tc>
          <w:tcPr>
            <w:tcW w:type="dxa" w:w="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Simpl.</w:t>
            </w:r>
          </w:p>
        </w:tc>
        <w:tc>
          <w:tcPr>
            <w:tcW w:type="dxa" w:w="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Puntaje</w:t>
            </w:r>
          </w:p>
        </w:tc>
        <w:tc>
          <w:tcPr>
            <w:tcW w:type="dxa" w:w="19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Decisión</w:t>
            </w:r>
          </w:p>
        </w:tc>
      </w:tr>
      <w:tr>
        <w:trPr>
          <w:tblHeader w:val="off"/>
        </w:trPr>
        <w:tc>
          <w:tcPr>
            <w:tcW w:type="dxa" w:w="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2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f6_ucits_acumulacion_irlanda</w:t>
            </w:r>
          </w:p>
        </w:tc>
        <w:tc>
          <w:tcPr>
            <w:tcW w:type="dxa" w:w="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9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3.95</w:t>
            </w:r>
          </w:p>
        </w:tc>
        <w:tc>
          <w:tcPr>
            <w:tcW w:type="dxa" w:w="19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Catálogo</w:t>
            </w:r>
          </w:p>
        </w:tc>
      </w:tr>
      <w:tr>
        <w:trPr>
          <w:tblHeader w:val="off"/>
        </w:trPr>
        <w:tc>
          <w:tcPr>
            <w:tcW w:type="dxa" w:w="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2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f3_rebote_post_recorte_dividendo</w:t>
            </w:r>
          </w:p>
        </w:tc>
        <w:tc>
          <w:tcPr>
            <w:tcW w:type="dxa" w:w="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9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2.75</w:t>
            </w:r>
          </w:p>
        </w:tc>
        <w:tc>
          <w:tcPr>
            <w:tcW w:type="dxa" w:w="19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Catálogo, en escrutinio</w:t>
            </w:r>
          </w:p>
        </w:tc>
      </w:tr>
      <w:tr>
        <w:trPr>
          <w:tblHeader w:val="off"/>
        </w:trPr>
        <w:tc>
          <w:tcPr>
            <w:tcW w:type="dxa" w:w="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2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f4_eficiencia_operativa_intrasector</w:t>
            </w:r>
          </w:p>
        </w:tc>
        <w:tc>
          <w:tcPr>
            <w:tcW w:type="dxa" w:w="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9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2.55</w:t>
            </w:r>
          </w:p>
        </w:tc>
        <w:tc>
          <w:tcPr>
            <w:tcW w:type="dxa" w:w="19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Catálogo, en escrutinio</w:t>
            </w:r>
          </w:p>
        </w:tc>
      </w:tr>
      <w:tr>
        <w:trPr>
          <w:tblHeader w:val="off"/>
        </w:trPr>
        <w:tc>
          <w:tcPr>
            <w:tcW w:type="dxa" w:w="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2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f3_momentum_residual_sin_reversion</w:t>
            </w:r>
          </w:p>
        </w:tc>
        <w:tc>
          <w:tcPr>
            <w:tcW w:type="dxa" w:w="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9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2.40</w:t>
            </w:r>
          </w:p>
        </w:tc>
        <w:tc>
          <w:tcPr>
            <w:tcW w:type="dxa" w:w="19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Cortada</w:t>
            </w:r>
          </w:p>
        </w:tc>
      </w:tr>
      <w:tr>
        <w:trPr>
          <w:tblHeader w:val="off"/>
        </w:trPr>
        <w:tc>
          <w:tcPr>
            <w:tcW w:type="dxa" w:w="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2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f4_descuento_nav_intrasector</w:t>
            </w:r>
          </w:p>
        </w:tc>
        <w:tc>
          <w:tcPr>
            <w:tcW w:type="dxa" w:w="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9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2.35</w:t>
            </w:r>
          </w:p>
        </w:tc>
        <w:tc>
          <w:tcPr>
            <w:tcW w:type="dxa" w:w="19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Cortada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Cómo leí el eje de edge neto.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3:</w:t>
      </w:r>
      <w:r>
        <w:t xml:space="preserve"> hay una parte determinista cerca del objetivo.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2:</w:t>
      </w:r>
      <w:r>
        <w:t xml:space="preserve"> el centro está entre +10 y +30 y el techo de la propia derivación queda entre 50 y 70.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1:</w:t>
      </w:r>
      <w:r>
        <w:t xml:space="preserve"> el techo apenas toca +50, o descansa en un dato contaminado.</w:t>
      </w:r>
    </w:p>
    <w:p>
      <w:pPr>
        <w:spacing w:after="120"/>
      </w:pPr>
      <w:r>
        <w:rPr>
          <w:b/>
          <w:bCs/>
        </w:rPr>
        <w:t xml:space="preserve">Por qué el corte quedó en tres.</w:t>
      </w:r>
    </w:p>
    <w:p>
      <w:pPr>
        <w:pStyle w:val="ListParagraph"/>
        <w:numPr>
          <w:ilvl w:val="0"/>
          <w:numId w:val="2"/>
        </w:numPr>
      </w:pPr>
      <w:r>
        <w:t xml:space="preserve">La distancia entre la 1 y las demás es grande: 3.95 contra 2.75 o menos.</w:t>
      </w:r>
    </w:p>
    <w:p>
      <w:pPr>
        <w:pStyle w:val="ListParagraph"/>
        <w:numPr>
          <w:ilvl w:val="0"/>
          <w:numId w:val="2"/>
        </w:numPr>
      </w:pPr>
      <w:r>
        <w:t xml:space="preserve">Las 2 y 3 entran porque cada una trae pruebas baratas que la pueden matar sin mirar retornos, o mirando muy pocos:</w:t>
      </w:r>
    </w:p>
    <w:p>
      <w:pPr>
        <w:pStyle w:val="ListParagraph"/>
        <w:numPr>
          <w:ilvl w:val="1"/>
          <w:numId w:val="2"/>
        </w:numPr>
      </w:pPr>
      <w:r>
        <w:t xml:space="preserve">en el rebote, quitar 2020-2021 y ajustar por beta;</w:t>
      </w:r>
    </w:p>
    <w:p>
      <w:pPr>
        <w:pStyle w:val="ListParagraph"/>
        <w:numPr>
          <w:ilvl w:val="1"/>
          <w:numId w:val="2"/>
        </w:numPr>
      </w:pPr>
      <w:r>
        <w:t xml:space="preserve">en la eficiencia, la redundancia con S8 y S10, el tipo de arrendamiento y la ruptura contable de 2019.</w:t>
      </w:r>
    </w:p>
    <w:p>
      <w:pPr>
        <w:pStyle w:val="ListParagraph"/>
        <w:numPr>
          <w:ilvl w:val="0"/>
          <w:numId w:val="2"/>
        </w:numPr>
      </w:pPr>
      <w:r>
        <w:t xml:space="preserve">La 4 y la 5 se cortan por tres razones:</w:t>
      </w:r>
    </w:p>
    <w:p>
      <w:pPr>
        <w:pStyle w:val="ListParagraph"/>
        <w:numPr>
          <w:ilvl w:val="1"/>
          <w:numId w:val="2"/>
        </w:numPr>
      </w:pPr>
      <w:r>
        <w:t xml:space="preserve">su techo apenas toca o rebasa por poco el objetivo;</w:t>
      </w:r>
    </w:p>
    <w:p>
      <w:pPr>
        <w:pStyle w:val="ListParagraph"/>
        <w:numPr>
          <w:ilvl w:val="1"/>
          <w:numId w:val="2"/>
        </w:numPr>
      </w:pPr>
      <w:r>
        <w:t xml:space="preserve">cada una es casi una regla ya rechazada (S1 y S5);</w:t>
      </w:r>
    </w:p>
    <w:p>
      <w:pPr>
        <w:pStyle w:val="ListParagraph"/>
        <w:numPr>
          <w:ilvl w:val="1"/>
          <w:numId w:val="2"/>
        </w:numPr>
      </w:pPr>
      <w:r>
        <w:t xml:space="preserve">en este universo, la huella de su mecanismo ya se vio fallar.</w:t>
      </w:r>
    </w:p>
    <w:p>
      <w:pPr>
        <w:pBdr>
          <w:bottom w:val="single" w:color="BFBFBF" w:sz="6" w:space="1"/>
        </w:pBdr>
      </w:pPr>
    </w:p>
    <w:p>
      <w:pPr>
        <w:pStyle w:val="Heading1"/>
      </w:pPr>
      <w:r>
        <w:t xml:space="preserve">3. Las cards del catálogo</w:t>
      </w:r>
    </w:p>
    <w:p>
      <w:pPr>
        <w:pStyle w:val="Heading2"/>
      </w:pPr>
      <w:r>
        <w:t xml:space="preserve">3.1 f6_ucits_acumulacion_irlanda (rango 1, puntaje 3.95)</w:t>
      </w:r>
    </w:p>
    <w:p>
      <w:pPr>
        <w:spacing w:after="120"/>
      </w:pPr>
      <w:r>
        <w:rPr>
          <w:b/>
          <w:bCs/>
        </w:rPr>
        <w:t xml:space="preserve">Tesis.</w:t>
      </w:r>
      <w:r>
        <w:t xml:space="preserve"> Mandar la aportación nueva a un ETF irlandés que no reparte dividendos, en vez de a SCHH, porque México cobra 44% sobre cada dividendo de SCHH y casi nada mientras no se venda el ETF irlandés.</w:t>
      </w:r>
    </w:p>
    <w:p>
      <w:pPr>
        <w:spacing w:after="120"/>
      </w:pPr>
      <w:r>
        <w:rPr>
          <w:b/>
          <w:bCs/>
        </w:rPr>
        <w:t xml:space="preserve">Mecanismo.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SCHH paga 44% sobre cada dividendo</w:t>
      </w:r>
      <w:r>
        <w:t xml:space="preserve"> (verificado en el texto de la ley y del tratado):</w:t>
      </w:r>
    </w:p>
    <w:p>
      <w:pPr>
        <w:pStyle w:val="ListParagraph"/>
        <w:numPr>
          <w:ilvl w:val="1"/>
          <w:numId w:val="2"/>
        </w:numPr>
      </w:pPr>
      <w:r>
        <w:t xml:space="preserve">10% de retención de EE. UU. por el tratado México-EE. UU. (Art. 10(2)(b) y Protocolo 1 párr. 8(a): 10% para un RIC);</w:t>
      </w:r>
    </w:p>
    <w:p>
      <w:pPr>
        <w:pStyle w:val="ListParagraph"/>
        <w:numPr>
          <w:ilvl w:val="1"/>
          <w:numId w:val="2"/>
        </w:numPr>
      </w:pPr>
      <w:r>
        <w:t xml:space="preserve">acumulación a la tarifa anual con crédito por esa retención (Art. 142 fr. V y Art. 5 LISR);</w:t>
      </w:r>
    </w:p>
    <w:p>
      <w:pPr>
        <w:pStyle w:val="ListParagraph"/>
        <w:numPr>
          <w:ilvl w:val="1"/>
          <w:numId w:val="2"/>
        </w:numPr>
      </w:pPr>
      <w:r>
        <w:t xml:space="preserve">10% adicional definitivo sobre lo distribuido (mismo artículo);</w:t>
      </w:r>
    </w:p>
    <w:p>
      <w:pPr>
        <w:pStyle w:val="ListParagraph"/>
        <w:numPr>
          <w:ilvl w:val="1"/>
          <w:numId w:val="2"/>
        </w:numPr>
      </w:pPr>
      <w:r>
        <w:t xml:space="preserve">total 10 + 25 + 9 = 44% con marginal de 35%.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Dentro del fondo irlandés, EE. UU. retiene 15%</w:t>
      </w:r>
      <w:r>
        <w:t xml:space="preserve"> sobre los dividendos de REIT. La Convención Modificatoria EE. UU.-Irlanda de 1999 da la tasa de cartera si el fondo tiene a lo más 5% de una clase que cotiza (verificado).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México no grava al inversionista mientras no venda.</w:t>
      </w:r>
      <w:r>
        <w:t xml:space="preserve"> El capítulo de regímenes fiscales preferentes solo aplica con control efectivo, de más de 50% (Art. 176 LISR). El texto está verificado, pero su aplicación a un minorista falta confirmarla.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 regla de nunca vender</w:t>
      </w:r>
      <w:r>
        <w:t xml:space="preserve"> convierte ese diferimiento en una ventaja permanente.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Ventaja adicional:</w:t>
      </w:r>
      <w:r>
        <w:t xml:space="preserve"> las acciones de un fondo irlandés no son "U.S. situs" y quedan fuera del impuesto sucesorio de EE. UU. para no residentes, que aplica arriba de 60 mil USD y llega a 40% (verificado, IRS 2026).</w:t>
      </w:r>
    </w:p>
    <w:p>
      <w:pPr>
        <w:spacing w:after="120"/>
      </w:pPr>
      <w:r>
        <w:rPr>
          <w:b/>
          <w:bCs/>
        </w:rPr>
        <w:t xml:space="preserve">Evidencia.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Textos primarios</w:t>
      </w:r>
      <w:r>
        <w:t xml:space="preserve"> (verificado): tratado de 1999, Arts. 5, 129, 142 y 176 LISR, IRS 2026 y prospecto de Schwab de 2026.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Huella de la retención de 15%</w:t>
      </w:r>
      <w:r>
        <w:t xml:space="preserve"> (inferido, de dos fondos independientes):</w:t>
      </w:r>
    </w:p>
    <w:p>
      <w:pPr>
        <w:pStyle w:val="ListParagraph"/>
        <w:numPr>
          <w:ilvl w:val="1"/>
          <w:numId w:val="2"/>
        </w:numPr>
      </w:pPr>
      <w:r>
        <w:t xml:space="preserve">IDUP, la clase de distribución del mismo fondo que IUSI, le ganó a su índice Net of Tax cada año de 2016 a 2025, por 26 a 54 pb, pese a 40 pb de comisión;</w:t>
      </w:r>
    </w:p>
    <w:p>
      <w:pPr>
        <w:pStyle w:val="ListParagraph"/>
        <w:numPr>
          <w:ilvl w:val="1"/>
          <w:numId w:val="2"/>
        </w:numPr>
      </w:pPr>
      <w:r>
        <w:t xml:space="preserve">XRES le ganó ~35 pb al año a su índice neto en 10 años.</w:t>
      </w:r>
    </w:p>
    <w:p>
      <w:pPr>
        <w:pStyle w:val="ListParagraph"/>
        <w:numPr>
          <w:ilvl w:val="1"/>
          <w:numId w:val="2"/>
        </w:numPr>
      </w:pPr>
      <w:r>
        <w:t xml:space="preserve">Estas son las dos únicas observaciones de retornos de esta sesión.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Reparto de SCHH</w:t>
      </w:r>
      <w:r>
        <w:t xml:space="preserve"> (verificado con datos del repo): repartió 76% del ingreso de su índice en 2021-2025.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 que falta:</w:t>
      </w:r>
      <w:r>
        <w:t xml:space="preserve"> el informe anual auditado del fondo y la opinión escrita de un contador.</w:t>
      </w:r>
    </w:p>
    <w:p>
      <w:pPr>
        <w:spacing w:after="120"/>
      </w:pPr>
      <w:r>
        <w:rPr>
          <w:b/>
          <w:bCs/>
        </w:rPr>
        <w:t xml:space="preserve">Magnitud.</w:t>
      </w:r>
    </w:p>
    <w:p>
      <w:pPr>
        <w:pStyle w:val="ListParagraph"/>
        <w:numPr>
          <w:ilvl w:val="0"/>
          <w:numId w:val="2"/>
        </w:numPr>
      </w:pPr>
      <w:r>
        <w:t xml:space="preserve">La calcula una aritmética determinista: 7% de retorno total, de 10 a 20 años y aportación trimestral. Yo la re-corrí con el script del investigador; no usa datos de mercado (estimado).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9"/>
        <w:gridCol w:w="1122"/>
        <w:gridCol w:w="3742"/>
        <w:gridCol w:w="2435"/>
      </w:tblGrid>
      <w:tr>
        <w:trPr>
          <w:tblHeader/>
        </w:trPr>
        <w:tc>
          <w:tcPr>
            <w:tcW w:type="dxa" w:w="23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Vehículo</w:t>
            </w:r>
          </w:p>
        </w:tc>
        <w:tc>
          <w:tcPr>
            <w:tcW w:type="dxa" w:w="1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Sin vender</w:t>
            </w:r>
          </w:p>
        </w:tc>
        <w:tc>
          <w:tcPr>
            <w:tcW w:type="dxa" w:w="3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Liquidando al final</w:t>
            </w:r>
          </w:p>
        </w:tc>
        <w:tc>
          <w:tcPr>
            <w:tcW w:type="dxa" w:w="2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Si el SAT aplicara REFIPRE</w:t>
            </w:r>
          </w:p>
        </w:tc>
      </w:tr>
      <w:tr>
        <w:trPr>
          <w:tblHeader w:val="off"/>
        </w:trPr>
        <w:tc>
          <w:tcPr>
            <w:tcW w:type="dxa" w:w="23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IUSI (físico, BMV)</w:t>
            </w:r>
          </w:p>
        </w:tc>
        <w:tc>
          <w:tcPr>
            <w:tcW w:type="dxa" w:w="1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+21 a +25 pb</w:t>
            </w:r>
          </w:p>
        </w:tc>
        <w:tc>
          <w:tcPr>
            <w:tcW w:type="dxa" w:w="3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+6 a +11 pb (al 10%)</w:t>
            </w:r>
          </w:p>
        </w:tc>
        <w:tc>
          <w:tcPr>
            <w:tcW w:type="dxa" w:w="2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-58 a -60 pb</w:t>
            </w:r>
          </w:p>
        </w:tc>
      </w:tr>
      <w:tr>
        <w:trPr>
          <w:tblHeader w:val="off"/>
        </w:trPr>
        <w:tc>
          <w:tcPr>
            <w:tcW w:type="dxa" w:w="23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XRES (sintético, sin BMV)</w:t>
            </w:r>
          </w:p>
        </w:tc>
        <w:tc>
          <w:tcPr>
            <w:tcW w:type="dxa" w:w="1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+57 a +59 pb</w:t>
            </w:r>
          </w:p>
        </w:tc>
        <w:tc>
          <w:tcPr>
            <w:tcW w:type="dxa" w:w="3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-38 a -53 pb (Art. 120); +39 a +44 si fuera al 10%</w:t>
            </w:r>
          </w:p>
        </w:tc>
        <w:tc>
          <w:tcPr>
            <w:tcW w:type="dxa" w:w="2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</w:tbl>
    <w:p/>
    <w:p>
      <w:pPr>
        <w:pStyle w:val="ListParagraph"/>
        <w:numPr>
          <w:ilvl w:val="0"/>
          <w:numId w:val="2"/>
        </w:numPr>
      </w:pPr>
      <w:r>
        <w:t xml:space="preserve">Al resultado se suman de 0 a +8 pb de valor esperado del impuesto sucesorio y se restan de 2 a 5 pb de fricción. La compra de IUSI por el SIC costaría ~3 pb al año de comisión.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 composición domina la varianza:</w:t>
      </w:r>
    </w:p>
    <w:p>
      <w:pPr>
        <w:pStyle w:val="ListParagraph"/>
        <w:numPr>
          <w:ilvl w:val="1"/>
          <w:numId w:val="2"/>
        </w:numPr>
      </w:pPr>
      <w:r>
        <w:t xml:space="preserve">el índice de IUSI filtra por yield de al menos 2%, lo que costó ~1 punto al año en 2016-2020 y casi nada en 2021-2025;</w:t>
      </w:r>
    </w:p>
    <w:p>
      <w:pPr>
        <w:pStyle w:val="ListParagraph"/>
        <w:numPr>
          <w:ilvl w:val="1"/>
          <w:numId w:val="2"/>
        </w:numPr>
      </w:pPr>
      <w:r>
        <w:t xml:space="preserve">XRES tiene 31 emisoras del sector inmobiliario del S&amp;P 500;</w:t>
      </w:r>
    </w:p>
    <w:p>
      <w:pPr>
        <w:pStyle w:val="ListParagraph"/>
        <w:numPr>
          <w:ilvl w:val="1"/>
          <w:numId w:val="2"/>
        </w:numPr>
      </w:pPr>
      <w:r>
        <w:t xml:space="preserve">SCHH, unos 120 REITs.</w:t>
      </w:r>
    </w:p>
    <w:p>
      <w:pPr>
        <w:pStyle w:val="ListParagraph"/>
        <w:numPr>
          <w:ilvl w:val="1"/>
          <w:numId w:val="2"/>
        </w:numPr>
      </w:pPr>
      <w:r>
        <w:t xml:space="preserve">Con 2 a 3 puntos al año de diferencia de seguimiento, el resultado realizado a 15 años tiene un ruido del orden de ±50 a 75 pb (estimado).</w:t>
      </w:r>
    </w:p>
    <w:p>
      <w:pPr>
        <w:spacing w:after="120"/>
      </w:pPr>
      <w:r>
        <w:rPr>
          <w:b/>
          <w:bCs/>
        </w:rPr>
        <w:t xml:space="preserve">Riesgos.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Ley.</w:t>
      </w:r>
    </w:p>
    <w:p>
      <w:pPr>
        <w:pStyle w:val="ListParagraph"/>
        <w:numPr>
          <w:ilvl w:val="1"/>
          <w:numId w:val="2"/>
        </w:numPr>
      </w:pPr>
      <w:r>
        <w:t xml:space="preserve">El Art. 176 presume el control "salvo prueba en contrario".</w:t>
      </w:r>
    </w:p>
    <w:p>
      <w:pPr>
        <w:pStyle w:val="ListParagraph"/>
        <w:numPr>
          <w:ilvl w:val="1"/>
          <w:numId w:val="2"/>
        </w:numPr>
      </w:pPr>
      <w:r>
        <w:t xml:space="preserve">El Criterio 37/ISR/N no menciona ETFs.</w:t>
      </w:r>
    </w:p>
    <w:p>
      <w:pPr>
        <w:pStyle w:val="ListParagraph"/>
        <w:numPr>
          <w:ilvl w:val="1"/>
          <w:numId w:val="2"/>
        </w:numPr>
      </w:pPr>
      <w:r>
        <w:t xml:space="preserve">Puede haber una reforma.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Vehículo.</w:t>
      </w:r>
    </w:p>
    <w:p>
      <w:pPr>
        <w:pStyle w:val="ListParagraph"/>
        <w:numPr>
          <w:ilvl w:val="1"/>
          <w:numId w:val="2"/>
        </w:numPr>
      </w:pPr>
      <w:r>
        <w:t xml:space="preserve">La clase de acumulación de IUSI nació el 25-jul-2025 con 19 a 23 M USD; si cierra, habría una venta forzada y gravada.</w:t>
      </w:r>
    </w:p>
    <w:p>
      <w:pPr>
        <w:pStyle w:val="ListParagraph"/>
        <w:numPr>
          <w:ilvl w:val="1"/>
          <w:numId w:val="2"/>
        </w:numPr>
      </w:pPr>
      <w:r>
        <w:t xml:space="preserve">XRES es un swap con Morgan Stanley como contraparte de ~99%.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Acceso.</w:t>
      </w:r>
      <w:r>
        <w:t xml:space="preserve"> Se necesita un broker con acceso a Euronext o LSE, o una casa de bolsa con el SIC.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Tamaño.</w:t>
      </w:r>
      <w:r>
        <w:t xml:space="preserve"> Con 800 MXN al mes, el umbral sucesorio de 60 mil USD queda a décadas.</w:t>
      </w:r>
    </w:p>
    <w:p>
      <w:pPr>
        <w:spacing w:after="120"/>
      </w:pPr>
      <w:r>
        <w:rPr>
          <w:b/>
          <w:bCs/>
        </w:rPr>
        <w:t xml:space="preserve">Veredicto del adversario: SOBREVIVE-DEGRADADA.</w:t>
      </w:r>
    </w:p>
    <w:p>
      <w:pPr>
        <w:pStyle w:val="ListParagraph"/>
        <w:numPr>
          <w:ilvl w:val="0"/>
          <w:numId w:val="2"/>
        </w:numPr>
      </w:pPr>
      <w:r>
        <w:t xml:space="preserve">De las tres patas fiscales, una está en texto primario y dos dependen de supuestos.</w:t>
      </w:r>
    </w:p>
    <w:p>
      <w:pPr>
        <w:pStyle w:val="ListParagraph"/>
        <w:numPr>
          <w:ilvl w:val="0"/>
          <w:numId w:val="2"/>
        </w:numPr>
      </w:pPr>
      <w:r>
        <w:t xml:space="preserve">IUSI llega como máximo a ~+33 pb.</w:t>
      </w:r>
    </w:p>
    <w:p>
      <w:pPr>
        <w:pStyle w:val="ListParagraph"/>
        <w:numPr>
          <w:ilvl w:val="0"/>
          <w:numId w:val="2"/>
        </w:numPr>
      </w:pPr>
      <w:r>
        <w:t xml:space="preserve">XRES solo pasa de +50 sin vender.</w:t>
      </w:r>
    </w:p>
    <w:p>
      <w:pPr>
        <w:pStyle w:val="ListParagraph"/>
        <w:numPr>
          <w:ilvl w:val="0"/>
          <w:numId w:val="2"/>
        </w:numPr>
      </w:pPr>
      <w:r>
        <w:t xml:space="preserve">Por qué resiste: es ley y no una anomalía (sin crowding ni decaimiento), tiene solo 4 combinaciones y su primer kill es la opinión del contador.</w:t>
      </w:r>
    </w:p>
    <w:p>
      <w:pPr>
        <w:spacing w:after="120"/>
      </w:pPr>
      <w:r>
        <w:rPr>
          <w:b/>
          <w:bCs/>
        </w:rPr>
        <w:t xml:space="preserve">Mi auditoría.</w:t>
      </w:r>
    </w:p>
    <w:p>
      <w:pPr>
        <w:pStyle w:val="ListParagraph"/>
        <w:numPr>
          <w:ilvl w:val="0"/>
          <w:numId w:val="2"/>
        </w:numPr>
      </w:pPr>
      <w:r>
        <w:t xml:space="preserve">Las objeciones son concretas y verificables.</w:t>
      </w:r>
    </w:p>
    <w:p>
      <w:pPr>
        <w:pStyle w:val="ListParagraph"/>
        <w:numPr>
          <w:ilvl w:val="0"/>
          <w:numId w:val="2"/>
        </w:numPr>
      </w:pPr>
      <w:r>
        <w:t xml:space="preserve">Re-corrí la aritmética y cuadra con lo que cita el adversario.</w:t>
      </w:r>
    </w:p>
    <w:p>
      <w:pPr>
        <w:pStyle w:val="ListParagraph"/>
        <w:numPr>
          <w:ilvl w:val="0"/>
          <w:numId w:val="2"/>
        </w:numPr>
      </w:pPr>
      <w:r>
        <w:t xml:space="preserve">Añado dos matices a favor: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(1)</w:t>
      </w:r>
      <w:r>
        <w:t xml:space="preserve"> La vía SIC (IUSIN MM) resuelve el problema de acceso que él señala.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(2)</w:t>
      </w:r>
      <w:r>
        <w:t xml:space="preserve"> Si SCHH no está en el SIC (hallazgo lateral b), su ganancia al liquidar podría pagar la tarifa del Art. 120 y no 10%. Eso agrandaría la ventaja de IUSI justo en el escenario de liquidación.</w:t>
      </w:r>
    </w:p>
    <w:p>
      <w:pPr>
        <w:pStyle w:val="ListParagraph"/>
        <w:numPr>
          <w:ilvl w:val="0"/>
          <w:numId w:val="2"/>
        </w:numPr>
      </w:pPr>
      <w:r>
        <w:t xml:space="preserve">Añadí a la precondición un inciso (c): que la ganancia de IUSIN MM vendida en el SIC pague 10%.</w:t>
      </w:r>
    </w:p>
    <w:p>
      <w:pPr>
        <w:pStyle w:val="ListParagraph"/>
        <w:numPr>
          <w:ilvl w:val="0"/>
          <w:numId w:val="2"/>
        </w:numPr>
      </w:pPr>
      <w:r>
        <w:t xml:space="preserve">Escrutinio normal.</w:t>
      </w:r>
    </w:p>
    <w:p>
      <w:pPr>
        <w:spacing w:after="120"/>
      </w:pPr>
      <w:r>
        <w:rPr>
          <w:b/>
          <w:bCs/>
        </w:rPr>
        <w:t xml:space="preserve">Qué la validaría.</w:t>
      </w:r>
      <w:r>
        <w:t xml:space="preserve"> Es la única card cuya prueba decisiva no es estadística. En orden, y cada paso puede matarla:</w:t>
      </w:r>
    </w:p>
    <w:p>
      <w:pPr>
        <w:pStyle w:val="ListParagraph"/>
        <w:numPr>
          <w:ilvl w:val="0"/>
          <w:numId w:val="3"/>
        </w:numPr>
      </w:pPr>
      <w:r>
        <w:t xml:space="preserve">Opinión escrita del contador (kill 1).</w:t>
      </w:r>
    </w:p>
    <w:p>
      <w:pPr>
        <w:pStyle w:val="ListParagraph"/>
        <w:numPr>
          <w:ilvl w:val="0"/>
          <w:numId w:val="3"/>
        </w:numPr>
      </w:pPr>
      <w:r>
        <w:t xml:space="preserve">Informes anuales auditados de iShares II plc y de Invesco Markets plc con la retención efectiva (kill 2).</w:t>
      </w:r>
    </w:p>
    <w:p>
      <w:pPr>
        <w:pStyle w:val="ListParagraph"/>
        <w:numPr>
          <w:ilvl w:val="0"/>
          <w:numId w:val="3"/>
        </w:numPr>
      </w:pPr>
      <w:r>
        <w:t xml:space="preserve">B mide en el repo, con pre-registro, las 4 combinaciones contra SCHH por broker, con IDUP reconstruido desde 2011 y XRES desde 2016. Reporta por separado la ventaja fiscal (determinista) y la diferencia de composición (ruido).</w:t>
      </w:r>
    </w:p>
    <w:p>
      <w:pPr>
        <w:pStyle w:val="ListParagraph"/>
        <w:numPr>
          <w:ilvl w:val="0"/>
          <w:numId w:val="3"/>
        </w:numPr>
      </w:pPr>
      <w:r>
        <w:t xml:space="preserve">En vivo, los kills 3 a 5. Lo ya invertido en SCHH no se vende.</w:t>
      </w:r>
    </w:p>
    <w:p>
      <w:pPr>
        <w:pStyle w:val="Heading2"/>
      </w:pPr>
      <w:r>
        <w:t xml:space="preserve">3.2 f3_rebote_post_recorte_dividendo (rango 2, puntaje 2.75; en escrutinio)</w:t>
      </w:r>
    </w:p>
    <w:p>
      <w:pPr>
        <w:spacing w:after="120"/>
      </w:pPr>
      <w:r>
        <w:rPr>
          <w:b/>
          <w:bCs/>
        </w:rPr>
        <w:t xml:space="preserve">Tesis.</w:t>
      </w:r>
      <w:r>
        <w:t xml:space="preserve"> Cuando un REIT recorta su dividendo, mandar parte de la aportación a él, porque la clientela de ingreso lo vende por mandato y no por valor, y el precio rebota en los trimestres siguientes.</w:t>
      </w:r>
    </w:p>
    <w:p>
      <w:pPr>
        <w:spacing w:after="120"/>
      </w:pPr>
      <w:r>
        <w:rPr>
          <w:b/>
          <w:bCs/>
        </w:rPr>
        <w:t xml:space="preserve">Mecanismo.</w:t>
      </w:r>
    </w:p>
    <w:p>
      <w:pPr>
        <w:pStyle w:val="ListParagraph"/>
        <w:numPr>
          <w:ilvl w:val="0"/>
          <w:numId w:val="2"/>
        </w:numPr>
      </w:pPr>
      <w:r>
        <w:t xml:space="preserve">En un REIT, el recorte suele ser una decisión de asignación de capital, porque la regla del 90% es sobre la renta fiscal y no sobre el FFO.</w:t>
      </w:r>
    </w:p>
    <w:p>
      <w:pPr>
        <w:pStyle w:val="ListParagraph"/>
        <w:numPr>
          <w:ilvl w:val="0"/>
          <w:numId w:val="2"/>
        </w:numPr>
      </w:pPr>
      <w:r>
        <w:t xml:space="preserve">Al bajar el pago hacia el mínimo, el REIT retiene efectivo y baja su riesgo de default.</w:t>
      </w:r>
    </w:p>
    <w:p>
      <w:pPr>
        <w:pStyle w:val="ListParagraph"/>
        <w:numPr>
          <w:ilvl w:val="0"/>
          <w:numId w:val="2"/>
        </w:numPr>
      </w:pPr>
      <w:r>
        <w:t xml:space="preserve">Mientras tanto, minoristas de yield, fondos de distribución e índices de dividendos venden sin evaluar el retorno total. La presión revierte.</w:t>
      </w:r>
    </w:p>
    <w:p>
      <w:pPr>
        <w:pStyle w:val="ListParagraph"/>
        <w:numPr>
          <w:ilvl w:val="0"/>
          <w:numId w:val="2"/>
        </w:numPr>
      </w:pPr>
      <w:r>
        <w:t xml:space="preserve">El mecanismo es anterior al dato del repo.</w:t>
      </w:r>
    </w:p>
    <w:p>
      <w:pPr>
        <w:spacing w:after="120"/>
      </w:pPr>
      <w:r>
        <w:rPr>
          <w:b/>
          <w:bCs/>
        </w:rPr>
        <w:t xml:space="preserve">Evidencia.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 favor:</w:t>
      </w:r>
    </w:p>
    <w:p>
      <w:pPr>
        <w:pStyle w:val="ListParagraph"/>
        <w:numPr>
          <w:ilvl w:val="1"/>
          <w:numId w:val="2"/>
        </w:numPr>
      </w:pPr>
      <w:r>
        <w:t xml:space="preserve">Case, Hardin y Wu (2012) encuentran retornos anormales positivos después de recortes de REITs en 2008-2009 (una crisis; resumen en Crossref; inferido).</w:t>
      </w:r>
    </w:p>
    <w:p>
      <w:pPr>
        <w:pStyle w:val="ListParagraph"/>
        <w:numPr>
          <w:ilvl w:val="1"/>
          <w:numId w:val="2"/>
        </w:numPr>
      </w:pPr>
      <w:r>
        <w:t xml:space="preserve">Pettenuzzo, Sabbatucci y Timmermann (2020 y 2021), en acciones generales: positivos tras reducciones, negativos al anuncio de suspensiones y recuperación más rápida después.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 contra:</w:t>
      </w:r>
    </w:p>
    <w:p>
      <w:pPr>
        <w:pStyle w:val="ListParagraph"/>
        <w:numPr>
          <w:ilvl w:val="1"/>
          <w:numId w:val="2"/>
        </w:numPr>
      </w:pPr>
      <w:r>
        <w:t xml:space="preserve">Michaely, Thaler y Womack (1995): drift negativo tras omisiones en acciones generales.</w:t>
      </w:r>
    </w:p>
    <w:p>
      <w:pPr>
        <w:pStyle w:val="ListParagraph"/>
        <w:numPr>
          <w:ilvl w:val="1"/>
          <w:numId w:val="2"/>
        </w:numPr>
      </w:pPr>
      <w:r>
        <w:t xml:space="preserve">Greenwood y Sammon (2022): la presión de vendedores forzados se comprimió.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 el repo (verificado, ya observado):</w:t>
      </w:r>
      <w:r>
        <w:t xml:space="preserve"> D3 de la fase 6 dio -0.8% en desarrollo y +7.7% en validación contra el universo a 12 meses (t = 1.31).</w:t>
      </w:r>
    </w:p>
    <w:p>
      <w:pPr>
        <w:spacing w:after="120"/>
      </w:pPr>
      <w:r>
        <w:rPr>
          <w:b/>
          <w:bCs/>
        </w:rPr>
        <w:t xml:space="preserve">Magnitud.</w:t>
      </w:r>
    </w:p>
    <w:p>
      <w:pPr>
        <w:pStyle w:val="ListParagraph"/>
        <w:numPr>
          <w:ilvl w:val="0"/>
          <w:numId w:val="2"/>
        </w:numPr>
      </w:pPr>
      <w:r>
        <w:t xml:space="preserve">La card propone de -20 a +55 pb (estimado).</w:t>
      </w:r>
    </w:p>
    <w:p>
      <w:pPr>
        <w:pStyle w:val="ListParagraph"/>
        <w:numPr>
          <w:ilvl w:val="0"/>
          <w:numId w:val="2"/>
        </w:numPr>
      </w:pPr>
      <w:r>
        <w:t xml:space="preserve">Sin el dato contaminado, el centro es de 0 a +20.</w:t>
      </w:r>
    </w:p>
    <w:p>
      <w:pPr>
        <w:pStyle w:val="ListParagraph"/>
        <w:numPr>
          <w:ilvl w:val="0"/>
          <w:numId w:val="2"/>
        </w:numPr>
      </w:pPr>
      <w:r>
        <w:t xml:space="preserve">El techo de +55 descansa justo en el +7.7%.</w:t>
      </w:r>
    </w:p>
    <w:p>
      <w:pPr>
        <w:pStyle w:val="ListParagraph"/>
        <w:numPr>
          <w:ilvl w:val="0"/>
          <w:numId w:val="2"/>
        </w:numPr>
      </w:pPr>
      <w:r>
        <w:t xml:space="preserve">El yield de quien recortó suele seguir arriba del de SCHH y paga 44%.</w:t>
      </w:r>
    </w:p>
    <w:p>
      <w:pPr>
        <w:spacing w:after="120"/>
      </w:pPr>
      <w:r>
        <w:rPr>
          <w:b/>
          <w:bCs/>
        </w:rPr>
        <w:t xml:space="preserve">Riesgos.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Data-snooping:</w:t>
      </w:r>
      <w:r>
        <w:t xml:space="preserve"> la card se diseñó después de ver D3.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Episódica:</w:t>
      </w:r>
      <w:r>
        <w:t xml:space="preserve"> los recortes llegan en racimos de crisis.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Beta:</w:t>
      </w:r>
      <w:r>
        <w:t xml:space="preserve"> en esos trimestres los que recortan son hoteles, centros comerciales y oficinas, con beta alta al rebote de 2021.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Quiebras:</w:t>
      </w:r>
      <w:r>
        <w:t xml:space="preserve"> la card compra emisores en dificultades; su kill 3 la cubre.</w:t>
      </w:r>
    </w:p>
    <w:p>
      <w:pPr>
        <w:spacing w:after="120"/>
      </w:pPr>
      <w:r>
        <w:rPr>
          <w:b/>
          <w:bCs/>
        </w:rPr>
        <w:t xml:space="preserve">Veredicto del adversario: SOBREVIVE-DEGRADADA.</w:t>
      </w:r>
    </w:p>
    <w:p>
      <w:pPr>
        <w:pStyle w:val="ListParagraph"/>
        <w:numPr>
          <w:ilvl w:val="0"/>
          <w:numId w:val="2"/>
        </w:numPr>
      </w:pPr>
      <w:r>
        <w:t xml:space="preserve">El techo descansa en el dato que motivó la card, con una t lejos de 3.</w:t>
      </w:r>
    </w:p>
    <w:p>
      <w:pPr>
        <w:pStyle w:val="ListParagraph"/>
        <w:numPr>
          <w:ilvl w:val="0"/>
          <w:numId w:val="2"/>
        </w:numPr>
      </w:pPr>
      <w:r>
        <w:t xml:space="preserve">Hay ~2 episodios en 18 años.</w:t>
      </w:r>
    </w:p>
    <w:p>
      <w:pPr>
        <w:pStyle w:val="ListParagraph"/>
        <w:numPr>
          <w:ilvl w:val="0"/>
          <w:numId w:val="2"/>
        </w:numPr>
      </w:pPr>
      <w:r>
        <w:t xml:space="preserve">Mezcla suspensiones y reducciones.</w:t>
      </w:r>
    </w:p>
    <w:p>
      <w:pPr>
        <w:pStyle w:val="ListParagraph"/>
        <w:numPr>
          <w:ilvl w:val="0"/>
          <w:numId w:val="2"/>
        </w:numPr>
      </w:pPr>
      <w:r>
        <w:t xml:space="preserve">Por qué resiste: hay evidencia independiente de rebote en crisis, el mecanismo es específico de REITs y anterior al dato, y los kills 1 y 2 separan el episodio de la beta.</w:t>
      </w:r>
    </w:p>
    <w:p>
      <w:pPr>
        <w:spacing w:after="120"/>
      </w:pPr>
      <w:r>
        <w:rPr>
          <w:b/>
          <w:bCs/>
        </w:rPr>
        <w:t xml:space="preserve">Mi auditoría.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"Mezcla grupos de signo opuesto"</w:t>
      </w:r>
      <w:r>
        <w:t xml:space="preserve"> usa el retorno al ANUNCIO, mientras la card compra uno o dos trimestres después. El propio adversario cita la recuperación más rápida tras suspensiones, así que la objeción es más débil de lo que parece. Aun así obliga a reportar suspensiones aparte.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"~2 episodios"</w:t>
      </w:r>
      <w:r>
        <w:t xml:space="preserve"> exagera: la validación contó 126 recortes nuevos en 2016-2026 (verificado). Aunque es probable que el +7.7% venga sobre todo de 2020-2021 (inferido), y eso es justo lo que mide el kill 1.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 marco para escrutinio:</w:t>
      </w:r>
      <w:r>
        <w:t xml:space="preserve"> el propio adversario admite que uno más duro la mataría por data-snooping.</w:t>
      </w:r>
    </w:p>
    <w:p>
      <w:pPr>
        <w:spacing w:after="120"/>
      </w:pPr>
      <w:r>
        <w:rPr>
          <w:b/>
          <w:bCs/>
        </w:rPr>
        <w:t xml:space="preserve">Qué la validaría.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 el panel, B solo puede matarla, no confirmarla.</w:t>
      </w:r>
      <w:r>
        <w:t xml:space="preserve"> La configuración más cercana a D3 ya se miró en las dos muestras y el tercio sellado ya se abrió.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Orden:</w:t>
      </w:r>
    </w:p>
    <w:p>
      <w:pPr>
        <w:pStyle w:val="ListParagraph"/>
        <w:numPr>
          <w:ilvl w:val="0"/>
          <w:numId w:val="3"/>
        </w:numPr>
      </w:pPr>
      <w:r>
        <w:t xml:space="preserve">Con pre-registro, kill 1 (quitar las cohortes de 2020 y 2021) y kill 2 (exceso ajustado por beta estimada solo con el pasado). Si cualquiera da cero o menos, muere.</w:t>
      </w:r>
    </w:p>
    <w:p>
      <w:pPr>
        <w:pStyle w:val="ListParagraph"/>
        <w:numPr>
          <w:ilvl w:val="0"/>
          <w:numId w:val="3"/>
        </w:numPr>
      </w:pPr>
      <w:r>
        <w:t xml:space="preserve">Reportar suspensiones y reducciones por separado, sin escoger con eso. Si B decide quitar las suspensiones, son 16 trials nuevos que van al ledger.</w:t>
      </w:r>
    </w:p>
    <w:p>
      <w:pPr>
        <w:pStyle w:val="ListParagraph"/>
        <w:numPr>
          <w:ilvl w:val="0"/>
          <w:numId w:val="3"/>
        </w:numPr>
      </w:pPr>
      <w:r>
        <w:t xml:space="preserve">Si sobrevive, prueba en papel con el calendario de </w:t>
      </w:r>
      <w:r>
        <w:rPr>
          <w:rFonts w:ascii="Consolas" w:cs="Consolas" w:eastAsia="Consolas" w:hAnsi="Consolas"/>
          <w:sz w:val="18"/>
          <w:szCs w:val="18"/>
        </w:rPr>
        <w:t xml:space="preserve">satelite_preregistro.md</w:t>
      </w:r>
      <w:r>
        <w:t xml:space="preserve"> (febrero, mayo, agosto y noviembre). El veredicto necesita al menos una ola de recortes nueva y puede tardar años.</w:t>
      </w:r>
    </w:p>
    <w:p>
      <w:pPr>
        <w:pStyle w:val="Heading2"/>
      </w:pPr>
      <w:r>
        <w:t xml:space="preserve">3.3 f4_eficiencia_operativa_intrasector (rango 3, puntaje 2.55; en escrutinio)</w:t>
      </w:r>
    </w:p>
    <w:p>
      <w:pPr>
        <w:spacing w:after="120"/>
      </w:pPr>
      <w:r>
        <w:rPr>
          <w:b/>
          <w:bCs/>
        </w:rPr>
        <w:t xml:space="preserve">Tesis.</w:t>
      </w:r>
      <w:r>
        <w:t xml:space="preserve"> Dentro de cada tipo de propiedad, mandar la aportación al tercio o la mitad más eficiente (menor gasto operativo y general entre ingreso), porque la eficiencia es persistente y el mercado la paga tarde.</w:t>
      </w:r>
    </w:p>
    <w:p>
      <w:pPr>
        <w:spacing w:after="120"/>
      </w:pPr>
      <w:r>
        <w:rPr>
          <w:b/>
          <w:bCs/>
        </w:rPr>
        <w:t xml:space="preserve">Mecanismo.</w:t>
      </w:r>
    </w:p>
    <w:p>
      <w:pPr>
        <w:pStyle w:val="ListParagraph"/>
        <w:numPr>
          <w:ilvl w:val="0"/>
          <w:numId w:val="2"/>
        </w:numPr>
      </w:pPr>
      <w:r>
        <w:t xml:space="preserve">El REIT que convierte más ingreso en NOI y FFO crece más su FFO por acción. Lo logra por escala, menos gasto general y administración interna en vez de un asesor externo con comisión.</w:t>
      </w:r>
    </w:p>
    <w:p>
      <w:pPr>
        <w:pStyle w:val="ListParagraph"/>
        <w:numPr>
          <w:ilvl w:val="0"/>
          <w:numId w:val="2"/>
        </w:numPr>
      </w:pPr>
      <w:r>
        <w:t xml:space="preserve">Analistas e inversionistas de ingreso anclan en el múltiplo y el yield y corrigen tarde: expectativas pegajosas (Bouchaud, Krüger, Landier y Thesmar 2019, en acciones generales).</w:t>
      </w:r>
    </w:p>
    <w:p>
      <w:pPr>
        <w:pStyle w:val="ListParagraph"/>
        <w:numPr>
          <w:ilvl w:val="0"/>
          <w:numId w:val="2"/>
        </w:numPr>
      </w:pPr>
      <w:r>
        <w:t xml:space="preserve">La comparación es solo dentro del sector para no apostar entre sectores.</w:t>
      </w:r>
    </w:p>
    <w:p>
      <w:pPr>
        <w:spacing w:after="120"/>
      </w:pPr>
      <w:r>
        <w:rPr>
          <w:b/>
          <w:bCs/>
        </w:rPr>
        <w:t xml:space="preserve">Evidencia.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 favor:</w:t>
      </w:r>
    </w:p>
    <w:p>
      <w:pPr>
        <w:pStyle w:val="ListParagraph"/>
        <w:numPr>
          <w:ilvl w:val="1"/>
          <w:numId w:val="2"/>
        </w:numPr>
      </w:pPr>
      <w:r>
        <w:t xml:space="preserve">Beracha, Feng y Hardin (2019, dos artículos que cuentan como una fuente): los eficientes rinden hasta 3.88% más al año en 1995-2017, en todos los sectores.</w:t>
      </w:r>
    </w:p>
    <w:p>
      <w:pPr>
        <w:pStyle w:val="ListParagraph"/>
        <w:numPr>
          <w:ilvl w:val="1"/>
          <w:numId w:val="2"/>
        </w:numPr>
      </w:pPr>
      <w:r>
        <w:t xml:space="preserve">Bond y Xue (2017): la rentabilidad predice en REITs.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 contra:</w:t>
      </w:r>
    </w:p>
    <w:p>
      <w:pPr>
        <w:pStyle w:val="ListParagraph"/>
        <w:numPr>
          <w:ilvl w:val="1"/>
          <w:numId w:val="2"/>
        </w:numPr>
      </w:pPr>
      <w:r>
        <w:t xml:space="preserve">Andronoudis, Guidolin y Pedio (2025) y Tomtosov et al. (2025): no encuentran prima de rentabilidad en REITs.</w:t>
      </w:r>
    </w:p>
    <w:p>
      <w:pPr>
        <w:pStyle w:val="ListParagraph"/>
        <w:numPr>
          <w:ilvl w:val="1"/>
          <w:numId w:val="2"/>
        </w:numPr>
      </w:pPr>
      <w:r>
        <w:t xml:space="preserve">En el repo (verificado, ya observado): FFO / activos (S10) perdió -118 pb y el satélite de calidad, -70.</w:t>
      </w:r>
    </w:p>
    <w:p>
      <w:pPr>
        <w:pStyle w:val="ListParagraph"/>
        <w:numPr>
          <w:ilvl w:val="0"/>
          <w:numId w:val="2"/>
        </w:numPr>
      </w:pPr>
      <w:r>
        <w:t xml:space="preserve">No encontré verificación posterior a 2017 en REITs.</w:t>
      </w:r>
    </w:p>
    <w:p>
      <w:pPr>
        <w:spacing w:after="120"/>
      </w:pPr>
      <w:r>
        <w:rPr>
          <w:b/>
          <w:bCs/>
        </w:rPr>
        <w:t xml:space="preserve">Magnitud.</w:t>
      </w:r>
    </w:p>
    <w:p>
      <w:pPr>
        <w:pStyle w:val="ListParagraph"/>
        <w:numPr>
          <w:ilvl w:val="0"/>
          <w:numId w:val="2"/>
        </w:numPr>
      </w:pPr>
      <w:r>
        <w:t xml:space="preserve">La card propone de -40 a +90 pb, con centro ~+30 (estimado).</w:t>
      </w:r>
    </w:p>
    <w:p>
      <w:pPr>
        <w:pStyle w:val="ListParagraph"/>
        <w:numPr>
          <w:ilvl w:val="0"/>
          <w:numId w:val="2"/>
        </w:numPr>
      </w:pPr>
      <w:r>
        <w:t xml:space="preserve">Su propia derivación da ~67 como máximo y ~42 si la ventaja fiscal cambia de signo (verifiqué la suma: 40 + 7 + 20 = 67; 40 + 7 - 5 = 42).</w:t>
      </w:r>
    </w:p>
    <w:p>
      <w:pPr>
        <w:spacing w:after="120"/>
      </w:pPr>
      <w:r>
        <w:rPr>
          <w:b/>
          <w:bCs/>
        </w:rPr>
        <w:t xml:space="preserve">Riesgos.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Estructura del arrendamiento.</w:t>
      </w:r>
    </w:p>
    <w:p>
      <w:pPr>
        <w:pStyle w:val="ListParagraph"/>
        <w:numPr>
          <w:ilvl w:val="1"/>
          <w:numId w:val="2"/>
        </w:numPr>
      </w:pPr>
      <w:r>
        <w:t xml:space="preserve">Dentro de Retail y Health Care, el cociente mide sobre todo el tipo de arrendamiento: arrendamiento neto (O, NNN, ADC; OHI, SBRA, CTRE) contra operado (centros comerciales; vivienda operada de WELL y VTR).</w:t>
      </w:r>
    </w:p>
    <w:p>
      <w:pPr>
        <w:pStyle w:val="ListParagraph"/>
        <w:numPr>
          <w:ilvl w:val="1"/>
          <w:numId w:val="2"/>
        </w:numPr>
      </w:pPr>
      <w:r>
        <w:t xml:space="preserve">Los de arrendamiento neto suelen pagar más dividendo, y eso al 44% puede convertir la ventaja fiscal en lastre.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Contabilidad.</w:t>
      </w:r>
      <w:r>
        <w:t xml:space="preserve"> La norma contable ASU 2018-20 cambia desde 2019 qué entra al ingreso y al gasto.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Datos.</w:t>
      </w:r>
      <w:r>
        <w:t xml:space="preserve"> Las etiquetas XBRL de gasto de propiedad no están estandarizadas y el panel no tiene tipo de propiedad point-in-time.</w:t>
      </w:r>
    </w:p>
    <w:p>
      <w:pPr>
        <w:spacing w:after="120"/>
      </w:pPr>
      <w:r>
        <w:rPr>
          <w:b/>
          <w:bCs/>
        </w:rPr>
        <w:t xml:space="preserve">Veredicto del adversario: SOBREVIVE-DEGRADADA.</w:t>
      </w:r>
    </w:p>
    <w:p>
      <w:pPr>
        <w:pStyle w:val="ListParagraph"/>
        <w:numPr>
          <w:ilvl w:val="0"/>
          <w:numId w:val="2"/>
        </w:numPr>
      </w:pPr>
      <w:r>
        <w:t xml:space="preserve">El tipo de arrendamiento confunde la medida.</w:t>
      </w:r>
    </w:p>
    <w:p>
      <w:pPr>
        <w:pStyle w:val="ListParagraph"/>
        <w:numPr>
          <w:ilvl w:val="0"/>
          <w:numId w:val="2"/>
        </w:numPr>
      </w:pPr>
      <w:r>
        <w:t xml:space="preserve">La ventaja fiscal puede invertirse.</w:t>
      </w:r>
    </w:p>
    <w:p>
      <w:pPr>
        <w:pStyle w:val="ListParagraph"/>
        <w:numPr>
          <w:ilvl w:val="0"/>
          <w:numId w:val="2"/>
        </w:numPr>
      </w:pPr>
      <w:r>
        <w:t xml:space="preserve">La norma de 2019 rompe la medida.</w:t>
      </w:r>
    </w:p>
    <w:p>
      <w:pPr>
        <w:pStyle w:val="ListParagraph"/>
        <w:numPr>
          <w:ilvl w:val="0"/>
          <w:numId w:val="2"/>
        </w:numPr>
      </w:pPr>
      <w:r>
        <w:t xml:space="preserve">La evidencia es de un solo grupo de autores.</w:t>
      </w:r>
    </w:p>
    <w:p>
      <w:pPr>
        <w:pStyle w:val="ListParagraph"/>
        <w:numPr>
          <w:ilvl w:val="0"/>
          <w:numId w:val="2"/>
        </w:numPr>
      </w:pPr>
      <w:r>
        <w:t xml:space="preserve">Por qué resiste: el canal de G&amp;A tiene perdedor nombrado, la comparación intra-sector la separa de S8 y S10 (su kill 4 lo mide), y tiene el centro más alto de las de selección.</w:t>
      </w:r>
    </w:p>
    <w:p>
      <w:pPr>
        <w:spacing w:after="120"/>
      </w:pPr>
      <w:r>
        <w:rPr>
          <w:b/>
          <w:bCs/>
        </w:rPr>
        <w:t xml:space="preserve">Mi auditoría.</w:t>
      </w:r>
    </w:p>
    <w:p>
      <w:pPr>
        <w:pStyle w:val="ListParagraph"/>
        <w:numPr>
          <w:ilvl w:val="0"/>
          <w:numId w:val="2"/>
        </w:numPr>
      </w:pPr>
      <w:r>
        <w:t xml:space="preserve">Las objeciones son concretas y nuevas.</w:t>
      </w:r>
    </w:p>
    <w:p>
      <w:pPr>
        <w:pStyle w:val="ListParagraph"/>
        <w:numPr>
          <w:ilvl w:val="0"/>
          <w:numId w:val="2"/>
        </w:numPr>
      </w:pPr>
      <w:r>
        <w:t xml:space="preserve">La card no traía un kill de yield ni uno de tipo de arrendamiento, así que añadí tres kills. No son trials: no escogen entre variantes, solo pueden archivar la card.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Yield:</w:t>
      </w:r>
      <w:r>
        <w:t xml:space="preserve"> la cartera supera en más de 1 pp el yield de SCHH durante 4 trimestres.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Tipo de arrendamiento</w:t>
      </w:r>
      <w:r>
        <w:t xml:space="preserve">, medido sin retornos: más de dos tercios del peso en Retail y Health Care es de arrendamiento neto.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Ruptura de 2019:</w:t>
      </w:r>
      <w:r>
        <w:t xml:space="preserve"> la correlación de rangos del mismo emisor entre 2018T4 y 2019T4 es menor que 0.5; entonces el veredicto se da solo con 2019 en adelante.</w:t>
      </w:r>
    </w:p>
    <w:p>
      <w:pPr>
        <w:pStyle w:val="ListParagraph"/>
        <w:numPr>
          <w:ilvl w:val="0"/>
          <w:numId w:val="2"/>
        </w:numPr>
      </w:pPr>
      <w:r>
        <w:t xml:space="preserve">La marco para escrutinio por la validez de la medida.</w:t>
      </w:r>
    </w:p>
    <w:p>
      <w:pPr>
        <w:spacing w:after="120"/>
      </w:pPr>
      <w:r>
        <w:rPr>
          <w:b/>
          <w:bCs/>
        </w:rPr>
        <w:t xml:space="preserve">Qué la validaría.</w:t>
      </w:r>
    </w:p>
    <w:p>
      <w:pPr>
        <w:pStyle w:val="ListParagraph"/>
        <w:numPr>
          <w:ilvl w:val="0"/>
          <w:numId w:val="3"/>
        </w:numPr>
      </w:pPr>
      <w:r>
        <w:t xml:space="preserve">Primero lo que se mide sin retornos: cobertura XBRL, redundancia con S8 y S10, peso de arrendamiento neto y ruptura de 2019.</w:t>
      </w:r>
    </w:p>
    <w:p>
      <w:pPr>
        <w:pStyle w:val="ListParagraph"/>
        <w:numPr>
          <w:ilvl w:val="0"/>
          <w:numId w:val="3"/>
        </w:numPr>
      </w:pPr>
      <w:r>
        <w:t xml:space="preserve">Luego el canal fundamental (kill 1: correlación con el crecimiento siguiente del FFO por acción, que usa FFO futuro y no precios).</w:t>
      </w:r>
    </w:p>
    <w:p>
      <w:pPr>
        <w:pStyle w:val="ListParagraph"/>
        <w:numPr>
          <w:ilvl w:val="0"/>
          <w:numId w:val="3"/>
        </w:numPr>
      </w:pPr>
      <w:r>
        <w:t xml:space="preserve">Solo entonces la TIR en el panel, con pre-registro, sabiendo que con un mínimo detectable de 59 a 110 pb solo puede matarla.</w:t>
      </w:r>
    </w:p>
    <w:p>
      <w:pPr>
        <w:pStyle w:val="ListParagraph"/>
        <w:numPr>
          <w:ilvl w:val="0"/>
          <w:numId w:val="3"/>
        </w:numPr>
      </w:pPr>
      <w:r>
        <w:t xml:space="preserve">La confirmación sería hacia adelante en papel.</w:t>
      </w:r>
    </w:p>
    <w:p>
      <w:pPr>
        <w:pBdr>
          <w:bottom w:val="single" w:color="BFBFBF" w:sz="6" w:space="1"/>
        </w:pBdr>
      </w:pPr>
    </w:p>
    <w:p>
      <w:pPr>
        <w:pStyle w:val="Heading1"/>
      </w:pPr>
      <w:r>
        <w:t xml:space="preserve">4. Sobrevivientes que corté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f3_momentum_residual_sin_reversion</w:t>
      </w:r>
      <w:r>
        <w:t xml:space="preserve"> (puntaje 2.40). Es momentum del residuo contra el índice REIT, diseñado para que no revierta.</w:t>
      </w:r>
    </w:p>
    <w:p>
      <w:pPr>
        <w:pStyle w:val="ListParagraph"/>
        <w:numPr>
          <w:ilvl w:val="1"/>
          <w:numId w:val="2"/>
        </w:numPr>
      </w:pPr>
      <w:r>
        <w:t xml:space="preserve">Su techo (+50) es igual al objetivo y su centro (+20) queda debajo del mínimo detectable.</w:t>
      </w:r>
    </w:p>
    <w:p>
      <w:pPr>
        <w:pStyle w:val="ListParagraph"/>
        <w:numPr>
          <w:ilvl w:val="1"/>
          <w:numId w:val="2"/>
        </w:numPr>
      </w:pPr>
      <w:r>
        <w:t xml:space="preserve">Es una variante de S1 hecha después de ver fallar a S1, y el drift de S1 en este universo se apagó: el exceso bruto fue 7.2%, 1.7%, 2.1% y -0.2% por subperiodo (verificado, fase 6).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Matiz a su favor:</w:t>
      </w:r>
      <w:r>
        <w:t xml:space="preserve"> el adversario infiere una correlación de rangos con S1 mayor que 0.8, pero esa inferencia ignora que el residuo quita el intercepto. La correlación podría ser menor, y se mide sin mirar retornos.</w:t>
      </w:r>
    </w:p>
    <w:p>
      <w:pPr>
        <w:pStyle w:val="ListParagraph"/>
        <w:numPr>
          <w:ilvl w:val="1"/>
          <w:numId w:val="2"/>
        </w:numPr>
      </w:pPr>
      <w:r>
        <w:t xml:space="preserve">Si se quisiera una cuarta card, sería esta, empezando por esa medición.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f4_descuento_nav_intrasector</w:t>
      </w:r>
      <w:r>
        <w:t xml:space="preserve"> (puntaje 2.35). Es el descuento contra un NAV aproximado con XBRL, dentro del sector.</w:t>
      </w:r>
    </w:p>
    <w:p>
      <w:pPr>
        <w:pStyle w:val="ListParagraph"/>
        <w:numPr>
          <w:ilvl w:val="1"/>
          <w:numId w:val="2"/>
        </w:numPr>
      </w:pPr>
      <w:r>
        <w:t xml:space="preserve">Con el respaldo FFO + intereses + G&amp;A es casi S5 (-172 pb) menos la mediana del sector.</w:t>
      </w:r>
    </w:p>
    <w:p>
      <w:pPr>
        <w:pStyle w:val="ListParagraph"/>
        <w:numPr>
          <w:ilvl w:val="1"/>
          <w:numId w:val="2"/>
        </w:numPr>
      </w:pPr>
      <w:r>
        <w:t xml:space="preserve">En este universo lo barato fue trampa: "barato entre los de calidad" dio -211 pb, t = -4.48 (verificado).</w:t>
      </w:r>
    </w:p>
    <w:p>
      <w:pPr>
        <w:pStyle w:val="ListParagraph"/>
        <w:numPr>
          <w:ilvl w:val="1"/>
          <w:numId w:val="2"/>
        </w:numPr>
      </w:pPr>
      <w:r>
        <w:t xml:space="preserve">Su techo real es ~57 (verifiqué: 60 + 7 - 10).</w:t>
      </w:r>
    </w:p>
    <w:p>
      <w:pPr>
        <w:pStyle w:val="ListParagraph"/>
        <w:numPr>
          <w:ilvl w:val="1"/>
          <w:numId w:val="2"/>
        </w:numPr>
      </w:pPr>
      <w:r>
        <w:t xml:space="preserve">Los profesionales con NAV de analista llegan antes.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Lo único a su favor:</w:t>
      </w:r>
      <w:r>
        <w:t xml:space="preserve"> la habilidad de +72 pb escogiendo entre O, NNN y WPC, que tiene sesgo de supervivencia.</w:t>
      </w:r>
    </w:p>
    <w:p>
      <w:pPr>
        <w:pBdr>
          <w:bottom w:val="single" w:color="BFBFBF" w:sz="6" w:space="1"/>
        </w:pBdr>
      </w:pPr>
    </w:p>
    <w:p>
      <w:pPr>
        <w:pStyle w:val="Heading1"/>
      </w:pPr>
      <w:r>
        <w:t xml:space="preserve">5. Auditoría del adversario y las 9 descartadas</w:t>
      </w:r>
    </w:p>
    <w:p>
      <w:pPr>
        <w:spacing w:after="120"/>
      </w:pPr>
      <w:r>
        <w:rPr>
          <w:b/>
          <w:bCs/>
        </w:rPr>
        <w:t xml:space="preserve">Estándar que apliqué.</w:t>
      </w:r>
    </w:p>
    <w:p>
      <w:pPr>
        <w:pStyle w:val="ListParagraph"/>
        <w:numPr>
          <w:ilvl w:val="0"/>
          <w:numId w:val="2"/>
        </w:numPr>
      </w:pPr>
      <w:r>
        <w:t xml:space="preserve">Una objeción vale si es concreta y falsable: un paper, un dato del repo o una aritmética que se puede rehacer.</w:t>
      </w:r>
    </w:p>
    <w:p>
      <w:pPr>
        <w:pStyle w:val="ListParagraph"/>
        <w:numPr>
          <w:ilvl w:val="0"/>
          <w:numId w:val="2"/>
        </w:numPr>
      </w:pPr>
      <w:r>
        <w:t xml:space="preserve">Si un MATAR descansaba en algo vago, la card se revivía.</w:t>
      </w:r>
    </w:p>
    <w:p>
      <w:pPr>
        <w:spacing w:after="120"/>
      </w:pPr>
      <w:r>
        <w:rPr>
          <w:b/>
          <w:bCs/>
        </w:rPr>
        <w:t xml:space="preserve">Resultado.</w:t>
      </w:r>
    </w:p>
    <w:p>
      <w:pPr>
        <w:pStyle w:val="ListParagraph"/>
        <w:numPr>
          <w:ilvl w:val="0"/>
          <w:numId w:val="2"/>
        </w:numPr>
      </w:pPr>
      <w:r>
        <w:t xml:space="preserve">No reviví ninguna: las nueve muertes descansan en argumentos concretos.</w:t>
      </w:r>
    </w:p>
    <w:p>
      <w:pPr>
        <w:pStyle w:val="ListParagraph"/>
        <w:numPr>
          <w:ilvl w:val="0"/>
          <w:numId w:val="2"/>
        </w:numPr>
      </w:pPr>
      <w:r>
        <w:t xml:space="preserve">Marqué dos sobrevivientes para escrutinio: f3_rebote y f4_eficiencia.</w:t>
      </w:r>
    </w:p>
    <w:p>
      <w:pPr>
        <w:spacing w:after="120"/>
      </w:pPr>
      <w:r>
        <w:rPr>
          <w:b/>
          <w:bCs/>
        </w:rPr>
        <w:t xml:space="preserve">Las dos verificaciones aritméticas que se pidieron.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f6_compra_tras_fecha_ex: la corrección del adversario es correcta.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Qué se compara.</w:t>
      </w:r>
      <w:r>
        <w:t xml:space="preserve"> Comprar SCHH antes de la fecha ex contra esperar en efectivo y comprar después.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Qué se ahorra al esperar.</w:t>
      </w:r>
      <w:r>
        <w:t xml:space="preserve"> El impuesto sobre el dividendo COMPLETO: 0.44 × D.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Qué cuesta esperar.</w:t>
      </w:r>
      <w:r>
        <w:t xml:space="preserve"> El retorno esperado de SCHH contra el efectivo mientras se espera.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El error de la card.</w:t>
      </w:r>
      <w:r>
        <w:t xml:space="preserve"> Su script calcula esa prima como (7% − 4% × 0.65) / 52 = 0.085% por semana, que es una prima ANTES del impuesto al dividendo (verificado: re-corrí </w:t>
      </w:r>
      <w:r>
        <w:rPr>
          <w:rFonts w:ascii="Consolas" w:cs="Consolas" w:eastAsia="Consolas" w:hAnsi="Consolas"/>
          <w:sz w:val="18"/>
          <w:szCs w:val="18"/>
        </w:rPr>
        <w:t xml:space="preserve">f6_scripts/aritmetica.py</w:t>
      </w:r>
      <w:r>
        <w:t xml:space="preserve">). Con esa prima, el ahorro correcto es 0.44 × D. La fórmula 0.44 × f × D de la card solo sería válida con una prima ya neta del impuesto. Además, su magnitud de +1 a +6 pb no restaba el costo de esperar.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Montos de SCHH en 2025-2026</w:t>
      </w:r>
      <w:r>
        <w:t xml:space="preserve"> (verificado, </w:t>
      </w:r>
      <w:r>
        <w:rPr>
          <w:rFonts w:ascii="Consolas" w:cs="Consolas" w:eastAsia="Consolas" w:hAnsi="Consolas"/>
          <w:sz w:val="18"/>
          <w:szCs w:val="18"/>
        </w:rPr>
        <w:t xml:space="preserve">dividendos.csv.gz</w:t>
      </w:r>
      <w:r>
        <w:t xml:space="preserve">, precio ~21.3 USD): marzo ~0.50% del precio, junio y septiembre ~0.77%, diciembre ~1.09%.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Punto de equilibrio:</w:t>
      </w:r>
      <w:r>
        <w:t xml:space="preserve"> 2.6 semanas en marzo, ~4.0 en junio y septiembre, y 5.6 en diciembre. El adversario daba 2.6, 3.7 y 5.7 con el yield promedio de la card.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Resultado.</w:t>
      </w:r>
      <w:r>
        <w:t xml:space="preserve"> Esperar 35 días pierde en marzo, junio y septiembre. Con el calendario real (primer día hábil del mes), el neto queda en +0.3 a +0.7 pb al año, casi todo de diciembre.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Precisión menor al adversario:</w:t>
      </w:r>
      <w:r>
        <w:t xml:space="preserve"> liquidar al 10% reduce el ahorro a ~0.34 × D, como él dice, aunque eso ignora el valor del diferimiento.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Muerte confirmada.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Regla de higiene que sale de aquí</w:t>
      </w:r>
      <w:r>
        <w:t xml:space="preserve"> (aritmética, inferido; está dentro del grid de la card muerta, así que no es un trial nuevo). Si la aportación de diciembre llega en la semana previa a la fecha ex (segundo miércoles de diciembre), conviene comprar al día siguiente de la fecha ex. Ahorra ~0.4% de esa aportación: unos 3 pesos de 800, irrelevante.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f5_compras_insiders_oportunistas: el recálculo de +32 pb es correcto.</w:t>
      </w:r>
    </w:p>
    <w:p>
      <w:pPr>
        <w:pStyle w:val="ListParagraph"/>
        <w:numPr>
          <w:ilvl w:val="1"/>
          <w:numId w:val="2"/>
        </w:numPr>
      </w:pPr>
      <w:r>
        <w:t xml:space="preserve">Con los supuestos que la card documenta (0.5% a 2.5% de exceso por tramo, 11.8 pb de TIR por cada 1%, fracción al evento 0.5 a 0.9 y +5 pb por no pagar el TER de SCHH), el máximo es 2.5 × 11.8 × 0.9 + 5 = +31.6 pb.</w:t>
      </w:r>
    </w:p>
    <w:p>
      <w:pPr>
        <w:pStyle w:val="ListParagraph"/>
        <w:numPr>
          <w:ilvl w:val="1"/>
          <w:numId w:val="2"/>
        </w:numPr>
      </w:pPr>
      <w:r>
        <w:t xml:space="preserve">El +60 exige 5% por tramo, sin evidencia en REITs posterior a 2010.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El punto débil, que el adversario admite:</w:t>
      </w:r>
      <w:r>
        <w:t xml:space="preserve"> esa conversión de exceso a TIR puede errar por un factor de 2 a 3. En la fase 6 sobreestimó en desarrollo y subestimó en validación.</w:t>
      </w:r>
    </w:p>
    <w:p>
      <w:pPr>
        <w:pStyle w:val="ListParagraph"/>
        <w:numPr>
          <w:ilvl w:val="1"/>
          <w:numId w:val="2"/>
        </w:numPr>
      </w:pPr>
      <w:r>
        <w:t xml:space="preserve">Aun así la muerte se sostiene:</w:t>
      </w:r>
    </w:p>
    <w:p>
      <w:pPr>
        <w:pStyle w:val="ListParagraph"/>
        <w:numPr>
          <w:ilvl w:val="2"/>
          <w:numId w:val="2"/>
        </w:numPr>
      </w:pPr>
      <w:r>
        <w:t xml:space="preserve">aplicar ese margen solo a esta card sería un doble estándar;</w:t>
      </w:r>
    </w:p>
    <w:p>
      <w:pPr>
        <w:pStyle w:val="ListParagraph"/>
        <w:numPr>
          <w:ilvl w:val="2"/>
          <w:numId w:val="2"/>
        </w:numPr>
      </w:pPr>
      <w:r>
        <w:t xml:space="preserve">su centro (~+10) seguiría lejos del mínimo detectable;</w:t>
      </w:r>
    </w:p>
    <w:p>
      <w:pPr>
        <w:pStyle w:val="ListParagraph"/>
        <w:numPr>
          <w:ilvl w:val="2"/>
          <w:numId w:val="2"/>
        </w:numPr>
      </w:pPr>
      <w:r>
        <w:t xml:space="preserve">el decaimiento después de SOX (Brochet 2010; Knewtson y Nofsinger 2012) es concreto.</w:t>
      </w:r>
    </w:p>
    <w:p>
      <w:pPr>
        <w:spacing w:after="120"/>
      </w:pPr>
      <w:r>
        <w:rPr>
          <w:b/>
          <w:bCs/>
        </w:rPr>
        <w:t xml:space="preserve">Debilidades del adversario que encontré</w:t>
      </w:r>
      <w:r>
        <w:t xml:space="preserve"> (ninguna revive una card):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El criterio de "imposible de probar" no se aplicó parejo.</w:t>
      </w:r>
      <w:r>
        <w:t xml:space="preserve"> Mató a f4_cap_rate porque solo se distinguirían efectos de más de ~100 pb, pero los techos de las sobrevivientes de selección (50 a 67) también quedan debajo del mínimo detectable.</w:t>
      </w:r>
    </w:p>
    <w:p>
      <w:pPr>
        <w:pStyle w:val="ListParagraph"/>
        <w:numPr>
          <w:ilvl w:val="1"/>
          <w:numId w:val="2"/>
        </w:numPr>
      </w:pPr>
      <w:r>
        <w:t xml:space="preserve">Esto no revive a f4_cap_rate, que tiene razones propias para morir: solapa con S12 y con el timing del sector, ya rechazados, y no tiene ninguna prueba publicada.</w:t>
      </w:r>
    </w:p>
    <w:p>
      <w:pPr>
        <w:pStyle w:val="ListParagraph"/>
        <w:numPr>
          <w:ilvl w:val="1"/>
          <w:numId w:val="2"/>
        </w:numPr>
      </w:pPr>
      <w:r>
        <w:t xml:space="preserve">Pero sí implica que ninguna card de selección puede confirmarse en el panel.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 f2_loteria,</w:t>
      </w:r>
      <w:r>
        <w:t xml:space="preserve"> la aritmética de la propia card con sus extremos da ~38 pb, no 30. Sigue debajo de 50.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 f3_rebote y f3_momentum_residual,</w:t>
      </w:r>
      <w:r>
        <w:t xml:space="preserve"> ver los matices de las secciones 3.2 y 4.</w:t>
      </w:r>
    </w:p>
    <w:p>
      <w:pPr>
        <w:spacing w:after="120"/>
      </w:pPr>
      <w:r>
        <w:rPr>
          <w:b/>
          <w:bCs/>
        </w:rPr>
        <w:t xml:space="preserve">Las nueve descartadas.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2409"/>
        <w:gridCol w:w="4017"/>
      </w:tblGrid>
      <w:tr>
        <w:trPr>
          <w:tblHeader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Card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Rango propio (pb al año)</w:t>
            </w:r>
          </w:p>
        </w:tc>
        <w:tc>
          <w:tcPr>
            <w:tcW w:type="dxa" w:w="4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Por qué murió (argumento dominante)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f1_fin_de_mes_liquidacion_schh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-1 a +5</w:t>
            </w:r>
          </w:p>
        </w:tc>
        <w:tc>
          <w:tcPr>
            <w:tcW w:type="dxa" w:w="4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Techo de 1/10 del objetivo. Un oráculo que conoce el mes siguiente y solo mueve la aportación ganó +29 pb (fase 3). Poder insuficiente aun si el efecto es real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f1_pago_dividendos_reits_schh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-1 a +3</w:t>
            </w:r>
          </w:p>
        </w:tc>
        <w:tc>
          <w:tcPr>
            <w:tcW w:type="dxa" w:w="4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Techo de 1/16. Incremento ~0 sobre la de fin de mes. Sin evidencia en REITs. Datos de fecha de pago costosos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f2_beta_alta_excluir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-40 a +40</w:t>
            </w:r>
          </w:p>
        </w:tc>
        <w:tc>
          <w:tcPr>
            <w:tcW w:type="dxa" w:w="4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Techo menor que 50. Apalancamiento bajo perdió -136 pb (t = -3.47) en este universo. MacKinnon y Spinney (2017): ningún diseño de bajo riesgo le ganó al ponderado por capitalización en REITs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f2_loteria_excluir_ivol_max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-15 a +30</w:t>
            </w:r>
          </w:p>
        </w:tc>
        <w:tc>
          <w:tcPr>
            <w:tcW w:type="dxa" w:w="4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Techo menor que 50: el grupo excluido pesa 2-8%. Bali y Cakici (2008): IVOL no es robusto a ponderar por valor ni a filtros de tamaño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f3_cercania_maximo_52s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-15 a +40</w:t>
            </w:r>
          </w:p>
        </w:tc>
        <w:tc>
          <w:tcPr>
            <w:tcW w:type="dxa" w:w="4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Techo menor que 50. Por construcción explica el momentum (George y Hwang 2004), es decir, es pariente de S1, ya rechazada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f4_cap_rate_tipo_propiedad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-80 a +100</w:t>
            </w:r>
          </w:p>
        </w:tc>
        <w:tc>
          <w:tcPr>
            <w:tcW w:type="dxa" w:w="4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Concentrada en 2-4 sectores: solo distinguiría efectos de más de ~100 pb. "Barato contra su historia" ya falló (S12; 22 reglas de timing)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f5_compras_insiders_oportunistas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-40 a +60</w:t>
            </w:r>
          </w:p>
        </w:tc>
        <w:tc>
          <w:tcPr>
            <w:tcW w:type="dxa" w:w="4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Techo real ~+32 con sus propios supuestos. Decaimiento después de SOX. ETFs de insiders liquidados (NFO, INSD)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f5_recompra_neta_descuento_nav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-60 a +75</w:t>
            </w:r>
          </w:p>
        </w:tc>
        <w:tc>
          <w:tcPr>
            <w:tcW w:type="dxa" w:w="4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Fu y Huang (2016): el retorno posterior a recompras desaparece en 2003-2012. Huang, Liano y Pan (2019): en REITs se incorpora al anuncio. Duplica a f4_nav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f6_compra_tras_fecha_ex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0 a +6</w:t>
            </w:r>
          </w:p>
        </w:tc>
        <w:tc>
          <w:tcPr>
            <w:tcW w:type="dxa" w:w="4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Techo de 1/8. La aritmética corregida da +0.3 a +0.7 pb con el calendario real</w:t>
            </w:r>
          </w:p>
        </w:tc>
      </w:tr>
    </w:tbl>
    <w:p/>
    <w:p>
      <w:pPr>
        <w:pBdr>
          <w:bottom w:val="single" w:color="BFBFBF" w:sz="6" w:space="1"/>
        </w:pBdr>
      </w:pPr>
    </w:p>
    <w:p>
      <w:pPr>
        <w:pStyle w:val="Heading1"/>
      </w:pPr>
      <w:r>
        <w:t xml:space="preserve">6. Por qué el panel ya no puede confirmar nada de selección</w:t>
      </w:r>
    </w:p>
    <w:p>
      <w:pPr>
        <w:spacing w:after="120"/>
      </w:pPr>
      <w:r>
        <w:t xml:space="preserve">Esto es lo más importante para entender el catálogo.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El panel ya se usó.</w:t>
      </w:r>
    </w:p>
    <w:p>
      <w:pPr>
        <w:pStyle w:val="ListParagraph"/>
        <w:numPr>
          <w:ilvl w:val="1"/>
          <w:numId w:val="2"/>
        </w:numPr>
      </w:pPr>
      <w:r>
        <w:t xml:space="preserve">El tercio de emisores sellados se abrió en la fase 6 y otra vez en la sensibilidad del broker.</w:t>
      </w:r>
    </w:p>
    <w:p>
      <w:pPr>
        <w:pStyle w:val="ListParagraph"/>
        <w:numPr>
          <w:ilvl w:val="1"/>
          <w:numId w:val="2"/>
        </w:numPr>
      </w:pPr>
      <w:r>
        <w:t xml:space="preserve">Las muestras de desarrollo (2011-2015) y validación (2016-2026) ya sirvieron para escoger entre 16 reglas.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El poder no alcanza.</w:t>
      </w:r>
      <w:r>
        <w:t xml:space="preserve"> El mínimo detectable es de 59 a 110 pb y las cards tienen centros de 0 a 30.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El listón de multiple testing es alto.</w:t>
      </w:r>
      <w:r>
        <w:t xml:space="preserve"> Con 41 intentos observados, el máximo que se esperaría por puro azar ronda 2.2 errores estándar; con 324 intentos (estrés), 2.9 (estimado, fórmula de Bailey y López de Prado).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 única prueba limpia es hacia adelante, en papel</w:t>
      </w:r>
      <w:r>
        <w:t xml:space="preserve">, con reglas congeladas y un commit de pre-registro antes de la primera aportación anotada, como ya hace </w:t>
      </w:r>
      <w:r>
        <w:rPr>
          <w:rFonts w:ascii="Consolas" w:cs="Consolas" w:eastAsia="Consolas" w:hAnsi="Consolas"/>
          <w:sz w:val="18"/>
          <w:szCs w:val="18"/>
        </w:rPr>
        <w:t xml:space="preserve">satelite_en_papel.md</w:t>
      </w:r>
      <w:r>
        <w:t xml:space="preserve">.</w:t>
      </w:r>
    </w:p>
    <w:p>
      <w:pPr>
        <w:pBdr>
          <w:bottom w:val="single" w:color="BFBFBF" w:sz="6" w:space="1"/>
        </w:pBdr>
      </w:pPr>
    </w:p>
    <w:p>
      <w:pPr>
        <w:pStyle w:val="Heading1"/>
      </w:pPr>
      <w:r>
        <w:t xml:space="preserve">7. Contabilidad de trials (auditable)</w:t>
      </w:r>
    </w:p>
    <w:p>
      <w:pPr>
        <w:spacing w:after="120"/>
      </w:pPr>
      <w:r>
        <w:rPr>
          <w:b/>
          <w:bCs/>
        </w:rPr>
        <w:t xml:space="preserve">Regla del skill.</w:t>
      </w:r>
      <w:r>
        <w:t xml:space="preserve"> Cuenta como trial cada combinación activo × señal × punto del grid × horizonte que se consideró seriamente, emitida o descartada.</w:t>
      </w:r>
    </w:p>
    <w:p>
      <w:pPr>
        <w:spacing w:after="120"/>
      </w:pPr>
      <w:r>
        <w:rPr>
          <w:b/>
          <w:bCs/>
        </w:rPr>
        <w:t xml:space="preserve">Conteo de esta sesión.</w:t>
      </w:r>
      <w:r>
        <w:t xml:space="preserve"> Lo hice dos veces por caminos independientes:</w:t>
      </w:r>
    </w:p>
    <w:p>
      <w:pPr>
        <w:pStyle w:val="ListParagraph"/>
        <w:numPr>
          <w:ilvl w:val="0"/>
          <w:numId w:val="2"/>
        </w:numPr>
      </w:pPr>
      <w:r>
        <w:t xml:space="preserve">desde el this_card de cada YAML y el producto de su grid;</w:t>
      </w:r>
    </w:p>
    <w:p>
      <w:pPr>
        <w:pStyle w:val="ListParagraph"/>
        <w:numPr>
          <w:ilvl w:val="0"/>
          <w:numId w:val="2"/>
        </w:numPr>
      </w:pPr>
      <w:r>
        <w:t xml:space="preserve">desde los reportes de los investigadores.</w:t>
      </w:r>
    </w:p>
    <w:p>
      <w:pPr>
        <w:spacing w:after="120"/>
      </w:pPr>
      <w:r>
        <w:t xml:space="preserve">Coinciden.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688"/>
        <w:gridCol w:w="1835"/>
        <w:gridCol w:w="2753"/>
        <w:gridCol w:w="1950"/>
        <w:gridCol w:w="806"/>
      </w:tblGrid>
      <w:tr>
        <w:trPr>
          <w:tblHeader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Familia</w:t>
            </w:r>
          </w:p>
        </w:tc>
        <w:tc>
          <w:tcPr>
            <w:tcW w:type="dxa" w:w="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Cards</w:t>
            </w:r>
          </w:p>
        </w:tc>
        <w:tc>
          <w:tcPr>
            <w:tcW w:type="dxa" w:w="1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Σ this_card</w:t>
            </w:r>
          </w:p>
        </w:tc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Conceptuales descartadas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Observadas nuevas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Total</w:t>
            </w:r>
          </w:p>
        </w:tc>
      </w:tr>
      <w:tr>
        <w:trPr>
          <w:tblHeader w:val="off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f1 calendario</w:t>
            </w:r>
          </w:p>
        </w:tc>
        <w:tc>
          <w:tcPr>
            <w:tcW w:type="dxa" w:w="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10 (6 + 4)</w:t>
            </w:r>
          </w:p>
        </w:tc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13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23</w:t>
            </w:r>
          </w:p>
        </w:tc>
      </w:tr>
      <w:tr>
        <w:trPr>
          <w:tblHeader w:val="off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f2 volatilidad</w:t>
            </w:r>
          </w:p>
        </w:tc>
        <w:tc>
          <w:tcPr>
            <w:tcW w:type="dxa" w:w="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12 (4 + 8)</w:t>
            </w:r>
          </w:p>
        </w:tc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16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28</w:t>
            </w:r>
          </w:p>
        </w:tc>
      </w:tr>
      <w:tr>
        <w:trPr>
          <w:tblHeader w:val="off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f3 momentum</w:t>
            </w:r>
          </w:p>
        </w:tc>
        <w:tc>
          <w:tcPr>
            <w:tcW w:type="dxa" w:w="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1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40 (16 + 8 + 16)</w:t>
            </w:r>
          </w:p>
        </w:tc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11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51</w:t>
            </w:r>
          </w:p>
        </w:tc>
      </w:tr>
      <w:tr>
        <w:trPr>
          <w:tblHeader w:val="off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f4 transversal</w:t>
            </w:r>
          </w:p>
        </w:tc>
        <w:tc>
          <w:tcPr>
            <w:tcW w:type="dxa" w:w="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1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28 (6 + 18 + 4)</w:t>
            </w:r>
          </w:p>
        </w:tc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17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45</w:t>
            </w:r>
          </w:p>
        </w:tc>
      </w:tr>
      <w:tr>
        <w:trPr>
          <w:tblHeader w:val="off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f5 eventos</w:t>
            </w:r>
          </w:p>
        </w:tc>
        <w:tc>
          <w:tcPr>
            <w:tcW w:type="dxa" w:w="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72 (48 + 24)</w:t>
            </w:r>
          </w:p>
        </w:tc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26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98</w:t>
            </w:r>
          </w:p>
        </w:tc>
      </w:tr>
      <w:tr>
        <w:trPr>
          <w:tblHeader w:val="off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f6 estructural</w:t>
            </w:r>
          </w:p>
        </w:tc>
        <w:tc>
          <w:tcPr>
            <w:tcW w:type="dxa" w:w="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22 (18 + 4)</w:t>
            </w:r>
          </w:p>
        </w:tc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16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40</w:t>
            </w:r>
          </w:p>
        </w:tc>
      </w:tr>
      <w:tr>
        <w:trPr>
          <w:tblHeader w:val="off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Adversario</w:t>
            </w:r>
          </w:p>
        </w:tc>
        <w:tc>
          <w:tcPr>
            <w:tcW w:type="dxa" w:w="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0</w:t>
            </w:r>
          </w:p>
        </w:tc>
      </w:tr>
      <w:tr>
        <w:trPr>
          <w:tblHeader w:val="off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Priorizador</w:t>
            </w:r>
          </w:p>
        </w:tc>
        <w:tc>
          <w:tcPr>
            <w:tcW w:type="dxa" w:w="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0</w:t>
            </w:r>
          </w:p>
        </w:tc>
      </w:tr>
      <w:tr>
        <w:trPr>
          <w:tblHeader w:val="off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Sesión</w:t>
            </w:r>
          </w:p>
        </w:tc>
        <w:tc>
          <w:tcPr>
            <w:tcW w:type="dxa" w:w="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14</w:t>
            </w:r>
          </w:p>
        </w:tc>
        <w:tc>
          <w:tcPr>
            <w:tcW w:type="dxa" w:w="1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184</w:t>
            </w:r>
          </w:p>
        </w:tc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99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285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Detalles del conteo.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session_total = 285:</w:t>
      </w:r>
      <w:r>
        <w:t xml:space="preserve"> 2 OBSERVADOS y 283 CONCEPTUALES (184 puntos de grid declarados + 99 variantes descartadas sin mirar retornos). Es el mismo número en las tres cards del catálogo.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Las cards matadas y cortadas cuentan completas:</w:t>
      </w:r>
    </w:p>
    <w:p>
      <w:pPr>
        <w:pStyle w:val="ListParagraph"/>
        <w:numPr>
          <w:ilvl w:val="1"/>
          <w:numId w:val="2"/>
        </w:numPr>
      </w:pPr>
      <w:r>
        <w:t xml:space="preserve">138 de las 9 matadas;</w:t>
      </w:r>
    </w:p>
    <w:p>
      <w:pPr>
        <w:pStyle w:val="ListParagraph"/>
        <w:numPr>
          <w:ilvl w:val="1"/>
          <w:numId w:val="2"/>
        </w:numPr>
      </w:pPr>
      <w:r>
        <w:t xml:space="preserve">22 de las 2 cortadas;</w:t>
      </w:r>
    </w:p>
    <w:p>
      <w:pPr>
        <w:pStyle w:val="ListParagraph"/>
        <w:numPr>
          <w:ilvl w:val="1"/>
          <w:numId w:val="2"/>
        </w:numPr>
      </w:pPr>
      <w:r>
        <w:t xml:space="preserve">24 de las 3 del catálogo.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f6_compra_tras_fecha_ex:</w:t>
      </w:r>
      <w:r>
        <w:t xml:space="preserve"> su grid tiene 9 puntos (3 ventanas × 3 retrasos) y declara 18, porque prueba dos calendarios de llegada.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Conteo conservador.</w:t>
      </w:r>
    </w:p>
    <w:p>
      <w:pPr>
        <w:pStyle w:val="ListParagraph"/>
        <w:numPr>
          <w:ilvl w:val="1"/>
          <w:numId w:val="2"/>
        </w:numPr>
      </w:pPr>
      <w:r>
        <w:t xml:space="preserve">Conté los temas repetidos entre familias (emisión neta en f4 y en f5; momentum por tipo de propiedad en f3 y en f4) como trials separados.</w:t>
      </w:r>
    </w:p>
    <w:p>
      <w:pPr>
        <w:pStyle w:val="ListParagraph"/>
        <w:numPr>
          <w:ilvl w:val="1"/>
          <w:numId w:val="2"/>
        </w:numPr>
      </w:pPr>
      <w:r>
        <w:t xml:space="preserve">La variante de rotar por fecha ex entre ETFs aparece en las dos cards de f6, pero es una sola y la conté una vez.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Los 2 observados</w:t>
      </w:r>
      <w:r>
        <w:t xml:space="preserve"> son de f6: comparó con su índice los retornos anuales 2016-2025 de las fichas de IDUP/IUSP y de XRES antes de emitir.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se cuentan dos veces</w:t>
      </w:r>
      <w:r>
        <w:t xml:space="preserve"> los observados previos que algunas cards declararon (S1, S4, S5, D1, D3, S7 y el satélite a partes iguales): ya están dentro de los 39 del repo. D3 en particular es la hipótesis H9 de la fase 6 (verificado en </w:t>
      </w:r>
      <w:r>
        <w:rPr>
          <w:rFonts w:ascii="Consolas" w:cs="Consolas" w:eastAsia="Consolas" w:hAnsi="Consolas"/>
          <w:sz w:val="18"/>
          <w:szCs w:val="18"/>
        </w:rPr>
        <w:t xml:space="preserve">fase6_resultados.md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 que revisé y no cuenta:</w:t>
      </w:r>
      <w:r>
        <w:t xml:space="preserve"> re-corrí la aritmética determinista de f6, con supuestos fijos, y revisé montos de dividendos de SCHH. Eso es el fenómeno, no el retorno de una regla.</w:t>
      </w:r>
    </w:p>
    <w:p>
      <w:pPr>
        <w:spacing w:after="120"/>
      </w:pPr>
      <w:r>
        <w:rPr>
          <w:b/>
          <w:bCs/>
        </w:rPr>
        <w:t xml:space="preserve">Prior del repo y ledger acumulado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</w:rPr>
        <w:t xml:space="preserve">docs/estudios/edges/research_ledger.yaml</w:t>
      </w:r>
      <w:r>
        <w:t xml:space="preserve">, clave </w:t>
      </w:r>
      <w:r>
        <w:rPr>
          <w:rFonts w:ascii="Consolas" w:cs="Consolas" w:eastAsia="Consolas" w:hAnsi="Consolas"/>
          <w:sz w:val="18"/>
          <w:szCs w:val="18"/>
        </w:rPr>
        <w:t xml:space="preserve">REITs_EEUU_capital|trimestral</w:t>
      </w:r>
      <w:r>
        <w:t xml:space="preserve">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1036"/>
        <w:gridCol w:w="1243"/>
        <w:gridCol w:w="4147"/>
      </w:tblGrid>
      <w:tr>
        <w:trPr>
          <w:tblHeader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Sesión</w:t>
            </w:r>
          </w:p>
        </w:tc>
        <w:tc>
          <w:tcPr>
            <w:tcW w:type="dxa" w:w="1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Observados</w:t>
            </w:r>
          </w:p>
        </w:tc>
        <w:tc>
          <w:tcPr>
            <w:tcW w:type="dxa" w:w="12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Conceptuales</w:t>
            </w:r>
          </w:p>
        </w:tc>
        <w:tc>
          <w:tcPr>
            <w:tcW w:type="dxa" w:w="41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Nota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repo-historico-hasta-2026-10-16</w:t>
            </w:r>
          </w:p>
        </w:tc>
        <w:tc>
          <w:tcPr>
            <w:tcW w:type="dxa" w:w="1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39</w:t>
            </w:r>
          </w:p>
        </w:tc>
        <w:tc>
          <w:tcPr>
            <w:tcW w:type="dxa" w:w="12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type="dxa" w:w="41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20 de la fase 6, 8 de los extremos transversales, 8 del satélite, 3 del estudio del universo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2026-10-16-edges-contra-schh</w:t>
            </w:r>
          </w:p>
        </w:tc>
        <w:tc>
          <w:tcPr>
            <w:tcW w:type="dxa" w:w="1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2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283</w:t>
            </w:r>
          </w:p>
        </w:tc>
        <w:tc>
          <w:tcPr>
            <w:tcW w:type="dxa" w:w="41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esta sesión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Acumulado</w:t>
            </w:r>
          </w:p>
        </w:tc>
        <w:tc>
          <w:tcPr>
            <w:tcW w:type="dxa" w:w="1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41</w:t>
            </w:r>
          </w:p>
        </w:tc>
        <w:tc>
          <w:tcPr>
            <w:tcW w:type="dxa" w:w="12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283</w:t>
            </w:r>
          </w:p>
        </w:tc>
        <w:tc>
          <w:tcPr>
            <w:tcW w:type="dxa" w:w="41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ledger_total de estrés = 324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Lo que va en cada card del catálogo.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18"/>
          <w:szCs w:val="18"/>
        </w:rPr>
        <w:t xml:space="preserve">session_total</w:t>
      </w:r>
      <w:r>
        <w:t xml:space="preserve"> = 285.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18"/>
          <w:szCs w:val="18"/>
        </w:rPr>
        <w:t xml:space="preserve">ledger_total</w:t>
      </w:r>
      <w:r>
        <w:t xml:space="preserve"> = 324.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18"/>
          <w:szCs w:val="18"/>
        </w:rPr>
        <w:t xml:space="preserve">observed_extra</w:t>
      </w:r>
      <w:r>
        <w:t xml:space="preserve"> = 41, todos los observados del ledger, como sugiere el script.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Uso en B:</w:t>
      </w:r>
      <w:r>
        <w:t xml:space="preserve"> el Sharpe deflactado vinculante con 41 y el de estrés con 324.</w:t>
      </w:r>
    </w:p>
    <w:p>
      <w:pPr>
        <w:spacing w:after="120"/>
      </w:pPr>
      <w:r>
        <w:rPr>
          <w:b/>
          <w:bCs/>
        </w:rPr>
        <w:t xml:space="preserve">Advertencias.</w:t>
      </w:r>
    </w:p>
    <w:p>
      <w:pPr>
        <w:pStyle w:val="ListParagraph"/>
        <w:numPr>
          <w:ilvl w:val="0"/>
          <w:numId w:val="2"/>
        </w:numPr>
      </w:pPr>
      <w:r>
        <w:t xml:space="preserve">La bitácora del repo tiene 307 intentos en total, casi todos de timing del sector. Por instrucción no se sumaron a esta clave. Una cota todavía más conservadora los incluiría.</w:t>
      </w:r>
    </w:p>
    <w:p>
      <w:pPr>
        <w:pStyle w:val="ListParagraph"/>
        <w:numPr>
          <w:ilvl w:val="0"/>
          <w:numId w:val="2"/>
        </w:numPr>
      </w:pPr>
      <w:r>
        <w:t xml:space="preserve">Si B escoge con un diagnóstico, prueba una variante fuera del grid o reabre una card muerta, debe registrarlo como sesión nueva del ledger.</w:t>
      </w:r>
    </w:p>
    <w:p>
      <w:pPr>
        <w:pBdr>
          <w:bottom w:val="single" w:color="BFBFBF" w:sz="6" w:space="1"/>
        </w:pBdr>
      </w:pPr>
    </w:p>
    <w:p>
      <w:pPr>
        <w:pStyle w:val="Heading1"/>
      </w:pPr>
      <w:r>
        <w:t xml:space="preserve">8. Hallazgos laterales (afectan al repo, no al catálogo)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(a) La tasa del dividendo vía SIC del modelo probablemente está mal.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Qué hace el modelo.</w:t>
      </w:r>
      <w:r>
        <w:t xml:space="preserve"> La línea base "SIC" usa 20% sobre el dividendo (10% de EE. UU. + 10% de México, sin acumulación; </w:t>
      </w:r>
      <w:r>
        <w:rPr>
          <w:rFonts w:ascii="Consolas" w:cs="Consolas" w:eastAsia="Consolas" w:hAnsi="Consolas"/>
          <w:sz w:val="18"/>
          <w:szCs w:val="18"/>
        </w:rPr>
        <w:t xml:space="preserve">src/investigacion/diseno.py</w:t>
      </w:r>
      <w:r>
        <w:t xml:space="preserve"> y </w:t>
      </w:r>
      <w:r>
        <w:rPr>
          <w:rFonts w:ascii="Consolas" w:cs="Consolas" w:eastAsia="Consolas" w:hAnsi="Consolas"/>
          <w:sz w:val="18"/>
          <w:szCs w:val="18"/>
        </w:rPr>
        <w:t xml:space="preserve">src/config.py</w:t>
      </w:r>
      <w:r>
        <w:t xml:space="preserve">). En cambio, el perfil del broker acumula (44%).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Qué dice la ley.</w:t>
      </w:r>
      <w:r>
        <w:t xml:space="preserve"> El texto del Art. 142 fr. V LISR (verificado en la copia de la Cámara de Diputados) dice que la persona física que percibe dividendos de sociedades extranjeras, "además de acumularlos", paga 10% adicional. No distingue el canal. La guía de impuestos de GBM citada por f6 dice lo mismo para emisoras del SIC.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Consecuencias</w:t>
      </w:r>
      <w:r>
        <w:t xml:space="preserve"> (inferido; a confirmar con contador):</w:t>
      </w:r>
    </w:p>
    <w:p>
      <w:pPr>
        <w:pStyle w:val="ListParagraph"/>
        <w:numPr>
          <w:ilvl w:val="2"/>
          <w:numId w:val="2"/>
        </w:numPr>
      </w:pPr>
      <w:r>
        <w:t xml:space="preserve">el dividendo por el SIC también pagaría ~44% con marginal de 35%;</w:t>
      </w:r>
    </w:p>
    <w:p>
      <w:pPr>
        <w:pStyle w:val="ListParagraph"/>
        <w:numPr>
          <w:ilvl w:val="2"/>
          <w:numId w:val="2"/>
        </w:numPr>
      </w:pPr>
      <w:r>
        <w:t xml:space="preserve">las columnas "SIC" de las fases 3 a 8 sobreestiman el rendimiento neto de estar invertido;</w:t>
      </w:r>
    </w:p>
    <w:p>
      <w:pPr>
        <w:pStyle w:val="ListParagraph"/>
        <w:numPr>
          <w:ilvl w:val="2"/>
          <w:numId w:val="2"/>
        </w:numPr>
      </w:pPr>
      <w:r>
        <w:t xml:space="preserve">el SIC no tendría ventaja fiscal sobre el broker y sí 0.25% de comisión.</w:t>
      </w:r>
    </w:p>
    <w:p>
      <w:pPr>
        <w:pStyle w:val="ListParagraph"/>
        <w:numPr>
          <w:ilvl w:val="2"/>
          <w:numId w:val="2"/>
        </w:numPr>
      </w:pPr>
      <w:r>
        <w:t xml:space="preserve">Ningún veredicto pasado cambia, porque la sensibilidad del broker ya corrió con 44% y no movió ninguno. Lo que cambia son las cifras.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(b) SCHH probablemente no está listado en el SIC.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Indicio.</w:t>
      </w:r>
      <w:r>
        <w:t xml:space="preserve"> Yahoo no tiene SCHH.MX, mientras que VNQ.MX, USRT.MX, IYR.MX, XLRE.MX y RWR.MX sí existen (consultas del investigador de f6; inferido, falta la lista oficial de la BMV).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Por qué importa.</w:t>
      </w:r>
      <w:r>
        <w:t xml:space="preserve"> El 10% del Art. 129 exige que la acción o el título cotice en una bolsa mexicana, y el Criterio 37/ISR/N lo extiende a ventas con intermediario extranjero solo para lo listado en el SIC.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Consecuencias</w:t>
      </w:r>
      <w:r>
        <w:t xml:space="preserve"> (inferido):</w:t>
      </w:r>
    </w:p>
    <w:p>
      <w:pPr>
        <w:pStyle w:val="ListParagraph"/>
        <w:numPr>
          <w:ilvl w:val="2"/>
          <w:numId w:val="2"/>
        </w:numPr>
      </w:pPr>
      <w:r>
        <w:t xml:space="preserve">la ganancia de SCHH vendida por el broker podría ir al régimen general de enajenación de acciones, a la tarifa, y no al 10% que supone el modelo;</w:t>
      </w:r>
    </w:p>
    <w:p>
      <w:pPr>
        <w:pStyle w:val="ListParagraph"/>
        <w:numPr>
          <w:ilvl w:val="2"/>
          <w:numId w:val="2"/>
        </w:numPr>
      </w:pPr>
      <w:r>
        <w:t xml:space="preserve">no importa mientras no se venda, pero sí al liquidar, en las TIR "liquidando" del repo y para los herederos.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Alternativa.</w:t>
      </w:r>
      <w:r>
        <w:t xml:space="preserve"> USRT, que sí está en el SIC, tendría la ganancia al 10% más segura, pero reparte más del ingreso de su índice que SCHH (de 8 a 24 puntos más, según el investigador de f6). Para quien nunca vende, SCHH probablemente sigue siendo mejor.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(c) El panel de la fase 6 no ajusta escisiones.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Qué pasa.</w:t>
      </w:r>
      <w:r>
        <w:t xml:space="preserve"> Los precios trimestrales de los 13F no ven las acciones distribuidas, así que el retorno de la matriz en el trimestre de la escisión sale falsamente negativo.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Está declarado.</w:t>
      </w:r>
      <w:r>
        <w:t xml:space="preserve"> El pre-registro dice "Las escisiones restan su valor al trimestre en que ocurren" (</w:t>
      </w:r>
      <w:r>
        <w:rPr>
          <w:rFonts w:ascii="Consolas" w:cs="Consolas" w:eastAsia="Consolas" w:hAnsi="Consolas"/>
          <w:sz w:val="18"/>
          <w:szCs w:val="18"/>
        </w:rPr>
        <w:t xml:space="preserve">fase6_preregistro.md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RESUMEN.md</w:t>
      </w:r>
      <w:r>
        <w:t xml:space="preserve">; verificado como límite declarado y no corregido).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Casos.</w:t>
      </w:r>
      <w:r>
        <w:t xml:space="preserve"> Realty Income con Orion Office REIT (4T2021) y W. P. Carey con Net Lease Office Properties (4T2023). La magnitud, de unos puntos porcentuales del valor de la matriz, es inferida.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Qué hacer.</w:t>
      </w:r>
      <w:r>
        <w:t xml:space="preserve"> Afecta a cualquier regla y a cualquier control que tenga a O o a WPC en esos trimestres. Hay que corregirlo con las razones de distribución de los Form 10 / 8-K antes de usar el panel en cualquier prueba nueva, y revisar si el estudio de O, NNN y WPC lo usó.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(d) S4 se implementó como volatilidad total, no idiosincrática.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La motivación.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literatura.md</w:t>
      </w:r>
      <w:r>
        <w:t xml:space="preserve"> (punto 3) motiva "baja volatilidad" con la evidencia de volatilidad idiosincrática en REITs (DeLisle, Price y Sirmans 2013; Cakici, Erol y Tirtiroglu 2014).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La implementación.</w:t>
      </w:r>
      <w:r>
        <w:t xml:space="preserve"> El pre-registro la define como "desviación de los retornos trimestrales de 12 trimestres", y </w:t>
      </w:r>
      <w:r>
        <w:rPr>
          <w:rFonts w:ascii="Consolas" w:cs="Consolas" w:eastAsia="Consolas" w:hAnsi="Consolas"/>
          <w:sz w:val="18"/>
          <w:szCs w:val="18"/>
        </w:rPr>
        <w:t xml:space="preserve">fase6.py</w:t>
      </w:r>
      <w:r>
        <w:t xml:space="preserve"> (línea 118) calcula exactamente eso (verificado).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Consecuencias.</w:t>
      </w:r>
    </w:p>
    <w:p>
      <w:pPr>
        <w:pStyle w:val="ListParagraph"/>
        <w:numPr>
          <w:ilvl w:val="2"/>
          <w:numId w:val="2"/>
        </w:numPr>
      </w:pPr>
      <w:r>
        <w:t xml:space="preserve">El -34 pb de S4 no probó la hipótesis de la literatura.</w:t>
      </w:r>
    </w:p>
    <w:p>
      <w:pPr>
        <w:pStyle w:val="ListParagraph"/>
        <w:numPr>
          <w:ilvl w:val="2"/>
          <w:numId w:val="2"/>
        </w:numPr>
      </w:pPr>
      <w:r>
        <w:t xml:space="preserve">El resumen debería decir "volatilidad total baja".</w:t>
      </w:r>
    </w:p>
    <w:p>
      <w:pPr>
        <w:pStyle w:val="ListParagraph"/>
        <w:numPr>
          <w:ilvl w:val="2"/>
          <w:numId w:val="2"/>
        </w:numPr>
      </w:pPr>
      <w:r>
        <w:t xml:space="preserve">Esto no revive f2_loteria, que murió por su techo y por la evidencia contra IVOL ponderado por valor.</w:t>
      </w:r>
    </w:p>
    <w:p>
      <w:pPr>
        <w:pBdr>
          <w:bottom w:val="single" w:color="BFBFBF" w:sz="6" w:space="1"/>
        </w:pBdr>
      </w:pPr>
    </w:p>
    <w:p>
      <w:pPr>
        <w:pStyle w:val="Heading1"/>
      </w:pPr>
      <w:r>
        <w:t xml:space="preserve">9. Paso siguiente</w:t>
      </w:r>
    </w:p>
    <w:p>
      <w:pPr>
        <w:spacing w:after="120"/>
      </w:pPr>
      <w:r>
        <w:rPr>
          <w:b/>
          <w:bCs/>
        </w:rPr>
        <w:t xml:space="preserve">Reglas para cualquier prueba nueva en el repo.</w:t>
      </w:r>
    </w:p>
    <w:p>
      <w:pPr>
        <w:pStyle w:val="ListParagraph"/>
        <w:numPr>
          <w:ilvl w:val="0"/>
          <w:numId w:val="2"/>
        </w:numPr>
      </w:pPr>
      <w:r>
        <w:t xml:space="preserve">Pre-registro con commit antes de correr, como en la fase 6.</w:t>
      </w:r>
    </w:p>
    <w:p>
      <w:pPr>
        <w:pStyle w:val="ListParagraph"/>
        <w:numPr>
          <w:ilvl w:val="0"/>
          <w:numId w:val="2"/>
        </w:numPr>
      </w:pPr>
      <w:r>
        <w:t xml:space="preserve">Corregir antes las escisiones (hallazgo c).</w:t>
      </w:r>
    </w:p>
    <w:p>
      <w:pPr>
        <w:pStyle w:val="ListParagraph"/>
        <w:numPr>
          <w:ilvl w:val="0"/>
          <w:numId w:val="2"/>
        </w:numPr>
      </w:pPr>
      <w:r>
        <w:t xml:space="preserve">Fijar los perfiles fiscales con lo que diga el contador (hallazgos a y b).</w:t>
      </w:r>
    </w:p>
    <w:p>
      <w:pPr>
        <w:pStyle w:val="ListParagraph"/>
        <w:numPr>
          <w:ilvl w:val="0"/>
          <w:numId w:val="2"/>
        </w:numPr>
      </w:pPr>
      <w:r>
        <w:t xml:space="preserve">Registrar en el ledger cualquier trial que no esté en el grid.</w:t>
      </w:r>
    </w:p>
    <w:p>
      <w:pPr>
        <w:spacing w:after="120"/>
      </w:pPr>
      <w:r>
        <w:rPr>
          <w:b/>
          <w:bCs/>
        </w:rPr>
        <w:t xml:space="preserve">Orden recomendado para el presupuesto de validación (B).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f6_ucits_acumulacion_irlanda.</w:t>
      </w:r>
      <w:r>
        <w:t xml:space="preserve"> Es la más barata y la más decisiva.</w:t>
      </w:r>
    </w:p>
    <w:p>
      <w:pPr>
        <w:pStyle w:val="ListParagraph"/>
        <w:numPr>
          <w:ilvl w:val="1"/>
          <w:numId w:val="2"/>
        </w:numPr>
      </w:pPr>
      <w:r>
        <w:t xml:space="preserve">Opinión del contador (kills 1 y 3).</w:t>
      </w:r>
    </w:p>
    <w:p>
      <w:pPr>
        <w:pStyle w:val="ListParagraph"/>
        <w:numPr>
          <w:ilvl w:val="1"/>
          <w:numId w:val="2"/>
        </w:numPr>
      </w:pPr>
      <w:r>
        <w:t xml:space="preserve">Informes anuales auditados (kill 2).</w:t>
      </w:r>
    </w:p>
    <w:p>
      <w:pPr>
        <w:pStyle w:val="ListParagraph"/>
        <w:numPr>
          <w:ilvl w:val="1"/>
          <w:numId w:val="2"/>
        </w:numPr>
      </w:pPr>
      <w:r>
        <w:t xml:space="preserve">B mide en el repo la ventaja fiscal y la diferencia de composición de las 4 combinaciones (IDUP reconstruido desde 2011 y XRES desde 2016).</w:t>
      </w:r>
    </w:p>
    <w:p>
      <w:pPr>
        <w:pStyle w:val="ListParagraph"/>
        <w:numPr>
          <w:ilvl w:val="1"/>
          <w:numId w:val="2"/>
        </w:numPr>
      </w:pPr>
      <w:r>
        <w:t xml:space="preserve">La decisión depende de los kills, no de un Sharpe deflactado.</w:t>
      </w:r>
    </w:p>
    <w:p>
      <w:pPr>
        <w:pStyle w:val="ListParagraph"/>
        <w:numPr>
          <w:ilvl w:val="1"/>
          <w:numId w:val="2"/>
        </w:numPr>
      </w:pPr>
      <w:r>
        <w:t xml:space="preserve">Si pasa, se aplica con dinero nuevo y sin vender SCHH.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f4_eficiencia_operativa_intrasector.</w:t>
      </w:r>
      <w:r>
        <w:t xml:space="preserve"> Se puede archivar sin mirar retornos.</w:t>
      </w:r>
    </w:p>
    <w:p>
      <w:pPr>
        <w:pStyle w:val="ListParagraph"/>
        <w:numPr>
          <w:ilvl w:val="1"/>
          <w:numId w:val="2"/>
        </w:numPr>
      </w:pPr>
      <w:r>
        <w:t xml:space="preserve">Primero las pruebas sin retornos: redundancia con S8 y S10, tipo de arrendamiento, ruptura de 2019 y cobertura.</w:t>
      </w:r>
    </w:p>
    <w:p>
      <w:pPr>
        <w:pStyle w:val="ListParagraph"/>
        <w:numPr>
          <w:ilvl w:val="1"/>
          <w:numId w:val="2"/>
        </w:numPr>
      </w:pPr>
      <w:r>
        <w:t xml:space="preserve">Si sobrevive, el canal de FFO.</w:t>
      </w:r>
    </w:p>
    <w:p>
      <w:pPr>
        <w:pStyle w:val="ListParagraph"/>
        <w:numPr>
          <w:ilvl w:val="1"/>
          <w:numId w:val="2"/>
        </w:numPr>
      </w:pPr>
      <w:r>
        <w:t xml:space="preserve">Después, la TIR en el panel solo como prueba que puede matarla.</w:t>
      </w:r>
    </w:p>
    <w:p>
      <w:pPr>
        <w:pStyle w:val="ListParagraph"/>
        <w:numPr>
          <w:ilvl w:val="1"/>
          <w:numId w:val="2"/>
        </w:numPr>
      </w:pPr>
      <w:r>
        <w:t xml:space="preserve">Al final, papel hacia adelante.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f3_rebote_post_recorte_dividendo.</w:t>
      </w:r>
    </w:p>
    <w:p>
      <w:pPr>
        <w:pStyle w:val="ListParagraph"/>
        <w:numPr>
          <w:ilvl w:val="1"/>
          <w:numId w:val="2"/>
        </w:numPr>
      </w:pPr>
      <w:r>
        <w:t xml:space="preserve">Kills 1 y 2 en el panel, que solo pueden matarla.</w:t>
      </w:r>
    </w:p>
    <w:p>
      <w:pPr>
        <w:pStyle w:val="ListParagraph"/>
        <w:numPr>
          <w:ilvl w:val="1"/>
          <w:numId w:val="2"/>
        </w:numPr>
      </w:pPr>
      <w:r>
        <w:t xml:space="preserve">Si sobrevive, papel hacia adelante con el calendario de febrero, mayo, agosto y noviembre, reportando suspensiones aparte. Puede tardar años, porque necesita una ola de recortes.</w:t>
      </w:r>
    </w:p>
    <w:p>
      <w:pPr>
        <w:spacing w:after="120"/>
      </w:pPr>
      <w:r>
        <w:rPr>
          <w:b/>
          <w:bCs/>
        </w:rPr>
        <w:t xml:space="preserve">Lo que este trabajo NO afirma.</w:t>
      </w:r>
    </w:p>
    <w:p>
      <w:pPr>
        <w:pStyle w:val="ListParagraph"/>
        <w:numPr>
          <w:ilvl w:val="0"/>
          <w:numId w:val="2"/>
        </w:numPr>
      </w:pPr>
      <w:r>
        <w:t xml:space="preserve">Ninguna card "funciona". Lo que hay es un orden de prioridad con su contabilidad.</w:t>
      </w:r>
    </w:p>
    <w:p>
      <w:pPr>
        <w:pStyle w:val="ListParagraph"/>
        <w:numPr>
          <w:ilvl w:val="0"/>
          <w:numId w:val="2"/>
        </w:numPr>
      </w:pPr>
      <w:r>
        <w:t xml:space="preserve">Solo B, con pruebas fuera de muestra, permutación, Sharpe deflactado con el ledger completo y estabilidad de régimen, o el papel hacia adelante, puede decir que algo es comprobable.</w:t>
      </w:r>
    </w:p>
    <w:p>
      <w:pPr>
        <w:spacing w:after="120"/>
      </w:pPr>
      <w:r>
        <w:rPr>
          <w:b/>
          <w:bCs/>
        </w:rPr>
        <w:t xml:space="preserve">Archivos.</w:t>
      </w:r>
    </w:p>
    <w:p>
      <w:pPr>
        <w:pStyle w:val="ListParagraph"/>
        <w:numPr>
          <w:ilvl w:val="0"/>
          <w:numId w:val="2"/>
        </w:numPr>
      </w:pPr>
      <w:r>
        <w:t xml:space="preserve">Catálogo: </w:t>
      </w:r>
      <w:r>
        <w:rPr>
          <w:rFonts w:ascii="Consolas" w:cs="Consolas" w:eastAsia="Consolas" w:hAnsi="Consolas"/>
          <w:sz w:val="18"/>
          <w:szCs w:val="18"/>
        </w:rPr>
        <w:t xml:space="preserve">docs/estudios/edges/catalogo/f6_ucits_acumulacion_irlanda.yaml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f3_rebote_post_recorte_dividendo.yaml</w:t>
      </w:r>
      <w:r>
        <w:t xml:space="preserve"> y </w:t>
      </w:r>
      <w:r>
        <w:rPr>
          <w:rFonts w:ascii="Consolas" w:cs="Consolas" w:eastAsia="Consolas" w:hAnsi="Consolas"/>
          <w:sz w:val="18"/>
          <w:szCs w:val="18"/>
        </w:rPr>
        <w:t xml:space="preserve">f4_eficiencia_operativa_intrasector.yaml</w:t>
      </w:r>
      <w:r>
        <w:t xml:space="preserve">. Gate de </w:t>
      </w:r>
      <w:r>
        <w:rPr>
          <w:rFonts w:ascii="Consolas" w:cs="Consolas" w:eastAsia="Consolas" w:hAnsi="Consolas"/>
          <w:sz w:val="18"/>
          <w:szCs w:val="18"/>
        </w:rPr>
        <w:t xml:space="preserve">validate_cards.py</w:t>
      </w:r>
      <w:r>
        <w:t xml:space="preserve"> superado.</w:t>
      </w:r>
    </w:p>
    <w:p>
      <w:pPr>
        <w:pStyle w:val="ListParagraph"/>
        <w:numPr>
          <w:ilvl w:val="0"/>
          <w:numId w:val="2"/>
        </w:numPr>
      </w:pPr>
      <w:r>
        <w:t xml:space="preserve">Ledger: </w:t>
      </w:r>
      <w:r>
        <w:rPr>
          <w:rFonts w:ascii="Consolas" w:cs="Consolas" w:eastAsia="Consolas" w:hAnsi="Consolas"/>
          <w:sz w:val="18"/>
          <w:szCs w:val="18"/>
        </w:rPr>
        <w:t xml:space="preserve">docs/estudios/edges/research_ledger.yaml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Las 14 candidatas quedan sin cambios en </w:t>
      </w:r>
      <w:r>
        <w:rPr>
          <w:rFonts w:ascii="Consolas" w:cs="Consolas" w:eastAsia="Consolas" w:hAnsi="Consolas"/>
          <w:sz w:val="18"/>
          <w:szCs w:val="18"/>
        </w:rPr>
        <w:t xml:space="preserve">docs/estudios/edges/candidatas/</w:t>
      </w:r>
      <w:r>
        <w:t xml:space="preserve">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 xml:space="preserve">PAGE</w:instrText>
    </w:r>
    <w:r>
      <w:rPr>
        <w:color w:val="808080"/>
        <w:sz w:val="16"/>
        <w:szCs w:val="16"/>
      </w:rPr>
      <w:fldChar w:fldCharType="separate"/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–"/>
      <w:lvlJc w:val="left"/>
      <w:pPr>
        <w:ind w:left="720" w:hanging="260"/>
      </w:pPr>
    </w:lvl>
    <w:lvl w:ilvl="2" w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  <w:lvl w:ilvl="1" w:tentative="1">
      <w:start w:val="1"/>
      <w:numFmt w:val="decimal"/>
      <w:lvlText w:val="%2."/>
      <w:lvlJc w:val="left"/>
      <w:pPr>
        <w:ind w:left="8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3">
    <w:abstractNumId w:val="3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b/>
      <w:bCs/>
      <w:color w:val="1F3864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b/>
      <w:bCs/>
      <w:color w:val="2E5597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Edges contra SCHH: catálogo priorizado</dc:title>
  <dc:creator>Modelo-REITS</dc:creator>
  <cp:lastModifiedBy>Un-named</cp:lastModifiedBy>
  <cp:revision>1</cp:revision>
  <dcterms:created xsi:type="dcterms:W3CDTF">2026-10-16T22:14:29.425Z</dcterms:created>
  <dcterms:modified xsi:type="dcterms:W3CDTF">2026-10-16T22:14:29.425Z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