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ComproYa - Plataforma E-Commerce y Soluciones en Canales de Venta Digital</w:t>
      </w:r>
    </w:p>
    <w:p>
      <w:pPr>
        <w:jc w:val="center"/>
      </w:pPr>
      <w:r>
        <w:rPr>
          <w:sz w:val="24"/>
        </w:rPr>
        <w:t>Plan de pruebas de software — definición de los casos de ruta, basados en estado, de integración y de sistema, antes de su ejecución, para dos casos de uso del canal digital.</w:t>
      </w:r>
    </w:p>
    <w:p/>
    <w:p>
      <w:pPr>
        <w:jc w:val="center"/>
      </w:pPr>
      <w:r>
        <w:rPr>
          <w:b/>
        </w:rPr>
        <w:t xml:space="preserve">Integrantes: </w:t>
      </w:r>
      <w:r>
        <w:t>Nicolás Santiago Cancimance Pabón · Duván Camilo Serrano Rojas</w:t>
      </w:r>
    </w:p>
    <w:p>
      <w:pPr>
        <w:jc w:val="center"/>
      </w:pPr>
      <w:r>
        <w:rPr>
          <w:b/>
        </w:rPr>
        <w:t xml:space="preserve">Docente: </w:t>
      </w:r>
      <w:r>
        <w:t>Julio Cesar Sierra González</w:t>
      </w:r>
    </w:p>
    <w:p>
      <w:pPr>
        <w:jc w:val="center"/>
      </w:pPr>
      <w:r>
        <w:t>Ingeniería de Software II · 22 de Septiembre de 2026 · Bogotá D.C.</w:t>
      </w:r>
    </w:p>
    <w:p>
      <w:r>
        <w:br w:type="page"/>
      </w:r>
    </w:p>
    <w:p>
      <w:pPr>
        <w:pStyle w:val="Heading1"/>
      </w:pPr>
      <w:r>
        <w:t>Introducción</w:t>
      </w:r>
    </w:p>
    <w:p>
      <w:r>
        <w:t>Este documento define, antes de su ejecución, los 28 casos de prueba de los dos casos de uso ya llevados a diseño detallado en “Diseño UML ComproYa”: el Caso de Uso 1 (Registro de cuenta con aprobación de la política de datos personales, CU-04 + CU-05) y el Caso de Uso 2 (Compra completa en el canal digital, CU-07/CU-09/CU-15/CU-16/CU-17). Aplica la metodología del material “Aseguramiento de calidad — Pruebas de software” del docente: pruebas de unidad de ruta (diagrama de actividad) y basadas en estado (diagrama de estados), pruebas de integración ascendente bottom-up (diagrama de clases) y pruebas del sistema de caja negra (caso de uso).</w:t>
      </w:r>
    </w:p>
    <w:p>
      <w:r>
        <w:rPr>
          <w:b w:val="0"/>
        </w:rPr>
        <w:t xml:space="preserve">Distribución pedida por el docente (aclarada en clase, Sep-22): </w:t>
      </w:r>
      <w:r>
        <w:rPr>
          <w:b/>
        </w:rPr>
        <w:t>10 pruebas de Ruta, 10 basadas en Estado, mínimo 3 de Integración, 3 de Sistema.</w:t>
      </w:r>
      <w:r>
        <w:t xml:space="preserve"> Este plan cubre 10 / 10 / 5 / 3 = 28 (Integración por encima del mínimo, cobertura ya cerrada en la primera ronda de implementación).</w:t>
      </w:r>
    </w:p>
    <w:p>
      <w:r>
        <w:t>Cada caso lleva un ID (PR-xx ruta, PE-xx estado, PI-xx integración, CU-xx-nn sistema), el módulo de la EDT del canon al que pertenece, sus precondiciones, los pasos con los datos de entrada a usar, y el resultado esperado de la aplicación — sin veredicto ni fecha de ejecución, que se documentan aparte en Resultados_Pruebas_ComproYa.md/.docx una vez corridos de verdad.</w:t>
      </w:r>
    </w:p>
    <w:p>
      <w:pPr>
        <w:pStyle w:val="Heading1"/>
      </w:pPr>
      <w:r>
        <w:t>1. Pruebas de unidad — prueba de ruta</w:t>
      </w:r>
    </w:p>
    <w:p>
      <w:r>
        <w:t>Derivadas del diagrama de actividad de cada caso de uso (Figura 5 para el Caso de Uso 1, Figura 12 para el Caso de Uso 2, en “Diseño UML ComproYa”): una ruta por cada camino independiente del algoritmo, sobre transacciones de la entidad dominante del caso de uso (Consentimiento en el Caso de Uso 1; Pago/Pedido en el Caso de Uso 2).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E2F3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  <w:sz w:val="18"/>
              </w:rPr>
              <w:t>Módulo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  <w:sz w:val="18"/>
              </w:rPr>
              <w:t>Precondiciones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  <w:sz w:val="18"/>
              </w:rPr>
              <w:t>Pasos de la prueba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  <w:sz w:val="18"/>
              </w:rPr>
              <w:t>Resultado esperado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PR-01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1.2 Cuenta Digital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Existe un Cliente con documento "CC2001" ya registrado.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GestorDeRegistro.validarDuplicado("CC2001"); luego registrarCliente() con el mismo documento.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validarDuplicado() devuelve true; registrarCliente() lanza el error E-1; no se crea Cuenta nueva.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PR-02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1.2 Cuenta Digital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Documento nuevo, sin cuenta previa.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registrarCliente() con documento nuevo; el cliente rechaza la política (revocarConsentimiento()); se registra un evento de comportamiento.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Cuenta.estado = activa; Consentimiento.status = REVOCADO; el evento se guarda sin id_cliente (RN-10).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PR-03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1.2 Cuenta Digital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Documento nuevo; identificador de lealtad válido ("LEALTAD-123456").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GestorDeConsentimiento.otorgarConsentimiento(customerId, loyaltyId).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Consentimiento.status = ACTIVO; se crea el IdentificadorLealtad y Customer.loyaltyId queda vinculado.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PR-04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1.2 Cuenta Digital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Documento nuevo, acepta la política, sin identificador de lealtad.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otorgarConsentimiento(customerId) sin loyaltyId.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Consentimiento.status = ACTIVO; Customer.loyaltyId permanece null.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PR-05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1.4 Pedido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Dos sucursales con disponibilidad: una desincronizada hace 20 minutos, otra recién sincronizada.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validarSincronizacion() sobre cada sucursal.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false para la desincronizada (RN-04); true para la otra.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PR-06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1.4 Pedido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Disponibilidad real de 15 unidades (RN-03: 20 ERP − 5 umbral).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ReservaUnidades.reservar(productId, branchId, 999).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Devuelve false sin lanzar excepción; ninguna unidad queda reservada.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PR-07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1.5 Pago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Pedido confirmado con reserva de unidades exitosa (RN-05).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procesarPago(..., "tarjeta", eventoSimulado) con payment_intent.payment_failed.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Pago.status = FAILED; reserva liberada; sin Comprobante.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PR-08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1.5 Pago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Pedido confirmado con reserva de unidades exitosa.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procesarPago(..., "tarjeta", eventoSimulado) con checkout.session.completed; generar comprobante.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Comprobante con código de retiro vigente 5 días (RN-08); Pago = CONFIRMED; Pedido = PAID.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PR-09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1.5 Pago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Pedido confirmado; pago con débito bancario iniciado, sin confirmación.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 adelanta Payment.createdAt 31 minutos; esperarConfirmacion().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Devuelve false; Pago = FAILED; Pedido = CANCELLED; reserva liberada.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PR-10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1.5 Pago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Pedido confirmado con reserva exitosa; pago con débito bancario iniciado, dentro del plazo de 30 minutos.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PagoService.notificarDebito(orderId, true) — confirmación real simulada de la pasarela (CU-16, paso 2).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Pago.status = CONFIRMED; Pedido.status = PAID; comprobante disponible para emitirse (CU-17).</w:t>
            </w:r>
          </w:p>
        </w:tc>
      </w:tr>
    </w:tbl>
    <w:p/>
    <w:p>
      <w:pPr>
        <w:pStyle w:val="Heading1"/>
      </w:pPr>
      <w:r>
        <w:t>2. Pruebas de unidad — prueba basada en estado</w:t>
      </w:r>
    </w:p>
    <w:p>
      <w:r>
        <w:t>Derivadas del diagrama de estados de cada entidad dominante (Figura 6, Consentimiento, Caso de Uso 1; Figura 13, Pedido, Caso de Uso 2): una prueba por transición declarada, más los intentos de transición no declarada desde un estado terminal.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E2F3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  <w:sz w:val="18"/>
              </w:rPr>
              <w:t>Objeto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  <w:sz w:val="18"/>
              </w:rPr>
              <w:t>Precondiciones (estado inicial)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  <w:sz w:val="18"/>
              </w:rPr>
              <w:t>Pasos de la prueba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  <w:sz w:val="18"/>
              </w:rPr>
              <w:t>Resultado esperado (estado final)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PE-01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Consentimiento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Pendiente (recién registrado el cliente).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otorgarConsentimiento(customerId).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Consentimiento.status = ACTIVO.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PE-02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Consentimiento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Activo.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revocarConsentimiento(customerId).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Consentimiento.status = REVOCADO.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PE-03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Consentimiento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Revocado.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solicitarSupresion(customerId); ejecutarSupresionesPendientes() dentro de 72h (RN-11).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Consentimiento.status = SUPRIMIDO.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PE-04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Consentimiento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Activo.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Solicitud directa de supresión (sin pasar por Revocado) dentro de 72h.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Consentimiento.status = SUPRIMIDO.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PE-05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Consentimiento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Suprimido (terminal).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otorgarConsentimiento(customerId) — transición no declarada.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El sistema rechaza la operación; el estado no cambia.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PE-06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Pedido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Creado, con sesión de tarjeta iniciada.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Webhook checkout.session.completed llega a manejarEventoStripe().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Pedido.status = PAID.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PE-07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Pedido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Creado, alistamiento no iniciado.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PedidoService.cancelar(orderId) (RN-09).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Pedido.status = CANCELLED; reserva liberada.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PE-08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Pedido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Creado, con sesión de tarjeta iniciada.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Evento payment_intent.payment_failed llega a manejarEventoStripe().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Pedido.status = PAYMENT_FAILED.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PE-09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Pedido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 alistamiento (PREPARING).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marcarListoParaRetiro(orderId).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Pedido.status = READY_FOR_PICKUP.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PE-10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Pedido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Listo para retiro, con código vigente.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(i) retirarConCodigo() dentro de 5 días; (ii) frontera: un día después del vencimiento (RN-08).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(i) DELIVERED; (ii) se rechaza, permanece READY_FOR_PICKUP.</w:t>
            </w:r>
          </w:p>
        </w:tc>
      </w:tr>
    </w:tbl>
    <w:p/>
    <w:p>
      <w:pPr>
        <w:pStyle w:val="Heading1"/>
      </w:pPr>
      <w:r>
        <w:t>3. Pruebas de integración</w:t>
      </w:r>
    </w:p>
    <w:p>
      <w:r>
        <w:t>Estrategia ascendente (bottom-up), derivada del diagrama de clases detallado (Figura 4, Caso de Uso 1; Figura 11, Caso de Uso 2): se prueba primero el módulo atómico, luego sus combinaciones, hasta el grupo final.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E2F3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  <w:sz w:val="18"/>
              </w:rPr>
              <w:t>Módulo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  <w:sz w:val="18"/>
              </w:rPr>
              <w:t>Grupo / clases integradas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  <w:sz w:val="18"/>
              </w:rPr>
              <w:t>Pasos de la prueba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  <w:sz w:val="18"/>
              </w:rPr>
              <w:t>Resultado esperado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PI-01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1.2 Cuenta Digital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Ninguna — módulo atómico.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new Cuenta() y activar().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Cuenta.estado pasa de "pendiente" a "activa" sin depender de otras clases.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PI-02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1.2 Cuenta Digital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Grupo 2 (Cliente + Cuenta).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registrarCliente(dto).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 crean Cliente y Cuenta relacionados 1:1 (mismo id).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PI-03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1.2 Cuenta Digital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Grupo 3 (Cliente + Consentimiento), PoliticaDatos simulada.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otorgarConsentimiento().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El Consentimiento creado referencia la versión de política simulada.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PI-04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1.4 Pedido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Grupo 4 (Pedido), Carrito y Catalogo simulados.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PedidoService.confirmar(customerId, dto).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Total calculado correctamente; reserva solicitada con los parámetros correctos.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PI-05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1.5 Pago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Grupo 5 final — Pedido + Pago, Token y pasarela simulados.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procesarPago() con checkout.session.completed.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Pago (CONFIRMED) vinculado 1:1 con Token; Pedido.status = PAID.</w:t>
            </w:r>
          </w:p>
        </w:tc>
      </w:tr>
    </w:tbl>
    <w:p/>
    <w:p>
      <w:pPr>
        <w:pStyle w:val="Heading1"/>
      </w:pPr>
      <w:r>
        <w:t>4. Pruebas del sistema (caja negra, end-to-end)</w:t>
      </w:r>
    </w:p>
    <w:p>
      <w:r>
        <w:t>Derivadas directamente del caso de uso, ejecutadas contra la aplicación real (frontend + backend + Postgres reales) con Playwright, sin mocks. Un camino de éxito por caso de uso como mínimo; el Caso de Uso 2 agrega su camino de fallo por integrar más reglas de negocio críticas y dejar pasar dinero real.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9E2F3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1440"/>
            <w:shd w:val="clear" w:color="auto" w:fill="D9E2F3"/>
          </w:tcPr>
          <w:p>
            <w:r>
              <w:rPr>
                <w:b/>
                <w:sz w:val="18"/>
              </w:rPr>
              <w:t>Módulo</w:t>
            </w:r>
          </w:p>
        </w:tc>
        <w:tc>
          <w:tcPr>
            <w:tcW w:type="dxa" w:w="1440"/>
            <w:shd w:val="clear" w:color="auto" w:fill="D9E2F3"/>
          </w:tcPr>
          <w:p>
            <w:r>
              <w:rPr>
                <w:b/>
                <w:sz w:val="18"/>
              </w:rPr>
              <w:t>Caso de uso</w:t>
            </w:r>
          </w:p>
        </w:tc>
        <w:tc>
          <w:tcPr>
            <w:tcW w:type="dxa" w:w="1440"/>
            <w:shd w:val="clear" w:color="auto" w:fill="D9E2F3"/>
          </w:tcPr>
          <w:p>
            <w:r>
              <w:rPr>
                <w:b/>
                <w:sz w:val="18"/>
              </w:rPr>
              <w:t>Precondiciones</w:t>
            </w:r>
          </w:p>
        </w:tc>
        <w:tc>
          <w:tcPr>
            <w:tcW w:type="dxa" w:w="1440"/>
            <w:shd w:val="clear" w:color="auto" w:fill="D9E2F3"/>
          </w:tcPr>
          <w:p>
            <w:r>
              <w:rPr>
                <w:b/>
                <w:sz w:val="18"/>
              </w:rPr>
              <w:t>Pasos de la prueba</w:t>
            </w:r>
          </w:p>
        </w:tc>
        <w:tc>
          <w:tcPr>
            <w:tcW w:type="dxa" w:w="1440"/>
            <w:shd w:val="clear" w:color="auto" w:fill="D9E2F3"/>
          </w:tcPr>
          <w:p>
            <w:r>
              <w:rPr>
                <w:b/>
                <w:sz w:val="18"/>
              </w:rPr>
              <w:t>Resultado esperado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CU-04-01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1.2 Cuenta Digital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CU-04 + CU-05 (éxito)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Ninguna — documento, correo y contraseña nuevos, sin cuenta previa.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 Registro en /registro (P-4). 2. Redirección a /privacidad (P-5), consentimiento Pendiente. 3. Activar el interruptor, sin lealtad.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Se crea Cliente/Cuenta y Consentimiento Pendiente; tras activar, GET /cuenta/consentimiento responde active: true.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CU-09-01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1.4 Pedido / 1.5 Pago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CU-09 + CU-15 + CU-17 (éxito)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Sesión activa, consentimiento activo; carrito con producto publicado; sucursal sincronizada hace menos de 15 min (RN-04).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 Confirmar pedido (RN-03, RN-05). 2. Pagar con tarjeta de aprobación de Stripe (sandbox). 3. Webhook checkout.session.completed.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Pedido Pagado; Comprobante con código de retiro vigente 5 días (RN-08).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CU-09-02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1.4 Pedido / 1.5 Pago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CU-09 + CU-15 + CU-17 (fallo)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Carrito confirmado con reserva de unidades ya creada.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 Pagar con tarjeta de rechazo de Stripe. 2. Autorización rechazada. 3. Expirar la Checkout Session real (webhook checkout.session.expired).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Pedido en PAYMENT_FAILED; sin comprobante; unidades liberadas.</w:t>
            </w:r>
          </w:p>
        </w:tc>
      </w:tr>
    </w:tbl>
    <w:p/>
    <w:p>
      <w:pPr>
        <w:pStyle w:val="Heading1"/>
      </w:pPr>
      <w:r>
        <w:t>Resumen de la distribución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b/>
                <w:sz w:val="18"/>
              </w:rPr>
              <w:t>Categoría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  <w:sz w:val="18"/>
              </w:rPr>
              <w:t>Cantidad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  <w:sz w:val="18"/>
              </w:rPr>
              <w:t>Mínimo pedido por el docente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1. Ruta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 (PR-01 a PR-10)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2. Estado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 (PE-01 a PE-10)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3. Integración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 (PI-01 a PI-05)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4. Sistema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 (CU-04-01, CU-09-01, CU-09-02)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26</w:t>
            </w:r>
          </w:p>
        </w:tc>
      </w:tr>
    </w:tbl>
    <w:p/>
    <w:p>
      <w:r>
        <w:t>Los resultados de la ejecución real de estos 28 casos, con veredicto, evidencia y fecha, están en Resultados_Pruebas_ComproYa.md/.docx. La versión narrada, organizada por caso de uso y con las capturas embebidas, está en Informe_Pruebas_ComproYa.docx.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