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Archive: Reflecting-Light Crystal</w:t>
      </w:r>
    </w:p>
    <w:p>
      <w:pPr>
        <w:jc w:val="center"/>
      </w:pPr>
      <w:r>
        <w:rPr>
          <w:i/>
          <w:color w:val="505050"/>
        </w:rPr>
        <w:t>Field reference for controlled research personnel</w:t>
      </w:r>
    </w:p>
    <w:p>
      <w:pPr>
        <w:jc w:val="center"/>
      </w:pPr>
      <w:r>
        <w:rPr>
          <w:b/>
          <w:color w:val="7A2626"/>
        </w:rPr>
        <w:t>FARSIGHT DRIVE BIOTECHNOLOGY - INTERNAL ARCHIVE</w:t>
      </w:r>
    </w:p>
    <w:p>
      <w:pPr>
        <w:jc w:val="center"/>
      </w:pPr>
      <w:r>
        <w:rPr>
          <w:i/>
          <w:color w:val="505050"/>
          <w:sz w:val="18"/>
        </w:rPr>
        <w:t>Unauthorized duplication, open-net transmission, or unlicensed AI parsing is prohibited.</w:t>
      </w:r>
    </w:p>
    <w:p>
      <w:pPr>
        <w:ind w:left="360" w:right="360"/>
      </w:pPr>
      <w:r>
        <w:rPr>
          <w:i/>
          <w:color w:val="505050"/>
        </w:rPr>
        <w:t>A star does not have to burn to teach us humility.</w:t>
      </w:r>
    </w:p>
    <w:p>
      <w:pPr>
        <w:pStyle w:val="Heading1"/>
      </w:pPr>
      <w:r>
        <w:t>Overview</w:t>
      </w:r>
    </w:p>
    <w:p>
      <w:r>
        <w:t>Reflecting-Light Crystal is the central anomalous material of Farsight Drive research. It behaves as mineral, organism, reactor, processor, and spatial instrument depending on temperature, development stage, and derivative environment. This reference summarizes the properties cleared for internal technical distribution.</w:t>
      </w:r>
    </w:p>
    <w:p>
      <w:pPr>
        <w:pStyle w:val="Heading1"/>
      </w:pPr>
      <w:r>
        <w:t>Physical Appearance</w:t>
      </w:r>
    </w:p>
    <w:p>
      <w:r>
        <w:t>A dormant specimen presents as a low-transparency amorphous crystal-like body, commonly shifting between octahedral and dodecahedral outlines. Standard specimens average 1.25 meters in height and width, with mass ranging from 1.2 to 2.4 metric tons. Density varies under pressure in ways ordinary crystal physics does not explain.</w:t>
      </w:r>
    </w:p>
    <w:p>
      <w:pPr>
        <w:pStyle w:val="Heading1"/>
      </w:pPr>
      <w:r>
        <w:t>Activity Classes</w:t>
      </w:r>
    </w:p>
    <w:p>
      <w:pPr>
        <w:pStyle w:val="Heading2"/>
      </w:pPr>
      <w:r>
        <w:t>Dormant State</w:t>
      </w:r>
    </w:p>
    <w:p>
      <w:r>
        <w:t>Dormant crystals are black or near-black. Their shape cycle averages two seconds and cannot be halted by known external control. Biological energy activity is nearly absent. Under pressure, the crystal compresses rather than fractures, and microscopic observation fails to resolve stable interior structure.</w:t>
      </w:r>
    </w:p>
    <w:p>
      <w:pPr>
        <w:pStyle w:val="Heading2"/>
      </w:pPr>
      <w:r>
        <w:t>Active State</w:t>
      </w:r>
    </w:p>
    <w:p>
      <w:r>
        <w:t>Above -172 C, crystal color shifts toward dark red and the shape cycle shortens to roughly one second. Activity can be influenced by derivative no. 12 type A and by the crystal's own metabolic state. Heat output rises sharply.</w:t>
      </w:r>
    </w:p>
    <w:p>
      <w:r>
        <w:t>Above -168 C, active crystals may grow tree-like lamellar structures resembling circuit paths. Over time these structures can form a spiked ring and slow into a fixed configuration. Mitochondria-like structures become visible internally, although fundamental particle observation remains unreliable.</w:t>
      </w:r>
    </w:p>
    <w:p>
      <w:pPr>
        <w:pStyle w:val="Heading1"/>
      </w:pPr>
      <w:r>
        <w:t>Development Stages</w:t>
      </w:r>
    </w:p>
    <w:p>
      <w:pPr>
        <w:pStyle w:val="Heading2"/>
      </w:pPr>
      <w:r>
        <w:t>Juvenile</w:t>
      </w:r>
    </w:p>
    <w:p>
      <w:r>
        <w:t>Juvenile crystals show no derivative growth or only the earliest differentiation. Their energy output, color, and material properties are comparatively stable, while external shape continues to change. Under dense plasma at approximately -200 C, differentiation slows or stops and output rises; fusion-like activity has been detected under these conditions.</w:t>
      </w:r>
    </w:p>
    <w:p>
      <w:r>
        <w:t>Derivative no. 31 type C can maintain this state. Juvenile crystals are therefore used as high-risk energy raw material and as the safest form for limited industrial contact.</w:t>
      </w:r>
    </w:p>
    <w:p>
      <w:pPr>
        <w:pStyle w:val="Heading2"/>
      </w:pPr>
      <w:r>
        <w:t>Adolescent</w:t>
      </w:r>
    </w:p>
    <w:p>
      <w:r>
        <w:t>Adolescent crystals begin derivative-organism differentiation. Output becomes unstable, color brightens, and shape often fixes around a ring base. Tissues made from derivatives form around the crystal as it settles dark matter or nearby particles, changes electron distributions and chemical bonds, and constructs body structures from available matter.</w:t>
      </w:r>
    </w:p>
    <w:p>
      <w:r>
        <w:t>Derivative no. 12 type B and high-affinity scaffolds can guide this construction, but uncontrolled adolescent crystals may disrupt local time-space reference frames and attempt to build phase-space communication ducts. Spontaneous contact can trigger group incidents that remain classified. Most Farsight Drive crystal materials and ship-core components come from adolescent specimens. In limited cases they can substitute for phase coils.</w:t>
      </w:r>
    </w:p>
    <w:p>
      <w:r>
        <w:t>Adolescent specimens usually cannot evolve further under normal laboratory constraints. The word usually is the reason this archive has a security stamp.</w:t>
      </w:r>
    </w:p>
    <w:p>
      <w:pPr>
        <w:pStyle w:val="Heading2"/>
      </w:pPr>
      <w:r>
        <w:t>Adult</w:t>
      </w:r>
    </w:p>
    <w:p>
      <w:r>
        <w:t>Adult crystal data is restricted by Farsight Drive Security Department regulation. Handling, transport, reproduction, or unsupervised theoretical modeling of adult-stage behavior requires direct Central R&amp;D authorization from the Explorer's office.</w:t>
      </w:r>
    </w:p>
    <w:p>
      <w:pPr>
        <w:pStyle w:val="Heading1"/>
      </w:pPr>
      <w:r>
        <w:t>Derivatives</w:t>
      </w:r>
    </w:p>
    <w:p>
      <w:r>
        <w:t>Derivatives are produced after adolescence begins. They are particle arrangements constructed under crystal control, usually carbon-carbon based and frequently organic under Persean biological definitions. Registered derivative classes already outnumber known human protein categories.</w:t>
      </w:r>
    </w:p>
    <w:p>
      <w:r>
        <w:t>Most derivatives remain active for roughly twenty-four hours after extraction. Thirty-one major numbered classes are recognized in standard Farsight Drive taxonomy. No. 12 and no. 31 regulate crystal life activity; no. 2 and no. 4 are heavily used in materials and military applications; no. 1 has medicinal value; no. 13 is treated separately due to unstable spatial reference behavior.</w:t>
      </w:r>
    </w:p>
    <w:p>
      <w:pPr>
        <w:pStyle w:val="Heading1"/>
      </w:pPr>
      <w:r>
        <w:t>Crystal Intelligence</w:t>
      </w:r>
    </w:p>
    <w:p>
      <w:r>
        <w:t>Open study of crystal intelligence began in C+205 under AI law exemptions and authorization from Hegemony representative Baikal Daud. Some adolescent crystals develop core structures resembling primate cerebral cortex tissue. These cores show low baseline intelligence but rapid learning under induction.</w:t>
      </w:r>
    </w:p>
    <w:p>
      <w:r>
        <w:t>The most advanced known specimen required eighteen internal transformations, classified computation support, and long-duration language conditioning before limited question-and-answer exchange became possible. It also appeared to acquire knowledge without conventional input. Such specimens are rare, heavily controlled, and subject to Hegemony oversight requests initiated by Farsight Drive itself.</w:t>
      </w:r>
    </w:p>
    <w:p>
      <w:pPr>
        <w:pStyle w:val="Heading1"/>
      </w:pPr>
      <w:r>
        <w:t>The Return</w:t>
      </w:r>
    </w:p>
    <w:p>
      <w:r>
        <w:t>The Return is the most dangerous known crystal phenomenon and the conceptual basis for several Farsight Drive technologies. In controlled miniature form, a crystal generates femtometer-scale phase wormholes, captures and manipulates particles, splits them into quarks, compresses them to point-mass scale, and rearranges them into other particles or materials.</w:t>
      </w:r>
    </w:p>
    <w:p>
      <w:r>
        <w:t>The process violates ordinary thermodynamic expectations. Its energy appears to come from deep phase space, with no confirmed upper bound. Small controlled Return events underpin the Biomass Refining Machine. Larger or uncontrolled events accelerate crystal evolution.</w:t>
      </w:r>
    </w:p>
    <w:p>
      <w:r>
        <w:t>Non-sapient creatures and sapients under extreme primal desire may move toward Return phenomena voluntarily. Exposure can push adolescent crystals toward adult transition. Farsight Drive employees who show compulsive desire, fixation, or surrender behavior around crystals are removed from duty, treated, controlled, or memory-wiped depending on severity.</w:t>
      </w:r>
    </w:p>
    <w:p>
      <w:pPr>
        <w:pStyle w:val="Heading1"/>
      </w:pPr>
      <w:r>
        <w:t>Field Rule</w:t>
      </w:r>
    </w:p>
    <w:p>
      <w:r>
        <w:t>No crystal is inert until proven inert by someone with authority to be wrong. If a specimen changes color, shape, heat output, perceived distance, local time sense, or the behavior of nearby personnel, withdraw first and interpret later.</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7A262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Calibri" w:hAnsi="Calibr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