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0456"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7FB11FD"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5EDD9F9" w14:textId="5E96D103" w:rsidR="00B357AC" w:rsidRPr="00796E2E" w:rsidRDefault="00C64199"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031724">
        <w:rPr>
          <w:rFonts w:ascii="Tahoma" w:hAnsi="Tahoma" w:cs="Tahoma"/>
          <w:noProof/>
          <w:sz w:val="24"/>
          <w:szCs w:val="24"/>
          <w:lang w:eastAsia="en-ZW"/>
        </w:rPr>
        <w:drawing>
          <wp:inline distT="0" distB="0" distL="0" distR="0" wp14:anchorId="1B34E824" wp14:editId="2AD593E0">
            <wp:extent cx="3133725" cy="18954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60CFEEBC"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240694DD"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sidRPr="00796E2E">
        <w:rPr>
          <w:rFonts w:ascii="Tahoma" w:hAnsi="Tahoma" w:cs="Tahoma"/>
          <w:b/>
          <w:sz w:val="32"/>
          <w:szCs w:val="32"/>
        </w:rPr>
        <w:t>NATIONAL ECONOMIC CONSULTATIVE FORUM</w:t>
      </w:r>
    </w:p>
    <w:p w14:paraId="2B89B1B6"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5C735B46"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50816332" w14:textId="77777777" w:rsidR="00B357AC" w:rsidRPr="00796E2E"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sidRPr="00796E2E">
        <w:rPr>
          <w:rFonts w:ascii="Tahoma" w:hAnsi="Tahoma" w:cs="Tahoma"/>
          <w:b/>
          <w:sz w:val="32"/>
          <w:szCs w:val="32"/>
        </w:rPr>
        <w:t>MONTHLY</w:t>
      </w:r>
      <w:r w:rsidR="00B357AC" w:rsidRPr="00796E2E">
        <w:rPr>
          <w:rFonts w:ascii="Tahoma" w:hAnsi="Tahoma" w:cs="Tahoma"/>
          <w:b/>
          <w:sz w:val="32"/>
          <w:szCs w:val="32"/>
        </w:rPr>
        <w:t xml:space="preserve"> ECONOMIC BULLETIN </w:t>
      </w:r>
    </w:p>
    <w:p w14:paraId="0EC75C0B"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1122D489"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p>
    <w:p w14:paraId="00404AA3" w14:textId="77777777" w:rsidR="00B357AC" w:rsidRPr="00796E2E" w:rsidRDefault="00B20E1F"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rPr>
      </w:pPr>
      <w:r w:rsidRPr="00796E2E">
        <w:rPr>
          <w:rFonts w:ascii="Tahoma" w:hAnsi="Tahoma" w:cs="Tahoma"/>
          <w:b/>
          <w:sz w:val="32"/>
          <w:szCs w:val="32"/>
        </w:rPr>
        <w:t>April</w:t>
      </w:r>
      <w:r w:rsidR="00B357AC" w:rsidRPr="00796E2E">
        <w:rPr>
          <w:rFonts w:ascii="Tahoma" w:hAnsi="Tahoma" w:cs="Tahoma"/>
          <w:b/>
          <w:sz w:val="32"/>
          <w:szCs w:val="32"/>
        </w:rPr>
        <w:t xml:space="preserve"> 202</w:t>
      </w:r>
      <w:r w:rsidR="00DB67ED" w:rsidRPr="00796E2E">
        <w:rPr>
          <w:rFonts w:ascii="Tahoma" w:hAnsi="Tahoma" w:cs="Tahoma"/>
          <w:b/>
          <w:sz w:val="32"/>
          <w:szCs w:val="32"/>
        </w:rPr>
        <w:t>4</w:t>
      </w:r>
    </w:p>
    <w:p w14:paraId="3D7C11E7"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rPr>
      </w:pPr>
    </w:p>
    <w:p w14:paraId="5BC797B8"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3145D0A"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0F421164" w14:textId="77777777" w:rsidR="00B357AC" w:rsidRPr="00796E2E"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74A1EB1D" w14:textId="77777777" w:rsidR="00B357AC" w:rsidRPr="00796E2E" w:rsidRDefault="00B357AC" w:rsidP="00B357AC">
      <w:pPr>
        <w:rPr>
          <w:rFonts w:ascii="Tahoma" w:hAnsi="Tahoma" w:cs="Tahoma"/>
          <w:sz w:val="24"/>
          <w:szCs w:val="24"/>
        </w:rPr>
        <w:sectPr w:rsidR="00B357AC" w:rsidRPr="00796E2E" w:rsidSect="00EF15A0">
          <w:footerReference w:type="default" r:id="rId9"/>
          <w:pgSz w:w="11906" w:h="16838"/>
          <w:pgMar w:top="1440" w:right="1440" w:bottom="1440" w:left="1440" w:header="708" w:footer="708" w:gutter="0"/>
          <w:cols w:space="708"/>
          <w:titlePg/>
          <w:docGrid w:linePitch="360"/>
        </w:sectPr>
      </w:pPr>
    </w:p>
    <w:p w14:paraId="02C5A3D0" w14:textId="77777777" w:rsidR="007E39CC" w:rsidRPr="00796E2E" w:rsidRDefault="007E39CC" w:rsidP="007E39CC">
      <w:pPr>
        <w:pStyle w:val="Heading1"/>
        <w:spacing w:before="0" w:after="240"/>
        <w:rPr>
          <w:rFonts w:cs="Tahoma"/>
          <w:bCs/>
          <w:color w:val="000000"/>
          <w:szCs w:val="24"/>
        </w:rPr>
      </w:pPr>
      <w:bookmarkStart w:id="0" w:name="_Toc166607888"/>
      <w:bookmarkStart w:id="1" w:name="_Toc168317163"/>
      <w:r w:rsidRPr="00796E2E">
        <w:rPr>
          <w:rFonts w:cs="Tahoma"/>
          <w:bCs/>
          <w:color w:val="000000"/>
          <w:szCs w:val="24"/>
        </w:rPr>
        <w:lastRenderedPageBreak/>
        <w:t>Executive Summary</w:t>
      </w:r>
      <w:bookmarkEnd w:id="0"/>
      <w:bookmarkEnd w:id="1"/>
      <w:r w:rsidRPr="00796E2E">
        <w:rPr>
          <w:rFonts w:cs="Tahoma"/>
          <w:bCs/>
          <w:color w:val="000000"/>
          <w:szCs w:val="24"/>
        </w:rPr>
        <w:t xml:space="preserve"> </w:t>
      </w:r>
    </w:p>
    <w:p w14:paraId="732A01CE" w14:textId="77777777" w:rsidR="007E39CC" w:rsidRPr="00796E2E" w:rsidRDefault="007E39CC" w:rsidP="007E39CC">
      <w:pPr>
        <w:jc w:val="both"/>
        <w:rPr>
          <w:rFonts w:ascii="Tahoma" w:hAnsi="Tahoma" w:cs="Tahoma"/>
          <w:sz w:val="24"/>
          <w:szCs w:val="24"/>
        </w:rPr>
      </w:pPr>
      <w:r w:rsidRPr="00796E2E">
        <w:rPr>
          <w:rFonts w:ascii="Tahoma" w:hAnsi="Tahoma" w:cs="Tahoma"/>
          <w:sz w:val="24"/>
          <w:szCs w:val="24"/>
        </w:rPr>
        <w:t xml:space="preserve">This bulletin focuses on economic developments for the month ending </w:t>
      </w:r>
      <w:r w:rsidR="00CB78E8" w:rsidRPr="00796E2E">
        <w:rPr>
          <w:rFonts w:ascii="Tahoma" w:hAnsi="Tahoma" w:cs="Tahoma"/>
          <w:sz w:val="24"/>
          <w:szCs w:val="24"/>
        </w:rPr>
        <w:t>30</w:t>
      </w:r>
      <w:r w:rsidRPr="00796E2E">
        <w:rPr>
          <w:rFonts w:ascii="Tahoma" w:hAnsi="Tahoma" w:cs="Tahoma"/>
          <w:sz w:val="24"/>
          <w:szCs w:val="24"/>
        </w:rPr>
        <w:t xml:space="preserve"> </w:t>
      </w:r>
      <w:r w:rsidR="00CB78E8" w:rsidRPr="00796E2E">
        <w:rPr>
          <w:rFonts w:ascii="Tahoma" w:hAnsi="Tahoma" w:cs="Tahoma"/>
          <w:sz w:val="24"/>
          <w:szCs w:val="24"/>
        </w:rPr>
        <w:t xml:space="preserve">April </w:t>
      </w:r>
      <w:r w:rsidRPr="00796E2E">
        <w:rPr>
          <w:rFonts w:ascii="Tahoma" w:hAnsi="Tahoma" w:cs="Tahoma"/>
          <w:sz w:val="24"/>
          <w:szCs w:val="24"/>
        </w:rPr>
        <w:t xml:space="preserve">2024 that </w:t>
      </w:r>
      <w:r w:rsidR="00B8178B" w:rsidRPr="00796E2E">
        <w:rPr>
          <w:rFonts w:ascii="Tahoma" w:hAnsi="Tahoma" w:cs="Tahoma"/>
          <w:sz w:val="24"/>
          <w:szCs w:val="24"/>
        </w:rPr>
        <w:t>include</w:t>
      </w:r>
      <w:r w:rsidRPr="00796E2E">
        <w:rPr>
          <w:rFonts w:ascii="Tahoma" w:hAnsi="Tahoma" w:cs="Tahoma"/>
          <w:sz w:val="24"/>
          <w:szCs w:val="24"/>
        </w:rPr>
        <w:t xml:space="preserve"> Zimbabwe Gross Domestic Product (GDP) growth updates, merchandise trade developments, exchange rate developments, inflation developments, monetary developments and stock market developments as well as world economic developments and international commodity prices. </w:t>
      </w:r>
    </w:p>
    <w:p w14:paraId="2D94323A" w14:textId="77777777" w:rsidR="007E39CC" w:rsidRPr="00796E2E" w:rsidRDefault="00B8178B" w:rsidP="007E39CC">
      <w:pPr>
        <w:jc w:val="both"/>
        <w:rPr>
          <w:rFonts w:ascii="Tahoma" w:hAnsi="Tahoma" w:cs="Tahoma"/>
          <w:sz w:val="24"/>
          <w:szCs w:val="24"/>
        </w:rPr>
      </w:pPr>
      <w:r w:rsidRPr="00796E2E">
        <w:rPr>
          <w:rFonts w:ascii="Tahoma" w:hAnsi="Tahoma" w:cs="Tahoma"/>
          <w:sz w:val="24"/>
          <w:szCs w:val="24"/>
        </w:rPr>
        <w:t>The global economy remains remarkably resilient with growth expected to be steady but slow. According to the International Monetary Fund's (IMF) World Economic Outlook (WEO) Update for April 2024, global</w:t>
      </w:r>
      <w:r w:rsidR="007E39CC" w:rsidRPr="00796E2E">
        <w:rPr>
          <w:rFonts w:ascii="Tahoma" w:hAnsi="Tahoma" w:cs="Tahoma"/>
          <w:sz w:val="24"/>
          <w:szCs w:val="24"/>
        </w:rPr>
        <w:t xml:space="preserve"> economic growth is projected to </w:t>
      </w:r>
      <w:r w:rsidR="00CB78E8" w:rsidRPr="00796E2E">
        <w:rPr>
          <w:rFonts w:ascii="Tahoma" w:hAnsi="Tahoma" w:cs="Tahoma"/>
          <w:sz w:val="24"/>
          <w:szCs w:val="24"/>
        </w:rPr>
        <w:t xml:space="preserve">maintain a 2023 growth of 3.2% </w:t>
      </w:r>
      <w:r w:rsidRPr="00796E2E">
        <w:rPr>
          <w:rFonts w:ascii="Tahoma" w:hAnsi="Tahoma" w:cs="Tahoma"/>
          <w:sz w:val="24"/>
          <w:szCs w:val="24"/>
        </w:rPr>
        <w:t>in</w:t>
      </w:r>
      <w:r w:rsidR="00CB78E8" w:rsidRPr="00796E2E">
        <w:rPr>
          <w:rFonts w:ascii="Tahoma" w:hAnsi="Tahoma" w:cs="Tahoma"/>
          <w:sz w:val="24"/>
          <w:szCs w:val="24"/>
        </w:rPr>
        <w:t xml:space="preserve"> 2024 </w:t>
      </w:r>
      <w:r w:rsidRPr="00796E2E">
        <w:rPr>
          <w:rFonts w:ascii="Tahoma" w:hAnsi="Tahoma" w:cs="Tahoma"/>
          <w:sz w:val="24"/>
          <w:szCs w:val="24"/>
        </w:rPr>
        <w:t>and</w:t>
      </w:r>
      <w:r w:rsidR="00CB78E8" w:rsidRPr="00796E2E">
        <w:rPr>
          <w:rFonts w:ascii="Tahoma" w:hAnsi="Tahoma" w:cs="Tahoma"/>
          <w:sz w:val="24"/>
          <w:szCs w:val="24"/>
        </w:rPr>
        <w:t xml:space="preserve"> 2025</w:t>
      </w:r>
      <w:r w:rsidRPr="00796E2E">
        <w:rPr>
          <w:rFonts w:ascii="Tahoma" w:hAnsi="Tahoma" w:cs="Tahoma"/>
          <w:sz w:val="24"/>
          <w:szCs w:val="24"/>
        </w:rPr>
        <w:t xml:space="preserve">. </w:t>
      </w:r>
      <w:r w:rsidR="00CB78E8" w:rsidRPr="00796E2E">
        <w:rPr>
          <w:rFonts w:ascii="Tahoma" w:hAnsi="Tahoma" w:cs="Tahoma"/>
          <w:sz w:val="24"/>
          <w:szCs w:val="24"/>
        </w:rPr>
        <w:t>The journey has been eventful, starting with supply-chain disruptions in the aftermath of the pandemic, a Russian-initiated war on Ukraine that triggered a global energy and food crisis, followed by a globally synchronized monetary policy tightening</w:t>
      </w:r>
      <w:r w:rsidR="007E39CC" w:rsidRPr="00796E2E">
        <w:rPr>
          <w:rFonts w:ascii="Tahoma" w:hAnsi="Tahoma" w:cs="Tahoma"/>
          <w:sz w:val="24"/>
          <w:szCs w:val="24"/>
        </w:rPr>
        <w:t xml:space="preserve">. On the other hand, </w:t>
      </w:r>
      <w:r w:rsidR="00CB78E8" w:rsidRPr="00796E2E">
        <w:rPr>
          <w:rFonts w:ascii="Tahoma" w:hAnsi="Tahoma" w:cs="Tahoma"/>
          <w:sz w:val="24"/>
          <w:szCs w:val="24"/>
        </w:rPr>
        <w:t>global inflation is expected to slow down from 6.8% in 2023 to 5.9% in 2024 and further decline to 4.5% in 2025</w:t>
      </w:r>
      <w:r w:rsidRPr="00796E2E">
        <w:rPr>
          <w:rFonts w:ascii="Tahoma" w:hAnsi="Tahoma" w:cs="Tahoma"/>
          <w:sz w:val="24"/>
          <w:szCs w:val="24"/>
        </w:rPr>
        <w:t xml:space="preserve">.  </w:t>
      </w:r>
    </w:p>
    <w:p w14:paraId="2957A553" w14:textId="77777777" w:rsidR="00CB78E8" w:rsidRPr="00796E2E" w:rsidRDefault="00A7764C" w:rsidP="007E39CC">
      <w:pPr>
        <w:jc w:val="both"/>
        <w:rPr>
          <w:rFonts w:ascii="Tahoma" w:hAnsi="Tahoma" w:cs="Tahoma"/>
          <w:sz w:val="24"/>
          <w:szCs w:val="24"/>
        </w:rPr>
      </w:pPr>
      <w:r w:rsidRPr="00796E2E">
        <w:rPr>
          <w:rFonts w:ascii="Tahoma" w:hAnsi="Tahoma" w:cs="Tahoma"/>
          <w:sz w:val="24"/>
          <w:szCs w:val="24"/>
        </w:rPr>
        <w:t xml:space="preserve">During the month under review, the commodity prices registered an upward general trend except </w:t>
      </w:r>
      <w:r w:rsidR="00B8178B" w:rsidRPr="00796E2E">
        <w:rPr>
          <w:rFonts w:ascii="Tahoma" w:hAnsi="Tahoma" w:cs="Tahoma"/>
          <w:sz w:val="24"/>
          <w:szCs w:val="24"/>
        </w:rPr>
        <w:t xml:space="preserve">for </w:t>
      </w:r>
      <w:r w:rsidRPr="00796E2E">
        <w:rPr>
          <w:rFonts w:ascii="Tahoma" w:hAnsi="Tahoma" w:cs="Tahoma"/>
          <w:sz w:val="24"/>
          <w:szCs w:val="24"/>
        </w:rPr>
        <w:t>crude oil, cotton and soyabeans. This was largely due to geopolitical tensions such as Russia-Ukraine war</w:t>
      </w:r>
      <w:r w:rsidR="00B8178B" w:rsidRPr="00796E2E">
        <w:rPr>
          <w:rFonts w:ascii="Tahoma" w:hAnsi="Tahoma" w:cs="Tahoma"/>
          <w:sz w:val="24"/>
          <w:szCs w:val="24"/>
        </w:rPr>
        <w:t xml:space="preserve"> and the</w:t>
      </w:r>
      <w:r w:rsidRPr="00796E2E">
        <w:rPr>
          <w:rFonts w:ascii="Tahoma" w:hAnsi="Tahoma" w:cs="Tahoma"/>
          <w:sz w:val="24"/>
          <w:szCs w:val="24"/>
        </w:rPr>
        <w:t xml:space="preserve"> Gaza war which disrupted supply chains </w:t>
      </w:r>
      <w:r w:rsidR="00B8178B" w:rsidRPr="00796E2E">
        <w:rPr>
          <w:rFonts w:ascii="Tahoma" w:hAnsi="Tahoma" w:cs="Tahoma"/>
          <w:sz w:val="24"/>
          <w:szCs w:val="24"/>
        </w:rPr>
        <w:t>as well as the</w:t>
      </w:r>
      <w:r w:rsidRPr="00796E2E">
        <w:rPr>
          <w:rFonts w:ascii="Tahoma" w:hAnsi="Tahoma" w:cs="Tahoma"/>
          <w:sz w:val="24"/>
          <w:szCs w:val="24"/>
        </w:rPr>
        <w:t xml:space="preserve"> El Nino induced drought.</w:t>
      </w:r>
    </w:p>
    <w:p w14:paraId="226E3B38" w14:textId="77777777" w:rsidR="00CB78E8" w:rsidRPr="00796E2E" w:rsidRDefault="00B8178B" w:rsidP="007E39CC">
      <w:pPr>
        <w:jc w:val="both"/>
        <w:rPr>
          <w:rFonts w:ascii="Tahoma" w:hAnsi="Tahoma" w:cs="Tahoma"/>
          <w:sz w:val="24"/>
          <w:szCs w:val="24"/>
        </w:rPr>
      </w:pPr>
      <w:r w:rsidRPr="00796E2E">
        <w:rPr>
          <w:rFonts w:ascii="Tahoma" w:hAnsi="Tahoma" w:cs="Tahoma"/>
          <w:sz w:val="24"/>
          <w:szCs w:val="24"/>
        </w:rPr>
        <w:t xml:space="preserve">Zimbabwe’s </w:t>
      </w:r>
      <w:r w:rsidR="00A7764C" w:rsidRPr="00796E2E">
        <w:rPr>
          <w:rFonts w:ascii="Tahoma" w:hAnsi="Tahoma" w:cs="Tahoma"/>
          <w:sz w:val="24"/>
          <w:szCs w:val="24"/>
        </w:rPr>
        <w:t xml:space="preserve">growth rate in 2024 is expected to be lower than 2023 growth due to the effects of the El Nino induced drought, the impact of structural bottlenecks and lower commodity prices. El-Nino-induced drought affected most rain-fed crops and </w:t>
      </w:r>
      <w:r w:rsidRPr="00796E2E">
        <w:rPr>
          <w:rFonts w:ascii="Tahoma" w:hAnsi="Tahoma" w:cs="Tahoma"/>
          <w:sz w:val="24"/>
          <w:szCs w:val="24"/>
        </w:rPr>
        <w:t xml:space="preserve">is </w:t>
      </w:r>
      <w:r w:rsidR="00A7764C" w:rsidRPr="00796E2E">
        <w:rPr>
          <w:rFonts w:ascii="Tahoma" w:hAnsi="Tahoma" w:cs="Tahoma"/>
          <w:sz w:val="24"/>
          <w:szCs w:val="24"/>
        </w:rPr>
        <w:t>intensify</w:t>
      </w:r>
      <w:r w:rsidRPr="00796E2E">
        <w:rPr>
          <w:rFonts w:ascii="Tahoma" w:hAnsi="Tahoma" w:cs="Tahoma"/>
          <w:sz w:val="24"/>
          <w:szCs w:val="24"/>
        </w:rPr>
        <w:t>ing</w:t>
      </w:r>
      <w:r w:rsidR="00A7764C" w:rsidRPr="00796E2E">
        <w:rPr>
          <w:rFonts w:ascii="Tahoma" w:hAnsi="Tahoma" w:cs="Tahoma"/>
          <w:sz w:val="24"/>
          <w:szCs w:val="24"/>
        </w:rPr>
        <w:t xml:space="preserve"> electricity supply shortages. </w:t>
      </w:r>
      <w:r w:rsidR="00A7764C" w:rsidRPr="00796E2E">
        <w:rPr>
          <w:rFonts w:ascii="Tahoma" w:hAnsi="Tahoma" w:cs="Tahoma"/>
          <w:kern w:val="0"/>
          <w:sz w:val="24"/>
          <w:szCs w:val="24"/>
          <w:lang w:eastAsia="en-ZW"/>
        </w:rPr>
        <w:t>In terms of outlook, the I</w:t>
      </w:r>
      <w:r w:rsidRPr="00796E2E">
        <w:rPr>
          <w:rFonts w:ascii="Tahoma" w:hAnsi="Tahoma" w:cs="Tahoma"/>
          <w:kern w:val="0"/>
          <w:sz w:val="24"/>
          <w:szCs w:val="24"/>
          <w:lang w:eastAsia="en-ZW"/>
        </w:rPr>
        <w:t xml:space="preserve">MF in </w:t>
      </w:r>
      <w:r w:rsidR="00A7764C" w:rsidRPr="00796E2E">
        <w:rPr>
          <w:rFonts w:ascii="Tahoma" w:hAnsi="Tahoma" w:cs="Tahoma"/>
          <w:kern w:val="0"/>
          <w:sz w:val="24"/>
          <w:szCs w:val="24"/>
          <w:lang w:eastAsia="en-ZW"/>
        </w:rPr>
        <w:t xml:space="preserve">its April 2024 </w:t>
      </w:r>
      <w:r w:rsidRPr="00796E2E">
        <w:rPr>
          <w:rFonts w:ascii="Tahoma" w:hAnsi="Tahoma" w:cs="Tahoma"/>
          <w:kern w:val="0"/>
          <w:sz w:val="24"/>
          <w:szCs w:val="24"/>
          <w:lang w:eastAsia="en-ZW"/>
        </w:rPr>
        <w:t>WEO</w:t>
      </w:r>
      <w:r w:rsidR="00A7764C" w:rsidRPr="00796E2E">
        <w:rPr>
          <w:rFonts w:ascii="Tahoma" w:hAnsi="Tahoma" w:cs="Tahoma"/>
          <w:kern w:val="0"/>
          <w:sz w:val="24"/>
          <w:szCs w:val="24"/>
          <w:lang w:eastAsia="en-ZW"/>
        </w:rPr>
        <w:t xml:space="preserve"> update</w:t>
      </w:r>
      <w:r w:rsidRPr="00796E2E">
        <w:rPr>
          <w:rFonts w:ascii="Tahoma" w:hAnsi="Tahoma" w:cs="Tahoma"/>
          <w:kern w:val="0"/>
          <w:sz w:val="24"/>
          <w:szCs w:val="24"/>
          <w:lang w:eastAsia="en-ZW"/>
        </w:rPr>
        <w:t>,</w:t>
      </w:r>
      <w:r w:rsidR="00A7764C" w:rsidRPr="00796E2E">
        <w:rPr>
          <w:rFonts w:ascii="Tahoma" w:hAnsi="Tahoma" w:cs="Tahoma"/>
          <w:kern w:val="0"/>
          <w:sz w:val="24"/>
          <w:szCs w:val="24"/>
          <w:lang w:eastAsia="en-ZW"/>
        </w:rPr>
        <w:t xml:space="preserve"> anticipate Zimbabwe’s economic growth to drop from 5.3% realised in 2023 to 3.2% in 2024 and 2025.</w:t>
      </w:r>
    </w:p>
    <w:p w14:paraId="79E2938E" w14:textId="49FE1B5A" w:rsidR="007E39CC" w:rsidRPr="00796E2E" w:rsidRDefault="00D97A60" w:rsidP="005F16B4">
      <w:pPr>
        <w:spacing w:after="0" w:line="240" w:lineRule="auto"/>
        <w:jc w:val="both"/>
        <w:rPr>
          <w:rFonts w:ascii="Tahoma" w:hAnsi="Tahoma" w:cs="Tahoma"/>
          <w:sz w:val="24"/>
          <w:szCs w:val="24"/>
        </w:rPr>
      </w:pPr>
      <w:r w:rsidRPr="00796E2E">
        <w:rPr>
          <w:rFonts w:ascii="Tahoma" w:hAnsi="Tahoma" w:cs="Tahoma"/>
          <w:sz w:val="24"/>
          <w:szCs w:val="24"/>
        </w:rPr>
        <w:t>The Reserve Bank of Zimbabwe</w:t>
      </w:r>
      <w:r w:rsidR="00B8178B" w:rsidRPr="00796E2E">
        <w:rPr>
          <w:rFonts w:ascii="Tahoma" w:hAnsi="Tahoma" w:cs="Tahoma"/>
          <w:sz w:val="24"/>
          <w:szCs w:val="24"/>
        </w:rPr>
        <w:t xml:space="preserve"> (RBZ)</w:t>
      </w:r>
      <w:r w:rsidRPr="00796E2E">
        <w:rPr>
          <w:rFonts w:ascii="Tahoma" w:hAnsi="Tahoma" w:cs="Tahoma"/>
          <w:sz w:val="24"/>
          <w:szCs w:val="24"/>
        </w:rPr>
        <w:t xml:space="preserve"> introduced </w:t>
      </w:r>
      <w:r w:rsidR="00B8178B" w:rsidRPr="00796E2E">
        <w:rPr>
          <w:rFonts w:ascii="Tahoma" w:hAnsi="Tahoma" w:cs="Tahoma"/>
          <w:sz w:val="24"/>
          <w:szCs w:val="24"/>
        </w:rPr>
        <w:t>a new</w:t>
      </w:r>
      <w:r w:rsidRPr="00796E2E">
        <w:rPr>
          <w:rFonts w:ascii="Tahoma" w:hAnsi="Tahoma" w:cs="Tahoma"/>
          <w:sz w:val="24"/>
          <w:szCs w:val="24"/>
        </w:rPr>
        <w:t xml:space="preserve"> structured currency called Zimbabwe Gold (ZiG) which is fully backed by forex reserves, gold and other precious minerals.</w:t>
      </w:r>
      <w:r w:rsidR="00715890" w:rsidRPr="00796E2E">
        <w:rPr>
          <w:rFonts w:ascii="Tahoma" w:hAnsi="Tahoma" w:cs="Tahoma"/>
          <w:sz w:val="24"/>
          <w:szCs w:val="24"/>
        </w:rPr>
        <w:t xml:space="preserve"> </w:t>
      </w:r>
      <w:r w:rsidR="00B8178B" w:rsidRPr="00D0597C">
        <w:rPr>
          <w:rFonts w:ascii="Tahoma" w:hAnsi="Tahoma" w:cs="Tahoma"/>
          <w:sz w:val="24"/>
          <w:szCs w:val="24"/>
        </w:rPr>
        <w:t xml:space="preserve">However, during the month under review, the </w:t>
      </w:r>
      <w:r w:rsidR="00715890" w:rsidRPr="00D0597C">
        <w:rPr>
          <w:rFonts w:ascii="Tahoma" w:hAnsi="Tahoma" w:cs="Tahoma"/>
          <w:sz w:val="24"/>
          <w:szCs w:val="24"/>
        </w:rPr>
        <w:t>ZiG</w:t>
      </w:r>
      <w:r w:rsidR="007E39CC" w:rsidRPr="00D0597C">
        <w:rPr>
          <w:rFonts w:ascii="Tahoma" w:hAnsi="Tahoma" w:cs="Tahoma"/>
          <w:sz w:val="24"/>
          <w:szCs w:val="24"/>
        </w:rPr>
        <w:t xml:space="preserve"> depreciated against all major currencies</w:t>
      </w:r>
      <w:r w:rsidR="0063764B">
        <w:rPr>
          <w:rFonts w:ascii="Tahoma" w:hAnsi="Tahoma" w:cs="Tahoma"/>
          <w:sz w:val="24"/>
          <w:szCs w:val="24"/>
        </w:rPr>
        <w:t xml:space="preserve"> </w:t>
      </w:r>
      <w:r w:rsidR="003C3A00">
        <w:rPr>
          <w:rFonts w:ascii="Tahoma" w:hAnsi="Tahoma" w:cs="Tahoma"/>
          <w:sz w:val="24"/>
          <w:szCs w:val="24"/>
        </w:rPr>
        <w:t xml:space="preserve">on the official market </w:t>
      </w:r>
      <w:r w:rsidR="0063764B">
        <w:rPr>
          <w:rFonts w:ascii="Tahoma" w:hAnsi="Tahoma" w:cs="Tahoma"/>
          <w:sz w:val="24"/>
          <w:szCs w:val="24"/>
        </w:rPr>
        <w:t>mainly due to conversion from Zim dollar to ZiG</w:t>
      </w:r>
      <w:r w:rsidR="00823231" w:rsidRPr="00D0597C">
        <w:rPr>
          <w:rFonts w:ascii="Tahoma" w:hAnsi="Tahoma" w:cs="Tahoma"/>
          <w:sz w:val="24"/>
          <w:szCs w:val="24"/>
        </w:rPr>
        <w:t>.</w:t>
      </w:r>
      <w:r w:rsidR="00823231" w:rsidRPr="00796E2E">
        <w:rPr>
          <w:rFonts w:ascii="Tahoma" w:hAnsi="Tahoma" w:cs="Tahoma"/>
          <w:sz w:val="24"/>
          <w:szCs w:val="24"/>
        </w:rPr>
        <w:t xml:space="preserve"> </w:t>
      </w:r>
      <w:r w:rsidR="00B8178B" w:rsidRPr="00796E2E">
        <w:rPr>
          <w:rFonts w:ascii="Tahoma" w:hAnsi="Tahoma" w:cs="Tahoma"/>
          <w:sz w:val="24"/>
          <w:szCs w:val="24"/>
        </w:rPr>
        <w:t>On the parallel market, the</w:t>
      </w:r>
      <w:r w:rsidR="00715890" w:rsidRPr="00796E2E">
        <w:rPr>
          <w:rFonts w:ascii="Tahoma" w:hAnsi="Tahoma" w:cs="Tahoma"/>
          <w:sz w:val="24"/>
          <w:szCs w:val="24"/>
        </w:rPr>
        <w:t xml:space="preserve"> </w:t>
      </w:r>
      <w:r w:rsidR="00823231" w:rsidRPr="00796E2E">
        <w:rPr>
          <w:rFonts w:ascii="Tahoma" w:hAnsi="Tahoma" w:cs="Tahoma"/>
          <w:sz w:val="24"/>
          <w:szCs w:val="24"/>
        </w:rPr>
        <w:t xml:space="preserve">ZiG </w:t>
      </w:r>
      <w:r w:rsidR="007E39CC" w:rsidRPr="00796E2E">
        <w:rPr>
          <w:rFonts w:ascii="Tahoma" w:hAnsi="Tahoma" w:cs="Tahoma"/>
          <w:sz w:val="24"/>
          <w:szCs w:val="24"/>
        </w:rPr>
        <w:t xml:space="preserve">was </w:t>
      </w:r>
      <w:r w:rsidR="00823231" w:rsidRPr="00796E2E">
        <w:rPr>
          <w:rFonts w:ascii="Tahoma" w:hAnsi="Tahoma" w:cs="Tahoma"/>
          <w:sz w:val="24"/>
          <w:szCs w:val="24"/>
        </w:rPr>
        <w:t>trading</w:t>
      </w:r>
      <w:r w:rsidR="007E39CC" w:rsidRPr="00796E2E">
        <w:rPr>
          <w:rFonts w:ascii="Tahoma" w:hAnsi="Tahoma" w:cs="Tahoma"/>
          <w:sz w:val="24"/>
          <w:szCs w:val="24"/>
        </w:rPr>
        <w:t xml:space="preserve"> around USD1: </w:t>
      </w:r>
      <w:r w:rsidR="005F16B4" w:rsidRPr="00796E2E">
        <w:rPr>
          <w:rFonts w:ascii="Tahoma" w:hAnsi="Tahoma" w:cs="Tahoma"/>
          <w:sz w:val="24"/>
          <w:szCs w:val="24"/>
        </w:rPr>
        <w:t>ZiG</w:t>
      </w:r>
      <w:r w:rsidR="005F16B4" w:rsidRPr="00796E2E">
        <w:rPr>
          <w:rFonts w:ascii="Tahoma" w:eastAsia="Times New Roman" w:hAnsi="Tahoma" w:cs="Tahoma"/>
          <w:color w:val="000000"/>
          <w:kern w:val="0"/>
          <w:sz w:val="24"/>
          <w:szCs w:val="24"/>
          <w:lang w:eastAsia="en-ZW"/>
        </w:rPr>
        <w:t>21</w:t>
      </w:r>
      <w:r w:rsidR="00823231" w:rsidRPr="00796E2E">
        <w:rPr>
          <w:rFonts w:ascii="Tahoma" w:eastAsia="Times New Roman" w:hAnsi="Tahoma" w:cs="Tahoma"/>
          <w:color w:val="000000"/>
          <w:kern w:val="0"/>
          <w:sz w:val="24"/>
          <w:szCs w:val="24"/>
          <w:lang w:eastAsia="en-ZW"/>
        </w:rPr>
        <w:t xml:space="preserve"> against an </w:t>
      </w:r>
      <w:r w:rsidR="00823231" w:rsidRPr="00796E2E">
        <w:rPr>
          <w:rFonts w:ascii="Tahoma" w:hAnsi="Tahoma" w:cs="Tahoma"/>
          <w:sz w:val="24"/>
          <w:szCs w:val="24"/>
        </w:rPr>
        <w:t>official exchange rate of USD1: ZiG</w:t>
      </w:r>
      <w:r w:rsidR="00823231" w:rsidRPr="00796E2E">
        <w:rPr>
          <w:rFonts w:ascii="Tahoma" w:eastAsia="Times New Roman" w:hAnsi="Tahoma" w:cs="Tahoma"/>
          <w:color w:val="000000"/>
          <w:kern w:val="0"/>
          <w:sz w:val="24"/>
          <w:szCs w:val="24"/>
          <w:lang w:eastAsia="en-ZW"/>
        </w:rPr>
        <w:t>13.43</w:t>
      </w:r>
      <w:r w:rsidR="00823231" w:rsidRPr="00796E2E">
        <w:rPr>
          <w:rFonts w:ascii="Tahoma" w:hAnsi="Tahoma" w:cs="Tahoma"/>
          <w:sz w:val="24"/>
          <w:szCs w:val="24"/>
        </w:rPr>
        <w:t xml:space="preserve"> </w:t>
      </w:r>
      <w:r w:rsidR="007E39CC" w:rsidRPr="00796E2E">
        <w:rPr>
          <w:rFonts w:ascii="Tahoma" w:hAnsi="Tahoma" w:cs="Tahoma"/>
          <w:sz w:val="24"/>
          <w:szCs w:val="24"/>
        </w:rPr>
        <w:t xml:space="preserve">translating to a premium of </w:t>
      </w:r>
      <w:r w:rsidR="005F16B4" w:rsidRPr="00796E2E">
        <w:rPr>
          <w:rFonts w:ascii="Tahoma" w:eastAsia="Times New Roman" w:hAnsi="Tahoma" w:cs="Tahoma"/>
          <w:color w:val="000000"/>
          <w:kern w:val="0"/>
          <w:sz w:val="24"/>
          <w:szCs w:val="24"/>
          <w:lang w:eastAsia="en-ZW"/>
        </w:rPr>
        <w:t>56.37</w:t>
      </w:r>
      <w:r w:rsidR="007E39CC" w:rsidRPr="00796E2E">
        <w:rPr>
          <w:rFonts w:ascii="Tahoma" w:hAnsi="Tahoma" w:cs="Tahoma"/>
          <w:sz w:val="24"/>
          <w:szCs w:val="24"/>
        </w:rPr>
        <w:t>%</w:t>
      </w:r>
      <w:r w:rsidR="00823231" w:rsidRPr="00796E2E">
        <w:rPr>
          <w:rFonts w:ascii="Tahoma" w:hAnsi="Tahoma" w:cs="Tahoma"/>
          <w:sz w:val="24"/>
          <w:szCs w:val="24"/>
        </w:rPr>
        <w:t xml:space="preserve"> as at 30 April 2024</w:t>
      </w:r>
      <w:r w:rsidR="007E39CC" w:rsidRPr="00796E2E">
        <w:rPr>
          <w:rFonts w:ascii="Tahoma" w:hAnsi="Tahoma" w:cs="Tahoma"/>
          <w:sz w:val="24"/>
          <w:szCs w:val="24"/>
        </w:rPr>
        <w:t>. Meanwhile, on</w:t>
      </w:r>
      <w:r w:rsidR="005F16B4" w:rsidRPr="00796E2E">
        <w:rPr>
          <w:rFonts w:ascii="Tahoma" w:hAnsi="Tahoma" w:cs="Tahoma"/>
          <w:sz w:val="24"/>
          <w:szCs w:val="24"/>
        </w:rPr>
        <w:t xml:space="preserve"> month-on-month basis</w:t>
      </w:r>
      <w:r w:rsidR="00984949" w:rsidRPr="00796E2E">
        <w:rPr>
          <w:rFonts w:ascii="Tahoma" w:hAnsi="Tahoma" w:cs="Tahoma"/>
          <w:sz w:val="24"/>
          <w:szCs w:val="24"/>
        </w:rPr>
        <w:t>, the</w:t>
      </w:r>
      <w:r w:rsidR="007E39CC" w:rsidRPr="00796E2E">
        <w:rPr>
          <w:rFonts w:ascii="Tahoma" w:hAnsi="Tahoma" w:cs="Tahoma"/>
          <w:sz w:val="24"/>
          <w:szCs w:val="24"/>
        </w:rPr>
        <w:t xml:space="preserve"> United States </w:t>
      </w:r>
      <w:r w:rsidR="00823231" w:rsidRPr="00796E2E">
        <w:rPr>
          <w:rFonts w:ascii="Tahoma" w:hAnsi="Tahoma" w:cs="Tahoma"/>
          <w:sz w:val="24"/>
          <w:szCs w:val="24"/>
        </w:rPr>
        <w:t>D</w:t>
      </w:r>
      <w:r w:rsidR="007E39CC" w:rsidRPr="00796E2E">
        <w:rPr>
          <w:rFonts w:ascii="Tahoma" w:hAnsi="Tahoma" w:cs="Tahoma"/>
          <w:sz w:val="24"/>
          <w:szCs w:val="24"/>
        </w:rPr>
        <w:t xml:space="preserve">ollar </w:t>
      </w:r>
      <w:r w:rsidR="005F16B4" w:rsidRPr="00796E2E">
        <w:rPr>
          <w:rFonts w:ascii="Tahoma" w:hAnsi="Tahoma" w:cs="Tahoma"/>
          <w:sz w:val="24"/>
          <w:szCs w:val="24"/>
        </w:rPr>
        <w:t>appreciated</w:t>
      </w:r>
      <w:r w:rsidR="007E39CC" w:rsidRPr="00796E2E">
        <w:rPr>
          <w:rFonts w:ascii="Tahoma" w:hAnsi="Tahoma" w:cs="Tahoma"/>
          <w:sz w:val="24"/>
          <w:szCs w:val="24"/>
        </w:rPr>
        <w:t xml:space="preserve"> against the British Pound and the Euro </w:t>
      </w:r>
      <w:r w:rsidR="005F16B4" w:rsidRPr="00796E2E">
        <w:rPr>
          <w:rFonts w:ascii="Tahoma" w:hAnsi="Tahoma" w:cs="Tahoma"/>
          <w:sz w:val="24"/>
          <w:szCs w:val="24"/>
        </w:rPr>
        <w:t>but depreciated against</w:t>
      </w:r>
      <w:r w:rsidR="007E39CC" w:rsidRPr="00796E2E">
        <w:rPr>
          <w:rFonts w:ascii="Tahoma" w:hAnsi="Tahoma" w:cs="Tahoma"/>
          <w:sz w:val="24"/>
          <w:szCs w:val="24"/>
        </w:rPr>
        <w:t xml:space="preserve"> </w:t>
      </w:r>
      <w:r w:rsidR="007B3539" w:rsidRPr="00796E2E">
        <w:rPr>
          <w:rFonts w:ascii="Tahoma" w:hAnsi="Tahoma" w:cs="Tahoma"/>
          <w:sz w:val="24"/>
          <w:szCs w:val="24"/>
        </w:rPr>
        <w:t xml:space="preserve">the </w:t>
      </w:r>
      <w:r w:rsidR="007E39CC" w:rsidRPr="00796E2E">
        <w:rPr>
          <w:rFonts w:ascii="Tahoma" w:hAnsi="Tahoma" w:cs="Tahoma"/>
          <w:sz w:val="24"/>
          <w:szCs w:val="24"/>
        </w:rPr>
        <w:t xml:space="preserve">South African Rand. </w:t>
      </w:r>
    </w:p>
    <w:p w14:paraId="0443A1FB" w14:textId="77777777" w:rsidR="005F16B4" w:rsidRPr="00796E2E" w:rsidRDefault="005F16B4" w:rsidP="005F16B4">
      <w:pPr>
        <w:spacing w:after="0" w:line="240" w:lineRule="auto"/>
        <w:jc w:val="both"/>
        <w:rPr>
          <w:rFonts w:ascii="Tahoma" w:hAnsi="Tahoma" w:cs="Tahoma"/>
          <w:sz w:val="24"/>
          <w:szCs w:val="24"/>
        </w:rPr>
      </w:pPr>
    </w:p>
    <w:p w14:paraId="31A9C32C" w14:textId="4FD0D9F6" w:rsidR="007E39CC" w:rsidRPr="00796E2E" w:rsidRDefault="00C06295" w:rsidP="00244E77">
      <w:pPr>
        <w:spacing w:after="0" w:line="240" w:lineRule="auto"/>
        <w:jc w:val="both"/>
        <w:rPr>
          <w:rFonts w:ascii="Tahoma" w:hAnsi="Tahoma" w:cs="Tahoma"/>
          <w:sz w:val="24"/>
          <w:szCs w:val="24"/>
        </w:rPr>
      </w:pPr>
      <w:r w:rsidRPr="00796E2E">
        <w:rPr>
          <w:rFonts w:ascii="Tahoma" w:hAnsi="Tahoma" w:cs="Tahoma"/>
          <w:sz w:val="24"/>
          <w:szCs w:val="24"/>
        </w:rPr>
        <w:t xml:space="preserve">During the month under review, MoM inflation stood at 2.9% down from 4.9% recorded in March 2024 </w:t>
      </w:r>
      <w:r w:rsidR="00E56335">
        <w:rPr>
          <w:rFonts w:ascii="Tahoma" w:hAnsi="Tahoma" w:cs="Tahoma"/>
          <w:sz w:val="24"/>
          <w:szCs w:val="24"/>
        </w:rPr>
        <w:t>while</w:t>
      </w:r>
      <w:r w:rsidRPr="00796E2E">
        <w:rPr>
          <w:rFonts w:ascii="Tahoma" w:hAnsi="Tahoma" w:cs="Tahoma"/>
          <w:sz w:val="24"/>
          <w:szCs w:val="24"/>
        </w:rPr>
        <w:t xml:space="preserve"> all items monthly inflation rate recorded a</w:t>
      </w:r>
      <w:r w:rsidR="00E56335">
        <w:rPr>
          <w:rFonts w:ascii="Tahoma" w:hAnsi="Tahoma" w:cs="Tahoma"/>
          <w:sz w:val="24"/>
          <w:szCs w:val="24"/>
        </w:rPr>
        <w:t xml:space="preserve"> marginal increase from 97.14% in March 2024 to 100%</w:t>
      </w:r>
      <w:r w:rsidRPr="00796E2E">
        <w:rPr>
          <w:rFonts w:ascii="Tahoma" w:hAnsi="Tahoma" w:cs="Tahoma"/>
          <w:sz w:val="24"/>
          <w:szCs w:val="24"/>
        </w:rPr>
        <w:t xml:space="preserve"> in April 2024</w:t>
      </w:r>
      <w:r w:rsidR="00974680" w:rsidRPr="00796E2E">
        <w:rPr>
          <w:rFonts w:ascii="Tahoma" w:hAnsi="Tahoma" w:cs="Tahoma"/>
          <w:sz w:val="24"/>
          <w:szCs w:val="24"/>
        </w:rPr>
        <w:t>.</w:t>
      </w:r>
      <w:r w:rsidR="00244E77" w:rsidRPr="00796E2E">
        <w:rPr>
          <w:rFonts w:ascii="Tahoma" w:hAnsi="Tahoma" w:cs="Tahoma"/>
          <w:sz w:val="24"/>
          <w:szCs w:val="24"/>
        </w:rPr>
        <w:t xml:space="preserve"> T</w:t>
      </w:r>
      <w:r w:rsidR="007E39CC" w:rsidRPr="00796E2E">
        <w:rPr>
          <w:rFonts w:ascii="Tahoma" w:hAnsi="Tahoma" w:cs="Tahoma"/>
          <w:sz w:val="24"/>
          <w:szCs w:val="24"/>
        </w:rPr>
        <w:t xml:space="preserve">he main drivers being </w:t>
      </w:r>
      <w:r w:rsidR="00984949" w:rsidRPr="00796E2E">
        <w:rPr>
          <w:rFonts w:ascii="Tahoma" w:hAnsi="Tahoma" w:cs="Tahoma"/>
          <w:sz w:val="24"/>
          <w:szCs w:val="24"/>
        </w:rPr>
        <w:t>food, non</w:t>
      </w:r>
      <w:r w:rsidR="007E39CC" w:rsidRPr="00796E2E">
        <w:rPr>
          <w:rFonts w:ascii="Tahoma" w:hAnsi="Tahoma" w:cs="Tahoma"/>
          <w:sz w:val="24"/>
          <w:szCs w:val="24"/>
        </w:rPr>
        <w:t xml:space="preserve">-alcoholic </w:t>
      </w:r>
      <w:r w:rsidR="00984949" w:rsidRPr="00796E2E">
        <w:rPr>
          <w:rFonts w:ascii="Tahoma" w:hAnsi="Tahoma" w:cs="Tahoma"/>
          <w:sz w:val="24"/>
          <w:szCs w:val="24"/>
        </w:rPr>
        <w:t>beverages, housing</w:t>
      </w:r>
      <w:r w:rsidR="007E39CC" w:rsidRPr="00796E2E">
        <w:rPr>
          <w:rFonts w:ascii="Tahoma" w:hAnsi="Tahoma" w:cs="Tahoma"/>
          <w:sz w:val="24"/>
          <w:szCs w:val="24"/>
        </w:rPr>
        <w:t>, water, electricity, gas and other fuels.</w:t>
      </w:r>
    </w:p>
    <w:p w14:paraId="58B1302C" w14:textId="77777777" w:rsidR="00244E77" w:rsidRPr="00796E2E" w:rsidRDefault="00244E77" w:rsidP="00244E77">
      <w:pPr>
        <w:spacing w:after="0" w:line="240" w:lineRule="auto"/>
        <w:jc w:val="both"/>
        <w:rPr>
          <w:rFonts w:ascii="Tahoma" w:hAnsi="Tahoma" w:cs="Tahoma"/>
          <w:sz w:val="24"/>
          <w:szCs w:val="24"/>
        </w:rPr>
      </w:pPr>
    </w:p>
    <w:p w14:paraId="2091E2E0" w14:textId="77777777" w:rsidR="007E39CC" w:rsidRPr="00796E2E" w:rsidRDefault="007E39CC" w:rsidP="007E39CC">
      <w:pPr>
        <w:jc w:val="both"/>
        <w:rPr>
          <w:rFonts w:ascii="Tahoma" w:hAnsi="Tahoma" w:cs="Tahoma"/>
          <w:sz w:val="24"/>
          <w:szCs w:val="24"/>
        </w:rPr>
      </w:pPr>
      <w:r w:rsidRPr="00796E2E">
        <w:rPr>
          <w:rFonts w:ascii="Tahoma" w:hAnsi="Tahoma" w:cs="Tahoma"/>
          <w:sz w:val="24"/>
          <w:szCs w:val="24"/>
        </w:rPr>
        <w:t xml:space="preserve">Meanwhile, during the reporting period data on broad money supply (M3) had not been published by the </w:t>
      </w:r>
      <w:r w:rsidR="00823231" w:rsidRPr="00796E2E">
        <w:rPr>
          <w:rFonts w:ascii="Tahoma" w:hAnsi="Tahoma" w:cs="Tahoma"/>
          <w:sz w:val="24"/>
          <w:szCs w:val="24"/>
        </w:rPr>
        <w:t>RBZ</w:t>
      </w:r>
      <w:r w:rsidRPr="00796E2E">
        <w:rPr>
          <w:rFonts w:ascii="Tahoma" w:hAnsi="Tahoma" w:cs="Tahoma"/>
          <w:sz w:val="24"/>
          <w:szCs w:val="24"/>
        </w:rPr>
        <w:t>. Thus, analysis relied on data available</w:t>
      </w:r>
      <w:r w:rsidR="00C61E56">
        <w:rPr>
          <w:rFonts w:ascii="Tahoma" w:hAnsi="Tahoma" w:cs="Tahoma"/>
          <w:sz w:val="24"/>
          <w:szCs w:val="24"/>
        </w:rPr>
        <w:t xml:space="preserve"> as at March 2024</w:t>
      </w:r>
      <w:r w:rsidRPr="00796E2E">
        <w:rPr>
          <w:rFonts w:ascii="Tahoma" w:hAnsi="Tahoma" w:cs="Tahoma"/>
          <w:sz w:val="24"/>
          <w:szCs w:val="24"/>
        </w:rPr>
        <w:t>. In this regard,</w:t>
      </w:r>
      <w:r w:rsidR="00244E77" w:rsidRPr="00796E2E">
        <w:rPr>
          <w:rFonts w:ascii="Tahoma" w:hAnsi="Tahoma" w:cs="Tahoma"/>
          <w:sz w:val="24"/>
          <w:szCs w:val="24"/>
        </w:rPr>
        <w:t xml:space="preserve"> </w:t>
      </w:r>
      <w:r w:rsidR="00C61E56" w:rsidRPr="00C61E56">
        <w:rPr>
          <w:rFonts w:ascii="Tahoma" w:hAnsi="Tahoma" w:cs="Tahoma"/>
          <w:sz w:val="24"/>
          <w:szCs w:val="24"/>
        </w:rPr>
        <w:t xml:space="preserve">M3 stood at ZiG23.68 million in March 2024 reflecting a 45.70% </w:t>
      </w:r>
      <w:r w:rsidR="00C61E56" w:rsidRPr="00C61E56">
        <w:rPr>
          <w:rFonts w:ascii="Tahoma" w:hAnsi="Tahoma" w:cs="Tahoma"/>
          <w:sz w:val="24"/>
          <w:szCs w:val="24"/>
        </w:rPr>
        <w:lastRenderedPageBreak/>
        <w:t>increase from 16.25 million in February 2024. The money stock comprised foreign currency deposits, 86.80% local currency deposits, 13.17%, and the local currency in circulation, 0.03%</w:t>
      </w:r>
      <w:r w:rsidR="00C61E56">
        <w:rPr>
          <w:rFonts w:ascii="Tahoma" w:hAnsi="Tahoma" w:cs="Tahoma"/>
          <w:sz w:val="24"/>
          <w:szCs w:val="24"/>
        </w:rPr>
        <w:t xml:space="preserve">. </w:t>
      </w:r>
      <w:r w:rsidR="0074450F" w:rsidRPr="00796E2E">
        <w:rPr>
          <w:rFonts w:ascii="Tahoma" w:hAnsi="Tahoma" w:cs="Tahoma"/>
          <w:sz w:val="24"/>
          <w:szCs w:val="24"/>
        </w:rPr>
        <w:t>During the period under review, the bank policy rate was pegged at 20% per annum consistent with the 2024 monetary policy framework.</w:t>
      </w:r>
    </w:p>
    <w:p w14:paraId="17B96B84" w14:textId="77777777" w:rsidR="00F97C36" w:rsidRPr="00F97C36" w:rsidRDefault="007E39CC" w:rsidP="00F97C36">
      <w:pPr>
        <w:jc w:val="both"/>
        <w:rPr>
          <w:rFonts w:ascii="Tahoma" w:hAnsi="Tahoma" w:cs="Tahoma"/>
          <w:kern w:val="0"/>
          <w:sz w:val="24"/>
          <w:szCs w:val="24"/>
          <w:lang w:eastAsia="en-ZW"/>
        </w:rPr>
      </w:pPr>
      <w:r w:rsidRPr="00A458D3">
        <w:rPr>
          <w:rFonts w:ascii="Tahoma" w:hAnsi="Tahoma" w:cs="Tahoma"/>
          <w:sz w:val="24"/>
          <w:szCs w:val="24"/>
        </w:rPr>
        <w:t>Similarly, by the time of compiling the report, the Zimbabwe National Statistical Agency (ZimStat) had not published data on merchandise trade</w:t>
      </w:r>
      <w:r w:rsidR="00A458D3" w:rsidRPr="00A458D3">
        <w:rPr>
          <w:rFonts w:ascii="Tahoma" w:hAnsi="Tahoma" w:cs="Tahoma"/>
          <w:sz w:val="24"/>
          <w:szCs w:val="24"/>
        </w:rPr>
        <w:t xml:space="preserve"> for April 2024</w:t>
      </w:r>
      <w:r w:rsidRPr="00A458D3">
        <w:rPr>
          <w:rFonts w:ascii="Tahoma" w:hAnsi="Tahoma" w:cs="Tahoma"/>
          <w:sz w:val="24"/>
          <w:szCs w:val="24"/>
        </w:rPr>
        <w:t xml:space="preserve">, therefore, the analysis was mainly based on </w:t>
      </w:r>
      <w:r w:rsidR="00A458D3" w:rsidRPr="00A458D3">
        <w:rPr>
          <w:rFonts w:ascii="Tahoma" w:hAnsi="Tahoma" w:cs="Tahoma"/>
          <w:sz w:val="24"/>
          <w:szCs w:val="24"/>
        </w:rPr>
        <w:t xml:space="preserve">March </w:t>
      </w:r>
      <w:r w:rsidRPr="00A458D3">
        <w:rPr>
          <w:rFonts w:ascii="Tahoma" w:hAnsi="Tahoma" w:cs="Tahoma"/>
          <w:sz w:val="24"/>
          <w:szCs w:val="24"/>
        </w:rPr>
        <w:t>202</w:t>
      </w:r>
      <w:r w:rsidR="00596876" w:rsidRPr="00A458D3">
        <w:rPr>
          <w:rFonts w:ascii="Tahoma" w:hAnsi="Tahoma" w:cs="Tahoma"/>
          <w:sz w:val="24"/>
          <w:szCs w:val="24"/>
        </w:rPr>
        <w:t>4</w:t>
      </w:r>
      <w:r w:rsidRPr="00A458D3">
        <w:rPr>
          <w:rFonts w:ascii="Tahoma" w:hAnsi="Tahoma" w:cs="Tahoma"/>
          <w:sz w:val="24"/>
          <w:szCs w:val="24"/>
        </w:rPr>
        <w:t xml:space="preserve"> data. </w:t>
      </w:r>
      <w:r w:rsidR="00A458D3" w:rsidRPr="00A458D3">
        <w:rPr>
          <w:rFonts w:ascii="Tahoma" w:hAnsi="Tahoma" w:cs="Tahoma"/>
          <w:sz w:val="24"/>
          <w:szCs w:val="24"/>
        </w:rPr>
        <w:t xml:space="preserve">In this regard, </w:t>
      </w:r>
      <w:r w:rsidR="00A458D3" w:rsidRPr="00A458D3">
        <w:rPr>
          <w:rFonts w:ascii="Tahoma" w:hAnsi="Tahoma" w:cs="Tahoma"/>
          <w:sz w:val="24"/>
          <w:szCs w:val="24"/>
          <w:lang w:val="en-ZW"/>
        </w:rPr>
        <w:t>the country’s trade deficit stood at US$184.3 million during the month under review, higher than US$81.4 million recorded in the previous month. The country’s deficit narrowed from US$229.20 million in March 2023 to US$184.3 million in March 2024</w:t>
      </w:r>
    </w:p>
    <w:p w14:paraId="3F5E6D03" w14:textId="1B50DEA3" w:rsidR="007E39CC" w:rsidRPr="00796E2E" w:rsidRDefault="007E39CC" w:rsidP="00823231">
      <w:pPr>
        <w:jc w:val="both"/>
        <w:rPr>
          <w:rFonts w:ascii="Tahoma" w:hAnsi="Tahoma" w:cs="Tahoma"/>
          <w:sz w:val="24"/>
          <w:szCs w:val="24"/>
        </w:rPr>
        <w:sectPr w:rsidR="007E39CC" w:rsidRPr="00796E2E" w:rsidSect="00EF15A0">
          <w:pgSz w:w="11906" w:h="16838"/>
          <w:pgMar w:top="1440" w:right="1440" w:bottom="1440" w:left="1440" w:header="708" w:footer="708" w:gutter="0"/>
          <w:pgNumType w:fmt="lowerRoman" w:start="1"/>
          <w:cols w:space="708"/>
          <w:docGrid w:linePitch="360"/>
        </w:sectPr>
      </w:pPr>
      <w:r w:rsidRPr="00796E2E">
        <w:rPr>
          <w:rFonts w:ascii="Tahoma" w:hAnsi="Tahoma" w:cs="Tahoma"/>
          <w:sz w:val="24"/>
          <w:szCs w:val="24"/>
        </w:rPr>
        <w:t xml:space="preserve">Regarding stock market developments, </w:t>
      </w:r>
      <w:r w:rsidR="00A65D00" w:rsidRPr="00796E2E">
        <w:rPr>
          <w:rFonts w:ascii="Tahoma" w:hAnsi="Tahoma" w:cs="Tahoma"/>
          <w:sz w:val="24"/>
          <w:szCs w:val="24"/>
        </w:rPr>
        <w:t xml:space="preserve">both </w:t>
      </w:r>
      <w:r w:rsidRPr="00796E2E">
        <w:rPr>
          <w:rFonts w:ascii="Tahoma" w:hAnsi="Tahoma" w:cs="Tahoma"/>
          <w:sz w:val="24"/>
          <w:szCs w:val="24"/>
        </w:rPr>
        <w:t>the Zimbabwe Stock Exchange</w:t>
      </w:r>
      <w:r w:rsidR="00823231" w:rsidRPr="00796E2E">
        <w:rPr>
          <w:rFonts w:ascii="Tahoma" w:hAnsi="Tahoma" w:cs="Tahoma"/>
          <w:sz w:val="24"/>
          <w:szCs w:val="24"/>
        </w:rPr>
        <w:t xml:space="preserve"> (ZSE)</w:t>
      </w:r>
      <w:r w:rsidR="00A65D00" w:rsidRPr="00796E2E">
        <w:rPr>
          <w:rFonts w:ascii="Tahoma" w:hAnsi="Tahoma" w:cs="Tahoma"/>
          <w:sz w:val="24"/>
          <w:szCs w:val="24"/>
        </w:rPr>
        <w:t xml:space="preserve"> and Victoria Falls Stock Exchange </w:t>
      </w:r>
      <w:r w:rsidRPr="00796E2E">
        <w:rPr>
          <w:rFonts w:ascii="Tahoma" w:hAnsi="Tahoma" w:cs="Tahoma"/>
          <w:sz w:val="24"/>
          <w:szCs w:val="24"/>
        </w:rPr>
        <w:t xml:space="preserve">recorded a </w:t>
      </w:r>
      <w:r w:rsidR="00A65D00" w:rsidRPr="00796E2E">
        <w:rPr>
          <w:rFonts w:ascii="Tahoma" w:hAnsi="Tahoma" w:cs="Tahoma"/>
          <w:sz w:val="24"/>
          <w:szCs w:val="24"/>
        </w:rPr>
        <w:t>bearish</w:t>
      </w:r>
      <w:r w:rsidRPr="00796E2E">
        <w:rPr>
          <w:rFonts w:ascii="Tahoma" w:hAnsi="Tahoma" w:cs="Tahoma"/>
          <w:sz w:val="24"/>
          <w:szCs w:val="24"/>
        </w:rPr>
        <w:t xml:space="preserve"> trend with All-Share Index growth of </w:t>
      </w:r>
      <w:r w:rsidR="00A65D00" w:rsidRPr="00796E2E">
        <w:rPr>
          <w:rFonts w:ascii="Tahoma" w:hAnsi="Tahoma" w:cs="Tahoma"/>
          <w:sz w:val="24"/>
          <w:szCs w:val="24"/>
        </w:rPr>
        <w:t>-71.74% and -1.44</w:t>
      </w:r>
      <w:r w:rsidRPr="00796E2E">
        <w:rPr>
          <w:rFonts w:ascii="Tahoma" w:hAnsi="Tahoma" w:cs="Tahoma"/>
          <w:sz w:val="24"/>
          <w:szCs w:val="24"/>
        </w:rPr>
        <w:t xml:space="preserve"> on MoM</w:t>
      </w:r>
      <w:r w:rsidR="004A5C03">
        <w:rPr>
          <w:rFonts w:ascii="Tahoma" w:hAnsi="Tahoma" w:cs="Tahoma"/>
          <w:sz w:val="24"/>
          <w:szCs w:val="24"/>
        </w:rPr>
        <w:t xml:space="preserve">, </w:t>
      </w:r>
      <w:r w:rsidR="00A65D00" w:rsidRPr="00796E2E">
        <w:rPr>
          <w:rFonts w:ascii="Tahoma" w:hAnsi="Tahoma" w:cs="Tahoma"/>
          <w:sz w:val="24"/>
          <w:szCs w:val="24"/>
        </w:rPr>
        <w:t>respectively</w:t>
      </w:r>
      <w:r w:rsidRPr="00796E2E">
        <w:rPr>
          <w:rFonts w:ascii="Tahoma" w:hAnsi="Tahoma" w:cs="Tahoma"/>
          <w:sz w:val="24"/>
          <w:szCs w:val="24"/>
        </w:rPr>
        <w:t xml:space="preserve">. </w:t>
      </w:r>
      <w:r w:rsidR="00823231" w:rsidRPr="00796E2E">
        <w:rPr>
          <w:rFonts w:ascii="Tahoma" w:hAnsi="Tahoma" w:cs="Tahoma"/>
          <w:sz w:val="24"/>
          <w:szCs w:val="24"/>
        </w:rPr>
        <w:t xml:space="preserve"> This is mainly attributed to the transition to the new structured currency. </w:t>
      </w:r>
    </w:p>
    <w:p w14:paraId="2488DF90" w14:textId="77777777" w:rsidR="00D46F37" w:rsidRPr="00796E2E" w:rsidRDefault="00D46F37" w:rsidP="003B2F54">
      <w:pPr>
        <w:pStyle w:val="TOCHeading"/>
        <w:spacing w:before="0" w:after="240"/>
        <w:rPr>
          <w:lang w:val="en-GB"/>
        </w:rPr>
      </w:pPr>
      <w:r w:rsidRPr="00796E2E">
        <w:rPr>
          <w:lang w:val="en-GB"/>
        </w:rPr>
        <w:lastRenderedPageBreak/>
        <w:t>Table of Contents</w:t>
      </w:r>
    </w:p>
    <w:p w14:paraId="31F55820" w14:textId="77777777" w:rsidR="003B2F54" w:rsidRPr="00031724" w:rsidRDefault="00D46F37">
      <w:pPr>
        <w:pStyle w:val="TOC1"/>
        <w:tabs>
          <w:tab w:val="right" w:leader="dot" w:pos="9016"/>
        </w:tabs>
        <w:rPr>
          <w:rFonts w:ascii="Tahoma" w:eastAsia="Times New Roman" w:hAnsi="Tahoma" w:cs="Tahoma"/>
          <w:noProof/>
          <w:sz w:val="24"/>
          <w:szCs w:val="24"/>
          <w:lang w:val="en-ZW" w:eastAsia="en-ZW"/>
        </w:rPr>
      </w:pPr>
      <w:r w:rsidRPr="00796E2E">
        <w:fldChar w:fldCharType="begin"/>
      </w:r>
      <w:r w:rsidRPr="00796E2E">
        <w:instrText xml:space="preserve"> TOC \o "1-3" \h \z \u </w:instrText>
      </w:r>
      <w:r w:rsidRPr="00796E2E">
        <w:fldChar w:fldCharType="separate"/>
      </w:r>
      <w:hyperlink w:anchor="_Toc168317163" w:history="1">
        <w:r w:rsidR="003B2F54" w:rsidRPr="003B2F54">
          <w:rPr>
            <w:rStyle w:val="Hyperlink"/>
            <w:rFonts w:ascii="Tahoma" w:hAnsi="Tahoma" w:cs="Tahoma"/>
            <w:noProof/>
            <w:sz w:val="24"/>
            <w:szCs w:val="24"/>
          </w:rPr>
          <w:t>Executive Summary</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_Toc168317163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i</w:t>
        </w:r>
        <w:r w:rsidR="003B2F54" w:rsidRPr="003B2F54">
          <w:rPr>
            <w:rFonts w:ascii="Tahoma" w:hAnsi="Tahoma" w:cs="Tahoma"/>
            <w:noProof/>
            <w:webHidden/>
            <w:sz w:val="24"/>
            <w:szCs w:val="24"/>
          </w:rPr>
          <w:fldChar w:fldCharType="end"/>
        </w:r>
      </w:hyperlink>
    </w:p>
    <w:p w14:paraId="2C42A209"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64" w:history="1">
        <w:r w:rsidR="003B2F54" w:rsidRPr="003B2F54">
          <w:rPr>
            <w:rStyle w:val="Hyperlink"/>
            <w:rFonts w:ascii="Tahoma" w:hAnsi="Tahoma" w:cs="Tahoma"/>
            <w:noProof/>
            <w:sz w:val="24"/>
            <w:szCs w:val="24"/>
          </w:rPr>
          <w:t>1.0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World Economic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_Toc168317164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1</w:t>
        </w:r>
        <w:r w:rsidR="003B2F54" w:rsidRPr="003B2F54">
          <w:rPr>
            <w:rFonts w:ascii="Tahoma" w:hAnsi="Tahoma" w:cs="Tahoma"/>
            <w:noProof/>
            <w:webHidden/>
            <w:sz w:val="24"/>
            <w:szCs w:val="24"/>
          </w:rPr>
          <w:fldChar w:fldCharType="end"/>
        </w:r>
      </w:hyperlink>
    </w:p>
    <w:p w14:paraId="134F0804" w14:textId="77777777" w:rsidR="003B2F54" w:rsidRPr="00031724" w:rsidRDefault="00000000">
      <w:pPr>
        <w:pStyle w:val="TOC2"/>
        <w:rPr>
          <w:rFonts w:eastAsia="Times New Roman"/>
          <w:b w:val="0"/>
          <w:lang w:val="en-ZW" w:eastAsia="en-ZW"/>
        </w:rPr>
      </w:pPr>
      <w:hyperlink w:anchor="_Toc168317165" w:history="1">
        <w:r w:rsidR="003B2F54" w:rsidRPr="003B2F54">
          <w:rPr>
            <w:rStyle w:val="Hyperlink"/>
            <w:b w:val="0"/>
          </w:rPr>
          <w:t>1.1</w:t>
        </w:r>
        <w:r w:rsidR="003B2F54">
          <w:rPr>
            <w:rStyle w:val="Hyperlink"/>
            <w:b w:val="0"/>
          </w:rPr>
          <w:t xml:space="preserve"> </w:t>
        </w:r>
        <w:r w:rsidR="003B2F54" w:rsidRPr="003B2F54">
          <w:rPr>
            <w:rStyle w:val="Hyperlink"/>
            <w:b w:val="0"/>
          </w:rPr>
          <w:t>World Output</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_Toc168317165 \h </w:instrText>
        </w:r>
        <w:r w:rsidR="003B2F54" w:rsidRPr="003B2F54">
          <w:rPr>
            <w:b w:val="0"/>
            <w:webHidden/>
          </w:rPr>
        </w:r>
        <w:r w:rsidR="003B2F54" w:rsidRPr="003B2F54">
          <w:rPr>
            <w:b w:val="0"/>
            <w:webHidden/>
          </w:rPr>
          <w:fldChar w:fldCharType="separate"/>
        </w:r>
        <w:r w:rsidR="003B2F54" w:rsidRPr="003B2F54">
          <w:rPr>
            <w:b w:val="0"/>
            <w:webHidden/>
          </w:rPr>
          <w:t>1</w:t>
        </w:r>
        <w:r w:rsidR="003B2F54" w:rsidRPr="003B2F54">
          <w:rPr>
            <w:b w:val="0"/>
            <w:webHidden/>
          </w:rPr>
          <w:fldChar w:fldCharType="end"/>
        </w:r>
      </w:hyperlink>
    </w:p>
    <w:p w14:paraId="59F345A3" w14:textId="77777777" w:rsidR="003B2F54" w:rsidRPr="00031724" w:rsidRDefault="00000000">
      <w:pPr>
        <w:pStyle w:val="TOC2"/>
        <w:rPr>
          <w:rFonts w:eastAsia="Times New Roman"/>
          <w:b w:val="0"/>
          <w:lang w:val="en-ZW" w:eastAsia="en-ZW"/>
        </w:rPr>
      </w:pPr>
      <w:hyperlink w:anchor="_Toc168317166" w:history="1">
        <w:r w:rsidR="003B2F54" w:rsidRPr="003B2F54">
          <w:rPr>
            <w:rStyle w:val="Hyperlink"/>
            <w:b w:val="0"/>
          </w:rPr>
          <w:t>1.2</w:t>
        </w:r>
        <w:r w:rsidR="003B2F54" w:rsidRPr="00031724">
          <w:rPr>
            <w:rFonts w:eastAsia="Times New Roman"/>
            <w:b w:val="0"/>
            <w:lang w:val="en-ZW" w:eastAsia="en-ZW"/>
          </w:rPr>
          <w:t xml:space="preserve"> </w:t>
        </w:r>
        <w:r w:rsidR="003B2F54" w:rsidRPr="003B2F54">
          <w:rPr>
            <w:rStyle w:val="Hyperlink"/>
            <w:b w:val="0"/>
          </w:rPr>
          <w:t>Global Inflation Developments</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_Toc168317166 \h </w:instrText>
        </w:r>
        <w:r w:rsidR="003B2F54" w:rsidRPr="003B2F54">
          <w:rPr>
            <w:b w:val="0"/>
            <w:webHidden/>
          </w:rPr>
        </w:r>
        <w:r w:rsidR="003B2F54" w:rsidRPr="003B2F54">
          <w:rPr>
            <w:b w:val="0"/>
            <w:webHidden/>
          </w:rPr>
          <w:fldChar w:fldCharType="separate"/>
        </w:r>
        <w:r w:rsidR="003B2F54" w:rsidRPr="003B2F54">
          <w:rPr>
            <w:b w:val="0"/>
            <w:webHidden/>
          </w:rPr>
          <w:t>2</w:t>
        </w:r>
        <w:r w:rsidR="003B2F54" w:rsidRPr="003B2F54">
          <w:rPr>
            <w:b w:val="0"/>
            <w:webHidden/>
          </w:rPr>
          <w:fldChar w:fldCharType="end"/>
        </w:r>
      </w:hyperlink>
    </w:p>
    <w:p w14:paraId="64C3634B" w14:textId="77777777" w:rsidR="003B2F54" w:rsidRPr="00031724" w:rsidRDefault="00000000">
      <w:pPr>
        <w:pStyle w:val="TOC2"/>
        <w:rPr>
          <w:rFonts w:eastAsia="Times New Roman"/>
          <w:b w:val="0"/>
          <w:lang w:val="en-ZW" w:eastAsia="en-ZW"/>
        </w:rPr>
      </w:pPr>
      <w:hyperlink w:anchor="_Toc168317167" w:history="1">
        <w:r w:rsidR="003B2F54" w:rsidRPr="003B2F54">
          <w:rPr>
            <w:rStyle w:val="Hyperlink"/>
            <w:b w:val="0"/>
          </w:rPr>
          <w:t>2.0</w:t>
        </w:r>
        <w:r w:rsidR="003B2F54" w:rsidRPr="00031724">
          <w:rPr>
            <w:rFonts w:eastAsia="Times New Roman"/>
            <w:b w:val="0"/>
            <w:lang w:val="en-ZW" w:eastAsia="en-ZW"/>
          </w:rPr>
          <w:t xml:space="preserve"> </w:t>
        </w:r>
        <w:r w:rsidR="003B2F54" w:rsidRPr="003B2F54">
          <w:rPr>
            <w:rStyle w:val="Hyperlink"/>
            <w:b w:val="0"/>
          </w:rPr>
          <w:t>International Commodity Prices</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_Toc168317167 \h </w:instrText>
        </w:r>
        <w:r w:rsidR="003B2F54" w:rsidRPr="003B2F54">
          <w:rPr>
            <w:b w:val="0"/>
            <w:webHidden/>
          </w:rPr>
        </w:r>
        <w:r w:rsidR="003B2F54" w:rsidRPr="003B2F54">
          <w:rPr>
            <w:b w:val="0"/>
            <w:webHidden/>
          </w:rPr>
          <w:fldChar w:fldCharType="separate"/>
        </w:r>
        <w:r w:rsidR="003B2F54" w:rsidRPr="003B2F54">
          <w:rPr>
            <w:b w:val="0"/>
            <w:webHidden/>
          </w:rPr>
          <w:t>2</w:t>
        </w:r>
        <w:r w:rsidR="003B2F54" w:rsidRPr="003B2F54">
          <w:rPr>
            <w:b w:val="0"/>
            <w:webHidden/>
          </w:rPr>
          <w:fldChar w:fldCharType="end"/>
        </w:r>
      </w:hyperlink>
    </w:p>
    <w:p w14:paraId="36C50F5C"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68" w:history="1">
        <w:r w:rsidR="003B2F54" w:rsidRPr="003B2F54">
          <w:rPr>
            <w:rStyle w:val="Hyperlink"/>
            <w:rFonts w:ascii="Tahoma" w:hAnsi="Tahoma" w:cs="Tahoma"/>
            <w:noProof/>
            <w:sz w:val="24"/>
            <w:szCs w:val="24"/>
          </w:rPr>
          <w:t>3.0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Zimbabwe GDP Growth Update</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_Toc168317168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3</w:t>
        </w:r>
        <w:r w:rsidR="003B2F54" w:rsidRPr="003B2F54">
          <w:rPr>
            <w:rFonts w:ascii="Tahoma" w:hAnsi="Tahoma" w:cs="Tahoma"/>
            <w:noProof/>
            <w:webHidden/>
            <w:sz w:val="24"/>
            <w:szCs w:val="24"/>
          </w:rPr>
          <w:fldChar w:fldCharType="end"/>
        </w:r>
      </w:hyperlink>
    </w:p>
    <w:p w14:paraId="40EB1177"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69" w:history="1">
        <w:r w:rsidR="003B2F54" w:rsidRPr="003B2F54">
          <w:rPr>
            <w:rStyle w:val="Hyperlink"/>
            <w:rFonts w:ascii="Tahoma" w:hAnsi="Tahoma" w:cs="Tahoma"/>
            <w:noProof/>
            <w:sz w:val="24"/>
            <w:szCs w:val="24"/>
          </w:rPr>
          <w:t>4.0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Merchandise Trade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_Toc168317169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4</w:t>
        </w:r>
        <w:r w:rsidR="003B2F54" w:rsidRPr="003B2F54">
          <w:rPr>
            <w:rFonts w:ascii="Tahoma" w:hAnsi="Tahoma" w:cs="Tahoma"/>
            <w:noProof/>
            <w:webHidden/>
            <w:sz w:val="24"/>
            <w:szCs w:val="24"/>
          </w:rPr>
          <w:fldChar w:fldCharType="end"/>
        </w:r>
      </w:hyperlink>
    </w:p>
    <w:p w14:paraId="1509E24B"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70" w:history="1">
        <w:r w:rsidR="003B2F54" w:rsidRPr="003B2F54">
          <w:rPr>
            <w:rStyle w:val="Hyperlink"/>
            <w:rFonts w:ascii="Tahoma" w:hAnsi="Tahoma" w:cs="Tahoma"/>
            <w:noProof/>
            <w:sz w:val="24"/>
            <w:szCs w:val="24"/>
          </w:rPr>
          <w:t>5.0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Exchange Rate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_Toc168317170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4</w:t>
        </w:r>
        <w:r w:rsidR="003B2F54" w:rsidRPr="003B2F54">
          <w:rPr>
            <w:rFonts w:ascii="Tahoma" w:hAnsi="Tahoma" w:cs="Tahoma"/>
            <w:noProof/>
            <w:webHidden/>
            <w:sz w:val="24"/>
            <w:szCs w:val="24"/>
          </w:rPr>
          <w:fldChar w:fldCharType="end"/>
        </w:r>
      </w:hyperlink>
    </w:p>
    <w:p w14:paraId="373B057A" w14:textId="77777777" w:rsidR="003B2F54" w:rsidRPr="00031724" w:rsidRDefault="00000000">
      <w:pPr>
        <w:pStyle w:val="TOC2"/>
        <w:rPr>
          <w:rFonts w:eastAsia="Times New Roman"/>
          <w:b w:val="0"/>
          <w:lang w:val="en-ZW" w:eastAsia="en-ZW"/>
        </w:rPr>
      </w:pPr>
      <w:hyperlink w:anchor="_Toc168317171" w:history="1">
        <w:r w:rsidR="003B2F54" w:rsidRPr="003B2F54">
          <w:rPr>
            <w:rStyle w:val="Hyperlink"/>
            <w:b w:val="0"/>
          </w:rPr>
          <w:t>5.1</w:t>
        </w:r>
        <w:r w:rsidR="003B2F54" w:rsidRPr="00031724">
          <w:rPr>
            <w:rFonts w:eastAsia="Times New Roman"/>
            <w:b w:val="0"/>
            <w:lang w:val="en-ZW" w:eastAsia="en-ZW"/>
          </w:rPr>
          <w:t xml:space="preserve"> </w:t>
        </w:r>
        <w:r w:rsidR="003B2F54" w:rsidRPr="003B2F54">
          <w:rPr>
            <w:rStyle w:val="Hyperlink"/>
            <w:b w:val="0"/>
          </w:rPr>
          <w:t>Zimbabwean Dollar Exchange Rate Developments</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_Toc168317171 \h </w:instrText>
        </w:r>
        <w:r w:rsidR="003B2F54" w:rsidRPr="003B2F54">
          <w:rPr>
            <w:b w:val="0"/>
            <w:webHidden/>
          </w:rPr>
        </w:r>
        <w:r w:rsidR="003B2F54" w:rsidRPr="003B2F54">
          <w:rPr>
            <w:b w:val="0"/>
            <w:webHidden/>
          </w:rPr>
          <w:fldChar w:fldCharType="separate"/>
        </w:r>
        <w:r w:rsidR="003B2F54" w:rsidRPr="003B2F54">
          <w:rPr>
            <w:b w:val="0"/>
            <w:webHidden/>
          </w:rPr>
          <w:t>4</w:t>
        </w:r>
        <w:r w:rsidR="003B2F54" w:rsidRPr="003B2F54">
          <w:rPr>
            <w:b w:val="0"/>
            <w:webHidden/>
          </w:rPr>
          <w:fldChar w:fldCharType="end"/>
        </w:r>
      </w:hyperlink>
    </w:p>
    <w:p w14:paraId="6E4DF5EE" w14:textId="77777777" w:rsidR="003B2F54" w:rsidRPr="00031724" w:rsidRDefault="00000000">
      <w:pPr>
        <w:pStyle w:val="TOC2"/>
        <w:rPr>
          <w:rFonts w:eastAsia="Times New Roman"/>
          <w:b w:val="0"/>
          <w:lang w:val="en-ZW" w:eastAsia="en-ZW"/>
        </w:rPr>
      </w:pPr>
      <w:hyperlink w:anchor="_Toc168317172" w:history="1">
        <w:r w:rsidR="003B2F54" w:rsidRPr="003B2F54">
          <w:rPr>
            <w:rStyle w:val="Hyperlink"/>
            <w:b w:val="0"/>
          </w:rPr>
          <w:t>5.2</w:t>
        </w:r>
        <w:r w:rsidR="003B2F54" w:rsidRPr="00031724">
          <w:rPr>
            <w:rFonts w:eastAsia="Times New Roman"/>
            <w:b w:val="0"/>
            <w:lang w:val="en-ZW" w:eastAsia="en-ZW"/>
          </w:rPr>
          <w:t xml:space="preserve"> </w:t>
        </w:r>
        <w:r w:rsidR="003B2F54" w:rsidRPr="003B2F54">
          <w:rPr>
            <w:rStyle w:val="Hyperlink"/>
            <w:b w:val="0"/>
          </w:rPr>
          <w:t>Cross Rate Developments</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_Toc168317172 \h </w:instrText>
        </w:r>
        <w:r w:rsidR="003B2F54" w:rsidRPr="003B2F54">
          <w:rPr>
            <w:b w:val="0"/>
            <w:webHidden/>
          </w:rPr>
        </w:r>
        <w:r w:rsidR="003B2F54" w:rsidRPr="003B2F54">
          <w:rPr>
            <w:b w:val="0"/>
            <w:webHidden/>
          </w:rPr>
          <w:fldChar w:fldCharType="separate"/>
        </w:r>
        <w:r w:rsidR="003B2F54" w:rsidRPr="003B2F54">
          <w:rPr>
            <w:b w:val="0"/>
            <w:webHidden/>
          </w:rPr>
          <w:t>5</w:t>
        </w:r>
        <w:r w:rsidR="003B2F54" w:rsidRPr="003B2F54">
          <w:rPr>
            <w:b w:val="0"/>
            <w:webHidden/>
          </w:rPr>
          <w:fldChar w:fldCharType="end"/>
        </w:r>
      </w:hyperlink>
    </w:p>
    <w:p w14:paraId="3FE098C8"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73" w:history="1">
        <w:r w:rsidR="003B2F54" w:rsidRPr="003B2F54">
          <w:rPr>
            <w:rStyle w:val="Hyperlink"/>
            <w:rFonts w:ascii="Tahoma" w:hAnsi="Tahoma" w:cs="Tahoma"/>
            <w:noProof/>
            <w:sz w:val="24"/>
            <w:szCs w:val="24"/>
          </w:rPr>
          <w:t>6.0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Inflation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_Toc168317173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6</w:t>
        </w:r>
        <w:r w:rsidR="003B2F54" w:rsidRPr="003B2F54">
          <w:rPr>
            <w:rFonts w:ascii="Tahoma" w:hAnsi="Tahoma" w:cs="Tahoma"/>
            <w:noProof/>
            <w:webHidden/>
            <w:sz w:val="24"/>
            <w:szCs w:val="24"/>
          </w:rPr>
          <w:fldChar w:fldCharType="end"/>
        </w:r>
      </w:hyperlink>
    </w:p>
    <w:p w14:paraId="26520B19"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74" w:history="1">
        <w:r w:rsidR="003B2F54" w:rsidRPr="003B2F54">
          <w:rPr>
            <w:rStyle w:val="Hyperlink"/>
            <w:rFonts w:ascii="Tahoma" w:hAnsi="Tahoma" w:cs="Tahoma"/>
            <w:noProof/>
            <w:sz w:val="24"/>
            <w:szCs w:val="24"/>
          </w:rPr>
          <w:t>7.0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Monetary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_Toc168317174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7</w:t>
        </w:r>
        <w:r w:rsidR="003B2F54" w:rsidRPr="003B2F54">
          <w:rPr>
            <w:rFonts w:ascii="Tahoma" w:hAnsi="Tahoma" w:cs="Tahoma"/>
            <w:noProof/>
            <w:webHidden/>
            <w:sz w:val="24"/>
            <w:szCs w:val="24"/>
          </w:rPr>
          <w:fldChar w:fldCharType="end"/>
        </w:r>
      </w:hyperlink>
    </w:p>
    <w:p w14:paraId="34807AC6" w14:textId="77777777" w:rsidR="003B2F54" w:rsidRPr="00031724" w:rsidRDefault="00000000">
      <w:pPr>
        <w:pStyle w:val="TOC2"/>
        <w:rPr>
          <w:rFonts w:eastAsia="Times New Roman"/>
          <w:b w:val="0"/>
          <w:lang w:val="en-ZW" w:eastAsia="en-ZW"/>
        </w:rPr>
      </w:pPr>
      <w:hyperlink w:anchor="_Toc168317175" w:history="1">
        <w:r w:rsidR="003B2F54" w:rsidRPr="003B2F54">
          <w:rPr>
            <w:rStyle w:val="Hyperlink"/>
            <w:b w:val="0"/>
          </w:rPr>
          <w:t>7.1</w:t>
        </w:r>
        <w:r w:rsidR="003B2F54" w:rsidRPr="00031724">
          <w:rPr>
            <w:rFonts w:eastAsia="Times New Roman"/>
            <w:b w:val="0"/>
            <w:lang w:val="en-ZW" w:eastAsia="en-ZW"/>
          </w:rPr>
          <w:t xml:space="preserve"> </w:t>
        </w:r>
        <w:r w:rsidR="003B2F54" w:rsidRPr="003B2F54">
          <w:rPr>
            <w:rStyle w:val="Hyperlink"/>
            <w:b w:val="0"/>
          </w:rPr>
          <w:t>Money Supply</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_Toc168317175 \h </w:instrText>
        </w:r>
        <w:r w:rsidR="003B2F54" w:rsidRPr="003B2F54">
          <w:rPr>
            <w:b w:val="0"/>
            <w:webHidden/>
          </w:rPr>
        </w:r>
        <w:r w:rsidR="003B2F54" w:rsidRPr="003B2F54">
          <w:rPr>
            <w:b w:val="0"/>
            <w:webHidden/>
          </w:rPr>
          <w:fldChar w:fldCharType="separate"/>
        </w:r>
        <w:r w:rsidR="003B2F54" w:rsidRPr="003B2F54">
          <w:rPr>
            <w:b w:val="0"/>
            <w:webHidden/>
          </w:rPr>
          <w:t>7</w:t>
        </w:r>
        <w:r w:rsidR="003B2F54" w:rsidRPr="003B2F54">
          <w:rPr>
            <w:b w:val="0"/>
            <w:webHidden/>
          </w:rPr>
          <w:fldChar w:fldCharType="end"/>
        </w:r>
      </w:hyperlink>
    </w:p>
    <w:p w14:paraId="3FF2DCB7" w14:textId="77777777" w:rsidR="003B2F54" w:rsidRPr="00031724" w:rsidRDefault="00000000">
      <w:pPr>
        <w:pStyle w:val="TOC2"/>
        <w:rPr>
          <w:rFonts w:eastAsia="Times New Roman"/>
          <w:b w:val="0"/>
          <w:lang w:val="en-ZW" w:eastAsia="en-ZW"/>
        </w:rPr>
      </w:pPr>
      <w:hyperlink w:anchor="_Toc168317176" w:history="1">
        <w:r w:rsidR="003B2F54" w:rsidRPr="003B2F54">
          <w:rPr>
            <w:rStyle w:val="Hyperlink"/>
            <w:b w:val="0"/>
          </w:rPr>
          <w:t>7.2</w:t>
        </w:r>
        <w:r w:rsidR="003B2F54" w:rsidRPr="00031724">
          <w:rPr>
            <w:rFonts w:eastAsia="Times New Roman"/>
            <w:b w:val="0"/>
            <w:lang w:val="en-ZW" w:eastAsia="en-ZW"/>
          </w:rPr>
          <w:t xml:space="preserve"> </w:t>
        </w:r>
        <w:r w:rsidR="003B2F54" w:rsidRPr="003B2F54">
          <w:rPr>
            <w:rStyle w:val="Hyperlink"/>
            <w:b w:val="0"/>
          </w:rPr>
          <w:t>Interest Rates</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_Toc168317176 \h </w:instrText>
        </w:r>
        <w:r w:rsidR="003B2F54" w:rsidRPr="003B2F54">
          <w:rPr>
            <w:b w:val="0"/>
            <w:webHidden/>
          </w:rPr>
        </w:r>
        <w:r w:rsidR="003B2F54" w:rsidRPr="003B2F54">
          <w:rPr>
            <w:b w:val="0"/>
            <w:webHidden/>
          </w:rPr>
          <w:fldChar w:fldCharType="separate"/>
        </w:r>
        <w:r w:rsidR="003B2F54" w:rsidRPr="003B2F54">
          <w:rPr>
            <w:b w:val="0"/>
            <w:webHidden/>
          </w:rPr>
          <w:t>7</w:t>
        </w:r>
        <w:r w:rsidR="003B2F54" w:rsidRPr="003B2F54">
          <w:rPr>
            <w:b w:val="0"/>
            <w:webHidden/>
          </w:rPr>
          <w:fldChar w:fldCharType="end"/>
        </w:r>
      </w:hyperlink>
    </w:p>
    <w:p w14:paraId="630A29B3"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77" w:history="1">
        <w:r w:rsidR="003B2F54" w:rsidRPr="003B2F54">
          <w:rPr>
            <w:rStyle w:val="Hyperlink"/>
            <w:rFonts w:ascii="Tahoma" w:hAnsi="Tahoma" w:cs="Tahoma"/>
            <w:noProof/>
            <w:sz w:val="24"/>
            <w:szCs w:val="24"/>
          </w:rPr>
          <w:t>8.0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Stock Market Developments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_Toc168317177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8</w:t>
        </w:r>
        <w:r w:rsidR="003B2F54" w:rsidRPr="003B2F54">
          <w:rPr>
            <w:rFonts w:ascii="Tahoma" w:hAnsi="Tahoma" w:cs="Tahoma"/>
            <w:noProof/>
            <w:webHidden/>
            <w:sz w:val="24"/>
            <w:szCs w:val="24"/>
          </w:rPr>
          <w:fldChar w:fldCharType="end"/>
        </w:r>
      </w:hyperlink>
    </w:p>
    <w:p w14:paraId="17EEB456" w14:textId="77777777" w:rsidR="003B2F54" w:rsidRPr="00031724" w:rsidRDefault="00000000">
      <w:pPr>
        <w:pStyle w:val="TOC2"/>
        <w:rPr>
          <w:rFonts w:eastAsia="Times New Roman"/>
          <w:b w:val="0"/>
          <w:lang w:val="en-ZW" w:eastAsia="en-ZW"/>
        </w:rPr>
      </w:pPr>
      <w:hyperlink w:anchor="_Toc168317178" w:history="1">
        <w:r w:rsidR="003B2F54" w:rsidRPr="003B2F54">
          <w:rPr>
            <w:rStyle w:val="Hyperlink"/>
            <w:b w:val="0"/>
          </w:rPr>
          <w:t>8.1</w:t>
        </w:r>
        <w:r w:rsidR="003B2F54" w:rsidRPr="00031724">
          <w:rPr>
            <w:rFonts w:eastAsia="Times New Roman"/>
            <w:b w:val="0"/>
            <w:lang w:val="en-ZW" w:eastAsia="en-ZW"/>
          </w:rPr>
          <w:t xml:space="preserve"> </w:t>
        </w:r>
        <w:r w:rsidR="003B2F54" w:rsidRPr="003B2F54">
          <w:rPr>
            <w:rStyle w:val="Hyperlink"/>
            <w:b w:val="0"/>
          </w:rPr>
          <w:t>Zimbabwe Stock Exchange</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_Toc168317178 \h </w:instrText>
        </w:r>
        <w:r w:rsidR="003B2F54" w:rsidRPr="003B2F54">
          <w:rPr>
            <w:b w:val="0"/>
            <w:webHidden/>
          </w:rPr>
        </w:r>
        <w:r w:rsidR="003B2F54" w:rsidRPr="003B2F54">
          <w:rPr>
            <w:b w:val="0"/>
            <w:webHidden/>
          </w:rPr>
          <w:fldChar w:fldCharType="separate"/>
        </w:r>
        <w:r w:rsidR="003B2F54" w:rsidRPr="003B2F54">
          <w:rPr>
            <w:b w:val="0"/>
            <w:webHidden/>
          </w:rPr>
          <w:t>8</w:t>
        </w:r>
        <w:r w:rsidR="003B2F54" w:rsidRPr="003B2F54">
          <w:rPr>
            <w:b w:val="0"/>
            <w:webHidden/>
          </w:rPr>
          <w:fldChar w:fldCharType="end"/>
        </w:r>
      </w:hyperlink>
    </w:p>
    <w:p w14:paraId="3B8907D5" w14:textId="77777777" w:rsidR="003B2F54" w:rsidRPr="00031724" w:rsidRDefault="00000000">
      <w:pPr>
        <w:pStyle w:val="TOC2"/>
        <w:rPr>
          <w:rFonts w:eastAsia="Times New Roman"/>
          <w:b w:val="0"/>
          <w:lang w:val="en-ZW" w:eastAsia="en-ZW"/>
        </w:rPr>
      </w:pPr>
      <w:hyperlink w:anchor="_Toc168317179" w:history="1">
        <w:r w:rsidR="003B2F54" w:rsidRPr="003B2F54">
          <w:rPr>
            <w:rStyle w:val="Hyperlink"/>
            <w:b w:val="0"/>
          </w:rPr>
          <w:t>8.2</w:t>
        </w:r>
        <w:r w:rsidR="003B2F54" w:rsidRPr="00031724">
          <w:rPr>
            <w:rFonts w:eastAsia="Times New Roman"/>
            <w:b w:val="0"/>
            <w:lang w:val="en-ZW" w:eastAsia="en-ZW"/>
          </w:rPr>
          <w:t xml:space="preserve"> </w:t>
        </w:r>
        <w:r w:rsidR="003B2F54" w:rsidRPr="003B2F54">
          <w:rPr>
            <w:rStyle w:val="Hyperlink"/>
            <w:b w:val="0"/>
          </w:rPr>
          <w:t>Victoria Falls Stock Exchange</w:t>
        </w:r>
        <w:r w:rsidR="003B2F54" w:rsidRPr="003B2F54">
          <w:rPr>
            <w:b w:val="0"/>
            <w:webHidden/>
          </w:rPr>
          <w:tab/>
        </w:r>
        <w:r w:rsidR="003B2F54" w:rsidRPr="003B2F54">
          <w:rPr>
            <w:b w:val="0"/>
            <w:webHidden/>
          </w:rPr>
          <w:fldChar w:fldCharType="begin"/>
        </w:r>
        <w:r w:rsidR="003B2F54" w:rsidRPr="003B2F54">
          <w:rPr>
            <w:b w:val="0"/>
            <w:webHidden/>
          </w:rPr>
          <w:instrText xml:space="preserve"> PAGEREF _Toc168317179 \h </w:instrText>
        </w:r>
        <w:r w:rsidR="003B2F54" w:rsidRPr="003B2F54">
          <w:rPr>
            <w:b w:val="0"/>
            <w:webHidden/>
          </w:rPr>
        </w:r>
        <w:r w:rsidR="003B2F54" w:rsidRPr="003B2F54">
          <w:rPr>
            <w:b w:val="0"/>
            <w:webHidden/>
          </w:rPr>
          <w:fldChar w:fldCharType="separate"/>
        </w:r>
        <w:r w:rsidR="003B2F54" w:rsidRPr="003B2F54">
          <w:rPr>
            <w:b w:val="0"/>
            <w:webHidden/>
          </w:rPr>
          <w:t>8</w:t>
        </w:r>
        <w:r w:rsidR="003B2F54" w:rsidRPr="003B2F54">
          <w:rPr>
            <w:b w:val="0"/>
            <w:webHidden/>
          </w:rPr>
          <w:fldChar w:fldCharType="end"/>
        </w:r>
      </w:hyperlink>
    </w:p>
    <w:p w14:paraId="12FE3FE3"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80" w:history="1">
        <w:r w:rsidR="003B2F54" w:rsidRPr="003B2F54">
          <w:rPr>
            <w:rStyle w:val="Hyperlink"/>
            <w:rFonts w:ascii="Tahoma" w:hAnsi="Tahoma" w:cs="Tahoma"/>
            <w:noProof/>
            <w:sz w:val="24"/>
            <w:szCs w:val="24"/>
          </w:rPr>
          <w:t>9.0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Recommendations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_Toc168317180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9</w:t>
        </w:r>
        <w:r w:rsidR="003B2F54" w:rsidRPr="003B2F54">
          <w:rPr>
            <w:rFonts w:ascii="Tahoma" w:hAnsi="Tahoma" w:cs="Tahoma"/>
            <w:noProof/>
            <w:webHidden/>
            <w:sz w:val="24"/>
            <w:szCs w:val="24"/>
          </w:rPr>
          <w:fldChar w:fldCharType="end"/>
        </w:r>
      </w:hyperlink>
    </w:p>
    <w:p w14:paraId="3EE5A236" w14:textId="77777777" w:rsidR="003B2F54" w:rsidRPr="00031724" w:rsidRDefault="00000000">
      <w:pPr>
        <w:pStyle w:val="TOC1"/>
        <w:tabs>
          <w:tab w:val="left" w:pos="720"/>
          <w:tab w:val="right" w:leader="dot" w:pos="9016"/>
        </w:tabs>
        <w:rPr>
          <w:rFonts w:ascii="Tahoma" w:eastAsia="Times New Roman" w:hAnsi="Tahoma" w:cs="Tahoma"/>
          <w:noProof/>
          <w:sz w:val="24"/>
          <w:szCs w:val="24"/>
          <w:lang w:val="en-ZW" w:eastAsia="en-ZW"/>
        </w:rPr>
      </w:pPr>
      <w:hyperlink w:anchor="_Toc168317181" w:history="1">
        <w:r w:rsidR="003B2F54" w:rsidRPr="003B2F54">
          <w:rPr>
            <w:rStyle w:val="Hyperlink"/>
            <w:rFonts w:ascii="Tahoma" w:hAnsi="Tahoma" w:cs="Tahoma"/>
            <w:noProof/>
            <w:sz w:val="24"/>
            <w:szCs w:val="24"/>
          </w:rPr>
          <w:t>10.0</w:t>
        </w:r>
        <w:r w:rsidR="003B2F54" w:rsidRPr="00031724">
          <w:rPr>
            <w:rFonts w:ascii="Tahoma" w:eastAsia="Times New Roman" w:hAnsi="Tahoma" w:cs="Tahoma"/>
            <w:noProof/>
            <w:sz w:val="24"/>
            <w:szCs w:val="24"/>
            <w:lang w:val="en-ZW" w:eastAsia="en-ZW"/>
          </w:rPr>
          <w:t xml:space="preserve"> </w:t>
        </w:r>
        <w:r w:rsidR="003B2F54" w:rsidRPr="003B2F54">
          <w:rPr>
            <w:rStyle w:val="Hyperlink"/>
            <w:rFonts w:ascii="Tahoma" w:hAnsi="Tahoma" w:cs="Tahoma"/>
            <w:noProof/>
            <w:sz w:val="24"/>
            <w:szCs w:val="24"/>
          </w:rPr>
          <w:t>References</w:t>
        </w:r>
        <w:r w:rsidR="003B2F54" w:rsidRPr="003B2F54">
          <w:rPr>
            <w:rFonts w:ascii="Tahoma" w:hAnsi="Tahoma" w:cs="Tahoma"/>
            <w:noProof/>
            <w:webHidden/>
            <w:sz w:val="24"/>
            <w:szCs w:val="24"/>
          </w:rPr>
          <w:tab/>
        </w:r>
        <w:r w:rsidR="003B2F54" w:rsidRPr="003B2F54">
          <w:rPr>
            <w:rFonts w:ascii="Tahoma" w:hAnsi="Tahoma" w:cs="Tahoma"/>
            <w:noProof/>
            <w:webHidden/>
            <w:sz w:val="24"/>
            <w:szCs w:val="24"/>
          </w:rPr>
          <w:fldChar w:fldCharType="begin"/>
        </w:r>
        <w:r w:rsidR="003B2F54" w:rsidRPr="003B2F54">
          <w:rPr>
            <w:rFonts w:ascii="Tahoma" w:hAnsi="Tahoma" w:cs="Tahoma"/>
            <w:noProof/>
            <w:webHidden/>
            <w:sz w:val="24"/>
            <w:szCs w:val="24"/>
          </w:rPr>
          <w:instrText xml:space="preserve"> PAGEREF _Toc168317181 \h </w:instrText>
        </w:r>
        <w:r w:rsidR="003B2F54" w:rsidRPr="003B2F54">
          <w:rPr>
            <w:rFonts w:ascii="Tahoma" w:hAnsi="Tahoma" w:cs="Tahoma"/>
            <w:noProof/>
            <w:webHidden/>
            <w:sz w:val="24"/>
            <w:szCs w:val="24"/>
          </w:rPr>
        </w:r>
        <w:r w:rsidR="003B2F54" w:rsidRPr="003B2F54">
          <w:rPr>
            <w:rFonts w:ascii="Tahoma" w:hAnsi="Tahoma" w:cs="Tahoma"/>
            <w:noProof/>
            <w:webHidden/>
            <w:sz w:val="24"/>
            <w:szCs w:val="24"/>
          </w:rPr>
          <w:fldChar w:fldCharType="separate"/>
        </w:r>
        <w:r w:rsidR="003B2F54" w:rsidRPr="003B2F54">
          <w:rPr>
            <w:rFonts w:ascii="Tahoma" w:hAnsi="Tahoma" w:cs="Tahoma"/>
            <w:noProof/>
            <w:webHidden/>
            <w:sz w:val="24"/>
            <w:szCs w:val="24"/>
          </w:rPr>
          <w:t>10</w:t>
        </w:r>
        <w:r w:rsidR="003B2F54" w:rsidRPr="003B2F54">
          <w:rPr>
            <w:rFonts w:ascii="Tahoma" w:hAnsi="Tahoma" w:cs="Tahoma"/>
            <w:noProof/>
            <w:webHidden/>
            <w:sz w:val="24"/>
            <w:szCs w:val="24"/>
          </w:rPr>
          <w:fldChar w:fldCharType="end"/>
        </w:r>
      </w:hyperlink>
    </w:p>
    <w:p w14:paraId="0A8CB4AE" w14:textId="77777777" w:rsidR="00D46F37" w:rsidRPr="00796E2E" w:rsidRDefault="00D46F37">
      <w:r w:rsidRPr="00796E2E">
        <w:rPr>
          <w:b/>
          <w:bCs/>
        </w:rPr>
        <w:fldChar w:fldCharType="end"/>
      </w:r>
    </w:p>
    <w:p w14:paraId="52FC407D" w14:textId="77777777" w:rsidR="00D46F37" w:rsidRPr="00796E2E" w:rsidRDefault="00D46F37" w:rsidP="00D46F37"/>
    <w:p w14:paraId="3242EDFA" w14:textId="77777777" w:rsidR="00D46F37" w:rsidRPr="00796E2E" w:rsidRDefault="00D46F37" w:rsidP="00D46F37"/>
    <w:p w14:paraId="4CB05F3E" w14:textId="77777777" w:rsidR="00D46F37" w:rsidRPr="00796E2E" w:rsidRDefault="00D46F37" w:rsidP="00D46F37"/>
    <w:p w14:paraId="2542BC0B" w14:textId="77777777" w:rsidR="00D46F37" w:rsidRPr="00796E2E" w:rsidRDefault="00D46F37" w:rsidP="00D46F37"/>
    <w:p w14:paraId="0C34C8C4" w14:textId="77777777" w:rsidR="00D46F37" w:rsidRPr="00796E2E" w:rsidRDefault="00D46F37" w:rsidP="00D46F37"/>
    <w:p w14:paraId="6006C7B7" w14:textId="77777777" w:rsidR="00D46F37" w:rsidRPr="00796E2E" w:rsidRDefault="00D46F37" w:rsidP="00D46F37"/>
    <w:p w14:paraId="7F28A060" w14:textId="77777777" w:rsidR="00D46F37" w:rsidRPr="00796E2E" w:rsidRDefault="00D46F37" w:rsidP="00D46F37"/>
    <w:p w14:paraId="549D8E77" w14:textId="77777777" w:rsidR="00D46F37" w:rsidRPr="00796E2E" w:rsidRDefault="00D46F37" w:rsidP="00D46F37"/>
    <w:p w14:paraId="3B6F545B" w14:textId="77777777" w:rsidR="004C677E" w:rsidRPr="00796E2E" w:rsidRDefault="004C677E" w:rsidP="00D46F37"/>
    <w:p w14:paraId="3903FAD4" w14:textId="77777777" w:rsidR="00D46F37" w:rsidRPr="00796E2E" w:rsidRDefault="00D46F37" w:rsidP="00D46F37"/>
    <w:p w14:paraId="68BA73B3" w14:textId="77777777" w:rsidR="00D46F37" w:rsidRPr="00796E2E" w:rsidRDefault="00D46F37" w:rsidP="00D46F37"/>
    <w:p w14:paraId="53F58E51" w14:textId="77777777" w:rsidR="00750E65" w:rsidRPr="00796E2E" w:rsidRDefault="00750E65" w:rsidP="00C15AC0"/>
    <w:p w14:paraId="0E618FAC" w14:textId="77777777" w:rsidR="00732393" w:rsidRPr="00796E2E" w:rsidRDefault="00F67469" w:rsidP="005D76CA">
      <w:pPr>
        <w:rPr>
          <w:rFonts w:ascii="Tahoma" w:hAnsi="Tahoma" w:cs="Tahoma"/>
          <w:b/>
          <w:color w:val="000000"/>
          <w:sz w:val="24"/>
          <w:szCs w:val="24"/>
        </w:rPr>
      </w:pPr>
      <w:r w:rsidRPr="00796E2E">
        <w:rPr>
          <w:rFonts w:ascii="Tahoma" w:hAnsi="Tahoma" w:cs="Tahoma"/>
          <w:b/>
          <w:color w:val="000000"/>
          <w:sz w:val="24"/>
          <w:szCs w:val="24"/>
        </w:rPr>
        <w:t xml:space="preserve">List of </w:t>
      </w:r>
      <w:r w:rsidR="009744EB" w:rsidRPr="00796E2E">
        <w:rPr>
          <w:rFonts w:ascii="Tahoma" w:hAnsi="Tahoma" w:cs="Tahoma"/>
          <w:b/>
          <w:color w:val="000000"/>
          <w:sz w:val="24"/>
          <w:szCs w:val="24"/>
        </w:rPr>
        <w:t>Tables</w:t>
      </w:r>
      <w:r w:rsidRPr="00796E2E">
        <w:rPr>
          <w:rFonts w:ascii="Tahoma" w:hAnsi="Tahoma" w:cs="Tahoma"/>
          <w:b/>
          <w:color w:val="000000"/>
          <w:sz w:val="24"/>
          <w:szCs w:val="24"/>
        </w:rPr>
        <w:t xml:space="preserve"> </w:t>
      </w:r>
    </w:p>
    <w:p w14:paraId="4FD16F95" w14:textId="77777777" w:rsidR="0080107D" w:rsidRPr="00031724" w:rsidRDefault="00E36073">
      <w:pPr>
        <w:pStyle w:val="TableofFigures"/>
        <w:tabs>
          <w:tab w:val="right" w:leader="dot" w:pos="9016"/>
        </w:tabs>
        <w:rPr>
          <w:rFonts w:ascii="Tahoma" w:eastAsia="Times New Roman" w:hAnsi="Tahoma" w:cs="Tahoma"/>
          <w:bCs/>
          <w:noProof/>
          <w:sz w:val="24"/>
          <w:szCs w:val="24"/>
          <w:lang w:val="en-ZW" w:eastAsia="en-ZW"/>
        </w:rPr>
      </w:pPr>
      <w:r w:rsidRPr="0080107D">
        <w:rPr>
          <w:rFonts w:ascii="Tahoma" w:hAnsi="Tahoma" w:cs="Tahoma"/>
          <w:bCs/>
          <w:iCs/>
          <w:sz w:val="24"/>
          <w:szCs w:val="24"/>
        </w:rPr>
        <w:fldChar w:fldCharType="begin"/>
      </w:r>
      <w:r w:rsidRPr="0080107D">
        <w:rPr>
          <w:rFonts w:ascii="Tahoma" w:hAnsi="Tahoma" w:cs="Tahoma"/>
          <w:bCs/>
          <w:iCs/>
          <w:sz w:val="24"/>
          <w:szCs w:val="24"/>
        </w:rPr>
        <w:instrText xml:space="preserve"> TOC \f F \h \z \t "List of Tables" \c </w:instrText>
      </w:r>
      <w:r w:rsidRPr="0080107D">
        <w:rPr>
          <w:rFonts w:ascii="Tahoma" w:hAnsi="Tahoma" w:cs="Tahoma"/>
          <w:bCs/>
          <w:iCs/>
          <w:sz w:val="24"/>
          <w:szCs w:val="24"/>
        </w:rPr>
        <w:fldChar w:fldCharType="separate"/>
      </w:r>
      <w:hyperlink w:anchor="_Toc168306901" w:history="1">
        <w:r w:rsidR="0080107D" w:rsidRPr="0080107D">
          <w:rPr>
            <w:rStyle w:val="Hyperlink"/>
            <w:rFonts w:ascii="Tahoma" w:hAnsi="Tahoma" w:cs="Tahoma"/>
            <w:bCs/>
            <w:noProof/>
            <w:sz w:val="24"/>
            <w:szCs w:val="24"/>
          </w:rPr>
          <w:t>Table 1: Global Economic Growth Developments</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_Toc168306901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1</w:t>
        </w:r>
        <w:r w:rsidR="0080107D" w:rsidRPr="0080107D">
          <w:rPr>
            <w:rFonts w:ascii="Tahoma" w:hAnsi="Tahoma" w:cs="Tahoma"/>
            <w:bCs/>
            <w:noProof/>
            <w:webHidden/>
            <w:sz w:val="24"/>
            <w:szCs w:val="24"/>
          </w:rPr>
          <w:fldChar w:fldCharType="end"/>
        </w:r>
      </w:hyperlink>
    </w:p>
    <w:p w14:paraId="30B28684"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2" w:history="1">
        <w:r w:rsidR="0080107D" w:rsidRPr="0080107D">
          <w:rPr>
            <w:rStyle w:val="Hyperlink"/>
            <w:rFonts w:ascii="Tahoma" w:hAnsi="Tahoma" w:cs="Tahoma"/>
            <w:bCs/>
            <w:noProof/>
            <w:sz w:val="24"/>
            <w:szCs w:val="24"/>
          </w:rPr>
          <w:t>Table 2: Commodity Price Movements – Month Ending 30 April 2024</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_Toc168306902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3</w:t>
        </w:r>
        <w:r w:rsidR="0080107D" w:rsidRPr="0080107D">
          <w:rPr>
            <w:rFonts w:ascii="Tahoma" w:hAnsi="Tahoma" w:cs="Tahoma"/>
            <w:bCs/>
            <w:noProof/>
            <w:webHidden/>
            <w:sz w:val="24"/>
            <w:szCs w:val="24"/>
          </w:rPr>
          <w:fldChar w:fldCharType="end"/>
        </w:r>
      </w:hyperlink>
    </w:p>
    <w:p w14:paraId="4BDF3232"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3" w:history="1">
        <w:r w:rsidR="0080107D" w:rsidRPr="0080107D">
          <w:rPr>
            <w:rStyle w:val="Hyperlink"/>
            <w:rFonts w:ascii="Tahoma" w:hAnsi="Tahoma" w:cs="Tahoma"/>
            <w:bCs/>
            <w:noProof/>
            <w:sz w:val="24"/>
            <w:szCs w:val="24"/>
          </w:rPr>
          <w:t>Table 3: ZWL$ Exchange Rate Movements – Month Ending 30 April 2024</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_Toc168306903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5</w:t>
        </w:r>
        <w:r w:rsidR="0080107D" w:rsidRPr="0080107D">
          <w:rPr>
            <w:rFonts w:ascii="Tahoma" w:hAnsi="Tahoma" w:cs="Tahoma"/>
            <w:bCs/>
            <w:noProof/>
            <w:webHidden/>
            <w:sz w:val="24"/>
            <w:szCs w:val="24"/>
          </w:rPr>
          <w:fldChar w:fldCharType="end"/>
        </w:r>
      </w:hyperlink>
    </w:p>
    <w:p w14:paraId="4C958380"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4" w:history="1">
        <w:r w:rsidR="0080107D" w:rsidRPr="0080107D">
          <w:rPr>
            <w:rStyle w:val="Hyperlink"/>
            <w:rFonts w:ascii="Tahoma" w:hAnsi="Tahoma" w:cs="Tahoma"/>
            <w:bCs/>
            <w:noProof/>
            <w:sz w:val="24"/>
            <w:szCs w:val="24"/>
          </w:rPr>
          <w:t>Table 4: USD Exchange Rate Movements – Month Ended 30 April 2024</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_Toc168306904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6</w:t>
        </w:r>
        <w:r w:rsidR="0080107D" w:rsidRPr="0080107D">
          <w:rPr>
            <w:rFonts w:ascii="Tahoma" w:hAnsi="Tahoma" w:cs="Tahoma"/>
            <w:bCs/>
            <w:noProof/>
            <w:webHidden/>
            <w:sz w:val="24"/>
            <w:szCs w:val="24"/>
          </w:rPr>
          <w:fldChar w:fldCharType="end"/>
        </w:r>
      </w:hyperlink>
    </w:p>
    <w:p w14:paraId="1EE2AF73"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5" w:history="1">
        <w:r w:rsidR="0080107D" w:rsidRPr="0080107D">
          <w:rPr>
            <w:rStyle w:val="Hyperlink"/>
            <w:rFonts w:ascii="Tahoma" w:hAnsi="Tahoma" w:cs="Tahoma"/>
            <w:bCs/>
            <w:noProof/>
            <w:sz w:val="24"/>
            <w:szCs w:val="24"/>
          </w:rPr>
          <w:t>Table 5: Inflation by Sector April 2024</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_Toc168306905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7</w:t>
        </w:r>
        <w:r w:rsidR="0080107D" w:rsidRPr="0080107D">
          <w:rPr>
            <w:rFonts w:ascii="Tahoma" w:hAnsi="Tahoma" w:cs="Tahoma"/>
            <w:bCs/>
            <w:noProof/>
            <w:webHidden/>
            <w:sz w:val="24"/>
            <w:szCs w:val="24"/>
          </w:rPr>
          <w:fldChar w:fldCharType="end"/>
        </w:r>
      </w:hyperlink>
    </w:p>
    <w:p w14:paraId="7971A278"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6" w:history="1">
        <w:r w:rsidR="0080107D" w:rsidRPr="0080107D">
          <w:rPr>
            <w:rStyle w:val="Hyperlink"/>
            <w:rFonts w:ascii="Tahoma" w:hAnsi="Tahoma" w:cs="Tahoma"/>
            <w:bCs/>
            <w:noProof/>
            <w:sz w:val="24"/>
            <w:szCs w:val="24"/>
          </w:rPr>
          <w:t>Table 6: Zimbabwe Stock Exchange Movements</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_Toc168306906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8</w:t>
        </w:r>
        <w:r w:rsidR="0080107D" w:rsidRPr="0080107D">
          <w:rPr>
            <w:rFonts w:ascii="Tahoma" w:hAnsi="Tahoma" w:cs="Tahoma"/>
            <w:bCs/>
            <w:noProof/>
            <w:webHidden/>
            <w:sz w:val="24"/>
            <w:szCs w:val="24"/>
          </w:rPr>
          <w:fldChar w:fldCharType="end"/>
        </w:r>
      </w:hyperlink>
    </w:p>
    <w:p w14:paraId="1772D1AE" w14:textId="77777777" w:rsidR="0080107D" w:rsidRPr="00031724" w:rsidRDefault="00000000">
      <w:pPr>
        <w:pStyle w:val="TableofFigures"/>
        <w:tabs>
          <w:tab w:val="right" w:leader="dot" w:pos="9016"/>
        </w:tabs>
        <w:rPr>
          <w:rFonts w:ascii="Tahoma" w:eastAsia="Times New Roman" w:hAnsi="Tahoma" w:cs="Tahoma"/>
          <w:bCs/>
          <w:noProof/>
          <w:sz w:val="24"/>
          <w:szCs w:val="24"/>
          <w:lang w:val="en-ZW" w:eastAsia="en-ZW"/>
        </w:rPr>
      </w:pPr>
      <w:hyperlink w:anchor="_Toc168306907" w:history="1">
        <w:r w:rsidR="0080107D" w:rsidRPr="0080107D">
          <w:rPr>
            <w:rStyle w:val="Hyperlink"/>
            <w:rFonts w:ascii="Tahoma" w:hAnsi="Tahoma" w:cs="Tahoma"/>
            <w:bCs/>
            <w:noProof/>
            <w:sz w:val="24"/>
            <w:szCs w:val="24"/>
          </w:rPr>
          <w:t>Table 7: Victoria Falls Stock Exchange Movements</w:t>
        </w:r>
        <w:r w:rsidR="0080107D" w:rsidRPr="0080107D">
          <w:rPr>
            <w:rFonts w:ascii="Tahoma" w:hAnsi="Tahoma" w:cs="Tahoma"/>
            <w:bCs/>
            <w:noProof/>
            <w:webHidden/>
            <w:sz w:val="24"/>
            <w:szCs w:val="24"/>
          </w:rPr>
          <w:tab/>
        </w:r>
        <w:r w:rsidR="0080107D" w:rsidRPr="0080107D">
          <w:rPr>
            <w:rFonts w:ascii="Tahoma" w:hAnsi="Tahoma" w:cs="Tahoma"/>
            <w:bCs/>
            <w:noProof/>
            <w:webHidden/>
            <w:sz w:val="24"/>
            <w:szCs w:val="24"/>
          </w:rPr>
          <w:fldChar w:fldCharType="begin"/>
        </w:r>
        <w:r w:rsidR="0080107D" w:rsidRPr="0080107D">
          <w:rPr>
            <w:rFonts w:ascii="Tahoma" w:hAnsi="Tahoma" w:cs="Tahoma"/>
            <w:bCs/>
            <w:noProof/>
            <w:webHidden/>
            <w:sz w:val="24"/>
            <w:szCs w:val="24"/>
          </w:rPr>
          <w:instrText xml:space="preserve"> PAGEREF _Toc168306907 \h </w:instrText>
        </w:r>
        <w:r w:rsidR="0080107D" w:rsidRPr="0080107D">
          <w:rPr>
            <w:rFonts w:ascii="Tahoma" w:hAnsi="Tahoma" w:cs="Tahoma"/>
            <w:bCs/>
            <w:noProof/>
            <w:webHidden/>
            <w:sz w:val="24"/>
            <w:szCs w:val="24"/>
          </w:rPr>
        </w:r>
        <w:r w:rsidR="0080107D" w:rsidRPr="0080107D">
          <w:rPr>
            <w:rFonts w:ascii="Tahoma" w:hAnsi="Tahoma" w:cs="Tahoma"/>
            <w:bCs/>
            <w:noProof/>
            <w:webHidden/>
            <w:sz w:val="24"/>
            <w:szCs w:val="24"/>
          </w:rPr>
          <w:fldChar w:fldCharType="separate"/>
        </w:r>
        <w:r w:rsidR="0080107D" w:rsidRPr="0080107D">
          <w:rPr>
            <w:rFonts w:ascii="Tahoma" w:hAnsi="Tahoma" w:cs="Tahoma"/>
            <w:bCs/>
            <w:noProof/>
            <w:webHidden/>
            <w:sz w:val="24"/>
            <w:szCs w:val="24"/>
          </w:rPr>
          <w:t>8</w:t>
        </w:r>
        <w:r w:rsidR="0080107D" w:rsidRPr="0080107D">
          <w:rPr>
            <w:rFonts w:ascii="Tahoma" w:hAnsi="Tahoma" w:cs="Tahoma"/>
            <w:bCs/>
            <w:noProof/>
            <w:webHidden/>
            <w:sz w:val="24"/>
            <w:szCs w:val="24"/>
          </w:rPr>
          <w:fldChar w:fldCharType="end"/>
        </w:r>
      </w:hyperlink>
    </w:p>
    <w:p w14:paraId="2AE2ABE5" w14:textId="77777777" w:rsidR="00DA458A" w:rsidRPr="0080107D" w:rsidRDefault="00E36073">
      <w:pPr>
        <w:rPr>
          <w:rFonts w:ascii="Tahoma" w:hAnsi="Tahoma" w:cs="Tahoma"/>
          <w:bCs/>
          <w:sz w:val="24"/>
          <w:szCs w:val="24"/>
        </w:rPr>
      </w:pPr>
      <w:r w:rsidRPr="0080107D">
        <w:rPr>
          <w:rFonts w:ascii="Tahoma" w:hAnsi="Tahoma" w:cs="Tahoma"/>
          <w:bCs/>
          <w:iCs/>
          <w:sz w:val="24"/>
          <w:szCs w:val="24"/>
        </w:rPr>
        <w:fldChar w:fldCharType="end"/>
      </w:r>
    </w:p>
    <w:p w14:paraId="54E9460F" w14:textId="77777777" w:rsidR="00717618" w:rsidRPr="00717618" w:rsidRDefault="00654F03" w:rsidP="0080107D">
      <w:pPr>
        <w:rPr>
          <w:rFonts w:ascii="Tahoma" w:hAnsi="Tahoma" w:cs="Tahoma"/>
          <w:noProof/>
          <w:sz w:val="24"/>
          <w:szCs w:val="24"/>
        </w:rPr>
      </w:pPr>
      <w:r w:rsidRPr="00796E2E">
        <w:rPr>
          <w:rFonts w:ascii="Tahoma" w:hAnsi="Tahoma" w:cs="Tahoma"/>
          <w:sz w:val="24"/>
          <w:szCs w:val="24"/>
        </w:rPr>
        <w:br w:type="page"/>
      </w:r>
      <w:r w:rsidR="00E76009" w:rsidRPr="00796E2E">
        <w:rPr>
          <w:rFonts w:ascii="Tahoma" w:hAnsi="Tahoma" w:cs="Tahoma"/>
          <w:b/>
          <w:bCs/>
          <w:sz w:val="24"/>
          <w:szCs w:val="24"/>
        </w:rPr>
        <w:lastRenderedPageBreak/>
        <w:t>List of Figures</w:t>
      </w:r>
      <w:r w:rsidR="0080107D" w:rsidRPr="00717618">
        <w:rPr>
          <w:rFonts w:ascii="Tahoma" w:hAnsi="Tahoma" w:cs="Tahoma"/>
          <w:sz w:val="24"/>
          <w:szCs w:val="24"/>
        </w:rPr>
        <w:fldChar w:fldCharType="begin"/>
      </w:r>
      <w:r w:rsidR="0080107D" w:rsidRPr="00717618">
        <w:rPr>
          <w:rFonts w:ascii="Tahoma" w:hAnsi="Tahoma" w:cs="Tahoma"/>
          <w:sz w:val="24"/>
          <w:szCs w:val="24"/>
        </w:rPr>
        <w:instrText xml:space="preserve"> TOC \c "Figure" </w:instrText>
      </w:r>
      <w:r w:rsidR="0080107D" w:rsidRPr="00717618">
        <w:rPr>
          <w:rFonts w:ascii="Tahoma" w:hAnsi="Tahoma" w:cs="Tahoma"/>
          <w:sz w:val="24"/>
          <w:szCs w:val="24"/>
        </w:rPr>
        <w:fldChar w:fldCharType="separate"/>
      </w:r>
    </w:p>
    <w:p w14:paraId="14318D6F" w14:textId="77777777" w:rsidR="00717618" w:rsidRPr="00031724" w:rsidRDefault="00717618">
      <w:pPr>
        <w:pStyle w:val="TableofFigures"/>
        <w:tabs>
          <w:tab w:val="right" w:leader="dot" w:pos="9016"/>
        </w:tabs>
        <w:rPr>
          <w:rFonts w:ascii="Tahoma" w:eastAsia="Times New Roman" w:hAnsi="Tahoma" w:cs="Tahoma"/>
          <w:noProof/>
          <w:sz w:val="24"/>
          <w:szCs w:val="24"/>
          <w:lang w:val="en-ZW" w:eastAsia="en-ZW"/>
        </w:rPr>
      </w:pPr>
      <w:r w:rsidRPr="00717618">
        <w:rPr>
          <w:rFonts w:ascii="Tahoma" w:hAnsi="Tahoma" w:cs="Tahoma"/>
          <w:noProof/>
          <w:sz w:val="24"/>
          <w:szCs w:val="24"/>
        </w:rPr>
        <w:t>Figure 1: Global Inflation Prospects</w:t>
      </w:r>
      <w:r w:rsidRPr="00717618">
        <w:rPr>
          <w:rFonts w:ascii="Tahoma" w:hAnsi="Tahoma" w:cs="Tahoma"/>
          <w:noProof/>
          <w:sz w:val="24"/>
          <w:szCs w:val="24"/>
        </w:rPr>
        <w:tab/>
      </w:r>
      <w:r w:rsidRPr="00717618">
        <w:rPr>
          <w:rFonts w:ascii="Tahoma" w:hAnsi="Tahoma" w:cs="Tahoma"/>
          <w:noProof/>
          <w:sz w:val="24"/>
          <w:szCs w:val="24"/>
        </w:rPr>
        <w:fldChar w:fldCharType="begin"/>
      </w:r>
      <w:r w:rsidRPr="00717618">
        <w:rPr>
          <w:rFonts w:ascii="Tahoma" w:hAnsi="Tahoma" w:cs="Tahoma"/>
          <w:noProof/>
          <w:sz w:val="24"/>
          <w:szCs w:val="24"/>
        </w:rPr>
        <w:instrText xml:space="preserve"> PAGEREF _Toc168317336 \h </w:instrText>
      </w:r>
      <w:r w:rsidRPr="00717618">
        <w:rPr>
          <w:rFonts w:ascii="Tahoma" w:hAnsi="Tahoma" w:cs="Tahoma"/>
          <w:noProof/>
          <w:sz w:val="24"/>
          <w:szCs w:val="24"/>
        </w:rPr>
      </w:r>
      <w:r w:rsidRPr="00717618">
        <w:rPr>
          <w:rFonts w:ascii="Tahoma" w:hAnsi="Tahoma" w:cs="Tahoma"/>
          <w:noProof/>
          <w:sz w:val="24"/>
          <w:szCs w:val="24"/>
        </w:rPr>
        <w:fldChar w:fldCharType="separate"/>
      </w:r>
      <w:r w:rsidRPr="00717618">
        <w:rPr>
          <w:rFonts w:ascii="Tahoma" w:hAnsi="Tahoma" w:cs="Tahoma"/>
          <w:noProof/>
          <w:sz w:val="24"/>
          <w:szCs w:val="24"/>
        </w:rPr>
        <w:t>2</w:t>
      </w:r>
      <w:r w:rsidRPr="00717618">
        <w:rPr>
          <w:rFonts w:ascii="Tahoma" w:hAnsi="Tahoma" w:cs="Tahoma"/>
          <w:noProof/>
          <w:sz w:val="24"/>
          <w:szCs w:val="24"/>
        </w:rPr>
        <w:fldChar w:fldCharType="end"/>
      </w:r>
    </w:p>
    <w:p w14:paraId="4C0BA8F3" w14:textId="77777777" w:rsidR="00717618" w:rsidRPr="00031724" w:rsidRDefault="00717618">
      <w:pPr>
        <w:pStyle w:val="TableofFigures"/>
        <w:tabs>
          <w:tab w:val="right" w:leader="dot" w:pos="9016"/>
        </w:tabs>
        <w:rPr>
          <w:rFonts w:ascii="Tahoma" w:eastAsia="Times New Roman" w:hAnsi="Tahoma" w:cs="Tahoma"/>
          <w:noProof/>
          <w:sz w:val="24"/>
          <w:szCs w:val="24"/>
          <w:lang w:val="en-ZW" w:eastAsia="en-ZW"/>
        </w:rPr>
      </w:pPr>
      <w:r w:rsidRPr="00717618">
        <w:rPr>
          <w:rFonts w:ascii="Tahoma" w:hAnsi="Tahoma" w:cs="Tahoma"/>
          <w:noProof/>
          <w:sz w:val="24"/>
          <w:szCs w:val="24"/>
        </w:rPr>
        <w:t>Figure 2: Zimbabwe Economic Growth Prospects</w:t>
      </w:r>
      <w:r w:rsidRPr="00717618">
        <w:rPr>
          <w:rFonts w:ascii="Tahoma" w:hAnsi="Tahoma" w:cs="Tahoma"/>
          <w:noProof/>
          <w:sz w:val="24"/>
          <w:szCs w:val="24"/>
        </w:rPr>
        <w:tab/>
      </w:r>
      <w:r w:rsidRPr="00717618">
        <w:rPr>
          <w:rFonts w:ascii="Tahoma" w:hAnsi="Tahoma" w:cs="Tahoma"/>
          <w:noProof/>
          <w:sz w:val="24"/>
          <w:szCs w:val="24"/>
        </w:rPr>
        <w:fldChar w:fldCharType="begin"/>
      </w:r>
      <w:r w:rsidRPr="00717618">
        <w:rPr>
          <w:rFonts w:ascii="Tahoma" w:hAnsi="Tahoma" w:cs="Tahoma"/>
          <w:noProof/>
          <w:sz w:val="24"/>
          <w:szCs w:val="24"/>
        </w:rPr>
        <w:instrText xml:space="preserve"> PAGEREF _Toc168317337 \h </w:instrText>
      </w:r>
      <w:r w:rsidRPr="00717618">
        <w:rPr>
          <w:rFonts w:ascii="Tahoma" w:hAnsi="Tahoma" w:cs="Tahoma"/>
          <w:noProof/>
          <w:sz w:val="24"/>
          <w:szCs w:val="24"/>
        </w:rPr>
      </w:r>
      <w:r w:rsidRPr="00717618">
        <w:rPr>
          <w:rFonts w:ascii="Tahoma" w:hAnsi="Tahoma" w:cs="Tahoma"/>
          <w:noProof/>
          <w:sz w:val="24"/>
          <w:szCs w:val="24"/>
        </w:rPr>
        <w:fldChar w:fldCharType="separate"/>
      </w:r>
      <w:r w:rsidRPr="00717618">
        <w:rPr>
          <w:rFonts w:ascii="Tahoma" w:hAnsi="Tahoma" w:cs="Tahoma"/>
          <w:noProof/>
          <w:sz w:val="24"/>
          <w:szCs w:val="24"/>
        </w:rPr>
        <w:t>3</w:t>
      </w:r>
      <w:r w:rsidRPr="00717618">
        <w:rPr>
          <w:rFonts w:ascii="Tahoma" w:hAnsi="Tahoma" w:cs="Tahoma"/>
          <w:noProof/>
          <w:sz w:val="24"/>
          <w:szCs w:val="24"/>
        </w:rPr>
        <w:fldChar w:fldCharType="end"/>
      </w:r>
    </w:p>
    <w:p w14:paraId="765D5302" w14:textId="77777777" w:rsidR="00717618" w:rsidRPr="00031724" w:rsidRDefault="00717618">
      <w:pPr>
        <w:pStyle w:val="TableofFigures"/>
        <w:tabs>
          <w:tab w:val="right" w:leader="dot" w:pos="9016"/>
        </w:tabs>
        <w:rPr>
          <w:rFonts w:ascii="Tahoma" w:eastAsia="Times New Roman" w:hAnsi="Tahoma" w:cs="Tahoma"/>
          <w:noProof/>
          <w:sz w:val="24"/>
          <w:szCs w:val="24"/>
          <w:lang w:val="en-ZW" w:eastAsia="en-ZW"/>
        </w:rPr>
      </w:pPr>
      <w:r w:rsidRPr="00717618">
        <w:rPr>
          <w:rFonts w:ascii="Tahoma" w:hAnsi="Tahoma" w:cs="Tahoma"/>
          <w:noProof/>
          <w:sz w:val="24"/>
          <w:szCs w:val="24"/>
        </w:rPr>
        <w:t>Figure 3: Merchandise Trade Developments</w:t>
      </w:r>
      <w:r w:rsidRPr="00717618">
        <w:rPr>
          <w:rFonts w:ascii="Tahoma" w:hAnsi="Tahoma" w:cs="Tahoma"/>
          <w:noProof/>
          <w:sz w:val="24"/>
          <w:szCs w:val="24"/>
        </w:rPr>
        <w:tab/>
      </w:r>
      <w:r w:rsidRPr="00717618">
        <w:rPr>
          <w:rFonts w:ascii="Tahoma" w:hAnsi="Tahoma" w:cs="Tahoma"/>
          <w:noProof/>
          <w:sz w:val="24"/>
          <w:szCs w:val="24"/>
        </w:rPr>
        <w:fldChar w:fldCharType="begin"/>
      </w:r>
      <w:r w:rsidRPr="00717618">
        <w:rPr>
          <w:rFonts w:ascii="Tahoma" w:hAnsi="Tahoma" w:cs="Tahoma"/>
          <w:noProof/>
          <w:sz w:val="24"/>
          <w:szCs w:val="24"/>
        </w:rPr>
        <w:instrText xml:space="preserve"> PAGEREF _Toc168317338 \h </w:instrText>
      </w:r>
      <w:r w:rsidRPr="00717618">
        <w:rPr>
          <w:rFonts w:ascii="Tahoma" w:hAnsi="Tahoma" w:cs="Tahoma"/>
          <w:noProof/>
          <w:sz w:val="24"/>
          <w:szCs w:val="24"/>
        </w:rPr>
      </w:r>
      <w:r w:rsidRPr="00717618">
        <w:rPr>
          <w:rFonts w:ascii="Tahoma" w:hAnsi="Tahoma" w:cs="Tahoma"/>
          <w:noProof/>
          <w:sz w:val="24"/>
          <w:szCs w:val="24"/>
        </w:rPr>
        <w:fldChar w:fldCharType="separate"/>
      </w:r>
      <w:r w:rsidRPr="00717618">
        <w:rPr>
          <w:rFonts w:ascii="Tahoma" w:hAnsi="Tahoma" w:cs="Tahoma"/>
          <w:noProof/>
          <w:sz w:val="24"/>
          <w:szCs w:val="24"/>
        </w:rPr>
        <w:t>4</w:t>
      </w:r>
      <w:r w:rsidRPr="00717618">
        <w:rPr>
          <w:rFonts w:ascii="Tahoma" w:hAnsi="Tahoma" w:cs="Tahoma"/>
          <w:noProof/>
          <w:sz w:val="24"/>
          <w:szCs w:val="24"/>
        </w:rPr>
        <w:fldChar w:fldCharType="end"/>
      </w:r>
    </w:p>
    <w:p w14:paraId="754660AB" w14:textId="77777777" w:rsidR="00717618" w:rsidRPr="00031724" w:rsidRDefault="00717618">
      <w:pPr>
        <w:pStyle w:val="TableofFigures"/>
        <w:tabs>
          <w:tab w:val="right" w:leader="dot" w:pos="9016"/>
        </w:tabs>
        <w:rPr>
          <w:rFonts w:ascii="Tahoma" w:eastAsia="Times New Roman" w:hAnsi="Tahoma" w:cs="Tahoma"/>
          <w:noProof/>
          <w:sz w:val="24"/>
          <w:szCs w:val="24"/>
          <w:lang w:val="en-ZW" w:eastAsia="en-ZW"/>
        </w:rPr>
      </w:pPr>
      <w:r w:rsidRPr="00717618">
        <w:rPr>
          <w:rFonts w:ascii="Tahoma" w:hAnsi="Tahoma" w:cs="Tahoma"/>
          <w:noProof/>
          <w:sz w:val="24"/>
          <w:szCs w:val="24"/>
        </w:rPr>
        <w:t>Figure 4: Exchange Rate Developments</w:t>
      </w:r>
      <w:r w:rsidRPr="00717618">
        <w:rPr>
          <w:rFonts w:ascii="Tahoma" w:hAnsi="Tahoma" w:cs="Tahoma"/>
          <w:noProof/>
          <w:sz w:val="24"/>
          <w:szCs w:val="24"/>
        </w:rPr>
        <w:tab/>
      </w:r>
      <w:r w:rsidRPr="00717618">
        <w:rPr>
          <w:rFonts w:ascii="Tahoma" w:hAnsi="Tahoma" w:cs="Tahoma"/>
          <w:noProof/>
          <w:sz w:val="24"/>
          <w:szCs w:val="24"/>
        </w:rPr>
        <w:fldChar w:fldCharType="begin"/>
      </w:r>
      <w:r w:rsidRPr="00717618">
        <w:rPr>
          <w:rFonts w:ascii="Tahoma" w:hAnsi="Tahoma" w:cs="Tahoma"/>
          <w:noProof/>
          <w:sz w:val="24"/>
          <w:szCs w:val="24"/>
        </w:rPr>
        <w:instrText xml:space="preserve"> PAGEREF _Toc168317339 \h </w:instrText>
      </w:r>
      <w:r w:rsidRPr="00717618">
        <w:rPr>
          <w:rFonts w:ascii="Tahoma" w:hAnsi="Tahoma" w:cs="Tahoma"/>
          <w:noProof/>
          <w:sz w:val="24"/>
          <w:szCs w:val="24"/>
        </w:rPr>
      </w:r>
      <w:r w:rsidRPr="00717618">
        <w:rPr>
          <w:rFonts w:ascii="Tahoma" w:hAnsi="Tahoma" w:cs="Tahoma"/>
          <w:noProof/>
          <w:sz w:val="24"/>
          <w:szCs w:val="24"/>
        </w:rPr>
        <w:fldChar w:fldCharType="separate"/>
      </w:r>
      <w:r w:rsidRPr="00717618">
        <w:rPr>
          <w:rFonts w:ascii="Tahoma" w:hAnsi="Tahoma" w:cs="Tahoma"/>
          <w:noProof/>
          <w:sz w:val="24"/>
          <w:szCs w:val="24"/>
        </w:rPr>
        <w:t>5</w:t>
      </w:r>
      <w:r w:rsidRPr="00717618">
        <w:rPr>
          <w:rFonts w:ascii="Tahoma" w:hAnsi="Tahoma" w:cs="Tahoma"/>
          <w:noProof/>
          <w:sz w:val="24"/>
          <w:szCs w:val="24"/>
        </w:rPr>
        <w:fldChar w:fldCharType="end"/>
      </w:r>
    </w:p>
    <w:p w14:paraId="27F78485" w14:textId="77777777" w:rsidR="00717618" w:rsidRPr="00031724" w:rsidRDefault="00717618">
      <w:pPr>
        <w:pStyle w:val="TableofFigures"/>
        <w:tabs>
          <w:tab w:val="right" w:leader="dot" w:pos="9016"/>
        </w:tabs>
        <w:rPr>
          <w:rFonts w:ascii="Tahoma" w:eastAsia="Times New Roman" w:hAnsi="Tahoma" w:cs="Tahoma"/>
          <w:noProof/>
          <w:sz w:val="24"/>
          <w:szCs w:val="24"/>
          <w:lang w:val="en-ZW" w:eastAsia="en-ZW"/>
        </w:rPr>
      </w:pPr>
      <w:r w:rsidRPr="00717618">
        <w:rPr>
          <w:rFonts w:ascii="Tahoma" w:hAnsi="Tahoma" w:cs="Tahoma"/>
          <w:noProof/>
          <w:sz w:val="24"/>
          <w:szCs w:val="24"/>
        </w:rPr>
        <w:t>Figure 5: Month-on-Month Inflation Outturn</w:t>
      </w:r>
      <w:r w:rsidRPr="00717618">
        <w:rPr>
          <w:rFonts w:ascii="Tahoma" w:hAnsi="Tahoma" w:cs="Tahoma"/>
          <w:noProof/>
          <w:sz w:val="24"/>
          <w:szCs w:val="24"/>
        </w:rPr>
        <w:tab/>
      </w:r>
      <w:r w:rsidRPr="00717618">
        <w:rPr>
          <w:rFonts w:ascii="Tahoma" w:hAnsi="Tahoma" w:cs="Tahoma"/>
          <w:noProof/>
          <w:sz w:val="24"/>
          <w:szCs w:val="24"/>
        </w:rPr>
        <w:fldChar w:fldCharType="begin"/>
      </w:r>
      <w:r w:rsidRPr="00717618">
        <w:rPr>
          <w:rFonts w:ascii="Tahoma" w:hAnsi="Tahoma" w:cs="Tahoma"/>
          <w:noProof/>
          <w:sz w:val="24"/>
          <w:szCs w:val="24"/>
        </w:rPr>
        <w:instrText xml:space="preserve"> PAGEREF _Toc168317340 \h </w:instrText>
      </w:r>
      <w:r w:rsidRPr="00717618">
        <w:rPr>
          <w:rFonts w:ascii="Tahoma" w:hAnsi="Tahoma" w:cs="Tahoma"/>
          <w:noProof/>
          <w:sz w:val="24"/>
          <w:szCs w:val="24"/>
        </w:rPr>
      </w:r>
      <w:r w:rsidRPr="00717618">
        <w:rPr>
          <w:rFonts w:ascii="Tahoma" w:hAnsi="Tahoma" w:cs="Tahoma"/>
          <w:noProof/>
          <w:sz w:val="24"/>
          <w:szCs w:val="24"/>
        </w:rPr>
        <w:fldChar w:fldCharType="separate"/>
      </w:r>
      <w:r w:rsidRPr="00717618">
        <w:rPr>
          <w:rFonts w:ascii="Tahoma" w:hAnsi="Tahoma" w:cs="Tahoma"/>
          <w:noProof/>
          <w:sz w:val="24"/>
          <w:szCs w:val="24"/>
        </w:rPr>
        <w:t>6</w:t>
      </w:r>
      <w:r w:rsidRPr="00717618">
        <w:rPr>
          <w:rFonts w:ascii="Tahoma" w:hAnsi="Tahoma" w:cs="Tahoma"/>
          <w:noProof/>
          <w:sz w:val="24"/>
          <w:szCs w:val="24"/>
        </w:rPr>
        <w:fldChar w:fldCharType="end"/>
      </w:r>
    </w:p>
    <w:p w14:paraId="5DA3BAA8" w14:textId="77777777" w:rsidR="000129B7" w:rsidRPr="00717618" w:rsidRDefault="0080107D" w:rsidP="0080107D">
      <w:pPr>
        <w:rPr>
          <w:rFonts w:ascii="Tahoma" w:hAnsi="Tahoma" w:cs="Tahoma"/>
          <w:color w:val="000000"/>
          <w:sz w:val="24"/>
          <w:szCs w:val="24"/>
        </w:rPr>
        <w:sectPr w:rsidR="000129B7" w:rsidRPr="00717618" w:rsidSect="00EF15A0">
          <w:pgSz w:w="11906" w:h="16838"/>
          <w:pgMar w:top="1440" w:right="1440" w:bottom="1440" w:left="1440" w:header="708" w:footer="708" w:gutter="0"/>
          <w:pgNumType w:fmt="lowerRoman" w:start="1"/>
          <w:cols w:space="708"/>
          <w:docGrid w:linePitch="360"/>
        </w:sectPr>
      </w:pPr>
      <w:r w:rsidRPr="00717618">
        <w:rPr>
          <w:rFonts w:ascii="Tahoma" w:hAnsi="Tahoma" w:cs="Tahoma"/>
          <w:sz w:val="24"/>
          <w:szCs w:val="24"/>
        </w:rPr>
        <w:fldChar w:fldCharType="end"/>
      </w:r>
    </w:p>
    <w:p w14:paraId="6D3C9ECA" w14:textId="77777777" w:rsidR="007A3E1D" w:rsidRPr="00796E2E" w:rsidRDefault="004F680D" w:rsidP="004C677E">
      <w:pPr>
        <w:pStyle w:val="Heading1"/>
        <w:spacing w:before="0" w:after="240"/>
      </w:pPr>
      <w:bookmarkStart w:id="2" w:name="_Toc166607889"/>
      <w:bookmarkStart w:id="3" w:name="_Toc168317164"/>
      <w:r w:rsidRPr="00796E2E">
        <w:lastRenderedPageBreak/>
        <w:t>1.0</w:t>
      </w:r>
      <w:r w:rsidRPr="00796E2E">
        <w:tab/>
      </w:r>
      <w:r w:rsidR="00E0023D" w:rsidRPr="00796E2E">
        <w:t xml:space="preserve">World Economic </w:t>
      </w:r>
      <w:r w:rsidR="007A3E1D" w:rsidRPr="00796E2E">
        <w:t>Developments</w:t>
      </w:r>
      <w:bookmarkEnd w:id="2"/>
      <w:bookmarkEnd w:id="3"/>
      <w:r w:rsidR="007A3E1D" w:rsidRPr="00796E2E">
        <w:t xml:space="preserve"> </w:t>
      </w:r>
    </w:p>
    <w:p w14:paraId="49A48A77" w14:textId="77777777" w:rsidR="00E0023D" w:rsidRPr="00796E2E" w:rsidRDefault="004F680D" w:rsidP="00BC5A90">
      <w:pPr>
        <w:pStyle w:val="Heading2"/>
        <w:spacing w:before="0" w:after="240" w:line="240" w:lineRule="auto"/>
        <w:rPr>
          <w:rFonts w:cs="Tahoma"/>
          <w:b/>
          <w:color w:val="000000"/>
          <w:szCs w:val="24"/>
        </w:rPr>
      </w:pPr>
      <w:bookmarkStart w:id="4" w:name="_Toc166607890"/>
      <w:bookmarkStart w:id="5" w:name="_Toc168317165"/>
      <w:r w:rsidRPr="00796E2E">
        <w:rPr>
          <w:rFonts w:cs="Tahoma"/>
          <w:b/>
          <w:color w:val="000000"/>
          <w:szCs w:val="24"/>
        </w:rPr>
        <w:t xml:space="preserve">1.1 </w:t>
      </w:r>
      <w:r w:rsidRPr="00796E2E">
        <w:rPr>
          <w:rFonts w:cs="Tahoma"/>
          <w:b/>
          <w:color w:val="000000"/>
          <w:szCs w:val="24"/>
        </w:rPr>
        <w:tab/>
      </w:r>
      <w:r w:rsidR="00E0023D" w:rsidRPr="00796E2E">
        <w:rPr>
          <w:rFonts w:cs="Tahoma"/>
          <w:b/>
          <w:color w:val="000000"/>
          <w:szCs w:val="24"/>
        </w:rPr>
        <w:t>World Output</w:t>
      </w:r>
      <w:bookmarkEnd w:id="4"/>
      <w:bookmarkEnd w:id="5"/>
      <w:r w:rsidR="00E0023D" w:rsidRPr="00796E2E">
        <w:rPr>
          <w:rFonts w:cs="Tahoma"/>
          <w:b/>
          <w:color w:val="000000"/>
          <w:szCs w:val="24"/>
        </w:rPr>
        <w:t xml:space="preserve"> </w:t>
      </w:r>
    </w:p>
    <w:p w14:paraId="4860E467" w14:textId="77777777" w:rsidR="001C6200" w:rsidRPr="00796E2E" w:rsidRDefault="004F680D" w:rsidP="004F680D">
      <w:pPr>
        <w:ind w:left="720" w:hanging="720"/>
        <w:jc w:val="both"/>
        <w:rPr>
          <w:rFonts w:ascii="Tahoma" w:hAnsi="Tahoma" w:cs="Tahoma"/>
          <w:sz w:val="24"/>
          <w:szCs w:val="24"/>
        </w:rPr>
      </w:pPr>
      <w:r w:rsidRPr="00796E2E">
        <w:rPr>
          <w:rFonts w:ascii="Tahoma" w:hAnsi="Tahoma" w:cs="Tahoma"/>
          <w:sz w:val="24"/>
          <w:szCs w:val="24"/>
        </w:rPr>
        <w:t>1.1.1</w:t>
      </w:r>
      <w:r w:rsidR="001F2D81" w:rsidRPr="00796E2E">
        <w:rPr>
          <w:rFonts w:ascii="Tahoma" w:hAnsi="Tahoma" w:cs="Tahoma"/>
          <w:sz w:val="24"/>
          <w:szCs w:val="24"/>
        </w:rPr>
        <w:t xml:space="preserve"> </w:t>
      </w:r>
      <w:r w:rsidR="00DC5CBE" w:rsidRPr="00796E2E">
        <w:rPr>
          <w:rFonts w:ascii="Tahoma" w:hAnsi="Tahoma" w:cs="Tahoma"/>
          <w:sz w:val="24"/>
          <w:szCs w:val="24"/>
        </w:rPr>
        <w:tab/>
      </w:r>
      <w:r w:rsidR="003015C7" w:rsidRPr="00796E2E">
        <w:rPr>
          <w:rFonts w:ascii="Tahoma" w:hAnsi="Tahoma" w:cs="Tahoma"/>
          <w:kern w:val="0"/>
          <w:sz w:val="24"/>
          <w:szCs w:val="24"/>
          <w:lang w:eastAsia="en-ZW"/>
        </w:rPr>
        <w:t xml:space="preserve">According to the </w:t>
      </w:r>
      <w:bookmarkStart w:id="6" w:name="_Hlk166602890"/>
      <w:r w:rsidR="003015C7" w:rsidRPr="00796E2E">
        <w:rPr>
          <w:rFonts w:ascii="Tahoma" w:hAnsi="Tahoma" w:cs="Tahoma"/>
          <w:kern w:val="0"/>
          <w:sz w:val="24"/>
          <w:szCs w:val="24"/>
          <w:lang w:eastAsia="en-ZW"/>
        </w:rPr>
        <w:t>International Monetary Fund (IMF) World Economic Outlook</w:t>
      </w:r>
      <w:r w:rsidR="001C6748" w:rsidRPr="00796E2E">
        <w:rPr>
          <w:rFonts w:ascii="Tahoma" w:hAnsi="Tahoma" w:cs="Tahoma"/>
          <w:kern w:val="0"/>
          <w:sz w:val="24"/>
          <w:szCs w:val="24"/>
          <w:lang w:eastAsia="en-ZW"/>
        </w:rPr>
        <w:t xml:space="preserve"> (WEO)</w:t>
      </w:r>
      <w:r w:rsidR="003015C7" w:rsidRPr="00796E2E">
        <w:rPr>
          <w:rFonts w:ascii="Tahoma" w:hAnsi="Tahoma" w:cs="Tahoma"/>
          <w:kern w:val="0"/>
          <w:sz w:val="24"/>
          <w:szCs w:val="24"/>
          <w:lang w:eastAsia="en-ZW"/>
        </w:rPr>
        <w:t xml:space="preserve"> Update for </w:t>
      </w:r>
      <w:r w:rsidR="00B90F27" w:rsidRPr="00796E2E">
        <w:rPr>
          <w:rFonts w:ascii="Tahoma" w:hAnsi="Tahoma" w:cs="Tahoma"/>
          <w:kern w:val="0"/>
          <w:sz w:val="24"/>
          <w:szCs w:val="24"/>
          <w:lang w:eastAsia="en-ZW"/>
        </w:rPr>
        <w:t>April</w:t>
      </w:r>
      <w:r w:rsidR="003015C7" w:rsidRPr="00796E2E">
        <w:rPr>
          <w:rFonts w:ascii="Tahoma" w:hAnsi="Tahoma" w:cs="Tahoma"/>
          <w:kern w:val="0"/>
          <w:sz w:val="24"/>
          <w:szCs w:val="24"/>
          <w:lang w:eastAsia="en-ZW"/>
        </w:rPr>
        <w:t xml:space="preserve"> 2024, the global econom</w:t>
      </w:r>
      <w:r w:rsidR="00BA3693" w:rsidRPr="00796E2E">
        <w:rPr>
          <w:rFonts w:ascii="Tahoma" w:hAnsi="Tahoma" w:cs="Tahoma"/>
          <w:kern w:val="0"/>
          <w:sz w:val="24"/>
          <w:szCs w:val="24"/>
          <w:lang w:eastAsia="en-ZW"/>
        </w:rPr>
        <w:t>y remains remarkably resilient with growth expected to be</w:t>
      </w:r>
      <w:r w:rsidR="008767BC" w:rsidRPr="00796E2E">
        <w:rPr>
          <w:rFonts w:ascii="Tahoma" w:hAnsi="Tahoma" w:cs="Tahoma"/>
          <w:kern w:val="0"/>
          <w:sz w:val="24"/>
          <w:szCs w:val="24"/>
          <w:lang w:eastAsia="en-ZW"/>
        </w:rPr>
        <w:t xml:space="preserve"> </w:t>
      </w:r>
      <w:r w:rsidR="003015C7" w:rsidRPr="00796E2E">
        <w:rPr>
          <w:rFonts w:ascii="Tahoma" w:hAnsi="Tahoma" w:cs="Tahoma"/>
          <w:kern w:val="0"/>
          <w:sz w:val="24"/>
          <w:szCs w:val="24"/>
          <w:lang w:eastAsia="en-ZW"/>
        </w:rPr>
        <w:t>st</w:t>
      </w:r>
      <w:r w:rsidR="008767BC" w:rsidRPr="00796E2E">
        <w:rPr>
          <w:rFonts w:ascii="Tahoma" w:hAnsi="Tahoma" w:cs="Tahoma"/>
          <w:kern w:val="0"/>
          <w:sz w:val="24"/>
          <w:szCs w:val="24"/>
          <w:lang w:eastAsia="en-ZW"/>
        </w:rPr>
        <w:t>eady but slow</w:t>
      </w:r>
      <w:r w:rsidR="003015C7" w:rsidRPr="00796E2E">
        <w:rPr>
          <w:rFonts w:ascii="Tahoma" w:hAnsi="Tahoma" w:cs="Tahoma"/>
          <w:kern w:val="0"/>
          <w:sz w:val="24"/>
          <w:szCs w:val="24"/>
          <w:lang w:eastAsia="en-ZW"/>
        </w:rPr>
        <w:t>.</w:t>
      </w:r>
      <w:r w:rsidR="00BA3693" w:rsidRPr="00796E2E">
        <w:rPr>
          <w:rFonts w:ascii="Tahoma" w:hAnsi="Tahoma" w:cs="Tahoma"/>
          <w:kern w:val="0"/>
          <w:sz w:val="24"/>
          <w:szCs w:val="24"/>
          <w:lang w:eastAsia="en-ZW"/>
        </w:rPr>
        <w:t xml:space="preserve"> </w:t>
      </w:r>
      <w:r w:rsidR="004C677E" w:rsidRPr="00796E2E">
        <w:rPr>
          <w:rFonts w:ascii="Tahoma" w:hAnsi="Tahoma" w:cs="Tahoma"/>
          <w:kern w:val="0"/>
          <w:sz w:val="24"/>
          <w:szCs w:val="24"/>
          <w:lang w:eastAsia="en-ZW"/>
        </w:rPr>
        <w:t xml:space="preserve">The </w:t>
      </w:r>
      <w:r w:rsidR="004C677E" w:rsidRPr="00796E2E">
        <w:rPr>
          <w:rFonts w:ascii="Tahoma" w:hAnsi="Tahoma" w:cs="Tahoma"/>
          <w:sz w:val="24"/>
          <w:szCs w:val="24"/>
        </w:rPr>
        <w:t>global economy is expected to maintain a growth of 3.2% from 2023, 2024 and 2025 on the back of recovery of</w:t>
      </w:r>
      <w:r w:rsidR="00BA3693" w:rsidRPr="00796E2E">
        <w:rPr>
          <w:rFonts w:ascii="Tahoma" w:hAnsi="Tahoma" w:cs="Tahoma"/>
          <w:sz w:val="24"/>
          <w:szCs w:val="24"/>
        </w:rPr>
        <w:t xml:space="preserve"> supply-chain </w:t>
      </w:r>
      <w:r w:rsidR="006B6F31" w:rsidRPr="00796E2E">
        <w:rPr>
          <w:rFonts w:ascii="Tahoma" w:hAnsi="Tahoma" w:cs="Tahoma"/>
          <w:sz w:val="24"/>
          <w:szCs w:val="24"/>
        </w:rPr>
        <w:t>interruptions</w:t>
      </w:r>
      <w:r w:rsidR="00BA3693" w:rsidRPr="00796E2E">
        <w:rPr>
          <w:rFonts w:ascii="Tahoma" w:hAnsi="Tahoma" w:cs="Tahoma"/>
          <w:sz w:val="24"/>
          <w:szCs w:val="24"/>
        </w:rPr>
        <w:t xml:space="preserve"> in the aftermath of the pandemic, Russian-initiated war on Ukraine that triggered a </w:t>
      </w:r>
      <w:r w:rsidR="006B6F31" w:rsidRPr="00796E2E">
        <w:rPr>
          <w:rFonts w:ascii="Tahoma" w:hAnsi="Tahoma" w:cs="Tahoma"/>
          <w:sz w:val="24"/>
          <w:szCs w:val="24"/>
        </w:rPr>
        <w:t>worldwide</w:t>
      </w:r>
      <w:r w:rsidR="00BA3693" w:rsidRPr="00796E2E">
        <w:rPr>
          <w:rFonts w:ascii="Tahoma" w:hAnsi="Tahoma" w:cs="Tahoma"/>
          <w:sz w:val="24"/>
          <w:szCs w:val="24"/>
        </w:rPr>
        <w:t xml:space="preserve"> </w:t>
      </w:r>
      <w:r w:rsidR="006B6F31" w:rsidRPr="00796E2E">
        <w:rPr>
          <w:rFonts w:ascii="Tahoma" w:hAnsi="Tahoma" w:cs="Tahoma"/>
          <w:sz w:val="24"/>
          <w:szCs w:val="24"/>
        </w:rPr>
        <w:t>oil</w:t>
      </w:r>
      <w:r w:rsidR="00BA3693" w:rsidRPr="00796E2E">
        <w:rPr>
          <w:rFonts w:ascii="Tahoma" w:hAnsi="Tahoma" w:cs="Tahoma"/>
          <w:sz w:val="24"/>
          <w:szCs w:val="24"/>
        </w:rPr>
        <w:t xml:space="preserve"> and food crisis</w:t>
      </w:r>
      <w:r w:rsidR="00CE68CE" w:rsidRPr="00796E2E">
        <w:rPr>
          <w:rFonts w:ascii="Tahoma" w:hAnsi="Tahoma" w:cs="Tahoma"/>
          <w:sz w:val="24"/>
          <w:szCs w:val="24"/>
        </w:rPr>
        <w:t xml:space="preserve">, </w:t>
      </w:r>
      <w:r w:rsidR="00BA3693" w:rsidRPr="00796E2E">
        <w:rPr>
          <w:rFonts w:ascii="Tahoma" w:hAnsi="Tahoma" w:cs="Tahoma"/>
          <w:sz w:val="24"/>
          <w:szCs w:val="24"/>
        </w:rPr>
        <w:t>followed by a globally synchronized monetary policy tightening</w:t>
      </w:r>
      <w:r w:rsidR="00CE68CE" w:rsidRPr="00796E2E">
        <w:rPr>
          <w:rFonts w:ascii="Tahoma" w:hAnsi="Tahoma" w:cs="Tahoma"/>
          <w:sz w:val="24"/>
          <w:szCs w:val="24"/>
        </w:rPr>
        <w:t>.</w:t>
      </w:r>
    </w:p>
    <w:bookmarkEnd w:id="6"/>
    <w:p w14:paraId="48270FD8" w14:textId="77777777" w:rsidR="008865D2" w:rsidRPr="00796E2E" w:rsidRDefault="004F680D" w:rsidP="008865D2">
      <w:pPr>
        <w:ind w:left="720" w:hanging="720"/>
        <w:jc w:val="both"/>
        <w:rPr>
          <w:rFonts w:ascii="Tahoma" w:hAnsi="Tahoma" w:cs="Tahoma"/>
          <w:sz w:val="24"/>
          <w:szCs w:val="24"/>
        </w:rPr>
      </w:pPr>
      <w:r w:rsidRPr="00796E2E">
        <w:rPr>
          <w:rFonts w:ascii="Tahoma" w:hAnsi="Tahoma" w:cs="Tahoma"/>
          <w:sz w:val="24"/>
          <w:szCs w:val="24"/>
        </w:rPr>
        <w:t>1.1.</w:t>
      </w:r>
      <w:r w:rsidR="004C677E" w:rsidRPr="00796E2E">
        <w:rPr>
          <w:rFonts w:ascii="Tahoma" w:hAnsi="Tahoma" w:cs="Tahoma"/>
          <w:sz w:val="24"/>
          <w:szCs w:val="24"/>
        </w:rPr>
        <w:t>2</w:t>
      </w:r>
      <w:r w:rsidRPr="00796E2E">
        <w:rPr>
          <w:rFonts w:ascii="Tahoma" w:hAnsi="Tahoma" w:cs="Tahoma"/>
          <w:sz w:val="24"/>
          <w:szCs w:val="24"/>
        </w:rPr>
        <w:tab/>
      </w:r>
      <w:r w:rsidR="00E31148" w:rsidRPr="00796E2E">
        <w:rPr>
          <w:rFonts w:ascii="Tahoma" w:hAnsi="Tahoma" w:cs="Tahoma"/>
          <w:sz w:val="24"/>
          <w:szCs w:val="24"/>
        </w:rPr>
        <w:t>Table 1 summarizes global economic growth developments and prospects for selected regions and countries</w:t>
      </w:r>
      <w:r w:rsidR="005F30E0" w:rsidRPr="00796E2E">
        <w:rPr>
          <w:rFonts w:ascii="Tahoma" w:hAnsi="Tahoma" w:cs="Tahoma"/>
          <w:sz w:val="24"/>
          <w:szCs w:val="24"/>
        </w:rPr>
        <w:t>.</w:t>
      </w:r>
    </w:p>
    <w:p w14:paraId="1D97B5CD" w14:textId="77777777" w:rsidR="00E31148" w:rsidRPr="00796E2E" w:rsidRDefault="00BC5A90" w:rsidP="0001510C">
      <w:pPr>
        <w:pStyle w:val="ListofTables"/>
      </w:pPr>
      <w:bookmarkStart w:id="7" w:name="_Toc164072362"/>
      <w:bookmarkStart w:id="8" w:name="_Toc166658889"/>
      <w:bookmarkStart w:id="9" w:name="_Toc168306901"/>
      <w:r w:rsidRPr="00796E2E">
        <w:t xml:space="preserve">Table </w:t>
      </w:r>
      <w:r w:rsidRPr="00796E2E">
        <w:fldChar w:fldCharType="begin"/>
      </w:r>
      <w:r w:rsidRPr="00796E2E">
        <w:instrText xml:space="preserve"> SEQ Table \* ARABIC </w:instrText>
      </w:r>
      <w:r w:rsidRPr="00796E2E">
        <w:fldChar w:fldCharType="separate"/>
      </w:r>
      <w:r w:rsidR="00D30418" w:rsidRPr="00796E2E">
        <w:t>1</w:t>
      </w:r>
      <w:r w:rsidRPr="00796E2E">
        <w:fldChar w:fldCharType="end"/>
      </w:r>
      <w:r w:rsidRPr="00796E2E">
        <w:t>: Global Economic Growth Developments</w:t>
      </w:r>
      <w:bookmarkEnd w:id="7"/>
      <w:bookmarkEnd w:id="8"/>
      <w:bookmarkEnd w:id="9"/>
    </w:p>
    <w:tbl>
      <w:tblPr>
        <w:tblW w:w="5000" w:type="pct"/>
        <w:tblLook w:val="04A0" w:firstRow="1" w:lastRow="0" w:firstColumn="1" w:lastColumn="0" w:noHBand="0" w:noVBand="1"/>
      </w:tblPr>
      <w:tblGrid>
        <w:gridCol w:w="2545"/>
        <w:gridCol w:w="955"/>
        <w:gridCol w:w="998"/>
        <w:gridCol w:w="1113"/>
        <w:gridCol w:w="1099"/>
        <w:gridCol w:w="1257"/>
        <w:gridCol w:w="1039"/>
      </w:tblGrid>
      <w:tr w:rsidR="0055589A" w:rsidRPr="00C341CF" w14:paraId="0E370896" w14:textId="77777777" w:rsidTr="0055589A">
        <w:trPr>
          <w:trHeight w:val="315"/>
        </w:trPr>
        <w:tc>
          <w:tcPr>
            <w:tcW w:w="1413" w:type="pct"/>
            <w:vMerge w:val="restart"/>
            <w:tcBorders>
              <w:top w:val="single" w:sz="8" w:space="0" w:color="BFBFBF"/>
              <w:left w:val="single" w:sz="8" w:space="0" w:color="BFBFBF"/>
              <w:right w:val="single" w:sz="8" w:space="0" w:color="BFBFBF"/>
            </w:tcBorders>
            <w:shd w:val="clear" w:color="auto" w:fill="auto"/>
            <w:noWrap/>
            <w:hideMark/>
          </w:tcPr>
          <w:p w14:paraId="60263544" w14:textId="77777777" w:rsidR="0055589A" w:rsidRPr="00C341CF" w:rsidRDefault="0055589A" w:rsidP="00C341CF">
            <w:pPr>
              <w:spacing w:after="0" w:line="240" w:lineRule="auto"/>
              <w:jc w:val="right"/>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w:t>
            </w:r>
          </w:p>
          <w:p w14:paraId="34D64998" w14:textId="77777777" w:rsidR="0055589A" w:rsidRPr="00C341CF" w:rsidRDefault="0055589A"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b/>
                <w:bCs/>
                <w:color w:val="000000"/>
                <w:kern w:val="0"/>
                <w:lang w:val="en-ZW" w:eastAsia="en-ZW"/>
              </w:rPr>
              <w:t> </w:t>
            </w:r>
          </w:p>
        </w:tc>
        <w:tc>
          <w:tcPr>
            <w:tcW w:w="1084" w:type="pct"/>
            <w:gridSpan w:val="2"/>
            <w:tcBorders>
              <w:top w:val="single" w:sz="8" w:space="0" w:color="BFBFBF"/>
              <w:left w:val="nil"/>
              <w:bottom w:val="single" w:sz="8" w:space="0" w:color="BFBFBF"/>
              <w:right w:val="single" w:sz="8" w:space="0" w:color="BFBFBF"/>
            </w:tcBorders>
            <w:shd w:val="clear" w:color="000000" w:fill="D0CECE"/>
            <w:noWrap/>
            <w:hideMark/>
          </w:tcPr>
          <w:p w14:paraId="1BD22888" w14:textId="77777777" w:rsidR="0055589A" w:rsidRPr="00C341CF" w:rsidRDefault="0055589A" w:rsidP="00C341CF">
            <w:pPr>
              <w:spacing w:after="0" w:line="240" w:lineRule="auto"/>
              <w:jc w:val="center"/>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2023</w:t>
            </w:r>
          </w:p>
        </w:tc>
        <w:tc>
          <w:tcPr>
            <w:tcW w:w="1228" w:type="pct"/>
            <w:gridSpan w:val="2"/>
            <w:tcBorders>
              <w:top w:val="single" w:sz="8" w:space="0" w:color="BFBFBF"/>
              <w:left w:val="nil"/>
              <w:bottom w:val="single" w:sz="8" w:space="0" w:color="BFBFBF"/>
              <w:right w:val="single" w:sz="8" w:space="0" w:color="BFBFBF"/>
            </w:tcBorders>
            <w:shd w:val="clear" w:color="000000" w:fill="D9E1F2"/>
            <w:noWrap/>
            <w:hideMark/>
          </w:tcPr>
          <w:p w14:paraId="6869BADA" w14:textId="77777777" w:rsidR="0055589A" w:rsidRPr="00C341CF" w:rsidRDefault="0055589A" w:rsidP="00C341CF">
            <w:pPr>
              <w:spacing w:after="0" w:line="240" w:lineRule="auto"/>
              <w:jc w:val="center"/>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2024</w:t>
            </w:r>
          </w:p>
        </w:tc>
        <w:tc>
          <w:tcPr>
            <w:tcW w:w="1275" w:type="pct"/>
            <w:gridSpan w:val="2"/>
            <w:tcBorders>
              <w:top w:val="single" w:sz="8" w:space="0" w:color="BFBFBF"/>
              <w:left w:val="nil"/>
              <w:bottom w:val="single" w:sz="8" w:space="0" w:color="BFBFBF"/>
              <w:right w:val="single" w:sz="8" w:space="0" w:color="BFBFBF"/>
            </w:tcBorders>
            <w:shd w:val="clear" w:color="000000" w:fill="E2EFDA"/>
            <w:noWrap/>
            <w:hideMark/>
          </w:tcPr>
          <w:p w14:paraId="3B32280B" w14:textId="77777777" w:rsidR="0055589A" w:rsidRPr="00C341CF" w:rsidRDefault="0055589A" w:rsidP="00C341CF">
            <w:pPr>
              <w:spacing w:after="0" w:line="240" w:lineRule="auto"/>
              <w:jc w:val="center"/>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2025</w:t>
            </w:r>
          </w:p>
        </w:tc>
      </w:tr>
      <w:tr w:rsidR="0055589A" w:rsidRPr="00C341CF" w14:paraId="33515644" w14:textId="77777777" w:rsidTr="0055589A">
        <w:trPr>
          <w:trHeight w:val="813"/>
        </w:trPr>
        <w:tc>
          <w:tcPr>
            <w:tcW w:w="1413" w:type="pct"/>
            <w:vMerge/>
            <w:tcBorders>
              <w:left w:val="single" w:sz="8" w:space="0" w:color="BFBFBF"/>
              <w:bottom w:val="single" w:sz="8" w:space="0" w:color="BFBFBF"/>
              <w:right w:val="single" w:sz="8" w:space="0" w:color="BFBFBF"/>
            </w:tcBorders>
            <w:shd w:val="clear" w:color="auto" w:fill="auto"/>
            <w:noWrap/>
            <w:hideMark/>
          </w:tcPr>
          <w:p w14:paraId="70512D1E" w14:textId="77777777" w:rsidR="0055589A" w:rsidRPr="00C341CF" w:rsidRDefault="0055589A" w:rsidP="00C341CF">
            <w:pPr>
              <w:spacing w:after="0" w:line="240" w:lineRule="auto"/>
              <w:rPr>
                <w:rFonts w:ascii="Tahoma" w:eastAsia="Times New Roman" w:hAnsi="Tahoma" w:cs="Tahoma"/>
                <w:b/>
                <w:bCs/>
                <w:color w:val="000000"/>
                <w:kern w:val="0"/>
                <w:lang w:val="en-ZW" w:eastAsia="en-ZW"/>
              </w:rPr>
            </w:pPr>
          </w:p>
        </w:tc>
        <w:tc>
          <w:tcPr>
            <w:tcW w:w="530" w:type="pct"/>
            <w:tcBorders>
              <w:top w:val="nil"/>
              <w:left w:val="nil"/>
              <w:bottom w:val="single" w:sz="8" w:space="0" w:color="BFBFBF"/>
              <w:right w:val="single" w:sz="8" w:space="0" w:color="BFBFBF"/>
            </w:tcBorders>
            <w:shd w:val="clear" w:color="000000" w:fill="D0CECE"/>
            <w:hideMark/>
          </w:tcPr>
          <w:p w14:paraId="753CD4CD" w14:textId="77777777" w:rsidR="0055589A" w:rsidRPr="00C341CF" w:rsidRDefault="0055589A" w:rsidP="00C114EA">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Est</w:t>
            </w:r>
            <w:r>
              <w:rPr>
                <w:rFonts w:ascii="Tahoma" w:eastAsia="Times New Roman" w:hAnsi="Tahoma" w:cs="Tahoma"/>
                <w:color w:val="000000"/>
                <w:kern w:val="0"/>
                <w:lang w:val="en-ZW" w:eastAsia="en-ZW"/>
              </w:rPr>
              <w:t>.</w:t>
            </w:r>
            <w:r w:rsidRPr="00C341CF">
              <w:rPr>
                <w:rFonts w:ascii="Tahoma" w:eastAsia="Times New Roman" w:hAnsi="Tahoma" w:cs="Tahoma"/>
                <w:color w:val="000000"/>
                <w:kern w:val="0"/>
                <w:lang w:val="en-ZW" w:eastAsia="en-ZW"/>
              </w:rPr>
              <w:t xml:space="preserve"> (Jan24 </w:t>
            </w:r>
            <w:r>
              <w:rPr>
                <w:rFonts w:ascii="Tahoma" w:eastAsia="Times New Roman" w:hAnsi="Tahoma" w:cs="Tahoma"/>
                <w:color w:val="000000"/>
                <w:kern w:val="0"/>
                <w:lang w:val="en-ZW" w:eastAsia="en-ZW"/>
              </w:rPr>
              <w:t>R</w:t>
            </w:r>
            <w:r w:rsidRPr="00C341CF">
              <w:rPr>
                <w:rFonts w:ascii="Tahoma" w:eastAsia="Times New Roman" w:hAnsi="Tahoma" w:cs="Tahoma"/>
                <w:color w:val="000000"/>
                <w:kern w:val="0"/>
                <w:lang w:val="en-ZW" w:eastAsia="en-ZW"/>
              </w:rPr>
              <w:t>eport)</w:t>
            </w:r>
          </w:p>
        </w:tc>
        <w:tc>
          <w:tcPr>
            <w:tcW w:w="554" w:type="pct"/>
            <w:tcBorders>
              <w:top w:val="nil"/>
              <w:left w:val="nil"/>
              <w:bottom w:val="single" w:sz="8" w:space="0" w:color="BFBFBF"/>
              <w:right w:val="single" w:sz="8" w:space="0" w:color="BFBFBF"/>
            </w:tcBorders>
            <w:shd w:val="clear" w:color="000000" w:fill="D0CECE"/>
            <w:hideMark/>
          </w:tcPr>
          <w:p w14:paraId="39BCB4E2" w14:textId="77777777" w:rsidR="0055589A" w:rsidRPr="00C341CF" w:rsidRDefault="0055589A" w:rsidP="00C114EA">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Ac</w:t>
            </w:r>
            <w:r>
              <w:rPr>
                <w:rFonts w:ascii="Tahoma" w:eastAsia="Times New Roman" w:hAnsi="Tahoma" w:cs="Tahoma"/>
                <w:color w:val="000000"/>
                <w:kern w:val="0"/>
                <w:lang w:val="en-ZW" w:eastAsia="en-ZW"/>
              </w:rPr>
              <w:t>t.</w:t>
            </w:r>
            <w:r w:rsidRPr="00C341CF">
              <w:rPr>
                <w:rFonts w:ascii="Tahoma" w:eastAsia="Times New Roman" w:hAnsi="Tahoma" w:cs="Tahoma"/>
                <w:color w:val="000000"/>
                <w:kern w:val="0"/>
                <w:lang w:val="en-ZW" w:eastAsia="en-ZW"/>
              </w:rPr>
              <w:t xml:space="preserve"> (Apr24 Report)</w:t>
            </w:r>
          </w:p>
        </w:tc>
        <w:tc>
          <w:tcPr>
            <w:tcW w:w="618" w:type="pct"/>
            <w:tcBorders>
              <w:top w:val="nil"/>
              <w:left w:val="nil"/>
              <w:bottom w:val="single" w:sz="8" w:space="0" w:color="BFBFBF"/>
              <w:right w:val="single" w:sz="8" w:space="0" w:color="BFBFBF"/>
            </w:tcBorders>
            <w:shd w:val="clear" w:color="000000" w:fill="D9E1F2"/>
            <w:hideMark/>
          </w:tcPr>
          <w:p w14:paraId="1774180C" w14:textId="77777777" w:rsidR="0055589A" w:rsidRPr="00C341CF" w:rsidRDefault="0055589A" w:rsidP="00C114EA">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Est</w:t>
            </w:r>
            <w:r>
              <w:rPr>
                <w:rFonts w:ascii="Tahoma" w:eastAsia="Times New Roman" w:hAnsi="Tahoma" w:cs="Tahoma"/>
                <w:color w:val="000000"/>
                <w:kern w:val="0"/>
                <w:lang w:val="en-ZW" w:eastAsia="en-ZW"/>
              </w:rPr>
              <w:t>.</w:t>
            </w:r>
            <w:r w:rsidRPr="00C341CF">
              <w:rPr>
                <w:rFonts w:ascii="Tahoma" w:eastAsia="Times New Roman" w:hAnsi="Tahoma" w:cs="Tahoma"/>
                <w:color w:val="000000"/>
                <w:kern w:val="0"/>
                <w:lang w:val="en-ZW" w:eastAsia="en-ZW"/>
              </w:rPr>
              <w:t xml:space="preserve"> (Jan24 </w:t>
            </w:r>
            <w:r>
              <w:rPr>
                <w:rFonts w:ascii="Tahoma" w:eastAsia="Times New Roman" w:hAnsi="Tahoma" w:cs="Tahoma"/>
                <w:color w:val="000000"/>
                <w:kern w:val="0"/>
                <w:lang w:val="en-ZW" w:eastAsia="en-ZW"/>
              </w:rPr>
              <w:t>R</w:t>
            </w:r>
            <w:r w:rsidRPr="00C341CF">
              <w:rPr>
                <w:rFonts w:ascii="Tahoma" w:eastAsia="Times New Roman" w:hAnsi="Tahoma" w:cs="Tahoma"/>
                <w:color w:val="000000"/>
                <w:kern w:val="0"/>
                <w:lang w:val="en-ZW" w:eastAsia="en-ZW"/>
              </w:rPr>
              <w:t>eport)</w:t>
            </w:r>
          </w:p>
        </w:tc>
        <w:tc>
          <w:tcPr>
            <w:tcW w:w="610" w:type="pct"/>
            <w:tcBorders>
              <w:top w:val="nil"/>
              <w:left w:val="nil"/>
              <w:bottom w:val="single" w:sz="8" w:space="0" w:color="BFBFBF"/>
              <w:right w:val="single" w:sz="8" w:space="0" w:color="BFBFBF"/>
            </w:tcBorders>
            <w:shd w:val="clear" w:color="000000" w:fill="D9E1F2"/>
            <w:hideMark/>
          </w:tcPr>
          <w:p w14:paraId="5BCB44F2" w14:textId="77777777" w:rsidR="0055589A" w:rsidRPr="00C341CF" w:rsidRDefault="0055589A" w:rsidP="00C341CF">
            <w:pPr>
              <w:spacing w:after="0" w:line="240" w:lineRule="auto"/>
              <w:jc w:val="both"/>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Est</w:t>
            </w:r>
            <w:r>
              <w:rPr>
                <w:rFonts w:ascii="Tahoma" w:eastAsia="Times New Roman" w:hAnsi="Tahoma" w:cs="Tahoma"/>
                <w:color w:val="000000"/>
                <w:kern w:val="0"/>
                <w:lang w:val="en-ZW" w:eastAsia="en-ZW"/>
              </w:rPr>
              <w:t>.</w:t>
            </w:r>
            <w:r w:rsidRPr="00C341CF">
              <w:rPr>
                <w:rFonts w:ascii="Tahoma" w:eastAsia="Times New Roman" w:hAnsi="Tahoma" w:cs="Tahoma"/>
                <w:color w:val="000000"/>
                <w:kern w:val="0"/>
                <w:lang w:val="en-ZW" w:eastAsia="en-ZW"/>
              </w:rPr>
              <w:t xml:space="preserve"> (Apr24 </w:t>
            </w:r>
            <w:r>
              <w:rPr>
                <w:rFonts w:ascii="Tahoma" w:eastAsia="Times New Roman" w:hAnsi="Tahoma" w:cs="Tahoma"/>
                <w:color w:val="000000"/>
                <w:kern w:val="0"/>
                <w:lang w:val="en-ZW" w:eastAsia="en-ZW"/>
              </w:rPr>
              <w:t>R</w:t>
            </w:r>
            <w:r w:rsidRPr="00C341CF">
              <w:rPr>
                <w:rFonts w:ascii="Tahoma" w:eastAsia="Times New Roman" w:hAnsi="Tahoma" w:cs="Tahoma"/>
                <w:color w:val="000000"/>
                <w:kern w:val="0"/>
                <w:lang w:val="en-ZW" w:eastAsia="en-ZW"/>
              </w:rPr>
              <w:t>eport)</w:t>
            </w:r>
          </w:p>
        </w:tc>
        <w:tc>
          <w:tcPr>
            <w:tcW w:w="698" w:type="pct"/>
            <w:tcBorders>
              <w:top w:val="nil"/>
              <w:left w:val="nil"/>
              <w:bottom w:val="single" w:sz="8" w:space="0" w:color="BFBFBF"/>
              <w:right w:val="single" w:sz="8" w:space="0" w:color="BFBFBF"/>
            </w:tcBorders>
            <w:shd w:val="clear" w:color="000000" w:fill="E2EFDA"/>
            <w:hideMark/>
          </w:tcPr>
          <w:p w14:paraId="2020E7C9" w14:textId="77777777" w:rsidR="0055589A" w:rsidRPr="00C341CF" w:rsidRDefault="0055589A" w:rsidP="00C114EA">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Es</w:t>
            </w:r>
            <w:r>
              <w:rPr>
                <w:rFonts w:ascii="Tahoma" w:eastAsia="Times New Roman" w:hAnsi="Tahoma" w:cs="Tahoma"/>
                <w:color w:val="000000"/>
                <w:kern w:val="0"/>
                <w:lang w:val="en-ZW" w:eastAsia="en-ZW"/>
              </w:rPr>
              <w:t xml:space="preserve">t. </w:t>
            </w:r>
            <w:r w:rsidRPr="00C341CF">
              <w:rPr>
                <w:rFonts w:ascii="Tahoma" w:eastAsia="Times New Roman" w:hAnsi="Tahoma" w:cs="Tahoma"/>
                <w:color w:val="000000"/>
                <w:kern w:val="0"/>
                <w:lang w:val="en-ZW" w:eastAsia="en-ZW"/>
              </w:rPr>
              <w:t>(Jan24 report)</w:t>
            </w:r>
          </w:p>
        </w:tc>
        <w:tc>
          <w:tcPr>
            <w:tcW w:w="577" w:type="pct"/>
            <w:tcBorders>
              <w:top w:val="nil"/>
              <w:left w:val="nil"/>
              <w:bottom w:val="single" w:sz="8" w:space="0" w:color="BFBFBF"/>
              <w:right w:val="single" w:sz="8" w:space="0" w:color="BFBFBF"/>
            </w:tcBorders>
            <w:shd w:val="clear" w:color="000000" w:fill="E2EFDA"/>
            <w:hideMark/>
          </w:tcPr>
          <w:p w14:paraId="2968C4C4" w14:textId="77777777" w:rsidR="0055589A" w:rsidRPr="00C341CF" w:rsidRDefault="0055589A" w:rsidP="00C341CF">
            <w:pPr>
              <w:spacing w:after="0" w:line="240" w:lineRule="auto"/>
              <w:jc w:val="both"/>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Est</w:t>
            </w:r>
            <w:r>
              <w:rPr>
                <w:rFonts w:ascii="Tahoma" w:eastAsia="Times New Roman" w:hAnsi="Tahoma" w:cs="Tahoma"/>
                <w:color w:val="000000"/>
                <w:kern w:val="0"/>
                <w:lang w:val="en-ZW" w:eastAsia="en-ZW"/>
              </w:rPr>
              <w:t>.</w:t>
            </w:r>
            <w:r w:rsidRPr="00C341CF">
              <w:rPr>
                <w:rFonts w:ascii="Tahoma" w:eastAsia="Times New Roman" w:hAnsi="Tahoma" w:cs="Tahoma"/>
                <w:color w:val="000000"/>
                <w:kern w:val="0"/>
                <w:lang w:val="en-ZW" w:eastAsia="en-ZW"/>
              </w:rPr>
              <w:t xml:space="preserve"> (Apr24 Report)</w:t>
            </w:r>
          </w:p>
        </w:tc>
      </w:tr>
      <w:tr w:rsidR="00C341CF" w:rsidRPr="00C341CF" w14:paraId="3B100E01"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526737FB"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 xml:space="preserve">World Output </w:t>
            </w:r>
          </w:p>
        </w:tc>
        <w:tc>
          <w:tcPr>
            <w:tcW w:w="530" w:type="pct"/>
            <w:tcBorders>
              <w:top w:val="nil"/>
              <w:left w:val="nil"/>
              <w:bottom w:val="single" w:sz="8" w:space="0" w:color="BFBFBF"/>
              <w:right w:val="single" w:sz="8" w:space="0" w:color="BFBFBF"/>
            </w:tcBorders>
            <w:shd w:val="clear" w:color="000000" w:fill="D0CECE"/>
            <w:noWrap/>
            <w:hideMark/>
          </w:tcPr>
          <w:p w14:paraId="5CDB8ABF"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3.1</w:t>
            </w:r>
          </w:p>
        </w:tc>
        <w:tc>
          <w:tcPr>
            <w:tcW w:w="554" w:type="pct"/>
            <w:tcBorders>
              <w:top w:val="nil"/>
              <w:left w:val="nil"/>
              <w:bottom w:val="single" w:sz="8" w:space="0" w:color="BFBFBF"/>
              <w:right w:val="single" w:sz="8" w:space="0" w:color="BFBFBF"/>
            </w:tcBorders>
            <w:shd w:val="clear" w:color="000000" w:fill="D0CECE"/>
            <w:hideMark/>
          </w:tcPr>
          <w:p w14:paraId="6D66B72C"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3.2</w:t>
            </w:r>
          </w:p>
        </w:tc>
        <w:tc>
          <w:tcPr>
            <w:tcW w:w="618" w:type="pct"/>
            <w:tcBorders>
              <w:top w:val="nil"/>
              <w:left w:val="nil"/>
              <w:bottom w:val="single" w:sz="8" w:space="0" w:color="BFBFBF"/>
              <w:right w:val="single" w:sz="8" w:space="0" w:color="BFBFBF"/>
            </w:tcBorders>
            <w:shd w:val="clear" w:color="000000" w:fill="D9E1F2"/>
            <w:noWrap/>
            <w:hideMark/>
          </w:tcPr>
          <w:p w14:paraId="188E0182"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3.1</w:t>
            </w:r>
          </w:p>
        </w:tc>
        <w:tc>
          <w:tcPr>
            <w:tcW w:w="610" w:type="pct"/>
            <w:tcBorders>
              <w:top w:val="nil"/>
              <w:left w:val="nil"/>
              <w:bottom w:val="single" w:sz="8" w:space="0" w:color="BFBFBF"/>
              <w:right w:val="single" w:sz="8" w:space="0" w:color="BFBFBF"/>
            </w:tcBorders>
            <w:shd w:val="clear" w:color="000000" w:fill="D9E1F2"/>
            <w:hideMark/>
          </w:tcPr>
          <w:p w14:paraId="1ADC88B5"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3.2</w:t>
            </w:r>
          </w:p>
        </w:tc>
        <w:tc>
          <w:tcPr>
            <w:tcW w:w="698" w:type="pct"/>
            <w:tcBorders>
              <w:top w:val="nil"/>
              <w:left w:val="nil"/>
              <w:bottom w:val="single" w:sz="8" w:space="0" w:color="BFBFBF"/>
              <w:right w:val="single" w:sz="8" w:space="0" w:color="BFBFBF"/>
            </w:tcBorders>
            <w:shd w:val="clear" w:color="000000" w:fill="E2EFDA"/>
            <w:noWrap/>
            <w:hideMark/>
          </w:tcPr>
          <w:p w14:paraId="19754F3D"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3.2</w:t>
            </w:r>
          </w:p>
        </w:tc>
        <w:tc>
          <w:tcPr>
            <w:tcW w:w="577" w:type="pct"/>
            <w:tcBorders>
              <w:top w:val="nil"/>
              <w:left w:val="nil"/>
              <w:bottom w:val="single" w:sz="8" w:space="0" w:color="BFBFBF"/>
              <w:right w:val="single" w:sz="8" w:space="0" w:color="BFBFBF"/>
            </w:tcBorders>
            <w:shd w:val="clear" w:color="000000" w:fill="E2EFDA"/>
            <w:hideMark/>
          </w:tcPr>
          <w:p w14:paraId="446D9593"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3.2</w:t>
            </w:r>
          </w:p>
        </w:tc>
      </w:tr>
      <w:tr w:rsidR="00C341CF" w:rsidRPr="00C341CF" w14:paraId="6053F17D"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71F621E3"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 xml:space="preserve">Advanced Economies </w:t>
            </w:r>
          </w:p>
        </w:tc>
        <w:tc>
          <w:tcPr>
            <w:tcW w:w="530" w:type="pct"/>
            <w:tcBorders>
              <w:top w:val="nil"/>
              <w:left w:val="nil"/>
              <w:bottom w:val="single" w:sz="8" w:space="0" w:color="BFBFBF"/>
              <w:right w:val="single" w:sz="8" w:space="0" w:color="BFBFBF"/>
            </w:tcBorders>
            <w:shd w:val="clear" w:color="000000" w:fill="D0CECE"/>
            <w:noWrap/>
            <w:hideMark/>
          </w:tcPr>
          <w:p w14:paraId="0A7F0664"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1.6</w:t>
            </w:r>
          </w:p>
        </w:tc>
        <w:tc>
          <w:tcPr>
            <w:tcW w:w="554" w:type="pct"/>
            <w:tcBorders>
              <w:top w:val="nil"/>
              <w:left w:val="nil"/>
              <w:bottom w:val="single" w:sz="8" w:space="0" w:color="BFBFBF"/>
              <w:right w:val="single" w:sz="8" w:space="0" w:color="BFBFBF"/>
            </w:tcBorders>
            <w:shd w:val="clear" w:color="000000" w:fill="D0CECE"/>
            <w:hideMark/>
          </w:tcPr>
          <w:p w14:paraId="4624E6CC"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1.6</w:t>
            </w:r>
          </w:p>
        </w:tc>
        <w:tc>
          <w:tcPr>
            <w:tcW w:w="618" w:type="pct"/>
            <w:tcBorders>
              <w:top w:val="nil"/>
              <w:left w:val="nil"/>
              <w:bottom w:val="single" w:sz="8" w:space="0" w:color="BFBFBF"/>
              <w:right w:val="single" w:sz="8" w:space="0" w:color="BFBFBF"/>
            </w:tcBorders>
            <w:shd w:val="clear" w:color="000000" w:fill="D9E1F2"/>
            <w:noWrap/>
            <w:hideMark/>
          </w:tcPr>
          <w:p w14:paraId="10B6E9FE"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1.5</w:t>
            </w:r>
          </w:p>
        </w:tc>
        <w:tc>
          <w:tcPr>
            <w:tcW w:w="610" w:type="pct"/>
            <w:tcBorders>
              <w:top w:val="nil"/>
              <w:left w:val="nil"/>
              <w:bottom w:val="single" w:sz="8" w:space="0" w:color="BFBFBF"/>
              <w:right w:val="single" w:sz="8" w:space="0" w:color="BFBFBF"/>
            </w:tcBorders>
            <w:shd w:val="clear" w:color="000000" w:fill="D9E1F2"/>
            <w:hideMark/>
          </w:tcPr>
          <w:p w14:paraId="543B6C7F"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1.7</w:t>
            </w:r>
          </w:p>
        </w:tc>
        <w:tc>
          <w:tcPr>
            <w:tcW w:w="698" w:type="pct"/>
            <w:tcBorders>
              <w:top w:val="nil"/>
              <w:left w:val="nil"/>
              <w:bottom w:val="single" w:sz="8" w:space="0" w:color="BFBFBF"/>
              <w:right w:val="single" w:sz="8" w:space="0" w:color="BFBFBF"/>
            </w:tcBorders>
            <w:shd w:val="clear" w:color="000000" w:fill="E2EFDA"/>
            <w:noWrap/>
            <w:hideMark/>
          </w:tcPr>
          <w:p w14:paraId="06BE18F6"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1.8</w:t>
            </w:r>
          </w:p>
        </w:tc>
        <w:tc>
          <w:tcPr>
            <w:tcW w:w="577" w:type="pct"/>
            <w:tcBorders>
              <w:top w:val="nil"/>
              <w:left w:val="nil"/>
              <w:bottom w:val="single" w:sz="8" w:space="0" w:color="BFBFBF"/>
              <w:right w:val="single" w:sz="8" w:space="0" w:color="BFBFBF"/>
            </w:tcBorders>
            <w:shd w:val="clear" w:color="000000" w:fill="E2EFDA"/>
            <w:hideMark/>
          </w:tcPr>
          <w:p w14:paraId="45D03A28"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1.8</w:t>
            </w:r>
          </w:p>
        </w:tc>
      </w:tr>
      <w:tr w:rsidR="00C341CF" w:rsidRPr="00C341CF" w14:paraId="571198F7"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0F6423E7"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United States </w:t>
            </w:r>
          </w:p>
        </w:tc>
        <w:tc>
          <w:tcPr>
            <w:tcW w:w="530" w:type="pct"/>
            <w:tcBorders>
              <w:top w:val="nil"/>
              <w:left w:val="nil"/>
              <w:bottom w:val="single" w:sz="8" w:space="0" w:color="BFBFBF"/>
              <w:right w:val="single" w:sz="8" w:space="0" w:color="BFBFBF"/>
            </w:tcBorders>
            <w:shd w:val="clear" w:color="000000" w:fill="D0CECE"/>
            <w:noWrap/>
            <w:hideMark/>
          </w:tcPr>
          <w:p w14:paraId="0FC20014"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2.5</w:t>
            </w:r>
          </w:p>
        </w:tc>
        <w:tc>
          <w:tcPr>
            <w:tcW w:w="554" w:type="pct"/>
            <w:tcBorders>
              <w:top w:val="nil"/>
              <w:left w:val="nil"/>
              <w:bottom w:val="single" w:sz="8" w:space="0" w:color="BFBFBF"/>
              <w:right w:val="single" w:sz="8" w:space="0" w:color="BFBFBF"/>
            </w:tcBorders>
            <w:shd w:val="clear" w:color="000000" w:fill="D0CECE"/>
            <w:hideMark/>
          </w:tcPr>
          <w:p w14:paraId="2089CAB8"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2.5</w:t>
            </w:r>
          </w:p>
        </w:tc>
        <w:tc>
          <w:tcPr>
            <w:tcW w:w="618" w:type="pct"/>
            <w:tcBorders>
              <w:top w:val="nil"/>
              <w:left w:val="nil"/>
              <w:bottom w:val="single" w:sz="8" w:space="0" w:color="BFBFBF"/>
              <w:right w:val="single" w:sz="8" w:space="0" w:color="BFBFBF"/>
            </w:tcBorders>
            <w:shd w:val="clear" w:color="000000" w:fill="D9E1F2"/>
            <w:noWrap/>
            <w:hideMark/>
          </w:tcPr>
          <w:p w14:paraId="6132CB4F"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2.1</w:t>
            </w:r>
          </w:p>
        </w:tc>
        <w:tc>
          <w:tcPr>
            <w:tcW w:w="610" w:type="pct"/>
            <w:tcBorders>
              <w:top w:val="nil"/>
              <w:left w:val="nil"/>
              <w:bottom w:val="single" w:sz="8" w:space="0" w:color="BFBFBF"/>
              <w:right w:val="single" w:sz="8" w:space="0" w:color="BFBFBF"/>
            </w:tcBorders>
            <w:shd w:val="clear" w:color="000000" w:fill="D9E1F2"/>
            <w:hideMark/>
          </w:tcPr>
          <w:p w14:paraId="74AE8710"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2.7</w:t>
            </w:r>
          </w:p>
        </w:tc>
        <w:tc>
          <w:tcPr>
            <w:tcW w:w="698" w:type="pct"/>
            <w:tcBorders>
              <w:top w:val="nil"/>
              <w:left w:val="nil"/>
              <w:bottom w:val="single" w:sz="8" w:space="0" w:color="BFBFBF"/>
              <w:right w:val="single" w:sz="8" w:space="0" w:color="BFBFBF"/>
            </w:tcBorders>
            <w:shd w:val="clear" w:color="000000" w:fill="E2EFDA"/>
            <w:noWrap/>
            <w:hideMark/>
          </w:tcPr>
          <w:p w14:paraId="66806A32"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1.7</w:t>
            </w:r>
          </w:p>
        </w:tc>
        <w:tc>
          <w:tcPr>
            <w:tcW w:w="577" w:type="pct"/>
            <w:tcBorders>
              <w:top w:val="nil"/>
              <w:left w:val="nil"/>
              <w:bottom w:val="single" w:sz="8" w:space="0" w:color="BFBFBF"/>
              <w:right w:val="single" w:sz="8" w:space="0" w:color="BFBFBF"/>
            </w:tcBorders>
            <w:shd w:val="clear" w:color="000000" w:fill="E2EFDA"/>
            <w:hideMark/>
          </w:tcPr>
          <w:p w14:paraId="6776E3E4"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1.9</w:t>
            </w:r>
          </w:p>
        </w:tc>
      </w:tr>
      <w:tr w:rsidR="00C341CF" w:rsidRPr="00C341CF" w14:paraId="59B7CDEB"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59260E3A"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Euro-Area </w:t>
            </w:r>
          </w:p>
        </w:tc>
        <w:tc>
          <w:tcPr>
            <w:tcW w:w="530" w:type="pct"/>
            <w:tcBorders>
              <w:top w:val="nil"/>
              <w:left w:val="nil"/>
              <w:bottom w:val="single" w:sz="8" w:space="0" w:color="BFBFBF"/>
              <w:right w:val="single" w:sz="8" w:space="0" w:color="BFBFBF"/>
            </w:tcBorders>
            <w:shd w:val="clear" w:color="000000" w:fill="D0CECE"/>
            <w:noWrap/>
            <w:hideMark/>
          </w:tcPr>
          <w:p w14:paraId="23FCA063"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0.5</w:t>
            </w:r>
          </w:p>
        </w:tc>
        <w:tc>
          <w:tcPr>
            <w:tcW w:w="554" w:type="pct"/>
            <w:tcBorders>
              <w:top w:val="nil"/>
              <w:left w:val="nil"/>
              <w:bottom w:val="single" w:sz="8" w:space="0" w:color="BFBFBF"/>
              <w:right w:val="single" w:sz="8" w:space="0" w:color="BFBFBF"/>
            </w:tcBorders>
            <w:shd w:val="clear" w:color="000000" w:fill="D0CECE"/>
            <w:hideMark/>
          </w:tcPr>
          <w:p w14:paraId="2DA1BD39"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0.4</w:t>
            </w:r>
          </w:p>
        </w:tc>
        <w:tc>
          <w:tcPr>
            <w:tcW w:w="618" w:type="pct"/>
            <w:tcBorders>
              <w:top w:val="nil"/>
              <w:left w:val="nil"/>
              <w:bottom w:val="single" w:sz="8" w:space="0" w:color="BFBFBF"/>
              <w:right w:val="single" w:sz="8" w:space="0" w:color="BFBFBF"/>
            </w:tcBorders>
            <w:shd w:val="clear" w:color="000000" w:fill="D9E1F2"/>
            <w:noWrap/>
            <w:hideMark/>
          </w:tcPr>
          <w:p w14:paraId="30E50395"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0.9</w:t>
            </w:r>
          </w:p>
        </w:tc>
        <w:tc>
          <w:tcPr>
            <w:tcW w:w="610" w:type="pct"/>
            <w:tcBorders>
              <w:top w:val="nil"/>
              <w:left w:val="nil"/>
              <w:bottom w:val="single" w:sz="8" w:space="0" w:color="BFBFBF"/>
              <w:right w:val="single" w:sz="8" w:space="0" w:color="BFBFBF"/>
            </w:tcBorders>
            <w:shd w:val="clear" w:color="000000" w:fill="D9E1F2"/>
            <w:hideMark/>
          </w:tcPr>
          <w:p w14:paraId="5CC736BB"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0.8</w:t>
            </w:r>
          </w:p>
        </w:tc>
        <w:tc>
          <w:tcPr>
            <w:tcW w:w="698" w:type="pct"/>
            <w:tcBorders>
              <w:top w:val="nil"/>
              <w:left w:val="nil"/>
              <w:bottom w:val="single" w:sz="8" w:space="0" w:color="BFBFBF"/>
              <w:right w:val="single" w:sz="8" w:space="0" w:color="BFBFBF"/>
            </w:tcBorders>
            <w:shd w:val="clear" w:color="000000" w:fill="E2EFDA"/>
            <w:noWrap/>
            <w:hideMark/>
          </w:tcPr>
          <w:p w14:paraId="618B8856"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1.7</w:t>
            </w:r>
          </w:p>
        </w:tc>
        <w:tc>
          <w:tcPr>
            <w:tcW w:w="577" w:type="pct"/>
            <w:tcBorders>
              <w:top w:val="nil"/>
              <w:left w:val="nil"/>
              <w:bottom w:val="single" w:sz="8" w:space="0" w:color="BFBFBF"/>
              <w:right w:val="single" w:sz="8" w:space="0" w:color="BFBFBF"/>
            </w:tcBorders>
            <w:shd w:val="clear" w:color="000000" w:fill="E2EFDA"/>
            <w:hideMark/>
          </w:tcPr>
          <w:p w14:paraId="40FA345E"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1.5</w:t>
            </w:r>
          </w:p>
        </w:tc>
      </w:tr>
      <w:tr w:rsidR="00C341CF" w:rsidRPr="00C341CF" w14:paraId="045B42CF" w14:textId="77777777" w:rsidTr="0055589A">
        <w:trPr>
          <w:trHeight w:val="690"/>
        </w:trPr>
        <w:tc>
          <w:tcPr>
            <w:tcW w:w="1413" w:type="pct"/>
            <w:tcBorders>
              <w:top w:val="nil"/>
              <w:left w:val="single" w:sz="8" w:space="0" w:color="BFBFBF"/>
              <w:bottom w:val="single" w:sz="8" w:space="0" w:color="BFBFBF"/>
              <w:right w:val="single" w:sz="8" w:space="0" w:color="BFBFBF"/>
            </w:tcBorders>
            <w:shd w:val="clear" w:color="000000" w:fill="FFFFFF"/>
            <w:hideMark/>
          </w:tcPr>
          <w:p w14:paraId="7B638D0E"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 xml:space="preserve">Emerging Markets &amp; Developing Economies </w:t>
            </w:r>
          </w:p>
        </w:tc>
        <w:tc>
          <w:tcPr>
            <w:tcW w:w="530" w:type="pct"/>
            <w:tcBorders>
              <w:top w:val="nil"/>
              <w:left w:val="nil"/>
              <w:bottom w:val="single" w:sz="8" w:space="0" w:color="BFBFBF"/>
              <w:right w:val="single" w:sz="8" w:space="0" w:color="BFBFBF"/>
            </w:tcBorders>
            <w:shd w:val="clear" w:color="000000" w:fill="D0CECE"/>
            <w:noWrap/>
            <w:hideMark/>
          </w:tcPr>
          <w:p w14:paraId="35274660"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4.1</w:t>
            </w:r>
          </w:p>
        </w:tc>
        <w:tc>
          <w:tcPr>
            <w:tcW w:w="554" w:type="pct"/>
            <w:tcBorders>
              <w:top w:val="nil"/>
              <w:left w:val="nil"/>
              <w:bottom w:val="single" w:sz="8" w:space="0" w:color="BFBFBF"/>
              <w:right w:val="single" w:sz="8" w:space="0" w:color="BFBFBF"/>
            </w:tcBorders>
            <w:shd w:val="clear" w:color="000000" w:fill="D0CECE"/>
            <w:hideMark/>
          </w:tcPr>
          <w:p w14:paraId="3EC3A71E"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4.3</w:t>
            </w:r>
          </w:p>
        </w:tc>
        <w:tc>
          <w:tcPr>
            <w:tcW w:w="618" w:type="pct"/>
            <w:tcBorders>
              <w:top w:val="nil"/>
              <w:left w:val="nil"/>
              <w:bottom w:val="single" w:sz="8" w:space="0" w:color="BFBFBF"/>
              <w:right w:val="single" w:sz="8" w:space="0" w:color="BFBFBF"/>
            </w:tcBorders>
            <w:shd w:val="clear" w:color="000000" w:fill="D9E1F2"/>
            <w:noWrap/>
            <w:hideMark/>
          </w:tcPr>
          <w:p w14:paraId="72EF065B"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4.1</w:t>
            </w:r>
          </w:p>
        </w:tc>
        <w:tc>
          <w:tcPr>
            <w:tcW w:w="610" w:type="pct"/>
            <w:tcBorders>
              <w:top w:val="nil"/>
              <w:left w:val="nil"/>
              <w:bottom w:val="single" w:sz="8" w:space="0" w:color="BFBFBF"/>
              <w:right w:val="single" w:sz="8" w:space="0" w:color="BFBFBF"/>
            </w:tcBorders>
            <w:shd w:val="clear" w:color="000000" w:fill="D9E1F2"/>
            <w:hideMark/>
          </w:tcPr>
          <w:p w14:paraId="56D3D6CE"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4.2</w:t>
            </w:r>
          </w:p>
        </w:tc>
        <w:tc>
          <w:tcPr>
            <w:tcW w:w="698" w:type="pct"/>
            <w:tcBorders>
              <w:top w:val="nil"/>
              <w:left w:val="nil"/>
              <w:bottom w:val="single" w:sz="8" w:space="0" w:color="BFBFBF"/>
              <w:right w:val="single" w:sz="8" w:space="0" w:color="BFBFBF"/>
            </w:tcBorders>
            <w:shd w:val="clear" w:color="000000" w:fill="E2EFDA"/>
            <w:noWrap/>
            <w:hideMark/>
          </w:tcPr>
          <w:p w14:paraId="17E47F85"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4.2</w:t>
            </w:r>
          </w:p>
        </w:tc>
        <w:tc>
          <w:tcPr>
            <w:tcW w:w="577" w:type="pct"/>
            <w:tcBorders>
              <w:top w:val="nil"/>
              <w:left w:val="nil"/>
              <w:bottom w:val="single" w:sz="8" w:space="0" w:color="BFBFBF"/>
              <w:right w:val="single" w:sz="8" w:space="0" w:color="BFBFBF"/>
            </w:tcBorders>
            <w:shd w:val="clear" w:color="000000" w:fill="E2EFDA"/>
            <w:hideMark/>
          </w:tcPr>
          <w:p w14:paraId="33FCCD43"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4.2</w:t>
            </w:r>
          </w:p>
        </w:tc>
      </w:tr>
      <w:tr w:rsidR="00C341CF" w:rsidRPr="00C341CF" w14:paraId="39641564"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3C1EACE8"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China </w:t>
            </w:r>
          </w:p>
        </w:tc>
        <w:tc>
          <w:tcPr>
            <w:tcW w:w="530" w:type="pct"/>
            <w:tcBorders>
              <w:top w:val="nil"/>
              <w:left w:val="nil"/>
              <w:bottom w:val="single" w:sz="8" w:space="0" w:color="BFBFBF"/>
              <w:right w:val="single" w:sz="8" w:space="0" w:color="BFBFBF"/>
            </w:tcBorders>
            <w:shd w:val="clear" w:color="000000" w:fill="D0CECE"/>
            <w:noWrap/>
            <w:hideMark/>
          </w:tcPr>
          <w:p w14:paraId="7FDC1279"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5.2</w:t>
            </w:r>
          </w:p>
        </w:tc>
        <w:tc>
          <w:tcPr>
            <w:tcW w:w="554" w:type="pct"/>
            <w:tcBorders>
              <w:top w:val="nil"/>
              <w:left w:val="nil"/>
              <w:bottom w:val="single" w:sz="8" w:space="0" w:color="BFBFBF"/>
              <w:right w:val="single" w:sz="8" w:space="0" w:color="BFBFBF"/>
            </w:tcBorders>
            <w:shd w:val="clear" w:color="000000" w:fill="D0CECE"/>
            <w:hideMark/>
          </w:tcPr>
          <w:p w14:paraId="38BDB620"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5.2</w:t>
            </w:r>
          </w:p>
        </w:tc>
        <w:tc>
          <w:tcPr>
            <w:tcW w:w="618" w:type="pct"/>
            <w:tcBorders>
              <w:top w:val="nil"/>
              <w:left w:val="nil"/>
              <w:bottom w:val="single" w:sz="8" w:space="0" w:color="BFBFBF"/>
              <w:right w:val="single" w:sz="8" w:space="0" w:color="BFBFBF"/>
            </w:tcBorders>
            <w:shd w:val="clear" w:color="000000" w:fill="D9E1F2"/>
            <w:noWrap/>
            <w:hideMark/>
          </w:tcPr>
          <w:p w14:paraId="6100C15D"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4.6</w:t>
            </w:r>
          </w:p>
        </w:tc>
        <w:tc>
          <w:tcPr>
            <w:tcW w:w="610" w:type="pct"/>
            <w:tcBorders>
              <w:top w:val="nil"/>
              <w:left w:val="nil"/>
              <w:bottom w:val="single" w:sz="8" w:space="0" w:color="BFBFBF"/>
              <w:right w:val="single" w:sz="8" w:space="0" w:color="BFBFBF"/>
            </w:tcBorders>
            <w:shd w:val="clear" w:color="000000" w:fill="D9E1F2"/>
            <w:hideMark/>
          </w:tcPr>
          <w:p w14:paraId="75070185"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4.6</w:t>
            </w:r>
          </w:p>
        </w:tc>
        <w:tc>
          <w:tcPr>
            <w:tcW w:w="698" w:type="pct"/>
            <w:tcBorders>
              <w:top w:val="nil"/>
              <w:left w:val="nil"/>
              <w:bottom w:val="single" w:sz="8" w:space="0" w:color="BFBFBF"/>
              <w:right w:val="single" w:sz="8" w:space="0" w:color="BFBFBF"/>
            </w:tcBorders>
            <w:shd w:val="clear" w:color="000000" w:fill="E2EFDA"/>
            <w:noWrap/>
            <w:hideMark/>
          </w:tcPr>
          <w:p w14:paraId="28D24B5F"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4.1</w:t>
            </w:r>
          </w:p>
        </w:tc>
        <w:tc>
          <w:tcPr>
            <w:tcW w:w="577" w:type="pct"/>
            <w:tcBorders>
              <w:top w:val="nil"/>
              <w:left w:val="nil"/>
              <w:bottom w:val="single" w:sz="8" w:space="0" w:color="BFBFBF"/>
              <w:right w:val="single" w:sz="8" w:space="0" w:color="BFBFBF"/>
            </w:tcBorders>
            <w:shd w:val="clear" w:color="000000" w:fill="E2EFDA"/>
            <w:hideMark/>
          </w:tcPr>
          <w:p w14:paraId="26A23F53"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4.1</w:t>
            </w:r>
          </w:p>
        </w:tc>
      </w:tr>
      <w:tr w:rsidR="00C341CF" w:rsidRPr="00C341CF" w14:paraId="78009DD9"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4F9566AF"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India </w:t>
            </w:r>
          </w:p>
        </w:tc>
        <w:tc>
          <w:tcPr>
            <w:tcW w:w="530" w:type="pct"/>
            <w:tcBorders>
              <w:top w:val="nil"/>
              <w:left w:val="nil"/>
              <w:bottom w:val="single" w:sz="8" w:space="0" w:color="BFBFBF"/>
              <w:right w:val="single" w:sz="8" w:space="0" w:color="BFBFBF"/>
            </w:tcBorders>
            <w:shd w:val="clear" w:color="000000" w:fill="D0CECE"/>
            <w:noWrap/>
            <w:hideMark/>
          </w:tcPr>
          <w:p w14:paraId="31911ABF"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6.7</w:t>
            </w:r>
          </w:p>
        </w:tc>
        <w:tc>
          <w:tcPr>
            <w:tcW w:w="554" w:type="pct"/>
            <w:tcBorders>
              <w:top w:val="nil"/>
              <w:left w:val="nil"/>
              <w:bottom w:val="single" w:sz="8" w:space="0" w:color="BFBFBF"/>
              <w:right w:val="single" w:sz="8" w:space="0" w:color="BFBFBF"/>
            </w:tcBorders>
            <w:shd w:val="clear" w:color="000000" w:fill="D0CECE"/>
            <w:hideMark/>
          </w:tcPr>
          <w:p w14:paraId="26BBDCB1"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7.8</w:t>
            </w:r>
          </w:p>
        </w:tc>
        <w:tc>
          <w:tcPr>
            <w:tcW w:w="618" w:type="pct"/>
            <w:tcBorders>
              <w:top w:val="nil"/>
              <w:left w:val="nil"/>
              <w:bottom w:val="single" w:sz="8" w:space="0" w:color="BFBFBF"/>
              <w:right w:val="single" w:sz="8" w:space="0" w:color="BFBFBF"/>
            </w:tcBorders>
            <w:shd w:val="clear" w:color="000000" w:fill="D9E1F2"/>
            <w:noWrap/>
            <w:hideMark/>
          </w:tcPr>
          <w:p w14:paraId="100E3AD6"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6.5</w:t>
            </w:r>
          </w:p>
        </w:tc>
        <w:tc>
          <w:tcPr>
            <w:tcW w:w="610" w:type="pct"/>
            <w:tcBorders>
              <w:top w:val="nil"/>
              <w:left w:val="nil"/>
              <w:bottom w:val="single" w:sz="8" w:space="0" w:color="BFBFBF"/>
              <w:right w:val="single" w:sz="8" w:space="0" w:color="BFBFBF"/>
            </w:tcBorders>
            <w:shd w:val="clear" w:color="000000" w:fill="D9E1F2"/>
            <w:hideMark/>
          </w:tcPr>
          <w:p w14:paraId="0CF3D0A1"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6.8</w:t>
            </w:r>
          </w:p>
        </w:tc>
        <w:tc>
          <w:tcPr>
            <w:tcW w:w="698" w:type="pct"/>
            <w:tcBorders>
              <w:top w:val="nil"/>
              <w:left w:val="nil"/>
              <w:bottom w:val="single" w:sz="8" w:space="0" w:color="BFBFBF"/>
              <w:right w:val="single" w:sz="8" w:space="0" w:color="BFBFBF"/>
            </w:tcBorders>
            <w:shd w:val="clear" w:color="000000" w:fill="E2EFDA"/>
            <w:noWrap/>
            <w:hideMark/>
          </w:tcPr>
          <w:p w14:paraId="00975C67"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6.5</w:t>
            </w:r>
          </w:p>
        </w:tc>
        <w:tc>
          <w:tcPr>
            <w:tcW w:w="577" w:type="pct"/>
            <w:tcBorders>
              <w:top w:val="nil"/>
              <w:left w:val="nil"/>
              <w:bottom w:val="single" w:sz="8" w:space="0" w:color="BFBFBF"/>
              <w:right w:val="single" w:sz="8" w:space="0" w:color="BFBFBF"/>
            </w:tcBorders>
            <w:shd w:val="clear" w:color="000000" w:fill="E2EFDA"/>
            <w:hideMark/>
          </w:tcPr>
          <w:p w14:paraId="49C07977"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6.5</w:t>
            </w:r>
          </w:p>
        </w:tc>
      </w:tr>
      <w:tr w:rsidR="00C341CF" w:rsidRPr="00C341CF" w14:paraId="1F63073A"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4AB48E69"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 xml:space="preserve">Sub-Saharan Africa </w:t>
            </w:r>
          </w:p>
        </w:tc>
        <w:tc>
          <w:tcPr>
            <w:tcW w:w="530" w:type="pct"/>
            <w:tcBorders>
              <w:top w:val="nil"/>
              <w:left w:val="nil"/>
              <w:bottom w:val="single" w:sz="8" w:space="0" w:color="BFBFBF"/>
              <w:right w:val="single" w:sz="8" w:space="0" w:color="BFBFBF"/>
            </w:tcBorders>
            <w:shd w:val="clear" w:color="000000" w:fill="D0CECE"/>
            <w:noWrap/>
            <w:hideMark/>
          </w:tcPr>
          <w:p w14:paraId="0BC8204C"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3.3</w:t>
            </w:r>
          </w:p>
        </w:tc>
        <w:tc>
          <w:tcPr>
            <w:tcW w:w="554" w:type="pct"/>
            <w:tcBorders>
              <w:top w:val="nil"/>
              <w:left w:val="nil"/>
              <w:bottom w:val="single" w:sz="8" w:space="0" w:color="BFBFBF"/>
              <w:right w:val="single" w:sz="8" w:space="0" w:color="BFBFBF"/>
            </w:tcBorders>
            <w:shd w:val="clear" w:color="000000" w:fill="D0CECE"/>
            <w:hideMark/>
          </w:tcPr>
          <w:p w14:paraId="178BC865"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3.4</w:t>
            </w:r>
          </w:p>
        </w:tc>
        <w:tc>
          <w:tcPr>
            <w:tcW w:w="618" w:type="pct"/>
            <w:tcBorders>
              <w:top w:val="nil"/>
              <w:left w:val="nil"/>
              <w:bottom w:val="single" w:sz="8" w:space="0" w:color="BFBFBF"/>
              <w:right w:val="single" w:sz="8" w:space="0" w:color="BFBFBF"/>
            </w:tcBorders>
            <w:shd w:val="clear" w:color="000000" w:fill="D9E1F2"/>
            <w:noWrap/>
            <w:hideMark/>
          </w:tcPr>
          <w:p w14:paraId="68939ACA"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3.8</w:t>
            </w:r>
          </w:p>
        </w:tc>
        <w:tc>
          <w:tcPr>
            <w:tcW w:w="610" w:type="pct"/>
            <w:tcBorders>
              <w:top w:val="nil"/>
              <w:left w:val="nil"/>
              <w:bottom w:val="single" w:sz="8" w:space="0" w:color="BFBFBF"/>
              <w:right w:val="single" w:sz="8" w:space="0" w:color="BFBFBF"/>
            </w:tcBorders>
            <w:shd w:val="clear" w:color="000000" w:fill="D9E1F2"/>
            <w:hideMark/>
          </w:tcPr>
          <w:p w14:paraId="01A617E5"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3.8</w:t>
            </w:r>
          </w:p>
        </w:tc>
        <w:tc>
          <w:tcPr>
            <w:tcW w:w="698" w:type="pct"/>
            <w:tcBorders>
              <w:top w:val="nil"/>
              <w:left w:val="nil"/>
              <w:bottom w:val="single" w:sz="8" w:space="0" w:color="BFBFBF"/>
              <w:right w:val="single" w:sz="8" w:space="0" w:color="BFBFBF"/>
            </w:tcBorders>
            <w:shd w:val="clear" w:color="000000" w:fill="E2EFDA"/>
            <w:noWrap/>
            <w:hideMark/>
          </w:tcPr>
          <w:p w14:paraId="5BEF5DDE"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4.1</w:t>
            </w:r>
          </w:p>
        </w:tc>
        <w:tc>
          <w:tcPr>
            <w:tcW w:w="577" w:type="pct"/>
            <w:tcBorders>
              <w:top w:val="nil"/>
              <w:left w:val="nil"/>
              <w:bottom w:val="single" w:sz="8" w:space="0" w:color="BFBFBF"/>
              <w:right w:val="single" w:sz="8" w:space="0" w:color="BFBFBF"/>
            </w:tcBorders>
            <w:shd w:val="clear" w:color="000000" w:fill="E2EFDA"/>
            <w:hideMark/>
          </w:tcPr>
          <w:p w14:paraId="08F0F7E7" w14:textId="77777777" w:rsidR="00C341CF" w:rsidRPr="00C341CF" w:rsidRDefault="00C341CF" w:rsidP="00C341CF">
            <w:pPr>
              <w:spacing w:after="0" w:line="240" w:lineRule="auto"/>
              <w:rPr>
                <w:rFonts w:ascii="Tahoma" w:eastAsia="Times New Roman" w:hAnsi="Tahoma" w:cs="Tahoma"/>
                <w:b/>
                <w:bCs/>
                <w:color w:val="000000"/>
                <w:kern w:val="0"/>
                <w:lang w:val="en-ZW" w:eastAsia="en-ZW"/>
              </w:rPr>
            </w:pPr>
            <w:r w:rsidRPr="00C341CF">
              <w:rPr>
                <w:rFonts w:ascii="Tahoma" w:eastAsia="Times New Roman" w:hAnsi="Tahoma" w:cs="Tahoma"/>
                <w:b/>
                <w:bCs/>
                <w:color w:val="000000"/>
                <w:kern w:val="0"/>
                <w:lang w:val="en-ZW" w:eastAsia="en-ZW"/>
              </w:rPr>
              <w:t>4</w:t>
            </w:r>
          </w:p>
        </w:tc>
      </w:tr>
      <w:tr w:rsidR="00C341CF" w:rsidRPr="00C341CF" w14:paraId="36DDD7F8"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000000" w:fill="FFFFFF"/>
            <w:noWrap/>
            <w:hideMark/>
          </w:tcPr>
          <w:p w14:paraId="3518F94A"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Nigeria </w:t>
            </w:r>
          </w:p>
        </w:tc>
        <w:tc>
          <w:tcPr>
            <w:tcW w:w="530" w:type="pct"/>
            <w:tcBorders>
              <w:top w:val="nil"/>
              <w:left w:val="nil"/>
              <w:bottom w:val="single" w:sz="8" w:space="0" w:color="BFBFBF"/>
              <w:right w:val="single" w:sz="8" w:space="0" w:color="BFBFBF"/>
            </w:tcBorders>
            <w:shd w:val="clear" w:color="000000" w:fill="D0CECE"/>
            <w:noWrap/>
            <w:hideMark/>
          </w:tcPr>
          <w:p w14:paraId="1A204EB9"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2.8</w:t>
            </w:r>
          </w:p>
        </w:tc>
        <w:tc>
          <w:tcPr>
            <w:tcW w:w="554" w:type="pct"/>
            <w:tcBorders>
              <w:top w:val="nil"/>
              <w:left w:val="nil"/>
              <w:bottom w:val="single" w:sz="8" w:space="0" w:color="BFBFBF"/>
              <w:right w:val="single" w:sz="8" w:space="0" w:color="BFBFBF"/>
            </w:tcBorders>
            <w:shd w:val="clear" w:color="000000" w:fill="D0CECE"/>
            <w:hideMark/>
          </w:tcPr>
          <w:p w14:paraId="6478C394"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4.2</w:t>
            </w:r>
          </w:p>
        </w:tc>
        <w:tc>
          <w:tcPr>
            <w:tcW w:w="618" w:type="pct"/>
            <w:tcBorders>
              <w:top w:val="nil"/>
              <w:left w:val="nil"/>
              <w:bottom w:val="single" w:sz="8" w:space="0" w:color="BFBFBF"/>
              <w:right w:val="single" w:sz="8" w:space="0" w:color="BFBFBF"/>
            </w:tcBorders>
            <w:shd w:val="clear" w:color="000000" w:fill="D9E1F2"/>
            <w:noWrap/>
            <w:hideMark/>
          </w:tcPr>
          <w:p w14:paraId="07F403B3"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3</w:t>
            </w:r>
          </w:p>
        </w:tc>
        <w:tc>
          <w:tcPr>
            <w:tcW w:w="610" w:type="pct"/>
            <w:tcBorders>
              <w:top w:val="nil"/>
              <w:left w:val="nil"/>
              <w:bottom w:val="single" w:sz="8" w:space="0" w:color="BFBFBF"/>
              <w:right w:val="single" w:sz="8" w:space="0" w:color="BFBFBF"/>
            </w:tcBorders>
            <w:shd w:val="clear" w:color="000000" w:fill="D9E1F2"/>
            <w:hideMark/>
          </w:tcPr>
          <w:p w14:paraId="373E91F7"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3.3</w:t>
            </w:r>
          </w:p>
        </w:tc>
        <w:tc>
          <w:tcPr>
            <w:tcW w:w="698" w:type="pct"/>
            <w:tcBorders>
              <w:top w:val="nil"/>
              <w:left w:val="nil"/>
              <w:bottom w:val="single" w:sz="8" w:space="0" w:color="BFBFBF"/>
              <w:right w:val="single" w:sz="8" w:space="0" w:color="BFBFBF"/>
            </w:tcBorders>
            <w:shd w:val="clear" w:color="000000" w:fill="E2EFDA"/>
            <w:noWrap/>
            <w:hideMark/>
          </w:tcPr>
          <w:p w14:paraId="76728373"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3.1</w:t>
            </w:r>
          </w:p>
        </w:tc>
        <w:tc>
          <w:tcPr>
            <w:tcW w:w="577" w:type="pct"/>
            <w:tcBorders>
              <w:top w:val="nil"/>
              <w:left w:val="nil"/>
              <w:bottom w:val="single" w:sz="8" w:space="0" w:color="BFBFBF"/>
              <w:right w:val="single" w:sz="8" w:space="0" w:color="BFBFBF"/>
            </w:tcBorders>
            <w:shd w:val="clear" w:color="000000" w:fill="E2EFDA"/>
            <w:hideMark/>
          </w:tcPr>
          <w:p w14:paraId="2229C100"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3</w:t>
            </w:r>
          </w:p>
        </w:tc>
      </w:tr>
      <w:tr w:rsidR="00C341CF" w:rsidRPr="00C341CF" w14:paraId="12D5219B" w14:textId="77777777" w:rsidTr="0055589A">
        <w:trPr>
          <w:trHeight w:val="315"/>
        </w:trPr>
        <w:tc>
          <w:tcPr>
            <w:tcW w:w="1413" w:type="pct"/>
            <w:tcBorders>
              <w:top w:val="nil"/>
              <w:left w:val="single" w:sz="8" w:space="0" w:color="BFBFBF"/>
              <w:bottom w:val="single" w:sz="8" w:space="0" w:color="BFBFBF"/>
              <w:right w:val="single" w:sz="8" w:space="0" w:color="BFBFBF"/>
            </w:tcBorders>
            <w:shd w:val="clear" w:color="auto" w:fill="auto"/>
            <w:noWrap/>
            <w:hideMark/>
          </w:tcPr>
          <w:p w14:paraId="77B31D0E"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 xml:space="preserve">South Africa </w:t>
            </w:r>
          </w:p>
        </w:tc>
        <w:tc>
          <w:tcPr>
            <w:tcW w:w="530" w:type="pct"/>
            <w:tcBorders>
              <w:top w:val="nil"/>
              <w:left w:val="nil"/>
              <w:bottom w:val="single" w:sz="8" w:space="0" w:color="BFBFBF"/>
              <w:right w:val="single" w:sz="8" w:space="0" w:color="BFBFBF"/>
            </w:tcBorders>
            <w:shd w:val="clear" w:color="000000" w:fill="D0CECE"/>
            <w:noWrap/>
            <w:hideMark/>
          </w:tcPr>
          <w:p w14:paraId="2D6EABBB"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0.6</w:t>
            </w:r>
          </w:p>
        </w:tc>
        <w:tc>
          <w:tcPr>
            <w:tcW w:w="554" w:type="pct"/>
            <w:tcBorders>
              <w:top w:val="nil"/>
              <w:left w:val="nil"/>
              <w:bottom w:val="single" w:sz="8" w:space="0" w:color="BFBFBF"/>
              <w:right w:val="single" w:sz="8" w:space="0" w:color="BFBFBF"/>
            </w:tcBorders>
            <w:shd w:val="clear" w:color="000000" w:fill="D0CECE"/>
            <w:hideMark/>
          </w:tcPr>
          <w:p w14:paraId="09BEF257"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0.6</w:t>
            </w:r>
          </w:p>
        </w:tc>
        <w:tc>
          <w:tcPr>
            <w:tcW w:w="618" w:type="pct"/>
            <w:tcBorders>
              <w:top w:val="nil"/>
              <w:left w:val="nil"/>
              <w:bottom w:val="single" w:sz="8" w:space="0" w:color="BFBFBF"/>
              <w:right w:val="single" w:sz="8" w:space="0" w:color="BFBFBF"/>
            </w:tcBorders>
            <w:shd w:val="clear" w:color="000000" w:fill="D9E1F2"/>
            <w:noWrap/>
            <w:hideMark/>
          </w:tcPr>
          <w:p w14:paraId="7D639911"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w:t>
            </w:r>
          </w:p>
        </w:tc>
        <w:tc>
          <w:tcPr>
            <w:tcW w:w="610" w:type="pct"/>
            <w:tcBorders>
              <w:top w:val="nil"/>
              <w:left w:val="nil"/>
              <w:bottom w:val="single" w:sz="8" w:space="0" w:color="BFBFBF"/>
              <w:right w:val="single" w:sz="8" w:space="0" w:color="BFBFBF"/>
            </w:tcBorders>
            <w:shd w:val="clear" w:color="000000" w:fill="D9E1F2"/>
            <w:hideMark/>
          </w:tcPr>
          <w:p w14:paraId="70F41A7B"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0.9</w:t>
            </w:r>
          </w:p>
        </w:tc>
        <w:tc>
          <w:tcPr>
            <w:tcW w:w="698" w:type="pct"/>
            <w:tcBorders>
              <w:top w:val="nil"/>
              <w:left w:val="nil"/>
              <w:bottom w:val="single" w:sz="8" w:space="0" w:color="BFBFBF"/>
              <w:right w:val="single" w:sz="8" w:space="0" w:color="BFBFBF"/>
            </w:tcBorders>
            <w:shd w:val="clear" w:color="000000" w:fill="E2EFDA"/>
            <w:noWrap/>
            <w:hideMark/>
          </w:tcPr>
          <w:p w14:paraId="5FA8E3E2"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1.3</w:t>
            </w:r>
          </w:p>
        </w:tc>
        <w:tc>
          <w:tcPr>
            <w:tcW w:w="577" w:type="pct"/>
            <w:tcBorders>
              <w:top w:val="nil"/>
              <w:left w:val="nil"/>
              <w:bottom w:val="single" w:sz="8" w:space="0" w:color="BFBFBF"/>
              <w:right w:val="single" w:sz="8" w:space="0" w:color="BFBFBF"/>
            </w:tcBorders>
            <w:shd w:val="clear" w:color="000000" w:fill="E2EFDA"/>
            <w:hideMark/>
          </w:tcPr>
          <w:p w14:paraId="6D3B3109" w14:textId="77777777" w:rsidR="00C341CF" w:rsidRPr="00C341CF" w:rsidRDefault="00C341CF" w:rsidP="00C341CF">
            <w:pPr>
              <w:spacing w:after="0" w:line="240" w:lineRule="auto"/>
              <w:rPr>
                <w:rFonts w:ascii="Tahoma" w:eastAsia="Times New Roman" w:hAnsi="Tahoma" w:cs="Tahoma"/>
                <w:color w:val="000000"/>
                <w:kern w:val="0"/>
                <w:lang w:val="en-ZW" w:eastAsia="en-ZW"/>
              </w:rPr>
            </w:pPr>
            <w:r w:rsidRPr="00C341CF">
              <w:rPr>
                <w:rFonts w:ascii="Tahoma" w:eastAsia="Times New Roman" w:hAnsi="Tahoma" w:cs="Tahoma"/>
                <w:color w:val="000000"/>
                <w:kern w:val="0"/>
                <w:lang w:val="en-ZW" w:eastAsia="en-ZW"/>
              </w:rPr>
              <w:t>1.2</w:t>
            </w:r>
          </w:p>
        </w:tc>
      </w:tr>
    </w:tbl>
    <w:p w14:paraId="1576EA30" w14:textId="77777777" w:rsidR="00E36CF6" w:rsidRPr="00796E2E" w:rsidRDefault="00E31148" w:rsidP="00E36CF6">
      <w:pPr>
        <w:rPr>
          <w:rFonts w:ascii="Tahoma" w:hAnsi="Tahoma" w:cs="Tahoma"/>
          <w:i/>
          <w:sz w:val="24"/>
          <w:szCs w:val="24"/>
        </w:rPr>
      </w:pPr>
      <w:r w:rsidRPr="00796E2E">
        <w:rPr>
          <w:rFonts w:ascii="Tahoma" w:hAnsi="Tahoma" w:cs="Tahoma"/>
          <w:i/>
          <w:sz w:val="24"/>
          <w:szCs w:val="24"/>
        </w:rPr>
        <w:t xml:space="preserve">Source: IMF </w:t>
      </w:r>
      <w:r w:rsidR="00E36CF6" w:rsidRPr="00796E2E">
        <w:rPr>
          <w:rFonts w:ascii="Tahoma" w:hAnsi="Tahoma" w:cs="Tahoma"/>
          <w:i/>
          <w:sz w:val="24"/>
          <w:szCs w:val="24"/>
        </w:rPr>
        <w:t>World Economic Outlook Update (</w:t>
      </w:r>
      <w:r w:rsidR="00171A37" w:rsidRPr="00796E2E">
        <w:rPr>
          <w:rFonts w:ascii="Tahoma" w:hAnsi="Tahoma" w:cs="Tahoma"/>
          <w:i/>
          <w:sz w:val="24"/>
          <w:szCs w:val="24"/>
        </w:rPr>
        <w:t>January</w:t>
      </w:r>
      <w:r w:rsidR="00E36CF6" w:rsidRPr="00796E2E">
        <w:rPr>
          <w:rFonts w:ascii="Tahoma" w:hAnsi="Tahoma" w:cs="Tahoma"/>
          <w:i/>
          <w:sz w:val="24"/>
          <w:szCs w:val="24"/>
        </w:rPr>
        <w:t xml:space="preserve"> </w:t>
      </w:r>
      <w:r w:rsidR="00281EE3" w:rsidRPr="00796E2E">
        <w:rPr>
          <w:rFonts w:ascii="Tahoma" w:hAnsi="Tahoma" w:cs="Tahoma"/>
          <w:i/>
          <w:sz w:val="24"/>
          <w:szCs w:val="24"/>
        </w:rPr>
        <w:t>and April 2024</w:t>
      </w:r>
      <w:r w:rsidR="00E36CF6" w:rsidRPr="00796E2E">
        <w:rPr>
          <w:rFonts w:ascii="Tahoma" w:hAnsi="Tahoma" w:cs="Tahoma"/>
          <w:i/>
          <w:sz w:val="24"/>
          <w:szCs w:val="24"/>
        </w:rPr>
        <w:t xml:space="preserve">) </w:t>
      </w:r>
    </w:p>
    <w:p w14:paraId="0E02F3BB" w14:textId="007C284D" w:rsidR="00A521E9" w:rsidRPr="00796E2E" w:rsidRDefault="00C64199" w:rsidP="00A521E9">
      <w:pPr>
        <w:ind w:left="720" w:hanging="720"/>
        <w:jc w:val="both"/>
        <w:rPr>
          <w:rFonts w:ascii="Tahoma" w:hAnsi="Tahoma" w:cs="Tahoma"/>
          <w:sz w:val="24"/>
          <w:szCs w:val="24"/>
        </w:rPr>
      </w:pPr>
      <w:r>
        <w:rPr>
          <w:noProof/>
        </w:rPr>
        <mc:AlternateContent>
          <mc:Choice Requires="wps">
            <w:drawing>
              <wp:anchor distT="0" distB="0" distL="114300" distR="114300" simplePos="0" relativeHeight="251658240" behindDoc="1" locked="0" layoutInCell="1" allowOverlap="1" wp14:anchorId="11D37D6D" wp14:editId="1D73D9ED">
                <wp:simplePos x="0" y="0"/>
                <wp:positionH relativeFrom="margin">
                  <wp:align>right</wp:align>
                </wp:positionH>
                <wp:positionV relativeFrom="margin">
                  <wp:align>bottom</wp:align>
                </wp:positionV>
                <wp:extent cx="2343150" cy="1535430"/>
                <wp:effectExtent l="0" t="0" r="0" b="7620"/>
                <wp:wrapSquare wrapText="bothSides"/>
                <wp:docPr id="176024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535430"/>
                        </a:xfrm>
                        <a:prstGeom prst="roundRect">
                          <a:avLst/>
                        </a:prstGeom>
                        <a:solidFill>
                          <a:srgbClr val="156082"/>
                        </a:solidFill>
                        <a:ln w="19050" cap="flat" cmpd="sng" algn="ctr">
                          <a:solidFill>
                            <a:sysClr val="window" lastClr="FFFFFF"/>
                          </a:solidFill>
                          <a:prstDash val="solid"/>
                          <a:miter lim="800000"/>
                        </a:ln>
                        <a:effectLst/>
                      </wps:spPr>
                      <wps:txbx>
                        <w:txbxContent>
                          <w:p w14:paraId="03E0FF19" w14:textId="77777777" w:rsidR="007C0EE4" w:rsidRPr="00796E2E" w:rsidRDefault="007C0EE4" w:rsidP="004C677E">
                            <w:pPr>
                              <w:spacing w:after="0" w:line="240" w:lineRule="auto"/>
                              <w:rPr>
                                <w:rFonts w:ascii="Tahoma" w:eastAsia="Times New Roman" w:hAnsi="Tahoma" w:cs="Tahoma"/>
                                <w:kern w:val="0"/>
                                <w:sz w:val="24"/>
                                <w:szCs w:val="24"/>
                                <w:lang w:eastAsia="en-ZW"/>
                              </w:rPr>
                            </w:pPr>
                            <w:r w:rsidRPr="00796E2E">
                              <w:rPr>
                                <w:rFonts w:ascii="Tahoma" w:eastAsia="Times New Roman" w:hAnsi="Tahoma" w:cs="Tahoma"/>
                                <w:kern w:val="0"/>
                                <w:sz w:val="24"/>
                                <w:szCs w:val="24"/>
                                <w:lang w:eastAsia="en-ZW"/>
                              </w:rPr>
                              <w:t>Zimbabwe's economic prospects are influenced by global economic movements such as commodity prices, the Ukraine and Gaza conflicts, and restrictive monetary policies.</w:t>
                            </w:r>
                          </w:p>
                          <w:p w14:paraId="69A7224B" w14:textId="77777777" w:rsidR="00022BFE" w:rsidRPr="00796E2E" w:rsidRDefault="00022BFE" w:rsidP="00D37A58">
                            <w:pPr>
                              <w:jc w:val="both"/>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D37D6D" id="Text Box 2" o:spid="_x0000_s1026" style="position:absolute;left:0;text-align:left;margin-left:133.3pt;margin-top:0;width:184.5pt;height:120.9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" fillcolor="#156082" strokecolor="window" strokeweight="1.5pt">
                <v:stroke joinstyle="miter"/>
                <v:path arrowok="t"/>
                <v:textbox>
                  <w:txbxContent>
                    <w:p w14:paraId="03E0FF19" w14:textId="77777777" w:rsidR="007C0EE4" w:rsidRPr="00796E2E" w:rsidRDefault="007C0EE4" w:rsidP="004C677E">
                      <w:pPr>
                        <w:spacing w:after="0" w:line="240" w:lineRule="auto"/>
                        <w:rPr>
                          <w:rFonts w:ascii="Tahoma" w:eastAsia="Times New Roman" w:hAnsi="Tahoma" w:cs="Tahoma"/>
                          <w:kern w:val="0"/>
                          <w:sz w:val="24"/>
                          <w:szCs w:val="24"/>
                          <w:lang w:eastAsia="en-ZW"/>
                        </w:rPr>
                      </w:pPr>
                      <w:r w:rsidRPr="00796E2E">
                        <w:rPr>
                          <w:rFonts w:ascii="Tahoma" w:eastAsia="Times New Roman" w:hAnsi="Tahoma" w:cs="Tahoma"/>
                          <w:kern w:val="0"/>
                          <w:sz w:val="24"/>
                          <w:szCs w:val="24"/>
                          <w:lang w:eastAsia="en-ZW"/>
                        </w:rPr>
                        <w:t>Zimbabwe's economic prospects are influenced by global economic movements such as commodity prices, the Ukraine and Gaza conflicts, and restrictive monetary policies.</w:t>
                      </w:r>
                    </w:p>
                    <w:p w14:paraId="69A7224B" w14:textId="77777777" w:rsidR="00022BFE" w:rsidRPr="00796E2E" w:rsidRDefault="00022BFE" w:rsidP="00D37A58">
                      <w:pPr>
                        <w:jc w:val="both"/>
                        <w:rPr>
                          <w:sz w:val="21"/>
                          <w:szCs w:val="21"/>
                        </w:rPr>
                      </w:pPr>
                    </w:p>
                  </w:txbxContent>
                </v:textbox>
                <w10:wrap type="square" anchorx="margin" anchory="margin"/>
              </v:roundrect>
            </w:pict>
          </mc:Fallback>
        </mc:AlternateContent>
      </w:r>
      <w:r w:rsidR="004F680D" w:rsidRPr="00796E2E">
        <w:rPr>
          <w:rFonts w:ascii="Tahoma" w:hAnsi="Tahoma" w:cs="Tahoma"/>
          <w:sz w:val="24"/>
          <w:szCs w:val="24"/>
        </w:rPr>
        <w:t>1.1.</w:t>
      </w:r>
      <w:r w:rsidR="004C677E" w:rsidRPr="00796E2E">
        <w:rPr>
          <w:rFonts w:ascii="Tahoma" w:hAnsi="Tahoma" w:cs="Tahoma"/>
          <w:sz w:val="24"/>
          <w:szCs w:val="24"/>
        </w:rPr>
        <w:t>3</w:t>
      </w:r>
      <w:r w:rsidR="004F680D" w:rsidRPr="00796E2E">
        <w:rPr>
          <w:rFonts w:ascii="Tahoma" w:hAnsi="Tahoma" w:cs="Tahoma"/>
          <w:sz w:val="24"/>
          <w:szCs w:val="24"/>
        </w:rPr>
        <w:tab/>
      </w:r>
      <w:r w:rsidR="00943A82" w:rsidRPr="00796E2E">
        <w:rPr>
          <w:rFonts w:ascii="Tahoma" w:hAnsi="Tahoma" w:cs="Tahoma"/>
          <w:sz w:val="24"/>
          <w:szCs w:val="24"/>
        </w:rPr>
        <w:t xml:space="preserve">Growth in </w:t>
      </w:r>
      <w:r w:rsidR="00982CFF" w:rsidRPr="00796E2E">
        <w:rPr>
          <w:rFonts w:ascii="Tahoma" w:hAnsi="Tahoma" w:cs="Tahoma"/>
          <w:sz w:val="24"/>
          <w:szCs w:val="24"/>
        </w:rPr>
        <w:t>Advanced Economies</w:t>
      </w:r>
      <w:r w:rsidR="00096221" w:rsidRPr="00796E2E">
        <w:rPr>
          <w:rFonts w:ascii="Tahoma" w:hAnsi="Tahoma" w:cs="Tahoma"/>
          <w:sz w:val="24"/>
          <w:szCs w:val="24"/>
        </w:rPr>
        <w:t xml:space="preserve"> </w:t>
      </w:r>
      <w:r w:rsidR="00982CFF" w:rsidRPr="00796E2E">
        <w:rPr>
          <w:rFonts w:ascii="Tahoma" w:hAnsi="Tahoma" w:cs="Tahoma"/>
          <w:sz w:val="24"/>
          <w:szCs w:val="24"/>
        </w:rPr>
        <w:t xml:space="preserve">is </w:t>
      </w:r>
      <w:r w:rsidR="00943A82" w:rsidRPr="00796E2E">
        <w:rPr>
          <w:rFonts w:ascii="Tahoma" w:hAnsi="Tahoma" w:cs="Tahoma"/>
          <w:sz w:val="24"/>
          <w:szCs w:val="24"/>
        </w:rPr>
        <w:t>likely</w:t>
      </w:r>
      <w:r w:rsidR="00982CFF" w:rsidRPr="00796E2E">
        <w:rPr>
          <w:rFonts w:ascii="Tahoma" w:hAnsi="Tahoma" w:cs="Tahoma"/>
          <w:sz w:val="24"/>
          <w:szCs w:val="24"/>
        </w:rPr>
        <w:t xml:space="preserve"> to </w:t>
      </w:r>
      <w:r w:rsidR="00653B58" w:rsidRPr="00796E2E">
        <w:rPr>
          <w:rFonts w:ascii="Tahoma" w:hAnsi="Tahoma" w:cs="Tahoma"/>
          <w:sz w:val="24"/>
          <w:szCs w:val="24"/>
        </w:rPr>
        <w:t>increase</w:t>
      </w:r>
      <w:r w:rsidR="00982CFF" w:rsidRPr="00796E2E">
        <w:rPr>
          <w:rFonts w:ascii="Tahoma" w:hAnsi="Tahoma" w:cs="Tahoma"/>
          <w:sz w:val="24"/>
          <w:szCs w:val="24"/>
        </w:rPr>
        <w:t xml:space="preserve"> </w:t>
      </w:r>
      <w:r w:rsidR="005632D6" w:rsidRPr="00796E2E">
        <w:rPr>
          <w:rFonts w:ascii="Tahoma" w:hAnsi="Tahoma" w:cs="Tahoma"/>
          <w:sz w:val="24"/>
          <w:szCs w:val="24"/>
        </w:rPr>
        <w:t>to</w:t>
      </w:r>
      <w:r w:rsidR="00982CFF" w:rsidRPr="00796E2E">
        <w:rPr>
          <w:rFonts w:ascii="Tahoma" w:hAnsi="Tahoma" w:cs="Tahoma"/>
          <w:sz w:val="24"/>
          <w:szCs w:val="24"/>
        </w:rPr>
        <w:t xml:space="preserve"> 1.</w:t>
      </w:r>
      <w:r w:rsidR="00653B58" w:rsidRPr="00796E2E">
        <w:rPr>
          <w:rFonts w:ascii="Tahoma" w:hAnsi="Tahoma" w:cs="Tahoma"/>
          <w:sz w:val="24"/>
          <w:szCs w:val="24"/>
        </w:rPr>
        <w:t>7</w:t>
      </w:r>
      <w:r w:rsidR="00982CFF" w:rsidRPr="00796E2E">
        <w:rPr>
          <w:rFonts w:ascii="Tahoma" w:hAnsi="Tahoma" w:cs="Tahoma"/>
          <w:sz w:val="24"/>
          <w:szCs w:val="24"/>
        </w:rPr>
        <w:t>% in 202</w:t>
      </w:r>
      <w:r w:rsidR="00096221" w:rsidRPr="00796E2E">
        <w:rPr>
          <w:rFonts w:ascii="Tahoma" w:hAnsi="Tahoma" w:cs="Tahoma"/>
          <w:sz w:val="24"/>
          <w:szCs w:val="24"/>
        </w:rPr>
        <w:t>4</w:t>
      </w:r>
      <w:r w:rsidR="00982CFF" w:rsidRPr="00796E2E">
        <w:rPr>
          <w:rFonts w:ascii="Tahoma" w:hAnsi="Tahoma" w:cs="Tahoma"/>
          <w:sz w:val="24"/>
          <w:szCs w:val="24"/>
        </w:rPr>
        <w:t xml:space="preserve"> from </w:t>
      </w:r>
      <w:r w:rsidR="00096221" w:rsidRPr="00796E2E">
        <w:rPr>
          <w:rFonts w:ascii="Tahoma" w:hAnsi="Tahoma" w:cs="Tahoma"/>
          <w:sz w:val="24"/>
          <w:szCs w:val="24"/>
        </w:rPr>
        <w:t>1</w:t>
      </w:r>
      <w:r w:rsidR="00982CFF" w:rsidRPr="00796E2E">
        <w:rPr>
          <w:rFonts w:ascii="Tahoma" w:hAnsi="Tahoma" w:cs="Tahoma"/>
          <w:sz w:val="24"/>
          <w:szCs w:val="24"/>
        </w:rPr>
        <w:t>.</w:t>
      </w:r>
      <w:r w:rsidR="00096221" w:rsidRPr="00796E2E">
        <w:rPr>
          <w:rFonts w:ascii="Tahoma" w:hAnsi="Tahoma" w:cs="Tahoma"/>
          <w:sz w:val="24"/>
          <w:szCs w:val="24"/>
        </w:rPr>
        <w:t>6</w:t>
      </w:r>
      <w:r w:rsidR="00982CFF" w:rsidRPr="00796E2E">
        <w:rPr>
          <w:rFonts w:ascii="Tahoma" w:hAnsi="Tahoma" w:cs="Tahoma"/>
          <w:sz w:val="24"/>
          <w:szCs w:val="24"/>
        </w:rPr>
        <w:t xml:space="preserve">% in </w:t>
      </w:r>
      <w:r w:rsidR="009E1523" w:rsidRPr="00796E2E">
        <w:rPr>
          <w:rFonts w:ascii="Tahoma" w:hAnsi="Tahoma" w:cs="Tahoma"/>
          <w:sz w:val="24"/>
          <w:szCs w:val="24"/>
        </w:rPr>
        <w:t>2023 and</w:t>
      </w:r>
      <w:r w:rsidR="00943A82" w:rsidRPr="00796E2E">
        <w:rPr>
          <w:rFonts w:ascii="Tahoma" w:hAnsi="Tahoma" w:cs="Tahoma"/>
          <w:sz w:val="24"/>
          <w:szCs w:val="24"/>
        </w:rPr>
        <w:t xml:space="preserve"> rebound </w:t>
      </w:r>
      <w:r w:rsidR="00982CFF" w:rsidRPr="00796E2E">
        <w:rPr>
          <w:rFonts w:ascii="Tahoma" w:hAnsi="Tahoma" w:cs="Tahoma"/>
          <w:sz w:val="24"/>
          <w:szCs w:val="24"/>
        </w:rPr>
        <w:t xml:space="preserve">slightly </w:t>
      </w:r>
      <w:r w:rsidR="00DC5CBE" w:rsidRPr="00796E2E">
        <w:rPr>
          <w:rFonts w:ascii="Tahoma" w:hAnsi="Tahoma" w:cs="Tahoma"/>
          <w:sz w:val="24"/>
          <w:szCs w:val="24"/>
        </w:rPr>
        <w:t>to</w:t>
      </w:r>
      <w:r w:rsidR="00982CFF" w:rsidRPr="00796E2E">
        <w:rPr>
          <w:rFonts w:ascii="Tahoma" w:hAnsi="Tahoma" w:cs="Tahoma"/>
          <w:sz w:val="24"/>
          <w:szCs w:val="24"/>
        </w:rPr>
        <w:t xml:space="preserve"> 1.</w:t>
      </w:r>
      <w:r w:rsidR="00096221" w:rsidRPr="00796E2E">
        <w:rPr>
          <w:rFonts w:ascii="Tahoma" w:hAnsi="Tahoma" w:cs="Tahoma"/>
          <w:sz w:val="24"/>
          <w:szCs w:val="24"/>
        </w:rPr>
        <w:t>8</w:t>
      </w:r>
      <w:r w:rsidR="00982CFF" w:rsidRPr="00796E2E">
        <w:rPr>
          <w:rFonts w:ascii="Tahoma" w:hAnsi="Tahoma" w:cs="Tahoma"/>
          <w:sz w:val="24"/>
          <w:szCs w:val="24"/>
        </w:rPr>
        <w:t>% in 202</w:t>
      </w:r>
      <w:r w:rsidR="00096221" w:rsidRPr="00796E2E">
        <w:rPr>
          <w:rFonts w:ascii="Tahoma" w:hAnsi="Tahoma" w:cs="Tahoma"/>
          <w:sz w:val="24"/>
          <w:szCs w:val="24"/>
        </w:rPr>
        <w:t>5</w:t>
      </w:r>
      <w:r w:rsidR="00982CFF" w:rsidRPr="00796E2E">
        <w:rPr>
          <w:rFonts w:ascii="Tahoma" w:hAnsi="Tahoma" w:cs="Tahoma"/>
          <w:sz w:val="24"/>
          <w:szCs w:val="24"/>
        </w:rPr>
        <w:t xml:space="preserve"> </w:t>
      </w:r>
      <w:r w:rsidR="00943A82" w:rsidRPr="00796E2E">
        <w:rPr>
          <w:rFonts w:ascii="Tahoma" w:hAnsi="Tahoma" w:cs="Tahoma"/>
          <w:sz w:val="24"/>
          <w:szCs w:val="24"/>
        </w:rPr>
        <w:t>owing</w:t>
      </w:r>
      <w:r w:rsidR="00982CFF" w:rsidRPr="00796E2E">
        <w:rPr>
          <w:rFonts w:ascii="Tahoma" w:hAnsi="Tahoma" w:cs="Tahoma"/>
          <w:sz w:val="24"/>
          <w:szCs w:val="24"/>
        </w:rPr>
        <w:t xml:space="preserve"> to</w:t>
      </w:r>
      <w:r w:rsidR="00943A82" w:rsidRPr="00796E2E">
        <w:rPr>
          <w:rFonts w:ascii="Tahoma" w:hAnsi="Tahoma" w:cs="Tahoma"/>
          <w:sz w:val="24"/>
          <w:szCs w:val="24"/>
        </w:rPr>
        <w:t xml:space="preserve"> </w:t>
      </w:r>
      <w:r w:rsidR="00FA366A" w:rsidRPr="00796E2E">
        <w:rPr>
          <w:rFonts w:ascii="Tahoma" w:hAnsi="Tahoma" w:cs="Tahoma"/>
          <w:sz w:val="24"/>
          <w:szCs w:val="24"/>
        </w:rPr>
        <w:t xml:space="preserve">improvements in </w:t>
      </w:r>
      <w:r w:rsidR="00943A82" w:rsidRPr="00796E2E">
        <w:rPr>
          <w:rFonts w:ascii="Tahoma" w:hAnsi="Tahoma" w:cs="Tahoma"/>
          <w:sz w:val="24"/>
          <w:szCs w:val="24"/>
        </w:rPr>
        <w:t>both</w:t>
      </w:r>
      <w:r w:rsidR="00982CFF" w:rsidRPr="00796E2E">
        <w:rPr>
          <w:rFonts w:ascii="Tahoma" w:hAnsi="Tahoma" w:cs="Tahoma"/>
          <w:sz w:val="24"/>
          <w:szCs w:val="24"/>
        </w:rPr>
        <w:t xml:space="preserve"> the United States and the European economies. Growth in the </w:t>
      </w:r>
      <w:r w:rsidR="00096221" w:rsidRPr="00796E2E">
        <w:rPr>
          <w:rFonts w:ascii="Tahoma" w:hAnsi="Tahoma" w:cs="Tahoma"/>
          <w:sz w:val="24"/>
          <w:szCs w:val="24"/>
        </w:rPr>
        <w:t>Euro-Area</w:t>
      </w:r>
      <w:r w:rsidR="00982CFF" w:rsidRPr="00796E2E">
        <w:rPr>
          <w:rFonts w:ascii="Tahoma" w:hAnsi="Tahoma" w:cs="Tahoma"/>
          <w:sz w:val="24"/>
          <w:szCs w:val="24"/>
        </w:rPr>
        <w:t xml:space="preserve"> is </w:t>
      </w:r>
      <w:r w:rsidR="00943A82" w:rsidRPr="00796E2E">
        <w:rPr>
          <w:rFonts w:ascii="Tahoma" w:hAnsi="Tahoma" w:cs="Tahoma"/>
          <w:sz w:val="24"/>
          <w:szCs w:val="24"/>
        </w:rPr>
        <w:t>anticipated</w:t>
      </w:r>
      <w:r w:rsidR="00982CFF" w:rsidRPr="00796E2E">
        <w:rPr>
          <w:rFonts w:ascii="Tahoma" w:hAnsi="Tahoma" w:cs="Tahoma"/>
          <w:sz w:val="24"/>
          <w:szCs w:val="24"/>
        </w:rPr>
        <w:t xml:space="preserve"> to </w:t>
      </w:r>
      <w:r w:rsidR="00096221" w:rsidRPr="00796E2E">
        <w:rPr>
          <w:rFonts w:ascii="Tahoma" w:hAnsi="Tahoma" w:cs="Tahoma"/>
          <w:sz w:val="24"/>
          <w:szCs w:val="24"/>
        </w:rPr>
        <w:t>increase</w:t>
      </w:r>
      <w:r w:rsidR="00982CFF" w:rsidRPr="00796E2E">
        <w:rPr>
          <w:rFonts w:ascii="Tahoma" w:hAnsi="Tahoma" w:cs="Tahoma"/>
          <w:sz w:val="24"/>
          <w:szCs w:val="24"/>
        </w:rPr>
        <w:t xml:space="preserve"> </w:t>
      </w:r>
      <w:r w:rsidR="005632D6" w:rsidRPr="00796E2E">
        <w:rPr>
          <w:rFonts w:ascii="Tahoma" w:hAnsi="Tahoma" w:cs="Tahoma"/>
          <w:sz w:val="24"/>
          <w:szCs w:val="24"/>
        </w:rPr>
        <w:t>to</w:t>
      </w:r>
      <w:r w:rsidR="00982CFF" w:rsidRPr="00796E2E">
        <w:rPr>
          <w:rFonts w:ascii="Tahoma" w:hAnsi="Tahoma" w:cs="Tahoma"/>
          <w:sz w:val="24"/>
          <w:szCs w:val="24"/>
        </w:rPr>
        <w:t xml:space="preserve"> </w:t>
      </w:r>
      <w:r w:rsidR="00096221" w:rsidRPr="00796E2E">
        <w:rPr>
          <w:rFonts w:ascii="Tahoma" w:hAnsi="Tahoma" w:cs="Tahoma"/>
          <w:sz w:val="24"/>
          <w:szCs w:val="24"/>
        </w:rPr>
        <w:t>0</w:t>
      </w:r>
      <w:r w:rsidR="00982CFF" w:rsidRPr="00796E2E">
        <w:rPr>
          <w:rFonts w:ascii="Tahoma" w:hAnsi="Tahoma" w:cs="Tahoma"/>
          <w:sz w:val="24"/>
          <w:szCs w:val="24"/>
        </w:rPr>
        <w:t>.</w:t>
      </w:r>
      <w:r w:rsidR="00653B58" w:rsidRPr="00796E2E">
        <w:rPr>
          <w:rFonts w:ascii="Tahoma" w:hAnsi="Tahoma" w:cs="Tahoma"/>
          <w:sz w:val="24"/>
          <w:szCs w:val="24"/>
        </w:rPr>
        <w:t>8</w:t>
      </w:r>
      <w:r w:rsidR="00096221" w:rsidRPr="00796E2E">
        <w:rPr>
          <w:rFonts w:ascii="Tahoma" w:hAnsi="Tahoma" w:cs="Tahoma"/>
          <w:sz w:val="24"/>
          <w:szCs w:val="24"/>
        </w:rPr>
        <w:t xml:space="preserve">% </w:t>
      </w:r>
      <w:r w:rsidR="00982CFF" w:rsidRPr="00796E2E">
        <w:rPr>
          <w:rFonts w:ascii="Tahoma" w:hAnsi="Tahoma" w:cs="Tahoma"/>
          <w:sz w:val="24"/>
          <w:szCs w:val="24"/>
        </w:rPr>
        <w:t>in 202</w:t>
      </w:r>
      <w:r w:rsidR="00096221" w:rsidRPr="00796E2E">
        <w:rPr>
          <w:rFonts w:ascii="Tahoma" w:hAnsi="Tahoma" w:cs="Tahoma"/>
          <w:sz w:val="24"/>
          <w:szCs w:val="24"/>
        </w:rPr>
        <w:t>4</w:t>
      </w:r>
      <w:r w:rsidR="00982CFF" w:rsidRPr="00796E2E">
        <w:rPr>
          <w:rFonts w:ascii="Tahoma" w:hAnsi="Tahoma" w:cs="Tahoma"/>
          <w:sz w:val="24"/>
          <w:szCs w:val="24"/>
        </w:rPr>
        <w:t xml:space="preserve"> from </w:t>
      </w:r>
      <w:r w:rsidR="00096221" w:rsidRPr="00796E2E">
        <w:rPr>
          <w:rFonts w:ascii="Tahoma" w:hAnsi="Tahoma" w:cs="Tahoma"/>
          <w:sz w:val="24"/>
          <w:szCs w:val="24"/>
        </w:rPr>
        <w:t>0</w:t>
      </w:r>
      <w:r w:rsidR="00982CFF" w:rsidRPr="00796E2E">
        <w:rPr>
          <w:rFonts w:ascii="Tahoma" w:hAnsi="Tahoma" w:cs="Tahoma"/>
          <w:sz w:val="24"/>
          <w:szCs w:val="24"/>
        </w:rPr>
        <w:t>.</w:t>
      </w:r>
      <w:r w:rsidR="00653B58" w:rsidRPr="00796E2E">
        <w:rPr>
          <w:rFonts w:ascii="Tahoma" w:hAnsi="Tahoma" w:cs="Tahoma"/>
          <w:sz w:val="24"/>
          <w:szCs w:val="24"/>
        </w:rPr>
        <w:t>4</w:t>
      </w:r>
      <w:r w:rsidR="00982CFF" w:rsidRPr="00796E2E">
        <w:rPr>
          <w:rFonts w:ascii="Tahoma" w:hAnsi="Tahoma" w:cs="Tahoma"/>
          <w:sz w:val="24"/>
          <w:szCs w:val="24"/>
        </w:rPr>
        <w:t>% in 202</w:t>
      </w:r>
      <w:r w:rsidR="00096221" w:rsidRPr="00796E2E">
        <w:rPr>
          <w:rFonts w:ascii="Tahoma" w:hAnsi="Tahoma" w:cs="Tahoma"/>
          <w:sz w:val="24"/>
          <w:szCs w:val="24"/>
        </w:rPr>
        <w:t>3</w:t>
      </w:r>
      <w:r w:rsidR="00982CFF" w:rsidRPr="00796E2E">
        <w:rPr>
          <w:rFonts w:ascii="Tahoma" w:hAnsi="Tahoma" w:cs="Tahoma"/>
          <w:sz w:val="24"/>
          <w:szCs w:val="24"/>
        </w:rPr>
        <w:t xml:space="preserve"> before further </w:t>
      </w:r>
      <w:r w:rsidR="00096221" w:rsidRPr="00796E2E">
        <w:rPr>
          <w:rFonts w:ascii="Tahoma" w:hAnsi="Tahoma" w:cs="Tahoma"/>
          <w:sz w:val="24"/>
          <w:szCs w:val="24"/>
        </w:rPr>
        <w:t>increas</w:t>
      </w:r>
      <w:r w:rsidR="00DC5CBE" w:rsidRPr="00796E2E">
        <w:rPr>
          <w:rFonts w:ascii="Tahoma" w:hAnsi="Tahoma" w:cs="Tahoma"/>
          <w:sz w:val="24"/>
          <w:szCs w:val="24"/>
        </w:rPr>
        <w:t>ing</w:t>
      </w:r>
      <w:r w:rsidR="00982CFF" w:rsidRPr="00796E2E">
        <w:rPr>
          <w:rFonts w:ascii="Tahoma" w:hAnsi="Tahoma" w:cs="Tahoma"/>
          <w:sz w:val="24"/>
          <w:szCs w:val="24"/>
        </w:rPr>
        <w:t xml:space="preserve"> </w:t>
      </w:r>
      <w:r w:rsidR="00DC5CBE" w:rsidRPr="00796E2E">
        <w:rPr>
          <w:rFonts w:ascii="Tahoma" w:hAnsi="Tahoma" w:cs="Tahoma"/>
          <w:sz w:val="24"/>
          <w:szCs w:val="24"/>
        </w:rPr>
        <w:t>to</w:t>
      </w:r>
      <w:r w:rsidR="00982CFF" w:rsidRPr="00796E2E">
        <w:rPr>
          <w:rFonts w:ascii="Tahoma" w:hAnsi="Tahoma" w:cs="Tahoma"/>
          <w:sz w:val="24"/>
          <w:szCs w:val="24"/>
        </w:rPr>
        <w:t xml:space="preserve"> 1.</w:t>
      </w:r>
      <w:r w:rsidR="00653B58" w:rsidRPr="00796E2E">
        <w:rPr>
          <w:rFonts w:ascii="Tahoma" w:hAnsi="Tahoma" w:cs="Tahoma"/>
          <w:sz w:val="24"/>
          <w:szCs w:val="24"/>
        </w:rPr>
        <w:t>5</w:t>
      </w:r>
      <w:r w:rsidR="00982CFF" w:rsidRPr="00796E2E">
        <w:rPr>
          <w:rFonts w:ascii="Tahoma" w:hAnsi="Tahoma" w:cs="Tahoma"/>
          <w:sz w:val="24"/>
          <w:szCs w:val="24"/>
        </w:rPr>
        <w:t>% in 202</w:t>
      </w:r>
      <w:r w:rsidR="00096221" w:rsidRPr="00796E2E">
        <w:rPr>
          <w:rFonts w:ascii="Tahoma" w:hAnsi="Tahoma" w:cs="Tahoma"/>
          <w:sz w:val="24"/>
          <w:szCs w:val="24"/>
        </w:rPr>
        <w:t>5</w:t>
      </w:r>
      <w:r w:rsidR="00E01071" w:rsidRPr="00796E2E">
        <w:rPr>
          <w:rFonts w:ascii="Tahoma" w:hAnsi="Tahoma" w:cs="Tahoma"/>
          <w:sz w:val="24"/>
          <w:szCs w:val="24"/>
        </w:rPr>
        <w:t xml:space="preserve"> while </w:t>
      </w:r>
      <w:r w:rsidR="00FB01E1" w:rsidRPr="00796E2E">
        <w:rPr>
          <w:rFonts w:ascii="Tahoma" w:hAnsi="Tahoma" w:cs="Tahoma"/>
          <w:sz w:val="24"/>
          <w:szCs w:val="24"/>
        </w:rPr>
        <w:t xml:space="preserve">the </w:t>
      </w:r>
      <w:r w:rsidR="00E01071" w:rsidRPr="00796E2E">
        <w:rPr>
          <w:rFonts w:ascii="Tahoma" w:hAnsi="Tahoma" w:cs="Tahoma"/>
          <w:sz w:val="24"/>
          <w:szCs w:val="24"/>
        </w:rPr>
        <w:t xml:space="preserve">United States economy is expected to </w:t>
      </w:r>
      <w:r w:rsidR="00653B58" w:rsidRPr="00796E2E">
        <w:rPr>
          <w:rFonts w:ascii="Tahoma" w:hAnsi="Tahoma" w:cs="Tahoma"/>
          <w:sz w:val="24"/>
          <w:szCs w:val="24"/>
        </w:rPr>
        <w:t>grow by</w:t>
      </w:r>
      <w:r w:rsidR="00E01071" w:rsidRPr="00796E2E">
        <w:rPr>
          <w:rFonts w:ascii="Tahoma" w:hAnsi="Tahoma" w:cs="Tahoma"/>
          <w:sz w:val="24"/>
          <w:szCs w:val="24"/>
        </w:rPr>
        <w:t xml:space="preserve"> 2.</w:t>
      </w:r>
      <w:r w:rsidR="00653B58" w:rsidRPr="00796E2E">
        <w:rPr>
          <w:rFonts w:ascii="Tahoma" w:hAnsi="Tahoma" w:cs="Tahoma"/>
          <w:sz w:val="24"/>
          <w:szCs w:val="24"/>
        </w:rPr>
        <w:t>7</w:t>
      </w:r>
      <w:r w:rsidR="00E01071" w:rsidRPr="00796E2E">
        <w:rPr>
          <w:rFonts w:ascii="Tahoma" w:hAnsi="Tahoma" w:cs="Tahoma"/>
          <w:sz w:val="24"/>
          <w:szCs w:val="24"/>
        </w:rPr>
        <w:t>% in 2024 from</w:t>
      </w:r>
      <w:r w:rsidR="00653B58" w:rsidRPr="00796E2E">
        <w:rPr>
          <w:rFonts w:ascii="Tahoma" w:hAnsi="Tahoma" w:cs="Tahoma"/>
          <w:sz w:val="24"/>
          <w:szCs w:val="24"/>
        </w:rPr>
        <w:t xml:space="preserve"> a growth of</w:t>
      </w:r>
      <w:r w:rsidR="00E01071" w:rsidRPr="00796E2E">
        <w:rPr>
          <w:rFonts w:ascii="Tahoma" w:hAnsi="Tahoma" w:cs="Tahoma"/>
          <w:sz w:val="24"/>
          <w:szCs w:val="24"/>
        </w:rPr>
        <w:t xml:space="preserve"> 2.5% in 2023 </w:t>
      </w:r>
      <w:r w:rsidR="00943A82" w:rsidRPr="00796E2E">
        <w:rPr>
          <w:rFonts w:ascii="Tahoma" w:hAnsi="Tahoma" w:cs="Tahoma"/>
          <w:sz w:val="24"/>
          <w:szCs w:val="24"/>
        </w:rPr>
        <w:t>the</w:t>
      </w:r>
      <w:r w:rsidR="00653B58" w:rsidRPr="00796E2E">
        <w:rPr>
          <w:rFonts w:ascii="Tahoma" w:hAnsi="Tahoma" w:cs="Tahoma"/>
          <w:sz w:val="24"/>
          <w:szCs w:val="24"/>
        </w:rPr>
        <w:t>n fall to</w:t>
      </w:r>
      <w:r w:rsidR="00E01071" w:rsidRPr="00796E2E">
        <w:rPr>
          <w:rFonts w:ascii="Tahoma" w:hAnsi="Tahoma" w:cs="Tahoma"/>
          <w:sz w:val="24"/>
          <w:szCs w:val="24"/>
        </w:rPr>
        <w:t xml:space="preserve"> 1.</w:t>
      </w:r>
      <w:r w:rsidR="00653B58" w:rsidRPr="00796E2E">
        <w:rPr>
          <w:rFonts w:ascii="Tahoma" w:hAnsi="Tahoma" w:cs="Tahoma"/>
          <w:sz w:val="24"/>
          <w:szCs w:val="24"/>
        </w:rPr>
        <w:t>9</w:t>
      </w:r>
      <w:r w:rsidR="00E01071" w:rsidRPr="00796E2E">
        <w:rPr>
          <w:rFonts w:ascii="Tahoma" w:hAnsi="Tahoma" w:cs="Tahoma"/>
          <w:sz w:val="24"/>
          <w:szCs w:val="24"/>
        </w:rPr>
        <w:t>% in 2025.</w:t>
      </w:r>
      <w:r w:rsidR="00A521E9" w:rsidRPr="00796E2E">
        <w:rPr>
          <w:rFonts w:ascii="Tahoma" w:hAnsi="Tahoma" w:cs="Tahoma"/>
          <w:sz w:val="24"/>
          <w:szCs w:val="24"/>
        </w:rPr>
        <w:t xml:space="preserve"> </w:t>
      </w:r>
    </w:p>
    <w:p w14:paraId="224CFA91" w14:textId="77777777" w:rsidR="00C73F3A" w:rsidRPr="00796E2E" w:rsidRDefault="004F680D" w:rsidP="004F680D">
      <w:pPr>
        <w:ind w:left="720" w:hanging="720"/>
        <w:jc w:val="both"/>
        <w:rPr>
          <w:rFonts w:ascii="Tahoma" w:hAnsi="Tahoma" w:cs="Tahoma"/>
          <w:sz w:val="24"/>
          <w:szCs w:val="24"/>
        </w:rPr>
      </w:pPr>
      <w:r w:rsidRPr="00796E2E">
        <w:rPr>
          <w:rFonts w:ascii="Tahoma" w:hAnsi="Tahoma" w:cs="Tahoma"/>
          <w:sz w:val="24"/>
          <w:szCs w:val="24"/>
        </w:rPr>
        <w:t>1.1.</w:t>
      </w:r>
      <w:r w:rsidR="004C677E" w:rsidRPr="00796E2E">
        <w:rPr>
          <w:rFonts w:ascii="Tahoma" w:hAnsi="Tahoma" w:cs="Tahoma"/>
          <w:sz w:val="24"/>
          <w:szCs w:val="24"/>
        </w:rPr>
        <w:t>4</w:t>
      </w:r>
      <w:r w:rsidRPr="00796E2E">
        <w:rPr>
          <w:rFonts w:ascii="Tahoma" w:hAnsi="Tahoma" w:cs="Tahoma"/>
          <w:sz w:val="24"/>
          <w:szCs w:val="24"/>
        </w:rPr>
        <w:tab/>
      </w:r>
      <w:r w:rsidR="004C677E" w:rsidRPr="00796E2E">
        <w:rPr>
          <w:rFonts w:ascii="Tahoma" w:hAnsi="Tahoma" w:cs="Tahoma"/>
          <w:sz w:val="24"/>
          <w:szCs w:val="24"/>
        </w:rPr>
        <w:t xml:space="preserve">The growth of </w:t>
      </w:r>
      <w:r w:rsidR="00FB01E1" w:rsidRPr="00796E2E">
        <w:rPr>
          <w:rFonts w:ascii="Tahoma" w:hAnsi="Tahoma" w:cs="Tahoma"/>
          <w:sz w:val="24"/>
          <w:szCs w:val="24"/>
        </w:rPr>
        <w:t>E</w:t>
      </w:r>
      <w:r w:rsidR="00C73F3A" w:rsidRPr="00796E2E">
        <w:rPr>
          <w:rFonts w:ascii="Tahoma" w:hAnsi="Tahoma" w:cs="Tahoma"/>
          <w:sz w:val="24"/>
          <w:szCs w:val="24"/>
        </w:rPr>
        <w:t xml:space="preserve">merging </w:t>
      </w:r>
      <w:r w:rsidR="00FB01E1" w:rsidRPr="00796E2E">
        <w:rPr>
          <w:rFonts w:ascii="Tahoma" w:hAnsi="Tahoma" w:cs="Tahoma"/>
          <w:sz w:val="24"/>
          <w:szCs w:val="24"/>
        </w:rPr>
        <w:t>M</w:t>
      </w:r>
      <w:r w:rsidR="00C73F3A" w:rsidRPr="00796E2E">
        <w:rPr>
          <w:rFonts w:ascii="Tahoma" w:hAnsi="Tahoma" w:cs="Tahoma"/>
          <w:sz w:val="24"/>
          <w:szCs w:val="24"/>
        </w:rPr>
        <w:t xml:space="preserve">arkets and </w:t>
      </w:r>
      <w:r w:rsidR="00FB01E1" w:rsidRPr="00796E2E">
        <w:rPr>
          <w:rFonts w:ascii="Tahoma" w:hAnsi="Tahoma" w:cs="Tahoma"/>
          <w:sz w:val="24"/>
          <w:szCs w:val="24"/>
        </w:rPr>
        <w:t>D</w:t>
      </w:r>
      <w:r w:rsidR="00C73F3A" w:rsidRPr="00796E2E">
        <w:rPr>
          <w:rFonts w:ascii="Tahoma" w:hAnsi="Tahoma" w:cs="Tahoma"/>
          <w:sz w:val="24"/>
          <w:szCs w:val="24"/>
        </w:rPr>
        <w:t xml:space="preserve">eveloping </w:t>
      </w:r>
      <w:r w:rsidR="00FB01E1" w:rsidRPr="00796E2E">
        <w:rPr>
          <w:rFonts w:ascii="Tahoma" w:hAnsi="Tahoma" w:cs="Tahoma"/>
          <w:sz w:val="24"/>
          <w:szCs w:val="24"/>
        </w:rPr>
        <w:t>E</w:t>
      </w:r>
      <w:r w:rsidR="00C73F3A" w:rsidRPr="00796E2E">
        <w:rPr>
          <w:rFonts w:ascii="Tahoma" w:hAnsi="Tahoma" w:cs="Tahoma"/>
          <w:sz w:val="24"/>
          <w:szCs w:val="24"/>
        </w:rPr>
        <w:t>conomies</w:t>
      </w:r>
      <w:r w:rsidR="002A3CAC" w:rsidRPr="00796E2E">
        <w:rPr>
          <w:rFonts w:ascii="Tahoma" w:hAnsi="Tahoma" w:cs="Tahoma"/>
          <w:sz w:val="24"/>
          <w:szCs w:val="24"/>
        </w:rPr>
        <w:t xml:space="preserve"> </w:t>
      </w:r>
      <w:r w:rsidR="004C677E" w:rsidRPr="00796E2E">
        <w:rPr>
          <w:rFonts w:ascii="Tahoma" w:hAnsi="Tahoma" w:cs="Tahoma"/>
          <w:sz w:val="24"/>
          <w:szCs w:val="24"/>
        </w:rPr>
        <w:t xml:space="preserve">has been reviewed upwards to 4.3% in 2023 from </w:t>
      </w:r>
      <w:r w:rsidR="00C73F3A" w:rsidRPr="00796E2E">
        <w:rPr>
          <w:rFonts w:ascii="Tahoma" w:hAnsi="Tahoma" w:cs="Tahoma"/>
          <w:sz w:val="24"/>
          <w:szCs w:val="24"/>
        </w:rPr>
        <w:t>4</w:t>
      </w:r>
      <w:r w:rsidR="002A3CAC" w:rsidRPr="00796E2E">
        <w:rPr>
          <w:rFonts w:ascii="Tahoma" w:hAnsi="Tahoma" w:cs="Tahoma"/>
          <w:sz w:val="24"/>
          <w:szCs w:val="24"/>
        </w:rPr>
        <w:t>.1</w:t>
      </w:r>
      <w:r w:rsidR="00C73F3A" w:rsidRPr="00796E2E">
        <w:rPr>
          <w:rFonts w:ascii="Tahoma" w:hAnsi="Tahoma" w:cs="Tahoma"/>
          <w:sz w:val="24"/>
          <w:szCs w:val="24"/>
        </w:rPr>
        <w:t>%</w:t>
      </w:r>
      <w:r w:rsidR="001C6748" w:rsidRPr="00796E2E">
        <w:rPr>
          <w:rFonts w:ascii="Tahoma" w:hAnsi="Tahoma" w:cs="Tahoma"/>
          <w:sz w:val="24"/>
          <w:szCs w:val="24"/>
        </w:rPr>
        <w:t>.</w:t>
      </w:r>
      <w:r w:rsidR="00C52811" w:rsidRPr="00796E2E">
        <w:rPr>
          <w:rFonts w:ascii="Tahoma" w:hAnsi="Tahoma" w:cs="Tahoma"/>
          <w:sz w:val="24"/>
          <w:szCs w:val="24"/>
        </w:rPr>
        <w:t xml:space="preserve"> </w:t>
      </w:r>
      <w:r w:rsidR="004C677E" w:rsidRPr="00796E2E">
        <w:rPr>
          <w:rFonts w:ascii="Tahoma" w:hAnsi="Tahoma" w:cs="Tahoma"/>
          <w:sz w:val="24"/>
          <w:szCs w:val="24"/>
        </w:rPr>
        <w:t>In terms of outlook, growth is expected to</w:t>
      </w:r>
      <w:r w:rsidR="00C52811" w:rsidRPr="00796E2E">
        <w:rPr>
          <w:rFonts w:ascii="Tahoma" w:hAnsi="Tahoma" w:cs="Tahoma"/>
          <w:sz w:val="24"/>
          <w:szCs w:val="24"/>
        </w:rPr>
        <w:t xml:space="preserve"> fall </w:t>
      </w:r>
      <w:r w:rsidR="004C677E" w:rsidRPr="00796E2E">
        <w:rPr>
          <w:rFonts w:ascii="Tahoma" w:hAnsi="Tahoma" w:cs="Tahoma"/>
          <w:sz w:val="24"/>
          <w:szCs w:val="24"/>
        </w:rPr>
        <w:lastRenderedPageBreak/>
        <w:t xml:space="preserve">to </w:t>
      </w:r>
      <w:r w:rsidR="00C52811" w:rsidRPr="00796E2E">
        <w:rPr>
          <w:rFonts w:ascii="Tahoma" w:hAnsi="Tahoma" w:cs="Tahoma"/>
          <w:sz w:val="24"/>
          <w:szCs w:val="24"/>
        </w:rPr>
        <w:t>4.2%</w:t>
      </w:r>
      <w:r w:rsidR="00C73F3A" w:rsidRPr="00796E2E">
        <w:rPr>
          <w:rFonts w:ascii="Tahoma" w:hAnsi="Tahoma" w:cs="Tahoma"/>
          <w:sz w:val="24"/>
          <w:szCs w:val="24"/>
        </w:rPr>
        <w:t xml:space="preserve"> </w:t>
      </w:r>
      <w:r w:rsidR="00C52811" w:rsidRPr="00796E2E">
        <w:rPr>
          <w:rFonts w:ascii="Tahoma" w:hAnsi="Tahoma" w:cs="Tahoma"/>
          <w:sz w:val="24"/>
          <w:szCs w:val="24"/>
        </w:rPr>
        <w:t>and maintain that growth in 2025</w:t>
      </w:r>
      <w:r w:rsidR="00C73F3A" w:rsidRPr="00796E2E">
        <w:rPr>
          <w:rFonts w:ascii="Tahoma" w:hAnsi="Tahoma" w:cs="Tahoma"/>
          <w:sz w:val="24"/>
          <w:szCs w:val="24"/>
        </w:rPr>
        <w:t xml:space="preserve">. </w:t>
      </w:r>
      <w:r w:rsidR="004C677E" w:rsidRPr="00796E2E">
        <w:rPr>
          <w:rFonts w:ascii="Tahoma" w:hAnsi="Tahoma" w:cs="Tahoma"/>
          <w:sz w:val="24"/>
          <w:szCs w:val="24"/>
        </w:rPr>
        <w:t xml:space="preserve">The is mainly attributed to slow down in </w:t>
      </w:r>
      <w:r w:rsidR="00C73F3A" w:rsidRPr="00796E2E">
        <w:rPr>
          <w:rFonts w:ascii="Tahoma" w:hAnsi="Tahoma" w:cs="Tahoma"/>
          <w:sz w:val="24"/>
          <w:szCs w:val="24"/>
        </w:rPr>
        <w:t xml:space="preserve">China’s growth </w:t>
      </w:r>
      <w:r w:rsidR="004C677E" w:rsidRPr="00796E2E">
        <w:rPr>
          <w:rFonts w:ascii="Tahoma" w:hAnsi="Tahoma" w:cs="Tahoma"/>
          <w:sz w:val="24"/>
          <w:szCs w:val="24"/>
        </w:rPr>
        <w:t>from</w:t>
      </w:r>
      <w:r w:rsidR="00621AD9" w:rsidRPr="00796E2E">
        <w:rPr>
          <w:rFonts w:ascii="Tahoma" w:hAnsi="Tahoma" w:cs="Tahoma"/>
          <w:sz w:val="24"/>
          <w:szCs w:val="24"/>
        </w:rPr>
        <w:t xml:space="preserve"> 5.2% in 2023 </w:t>
      </w:r>
      <w:r w:rsidR="00C73F3A" w:rsidRPr="00796E2E">
        <w:rPr>
          <w:rFonts w:ascii="Tahoma" w:hAnsi="Tahoma" w:cs="Tahoma"/>
          <w:sz w:val="24"/>
          <w:szCs w:val="24"/>
        </w:rPr>
        <w:t xml:space="preserve">to </w:t>
      </w:r>
      <w:r w:rsidR="002A3CAC" w:rsidRPr="00796E2E">
        <w:rPr>
          <w:rFonts w:ascii="Tahoma" w:hAnsi="Tahoma" w:cs="Tahoma"/>
          <w:sz w:val="24"/>
          <w:szCs w:val="24"/>
        </w:rPr>
        <w:t>4.6</w:t>
      </w:r>
      <w:r w:rsidR="00C73F3A" w:rsidRPr="00796E2E">
        <w:rPr>
          <w:rFonts w:ascii="Tahoma" w:hAnsi="Tahoma" w:cs="Tahoma"/>
          <w:sz w:val="24"/>
          <w:szCs w:val="24"/>
        </w:rPr>
        <w:t>% in 2024</w:t>
      </w:r>
      <w:r w:rsidR="002A3CAC" w:rsidRPr="00796E2E">
        <w:rPr>
          <w:rFonts w:ascii="Tahoma" w:hAnsi="Tahoma" w:cs="Tahoma"/>
          <w:sz w:val="24"/>
          <w:szCs w:val="24"/>
        </w:rPr>
        <w:t xml:space="preserve"> and fu</w:t>
      </w:r>
      <w:r w:rsidR="00FE7889" w:rsidRPr="00796E2E">
        <w:rPr>
          <w:rFonts w:ascii="Tahoma" w:hAnsi="Tahoma" w:cs="Tahoma"/>
          <w:sz w:val="24"/>
          <w:szCs w:val="24"/>
        </w:rPr>
        <w:t>rther</w:t>
      </w:r>
      <w:r w:rsidR="002A3CAC" w:rsidRPr="00796E2E">
        <w:rPr>
          <w:rFonts w:ascii="Tahoma" w:hAnsi="Tahoma" w:cs="Tahoma"/>
          <w:sz w:val="24"/>
          <w:szCs w:val="24"/>
        </w:rPr>
        <w:t xml:space="preserve"> decline to 4.1</w:t>
      </w:r>
      <w:r w:rsidR="00FE7889" w:rsidRPr="00796E2E">
        <w:rPr>
          <w:rFonts w:ascii="Tahoma" w:hAnsi="Tahoma" w:cs="Tahoma"/>
          <w:sz w:val="24"/>
          <w:szCs w:val="24"/>
        </w:rPr>
        <w:t>%</w:t>
      </w:r>
      <w:r w:rsidR="002A3CAC" w:rsidRPr="00796E2E">
        <w:rPr>
          <w:rFonts w:ascii="Tahoma" w:hAnsi="Tahoma" w:cs="Tahoma"/>
          <w:sz w:val="24"/>
          <w:szCs w:val="24"/>
        </w:rPr>
        <w:t xml:space="preserve"> in 2025. </w:t>
      </w:r>
      <w:r w:rsidR="00FE7889" w:rsidRPr="00796E2E">
        <w:rPr>
          <w:rFonts w:ascii="Tahoma" w:hAnsi="Tahoma" w:cs="Tahoma"/>
          <w:sz w:val="24"/>
          <w:szCs w:val="24"/>
        </w:rPr>
        <w:t xml:space="preserve">In the same vein, </w:t>
      </w:r>
      <w:r w:rsidR="002A3CAC" w:rsidRPr="00796E2E">
        <w:rPr>
          <w:rFonts w:ascii="Tahoma" w:hAnsi="Tahoma" w:cs="Tahoma"/>
          <w:sz w:val="24"/>
          <w:szCs w:val="24"/>
        </w:rPr>
        <w:t xml:space="preserve">India’s growth </w:t>
      </w:r>
      <w:r w:rsidR="00FE7889" w:rsidRPr="00796E2E">
        <w:rPr>
          <w:rFonts w:ascii="Tahoma" w:hAnsi="Tahoma" w:cs="Tahoma"/>
          <w:sz w:val="24"/>
          <w:szCs w:val="24"/>
        </w:rPr>
        <w:t>is expected to decline from</w:t>
      </w:r>
      <w:r w:rsidR="00621AD9" w:rsidRPr="00796E2E">
        <w:rPr>
          <w:rFonts w:ascii="Tahoma" w:hAnsi="Tahoma" w:cs="Tahoma"/>
          <w:sz w:val="24"/>
          <w:szCs w:val="24"/>
        </w:rPr>
        <w:t xml:space="preserve"> 7.8% in 2023 to</w:t>
      </w:r>
      <w:r w:rsidR="002A3CAC" w:rsidRPr="00796E2E">
        <w:rPr>
          <w:rFonts w:ascii="Tahoma" w:hAnsi="Tahoma" w:cs="Tahoma"/>
          <w:sz w:val="24"/>
          <w:szCs w:val="24"/>
        </w:rPr>
        <w:t xml:space="preserve"> 6.</w:t>
      </w:r>
      <w:r w:rsidR="00621AD9" w:rsidRPr="00796E2E">
        <w:rPr>
          <w:rFonts w:ascii="Tahoma" w:hAnsi="Tahoma" w:cs="Tahoma"/>
          <w:sz w:val="24"/>
          <w:szCs w:val="24"/>
        </w:rPr>
        <w:t>8</w:t>
      </w:r>
      <w:r w:rsidR="002A3CAC" w:rsidRPr="00796E2E">
        <w:rPr>
          <w:rFonts w:ascii="Tahoma" w:hAnsi="Tahoma" w:cs="Tahoma"/>
          <w:sz w:val="24"/>
          <w:szCs w:val="24"/>
        </w:rPr>
        <w:t>% in 202</w:t>
      </w:r>
      <w:r w:rsidR="00621AD9" w:rsidRPr="00796E2E">
        <w:rPr>
          <w:rFonts w:ascii="Tahoma" w:hAnsi="Tahoma" w:cs="Tahoma"/>
          <w:sz w:val="24"/>
          <w:szCs w:val="24"/>
        </w:rPr>
        <w:t>4</w:t>
      </w:r>
      <w:r w:rsidR="002A3CAC" w:rsidRPr="00796E2E">
        <w:rPr>
          <w:rFonts w:ascii="Tahoma" w:hAnsi="Tahoma" w:cs="Tahoma"/>
          <w:sz w:val="24"/>
          <w:szCs w:val="24"/>
        </w:rPr>
        <w:t xml:space="preserve"> and </w:t>
      </w:r>
      <w:r w:rsidR="00621AD9" w:rsidRPr="00796E2E">
        <w:rPr>
          <w:rFonts w:ascii="Tahoma" w:hAnsi="Tahoma" w:cs="Tahoma"/>
          <w:sz w:val="24"/>
          <w:szCs w:val="24"/>
        </w:rPr>
        <w:t>6.5</w:t>
      </w:r>
      <w:r w:rsidR="00FE7889" w:rsidRPr="00796E2E">
        <w:rPr>
          <w:rFonts w:ascii="Tahoma" w:hAnsi="Tahoma" w:cs="Tahoma"/>
          <w:sz w:val="24"/>
          <w:szCs w:val="24"/>
        </w:rPr>
        <w:t>%</w:t>
      </w:r>
      <w:r w:rsidR="00621AD9" w:rsidRPr="00796E2E">
        <w:rPr>
          <w:rFonts w:ascii="Tahoma" w:hAnsi="Tahoma" w:cs="Tahoma"/>
          <w:sz w:val="24"/>
          <w:szCs w:val="24"/>
        </w:rPr>
        <w:t xml:space="preserve"> in </w:t>
      </w:r>
      <w:r w:rsidR="002A3CAC" w:rsidRPr="00796E2E">
        <w:rPr>
          <w:rFonts w:ascii="Tahoma" w:hAnsi="Tahoma" w:cs="Tahoma"/>
          <w:sz w:val="24"/>
          <w:szCs w:val="24"/>
        </w:rPr>
        <w:t>2025.</w:t>
      </w:r>
    </w:p>
    <w:p w14:paraId="7E3557E6" w14:textId="77777777" w:rsidR="00C73F3A" w:rsidRPr="00796E2E" w:rsidRDefault="004F680D" w:rsidP="004F680D">
      <w:pPr>
        <w:ind w:left="720" w:hanging="720"/>
        <w:jc w:val="both"/>
        <w:rPr>
          <w:rFonts w:ascii="Tahoma" w:hAnsi="Tahoma" w:cs="Tahoma"/>
          <w:sz w:val="24"/>
          <w:szCs w:val="24"/>
        </w:rPr>
      </w:pPr>
      <w:r w:rsidRPr="00796E2E">
        <w:rPr>
          <w:rFonts w:ascii="Tahoma" w:hAnsi="Tahoma" w:cs="Tahoma"/>
          <w:sz w:val="24"/>
          <w:szCs w:val="24"/>
        </w:rPr>
        <w:t>1.1.</w:t>
      </w:r>
      <w:r w:rsidR="00FE7889" w:rsidRPr="00796E2E">
        <w:rPr>
          <w:rFonts w:ascii="Tahoma" w:hAnsi="Tahoma" w:cs="Tahoma"/>
          <w:sz w:val="24"/>
          <w:szCs w:val="24"/>
        </w:rPr>
        <w:t>5</w:t>
      </w:r>
      <w:r w:rsidRPr="00796E2E">
        <w:rPr>
          <w:rFonts w:ascii="Tahoma" w:hAnsi="Tahoma" w:cs="Tahoma"/>
          <w:sz w:val="24"/>
          <w:szCs w:val="24"/>
        </w:rPr>
        <w:tab/>
      </w:r>
      <w:r w:rsidR="00FE7889" w:rsidRPr="00796E2E">
        <w:rPr>
          <w:rFonts w:ascii="Tahoma" w:hAnsi="Tahoma" w:cs="Tahoma"/>
          <w:sz w:val="24"/>
          <w:szCs w:val="24"/>
        </w:rPr>
        <w:t xml:space="preserve">The </w:t>
      </w:r>
      <w:r w:rsidR="00BB6E27" w:rsidRPr="00796E2E">
        <w:rPr>
          <w:rFonts w:ascii="Tahoma" w:hAnsi="Tahoma" w:cs="Tahoma"/>
          <w:sz w:val="24"/>
          <w:szCs w:val="24"/>
        </w:rPr>
        <w:t>Sub-Saharan Africa (SSA)</w:t>
      </w:r>
      <w:r w:rsidR="00FE7889" w:rsidRPr="00796E2E">
        <w:rPr>
          <w:rFonts w:ascii="Tahoma" w:hAnsi="Tahoma" w:cs="Tahoma"/>
          <w:sz w:val="24"/>
          <w:szCs w:val="24"/>
        </w:rPr>
        <w:t xml:space="preserve"> is expected to</w:t>
      </w:r>
      <w:r w:rsidR="00BB6E27" w:rsidRPr="00796E2E">
        <w:rPr>
          <w:rFonts w:ascii="Tahoma" w:hAnsi="Tahoma" w:cs="Tahoma"/>
          <w:sz w:val="24"/>
          <w:szCs w:val="24"/>
        </w:rPr>
        <w:t xml:space="preserve"> </w:t>
      </w:r>
      <w:r w:rsidR="00FE7889" w:rsidRPr="00796E2E">
        <w:rPr>
          <w:rFonts w:ascii="Tahoma" w:hAnsi="Tahoma" w:cs="Tahoma"/>
          <w:sz w:val="24"/>
          <w:szCs w:val="24"/>
        </w:rPr>
        <w:t>pick up from</w:t>
      </w:r>
      <w:r w:rsidR="00115C8C" w:rsidRPr="00796E2E">
        <w:rPr>
          <w:rFonts w:ascii="Tahoma" w:hAnsi="Tahoma" w:cs="Tahoma"/>
          <w:sz w:val="24"/>
          <w:szCs w:val="24"/>
        </w:rPr>
        <w:t xml:space="preserve"> 3.4% in 2023</w:t>
      </w:r>
      <w:r w:rsidR="00BB6E27" w:rsidRPr="00796E2E">
        <w:rPr>
          <w:rFonts w:ascii="Tahoma" w:hAnsi="Tahoma" w:cs="Tahoma"/>
          <w:sz w:val="24"/>
          <w:szCs w:val="24"/>
        </w:rPr>
        <w:t xml:space="preserve"> </w:t>
      </w:r>
      <w:r w:rsidR="00115C8C" w:rsidRPr="00796E2E">
        <w:rPr>
          <w:rFonts w:ascii="Tahoma" w:hAnsi="Tahoma" w:cs="Tahoma"/>
          <w:sz w:val="24"/>
          <w:szCs w:val="24"/>
        </w:rPr>
        <w:t>to</w:t>
      </w:r>
      <w:r w:rsidR="00BB6E27" w:rsidRPr="00796E2E">
        <w:rPr>
          <w:rFonts w:ascii="Tahoma" w:hAnsi="Tahoma" w:cs="Tahoma"/>
          <w:sz w:val="24"/>
          <w:szCs w:val="24"/>
        </w:rPr>
        <w:t xml:space="preserve"> 3.</w:t>
      </w:r>
      <w:r w:rsidR="00115C8C" w:rsidRPr="00796E2E">
        <w:rPr>
          <w:rFonts w:ascii="Tahoma" w:hAnsi="Tahoma" w:cs="Tahoma"/>
          <w:sz w:val="24"/>
          <w:szCs w:val="24"/>
        </w:rPr>
        <w:t>8</w:t>
      </w:r>
      <w:r w:rsidR="00BB6E27" w:rsidRPr="00796E2E">
        <w:rPr>
          <w:rFonts w:ascii="Tahoma" w:hAnsi="Tahoma" w:cs="Tahoma"/>
          <w:sz w:val="24"/>
          <w:szCs w:val="24"/>
        </w:rPr>
        <w:t>%</w:t>
      </w:r>
      <w:r w:rsidR="009F6F2D" w:rsidRPr="00796E2E">
        <w:rPr>
          <w:rFonts w:ascii="Tahoma" w:hAnsi="Tahoma" w:cs="Tahoma"/>
          <w:sz w:val="24"/>
          <w:szCs w:val="24"/>
        </w:rPr>
        <w:t xml:space="preserve"> in 202</w:t>
      </w:r>
      <w:r w:rsidR="00115C8C" w:rsidRPr="00796E2E">
        <w:rPr>
          <w:rFonts w:ascii="Tahoma" w:hAnsi="Tahoma" w:cs="Tahoma"/>
          <w:sz w:val="24"/>
          <w:szCs w:val="24"/>
        </w:rPr>
        <w:t>4</w:t>
      </w:r>
      <w:r w:rsidR="009F6F2D" w:rsidRPr="00796E2E">
        <w:rPr>
          <w:rFonts w:ascii="Tahoma" w:hAnsi="Tahoma" w:cs="Tahoma"/>
          <w:sz w:val="24"/>
          <w:szCs w:val="24"/>
        </w:rPr>
        <w:t xml:space="preserve"> and</w:t>
      </w:r>
      <w:r w:rsidR="00115C8C" w:rsidRPr="00796E2E">
        <w:rPr>
          <w:rFonts w:ascii="Tahoma" w:hAnsi="Tahoma" w:cs="Tahoma"/>
          <w:sz w:val="24"/>
          <w:szCs w:val="24"/>
        </w:rPr>
        <w:t xml:space="preserve"> further to </w:t>
      </w:r>
      <w:r w:rsidR="009F6F2D" w:rsidRPr="00796E2E">
        <w:rPr>
          <w:rFonts w:ascii="Tahoma" w:hAnsi="Tahoma" w:cs="Tahoma"/>
          <w:sz w:val="24"/>
          <w:szCs w:val="24"/>
        </w:rPr>
        <w:t>4%</w:t>
      </w:r>
      <w:r w:rsidR="00BB6E27" w:rsidRPr="00796E2E">
        <w:rPr>
          <w:rFonts w:ascii="Tahoma" w:hAnsi="Tahoma" w:cs="Tahoma"/>
          <w:sz w:val="24"/>
          <w:szCs w:val="24"/>
        </w:rPr>
        <w:t xml:space="preserve"> in 202</w:t>
      </w:r>
      <w:r w:rsidR="00115C8C" w:rsidRPr="00796E2E">
        <w:rPr>
          <w:rFonts w:ascii="Tahoma" w:hAnsi="Tahoma" w:cs="Tahoma"/>
          <w:sz w:val="24"/>
          <w:szCs w:val="24"/>
        </w:rPr>
        <w:t>5</w:t>
      </w:r>
      <w:r w:rsidR="009F6F2D" w:rsidRPr="00796E2E">
        <w:rPr>
          <w:rFonts w:ascii="Tahoma" w:hAnsi="Tahoma" w:cs="Tahoma"/>
          <w:sz w:val="24"/>
          <w:szCs w:val="24"/>
        </w:rPr>
        <w:t>.</w:t>
      </w:r>
      <w:r w:rsidR="00BB6E27" w:rsidRPr="00796E2E">
        <w:rPr>
          <w:rFonts w:ascii="Tahoma" w:hAnsi="Tahoma" w:cs="Tahoma"/>
          <w:sz w:val="24"/>
          <w:szCs w:val="24"/>
        </w:rPr>
        <w:t xml:space="preserve"> </w:t>
      </w:r>
      <w:r w:rsidR="00FE7889" w:rsidRPr="00796E2E">
        <w:rPr>
          <w:rFonts w:ascii="Tahoma" w:hAnsi="Tahoma" w:cs="Tahoma"/>
          <w:sz w:val="24"/>
          <w:szCs w:val="24"/>
        </w:rPr>
        <w:t xml:space="preserve">This is on the back of expected increased economic activity in </w:t>
      </w:r>
      <w:r w:rsidR="00BB6E27" w:rsidRPr="00796E2E">
        <w:rPr>
          <w:rFonts w:ascii="Tahoma" w:hAnsi="Tahoma" w:cs="Tahoma"/>
          <w:sz w:val="24"/>
          <w:szCs w:val="24"/>
        </w:rPr>
        <w:t>Nigeria</w:t>
      </w:r>
      <w:r w:rsidR="00FE7889" w:rsidRPr="00796E2E">
        <w:rPr>
          <w:rFonts w:ascii="Tahoma" w:hAnsi="Tahoma" w:cs="Tahoma"/>
          <w:sz w:val="24"/>
          <w:szCs w:val="24"/>
        </w:rPr>
        <w:t xml:space="preserve"> and South Africa. </w:t>
      </w:r>
      <w:r w:rsidR="00D93E18" w:rsidRPr="00796E2E">
        <w:rPr>
          <w:rFonts w:ascii="Tahoma" w:hAnsi="Tahoma" w:cs="Tahoma"/>
          <w:sz w:val="24"/>
          <w:szCs w:val="24"/>
        </w:rPr>
        <w:t xml:space="preserve"> </w:t>
      </w:r>
    </w:p>
    <w:p w14:paraId="5F7A20D8" w14:textId="77777777" w:rsidR="007A3E1D" w:rsidRPr="00796E2E" w:rsidRDefault="004F680D" w:rsidP="00BC5A90">
      <w:pPr>
        <w:pStyle w:val="Heading2"/>
        <w:spacing w:before="0" w:after="240" w:line="240" w:lineRule="auto"/>
        <w:rPr>
          <w:rFonts w:cs="Tahoma"/>
          <w:b/>
          <w:color w:val="000000"/>
          <w:szCs w:val="24"/>
        </w:rPr>
      </w:pPr>
      <w:bookmarkStart w:id="10" w:name="_Toc166607891"/>
      <w:bookmarkStart w:id="11" w:name="_Toc168317166"/>
      <w:r w:rsidRPr="00796E2E">
        <w:rPr>
          <w:rFonts w:cs="Tahoma"/>
          <w:b/>
          <w:color w:val="000000"/>
          <w:szCs w:val="24"/>
        </w:rPr>
        <w:t>1.2</w:t>
      </w:r>
      <w:r w:rsidRPr="00796E2E">
        <w:rPr>
          <w:rFonts w:cs="Tahoma"/>
          <w:b/>
          <w:color w:val="000000"/>
          <w:szCs w:val="24"/>
        </w:rPr>
        <w:tab/>
      </w:r>
      <w:r w:rsidR="007A3E1D" w:rsidRPr="00796E2E">
        <w:rPr>
          <w:rFonts w:cs="Tahoma"/>
          <w:b/>
          <w:color w:val="000000"/>
          <w:szCs w:val="24"/>
        </w:rPr>
        <w:t>Global Inflation Developments</w:t>
      </w:r>
      <w:bookmarkEnd w:id="10"/>
      <w:bookmarkEnd w:id="11"/>
      <w:r w:rsidR="007A3E1D" w:rsidRPr="00796E2E">
        <w:rPr>
          <w:rFonts w:cs="Tahoma"/>
          <w:b/>
          <w:color w:val="000000"/>
          <w:szCs w:val="24"/>
        </w:rPr>
        <w:t xml:space="preserve"> </w:t>
      </w:r>
    </w:p>
    <w:p w14:paraId="6B4AD5E8" w14:textId="77777777" w:rsidR="006A6773" w:rsidRPr="00796E2E" w:rsidRDefault="004F680D" w:rsidP="00BC5A90">
      <w:pPr>
        <w:ind w:left="720" w:hanging="720"/>
        <w:jc w:val="both"/>
        <w:rPr>
          <w:rFonts w:ascii="Tahoma" w:hAnsi="Tahoma" w:cs="Tahoma"/>
          <w:sz w:val="24"/>
          <w:szCs w:val="24"/>
        </w:rPr>
      </w:pPr>
      <w:r w:rsidRPr="00796E2E">
        <w:rPr>
          <w:rFonts w:ascii="Tahoma" w:hAnsi="Tahoma" w:cs="Tahoma"/>
          <w:sz w:val="24"/>
          <w:szCs w:val="24"/>
        </w:rPr>
        <w:t>1.2.1</w:t>
      </w:r>
      <w:r w:rsidRPr="00796E2E">
        <w:rPr>
          <w:rFonts w:ascii="Tahoma" w:hAnsi="Tahoma" w:cs="Tahoma"/>
          <w:sz w:val="24"/>
          <w:szCs w:val="24"/>
        </w:rPr>
        <w:tab/>
      </w:r>
      <w:r w:rsidR="006A6773" w:rsidRPr="00796E2E">
        <w:rPr>
          <w:rFonts w:ascii="Tahoma" w:hAnsi="Tahoma" w:cs="Tahoma"/>
          <w:sz w:val="24"/>
          <w:szCs w:val="24"/>
        </w:rPr>
        <w:t xml:space="preserve">Global inflation is expected to slow down </w:t>
      </w:r>
      <w:r w:rsidR="00DC7FB3" w:rsidRPr="00796E2E">
        <w:rPr>
          <w:rFonts w:ascii="Tahoma" w:hAnsi="Tahoma" w:cs="Tahoma"/>
          <w:sz w:val="24"/>
          <w:szCs w:val="24"/>
        </w:rPr>
        <w:t>from</w:t>
      </w:r>
      <w:r w:rsidR="006A6773" w:rsidRPr="00796E2E">
        <w:rPr>
          <w:rFonts w:ascii="Tahoma" w:hAnsi="Tahoma" w:cs="Tahoma"/>
          <w:sz w:val="24"/>
          <w:szCs w:val="24"/>
        </w:rPr>
        <w:t xml:space="preserve"> </w:t>
      </w:r>
      <w:r w:rsidR="00DC7FB3" w:rsidRPr="00796E2E">
        <w:rPr>
          <w:rFonts w:ascii="Tahoma" w:hAnsi="Tahoma" w:cs="Tahoma"/>
          <w:sz w:val="24"/>
          <w:szCs w:val="24"/>
        </w:rPr>
        <w:t>6</w:t>
      </w:r>
      <w:r w:rsidR="005632D6" w:rsidRPr="00796E2E">
        <w:rPr>
          <w:rFonts w:ascii="Tahoma" w:hAnsi="Tahoma" w:cs="Tahoma"/>
          <w:sz w:val="24"/>
          <w:szCs w:val="24"/>
        </w:rPr>
        <w:t>.8</w:t>
      </w:r>
      <w:r w:rsidR="006A6773" w:rsidRPr="00796E2E">
        <w:rPr>
          <w:rFonts w:ascii="Tahoma" w:hAnsi="Tahoma" w:cs="Tahoma"/>
          <w:sz w:val="24"/>
          <w:szCs w:val="24"/>
        </w:rPr>
        <w:t>% in 202</w:t>
      </w:r>
      <w:r w:rsidR="00DC7FB3" w:rsidRPr="00796E2E">
        <w:rPr>
          <w:rFonts w:ascii="Tahoma" w:hAnsi="Tahoma" w:cs="Tahoma"/>
          <w:sz w:val="24"/>
          <w:szCs w:val="24"/>
        </w:rPr>
        <w:t>3 to 5.9% in 2024 and</w:t>
      </w:r>
      <w:r w:rsidR="00AA284A" w:rsidRPr="00796E2E">
        <w:rPr>
          <w:rFonts w:ascii="Tahoma" w:hAnsi="Tahoma" w:cs="Tahoma"/>
          <w:sz w:val="24"/>
          <w:szCs w:val="24"/>
        </w:rPr>
        <w:t xml:space="preserve"> </w:t>
      </w:r>
      <w:r w:rsidR="005632D6" w:rsidRPr="00796E2E">
        <w:rPr>
          <w:rFonts w:ascii="Tahoma" w:hAnsi="Tahoma" w:cs="Tahoma"/>
          <w:sz w:val="24"/>
          <w:szCs w:val="24"/>
        </w:rPr>
        <w:t>further decline to 4.</w:t>
      </w:r>
      <w:r w:rsidR="00DC7FB3" w:rsidRPr="00796E2E">
        <w:rPr>
          <w:rFonts w:ascii="Tahoma" w:hAnsi="Tahoma" w:cs="Tahoma"/>
          <w:sz w:val="24"/>
          <w:szCs w:val="24"/>
        </w:rPr>
        <w:t>5</w:t>
      </w:r>
      <w:r w:rsidR="005632D6" w:rsidRPr="00796E2E">
        <w:rPr>
          <w:rFonts w:ascii="Tahoma" w:hAnsi="Tahoma" w:cs="Tahoma"/>
          <w:sz w:val="24"/>
          <w:szCs w:val="24"/>
        </w:rPr>
        <w:t>% in 2025</w:t>
      </w:r>
      <w:r w:rsidR="006A6773" w:rsidRPr="00796E2E">
        <w:rPr>
          <w:rFonts w:ascii="Tahoma" w:hAnsi="Tahoma" w:cs="Tahoma"/>
          <w:sz w:val="24"/>
          <w:szCs w:val="24"/>
        </w:rPr>
        <w:t xml:space="preserve">, according to the IMF </w:t>
      </w:r>
      <w:r w:rsidR="00796E2E" w:rsidRPr="00796E2E">
        <w:rPr>
          <w:rFonts w:ascii="Tahoma" w:hAnsi="Tahoma" w:cs="Tahoma"/>
          <w:sz w:val="24"/>
          <w:szCs w:val="24"/>
        </w:rPr>
        <w:t>WEO</w:t>
      </w:r>
      <w:r w:rsidR="006A6773" w:rsidRPr="00796E2E">
        <w:rPr>
          <w:rFonts w:ascii="Tahoma" w:hAnsi="Tahoma" w:cs="Tahoma"/>
          <w:sz w:val="24"/>
          <w:szCs w:val="24"/>
        </w:rPr>
        <w:t xml:space="preserve"> Update for </w:t>
      </w:r>
      <w:r w:rsidR="00DC7FB3" w:rsidRPr="00796E2E">
        <w:rPr>
          <w:rFonts w:ascii="Tahoma" w:hAnsi="Tahoma" w:cs="Tahoma"/>
          <w:sz w:val="24"/>
          <w:szCs w:val="24"/>
        </w:rPr>
        <w:t>April</w:t>
      </w:r>
      <w:r w:rsidR="006A6773" w:rsidRPr="00796E2E">
        <w:rPr>
          <w:rFonts w:ascii="Tahoma" w:hAnsi="Tahoma" w:cs="Tahoma"/>
          <w:sz w:val="24"/>
          <w:szCs w:val="24"/>
        </w:rPr>
        <w:t xml:space="preserve"> 202</w:t>
      </w:r>
      <w:r w:rsidR="005632D6" w:rsidRPr="00796E2E">
        <w:rPr>
          <w:rFonts w:ascii="Tahoma" w:hAnsi="Tahoma" w:cs="Tahoma"/>
          <w:sz w:val="24"/>
          <w:szCs w:val="24"/>
        </w:rPr>
        <w:t>4</w:t>
      </w:r>
      <w:r w:rsidR="00FB01E1" w:rsidRPr="00796E2E">
        <w:rPr>
          <w:rFonts w:ascii="Tahoma" w:hAnsi="Tahoma" w:cs="Tahoma"/>
          <w:sz w:val="24"/>
          <w:szCs w:val="24"/>
        </w:rPr>
        <w:t>, as shown in</w:t>
      </w:r>
      <w:r w:rsidRPr="00796E2E">
        <w:rPr>
          <w:rFonts w:ascii="Tahoma" w:hAnsi="Tahoma" w:cs="Tahoma"/>
          <w:sz w:val="24"/>
          <w:szCs w:val="24"/>
        </w:rPr>
        <w:t xml:space="preserve"> Figure 1</w:t>
      </w:r>
      <w:r w:rsidR="006A6773" w:rsidRPr="00796E2E">
        <w:rPr>
          <w:rFonts w:ascii="Tahoma" w:hAnsi="Tahoma" w:cs="Tahoma"/>
          <w:sz w:val="24"/>
          <w:szCs w:val="24"/>
        </w:rPr>
        <w:t xml:space="preserve">. </w:t>
      </w:r>
    </w:p>
    <w:p w14:paraId="30FD2483" w14:textId="77777777" w:rsidR="00BC5A90" w:rsidRPr="00796E2E" w:rsidRDefault="00BC5A90" w:rsidP="0001510C">
      <w:pPr>
        <w:pStyle w:val="ListofFigures"/>
        <w:rPr>
          <w:noProof w:val="0"/>
        </w:rPr>
      </w:pPr>
      <w:bookmarkStart w:id="12" w:name="_Toc166608987"/>
      <w:bookmarkStart w:id="13" w:name="_Toc168306920"/>
      <w:bookmarkStart w:id="14" w:name="_Toc168317336"/>
      <w:r w:rsidRPr="00796E2E">
        <w:rPr>
          <w:noProof w:val="0"/>
        </w:rPr>
        <w:t xml:space="preserve">Figure </w:t>
      </w:r>
      <w:r w:rsidRPr="00796E2E">
        <w:rPr>
          <w:noProof w:val="0"/>
        </w:rPr>
        <w:fldChar w:fldCharType="begin"/>
      </w:r>
      <w:r w:rsidRPr="00796E2E">
        <w:rPr>
          <w:noProof w:val="0"/>
        </w:rPr>
        <w:instrText xml:space="preserve"> SEQ Figure \* ARABIC </w:instrText>
      </w:r>
      <w:r w:rsidRPr="00796E2E">
        <w:rPr>
          <w:noProof w:val="0"/>
        </w:rPr>
        <w:fldChar w:fldCharType="separate"/>
      </w:r>
      <w:r w:rsidR="0080107D">
        <w:t>1</w:t>
      </w:r>
      <w:r w:rsidRPr="00796E2E">
        <w:rPr>
          <w:noProof w:val="0"/>
        </w:rPr>
        <w:fldChar w:fldCharType="end"/>
      </w:r>
      <w:r w:rsidRPr="00796E2E">
        <w:rPr>
          <w:noProof w:val="0"/>
        </w:rPr>
        <w:t>: Global Inflation Prospects</w:t>
      </w:r>
      <w:bookmarkEnd w:id="12"/>
      <w:bookmarkEnd w:id="13"/>
      <w:bookmarkEnd w:id="14"/>
    </w:p>
    <w:p w14:paraId="7A6E798C" w14:textId="035AC76C" w:rsidR="007A3E1D" w:rsidRPr="00796E2E" w:rsidRDefault="00C64199" w:rsidP="00796E2E">
      <w:pPr>
        <w:spacing w:after="0"/>
        <w:rPr>
          <w:rFonts w:ascii="Tahoma" w:hAnsi="Tahoma" w:cs="Tahoma"/>
          <w:sz w:val="24"/>
          <w:szCs w:val="24"/>
        </w:rPr>
      </w:pPr>
      <w:r>
        <w:rPr>
          <w:noProof/>
        </w:rPr>
        <mc:AlternateContent>
          <mc:Choice Requires="wps">
            <w:drawing>
              <wp:anchor distT="0" distB="0" distL="114300" distR="114300" simplePos="0" relativeHeight="251657216" behindDoc="0" locked="0" layoutInCell="1" allowOverlap="1" wp14:anchorId="797F8447" wp14:editId="285C98B3">
                <wp:simplePos x="0" y="0"/>
                <wp:positionH relativeFrom="column">
                  <wp:posOffset>4613910</wp:posOffset>
                </wp:positionH>
                <wp:positionV relativeFrom="paragraph">
                  <wp:posOffset>480695</wp:posOffset>
                </wp:positionV>
                <wp:extent cx="1819275" cy="1495425"/>
                <wp:effectExtent l="0" t="0" r="9525" b="9525"/>
                <wp:wrapNone/>
                <wp:docPr id="1162447574"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9275" cy="1495425"/>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40625E90" w14:textId="77777777" w:rsidR="00022BFE" w:rsidRPr="00796E2E" w:rsidRDefault="00022BFE" w:rsidP="00796E2E">
                            <w:pPr>
                              <w:jc w:val="center"/>
                              <w:rPr>
                                <w:rFonts w:ascii="Tahoma" w:hAnsi="Tahoma" w:cs="Tahoma"/>
                                <w:sz w:val="26"/>
                                <w:szCs w:val="26"/>
                              </w:rPr>
                            </w:pPr>
                            <w:r w:rsidRPr="00796E2E">
                              <w:rPr>
                                <w:rFonts w:ascii="Tahoma" w:hAnsi="Tahoma" w:cs="Tahoma"/>
                                <w:sz w:val="26"/>
                                <w:szCs w:val="26"/>
                              </w:rPr>
                              <w:t xml:space="preserve">The global inflation prospects </w:t>
                            </w:r>
                            <w:r w:rsidR="001A488A" w:rsidRPr="00796E2E">
                              <w:rPr>
                                <w:rFonts w:ascii="Tahoma" w:hAnsi="Tahoma" w:cs="Tahoma"/>
                                <w:sz w:val="26"/>
                                <w:szCs w:val="26"/>
                              </w:rPr>
                              <w:t>suggest</w:t>
                            </w:r>
                            <w:r w:rsidRPr="00796E2E">
                              <w:rPr>
                                <w:rFonts w:ascii="Tahoma" w:hAnsi="Tahoma" w:cs="Tahoma"/>
                                <w:sz w:val="26"/>
                                <w:szCs w:val="26"/>
                              </w:rPr>
                              <w:t xml:space="preserve"> t</w:t>
                            </w:r>
                            <w:r w:rsidR="00A21CB5" w:rsidRPr="00796E2E">
                              <w:rPr>
                                <w:rFonts w:ascii="Tahoma" w:hAnsi="Tahoma" w:cs="Tahoma"/>
                                <w:sz w:val="26"/>
                                <w:szCs w:val="26"/>
                              </w:rPr>
                              <w:t>ightening monetary policy by central banks.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F8447" id="Rectangle: Rounded Corners 1" o:spid="_x0000_s1027" style="position:absolute;margin-left:363.3pt;margin-top:37.85pt;width:143.25pt;height:1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" fillcolor="#156082" strokecolor="#042433" strokeweight="1pt">
                <v:stroke joinstyle="miter"/>
                <v:path arrowok="t"/>
                <v:textbox>
                  <w:txbxContent>
                    <w:p w14:paraId="40625E90" w14:textId="77777777" w:rsidR="00022BFE" w:rsidRPr="00796E2E" w:rsidRDefault="00022BFE" w:rsidP="00796E2E">
                      <w:pPr>
                        <w:jc w:val="center"/>
                        <w:rPr>
                          <w:rFonts w:ascii="Tahoma" w:hAnsi="Tahoma" w:cs="Tahoma"/>
                          <w:sz w:val="26"/>
                          <w:szCs w:val="26"/>
                        </w:rPr>
                      </w:pPr>
                      <w:r w:rsidRPr="00796E2E">
                        <w:rPr>
                          <w:rFonts w:ascii="Tahoma" w:hAnsi="Tahoma" w:cs="Tahoma"/>
                          <w:sz w:val="26"/>
                          <w:szCs w:val="26"/>
                        </w:rPr>
                        <w:t xml:space="preserve">The global inflation prospects </w:t>
                      </w:r>
                      <w:r w:rsidR="001A488A" w:rsidRPr="00796E2E">
                        <w:rPr>
                          <w:rFonts w:ascii="Tahoma" w:hAnsi="Tahoma" w:cs="Tahoma"/>
                          <w:sz w:val="26"/>
                          <w:szCs w:val="26"/>
                        </w:rPr>
                        <w:t>suggest</w:t>
                      </w:r>
                      <w:r w:rsidRPr="00796E2E">
                        <w:rPr>
                          <w:rFonts w:ascii="Tahoma" w:hAnsi="Tahoma" w:cs="Tahoma"/>
                          <w:sz w:val="26"/>
                          <w:szCs w:val="26"/>
                        </w:rPr>
                        <w:t xml:space="preserve"> t</w:t>
                      </w:r>
                      <w:r w:rsidR="00A21CB5" w:rsidRPr="00796E2E">
                        <w:rPr>
                          <w:rFonts w:ascii="Tahoma" w:hAnsi="Tahoma" w:cs="Tahoma"/>
                          <w:sz w:val="26"/>
                          <w:szCs w:val="26"/>
                        </w:rPr>
                        <w:t>ightening monetary policy by central banks.</w:t>
                      </w:r>
                    </w:p>
                  </w:txbxContent>
                </v:textbox>
              </v:roundrect>
            </w:pict>
          </mc:Fallback>
        </mc:AlternateContent>
      </w:r>
      <w:r w:rsidRPr="00C86244">
        <w:rPr>
          <w:noProof/>
        </w:rPr>
        <w:drawing>
          <wp:inline distT="0" distB="0" distL="0" distR="0" wp14:anchorId="57BA74DC" wp14:editId="1D8A5D3D">
            <wp:extent cx="4572000" cy="27432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39E665" w14:textId="77777777" w:rsidR="006A6773" w:rsidRPr="00796E2E" w:rsidRDefault="006A6773" w:rsidP="00796E2E">
      <w:pPr>
        <w:spacing w:line="360" w:lineRule="auto"/>
        <w:rPr>
          <w:rFonts w:ascii="Tahoma" w:hAnsi="Tahoma" w:cs="Tahoma"/>
          <w:i/>
          <w:sz w:val="24"/>
          <w:szCs w:val="24"/>
        </w:rPr>
      </w:pPr>
      <w:r w:rsidRPr="00796E2E">
        <w:rPr>
          <w:rFonts w:ascii="Tahoma" w:hAnsi="Tahoma" w:cs="Tahoma"/>
          <w:i/>
          <w:sz w:val="24"/>
          <w:szCs w:val="24"/>
        </w:rPr>
        <w:t>Source: IMF World Economic Outlook Update</w:t>
      </w:r>
      <w:r w:rsidR="009044CB">
        <w:rPr>
          <w:rFonts w:ascii="Tahoma" w:hAnsi="Tahoma" w:cs="Tahoma"/>
          <w:i/>
          <w:sz w:val="24"/>
          <w:szCs w:val="24"/>
        </w:rPr>
        <w:t>s</w:t>
      </w:r>
      <w:r w:rsidRPr="00796E2E">
        <w:rPr>
          <w:rFonts w:ascii="Tahoma" w:hAnsi="Tahoma" w:cs="Tahoma"/>
          <w:i/>
          <w:sz w:val="24"/>
          <w:szCs w:val="24"/>
        </w:rPr>
        <w:t xml:space="preserve"> (</w:t>
      </w:r>
      <w:r w:rsidR="00B66407" w:rsidRPr="00796E2E">
        <w:rPr>
          <w:rFonts w:ascii="Tahoma" w:hAnsi="Tahoma" w:cs="Tahoma"/>
          <w:i/>
          <w:sz w:val="24"/>
          <w:szCs w:val="24"/>
        </w:rPr>
        <w:t>January</w:t>
      </w:r>
      <w:r w:rsidRPr="00796E2E">
        <w:rPr>
          <w:rFonts w:ascii="Tahoma" w:hAnsi="Tahoma" w:cs="Tahoma"/>
          <w:i/>
          <w:sz w:val="24"/>
          <w:szCs w:val="24"/>
        </w:rPr>
        <w:t xml:space="preserve"> </w:t>
      </w:r>
      <w:r w:rsidR="006271AB" w:rsidRPr="00796E2E">
        <w:rPr>
          <w:rFonts w:ascii="Tahoma" w:hAnsi="Tahoma" w:cs="Tahoma"/>
          <w:i/>
          <w:sz w:val="24"/>
          <w:szCs w:val="24"/>
        </w:rPr>
        <w:t xml:space="preserve">and April </w:t>
      </w:r>
      <w:r w:rsidRPr="00796E2E">
        <w:rPr>
          <w:rFonts w:ascii="Tahoma" w:hAnsi="Tahoma" w:cs="Tahoma"/>
          <w:i/>
          <w:sz w:val="24"/>
          <w:szCs w:val="24"/>
        </w:rPr>
        <w:t>202</w:t>
      </w:r>
      <w:r w:rsidR="00B66407" w:rsidRPr="00796E2E">
        <w:rPr>
          <w:rFonts w:ascii="Tahoma" w:hAnsi="Tahoma" w:cs="Tahoma"/>
          <w:i/>
          <w:sz w:val="24"/>
          <w:szCs w:val="24"/>
        </w:rPr>
        <w:t>4</w:t>
      </w:r>
      <w:r w:rsidRPr="00796E2E">
        <w:rPr>
          <w:rFonts w:ascii="Tahoma" w:hAnsi="Tahoma" w:cs="Tahoma"/>
          <w:i/>
          <w:sz w:val="24"/>
          <w:szCs w:val="24"/>
        </w:rPr>
        <w:t xml:space="preserve">) </w:t>
      </w:r>
    </w:p>
    <w:p w14:paraId="77489850" w14:textId="77777777" w:rsidR="00BB6E27" w:rsidRPr="00796E2E" w:rsidRDefault="004F680D" w:rsidP="00796E2E">
      <w:pPr>
        <w:pStyle w:val="Heading2"/>
        <w:spacing w:before="0" w:after="240"/>
        <w:rPr>
          <w:b/>
          <w:bCs/>
        </w:rPr>
      </w:pPr>
      <w:bookmarkStart w:id="15" w:name="_Toc166607892"/>
      <w:bookmarkStart w:id="16" w:name="_Toc168317167"/>
      <w:r w:rsidRPr="00796E2E">
        <w:rPr>
          <w:b/>
          <w:bCs/>
        </w:rPr>
        <w:t>2.0</w:t>
      </w:r>
      <w:r w:rsidRPr="00796E2E">
        <w:rPr>
          <w:b/>
          <w:bCs/>
        </w:rPr>
        <w:tab/>
      </w:r>
      <w:r w:rsidR="00EF37FE" w:rsidRPr="00796E2E">
        <w:rPr>
          <w:b/>
          <w:bCs/>
        </w:rPr>
        <w:t>International Commodity Prices</w:t>
      </w:r>
      <w:bookmarkEnd w:id="15"/>
      <w:bookmarkEnd w:id="16"/>
      <w:r w:rsidR="00EF37FE" w:rsidRPr="00796E2E">
        <w:rPr>
          <w:b/>
          <w:bCs/>
        </w:rPr>
        <w:t xml:space="preserve"> </w:t>
      </w:r>
    </w:p>
    <w:p w14:paraId="37083D5C" w14:textId="77777777" w:rsidR="00A054C3" w:rsidRPr="00796E2E" w:rsidRDefault="004F680D" w:rsidP="002019B5">
      <w:pPr>
        <w:ind w:left="720" w:hanging="720"/>
        <w:jc w:val="both"/>
        <w:rPr>
          <w:rFonts w:ascii="Tahoma" w:hAnsi="Tahoma" w:cs="Tahoma"/>
          <w:sz w:val="24"/>
          <w:szCs w:val="24"/>
        </w:rPr>
      </w:pPr>
      <w:r w:rsidRPr="00796E2E">
        <w:rPr>
          <w:rFonts w:ascii="Tahoma" w:hAnsi="Tahoma" w:cs="Tahoma"/>
          <w:sz w:val="24"/>
          <w:szCs w:val="24"/>
        </w:rPr>
        <w:t>2.1</w:t>
      </w:r>
      <w:r w:rsidRPr="00796E2E">
        <w:rPr>
          <w:rFonts w:ascii="Tahoma" w:hAnsi="Tahoma" w:cs="Tahoma"/>
          <w:sz w:val="24"/>
          <w:szCs w:val="24"/>
        </w:rPr>
        <w:tab/>
      </w:r>
      <w:r w:rsidR="00AB665D" w:rsidRPr="00796E2E">
        <w:rPr>
          <w:rFonts w:ascii="Tahoma" w:hAnsi="Tahoma" w:cs="Tahoma"/>
          <w:sz w:val="24"/>
          <w:szCs w:val="24"/>
        </w:rPr>
        <w:t xml:space="preserve">During the </w:t>
      </w:r>
      <w:r w:rsidR="00B52354" w:rsidRPr="00796E2E">
        <w:rPr>
          <w:rFonts w:ascii="Tahoma" w:hAnsi="Tahoma" w:cs="Tahoma"/>
          <w:sz w:val="24"/>
          <w:szCs w:val="24"/>
        </w:rPr>
        <w:t>month</w:t>
      </w:r>
      <w:r w:rsidR="00AB665D" w:rsidRPr="00796E2E">
        <w:rPr>
          <w:rFonts w:ascii="Tahoma" w:hAnsi="Tahoma" w:cs="Tahoma"/>
          <w:sz w:val="24"/>
          <w:szCs w:val="24"/>
        </w:rPr>
        <w:t xml:space="preserve"> under review, the commodity prices registered a</w:t>
      </w:r>
      <w:r w:rsidR="00C67198" w:rsidRPr="00796E2E">
        <w:rPr>
          <w:rFonts w:ascii="Tahoma" w:hAnsi="Tahoma" w:cs="Tahoma"/>
          <w:sz w:val="24"/>
          <w:szCs w:val="24"/>
        </w:rPr>
        <w:t>n upward</w:t>
      </w:r>
      <w:r w:rsidR="00AB665D" w:rsidRPr="00796E2E">
        <w:rPr>
          <w:rFonts w:ascii="Tahoma" w:hAnsi="Tahoma" w:cs="Tahoma"/>
          <w:sz w:val="24"/>
          <w:szCs w:val="24"/>
        </w:rPr>
        <w:t xml:space="preserve"> </w:t>
      </w:r>
      <w:r w:rsidR="00331834" w:rsidRPr="00796E2E">
        <w:rPr>
          <w:rFonts w:ascii="Tahoma" w:hAnsi="Tahoma" w:cs="Tahoma"/>
          <w:sz w:val="24"/>
          <w:szCs w:val="24"/>
        </w:rPr>
        <w:t xml:space="preserve">general </w:t>
      </w:r>
      <w:r w:rsidR="00AB665D" w:rsidRPr="00796E2E">
        <w:rPr>
          <w:rFonts w:ascii="Tahoma" w:hAnsi="Tahoma" w:cs="Tahoma"/>
          <w:sz w:val="24"/>
          <w:szCs w:val="24"/>
        </w:rPr>
        <w:t xml:space="preserve">trend. This </w:t>
      </w:r>
      <w:r w:rsidR="000732CC" w:rsidRPr="00796E2E">
        <w:rPr>
          <w:rFonts w:ascii="Tahoma" w:hAnsi="Tahoma" w:cs="Tahoma"/>
          <w:sz w:val="24"/>
          <w:szCs w:val="24"/>
        </w:rPr>
        <w:t xml:space="preserve">was </w:t>
      </w:r>
      <w:r w:rsidR="005A041F" w:rsidRPr="00796E2E">
        <w:rPr>
          <w:rFonts w:ascii="Tahoma" w:hAnsi="Tahoma" w:cs="Tahoma"/>
          <w:sz w:val="24"/>
          <w:szCs w:val="24"/>
        </w:rPr>
        <w:t xml:space="preserve">largely </w:t>
      </w:r>
      <w:r w:rsidR="000732CC" w:rsidRPr="00796E2E">
        <w:rPr>
          <w:rFonts w:ascii="Tahoma" w:hAnsi="Tahoma" w:cs="Tahoma"/>
          <w:sz w:val="24"/>
          <w:szCs w:val="24"/>
        </w:rPr>
        <w:t>due</w:t>
      </w:r>
      <w:r w:rsidR="009E206D" w:rsidRPr="00796E2E">
        <w:rPr>
          <w:rFonts w:ascii="Tahoma" w:hAnsi="Tahoma" w:cs="Tahoma"/>
          <w:sz w:val="24"/>
          <w:szCs w:val="24"/>
        </w:rPr>
        <w:t xml:space="preserve"> to geopolitical tensions such as</w:t>
      </w:r>
      <w:r w:rsidR="00E01DCE" w:rsidRPr="00796E2E">
        <w:rPr>
          <w:rFonts w:ascii="Tahoma" w:hAnsi="Tahoma" w:cs="Tahoma"/>
          <w:sz w:val="24"/>
          <w:szCs w:val="24"/>
        </w:rPr>
        <w:t xml:space="preserve"> Russia-Ukraine war</w:t>
      </w:r>
      <w:r w:rsidR="009E206D" w:rsidRPr="00796E2E">
        <w:rPr>
          <w:rFonts w:ascii="Tahoma" w:hAnsi="Tahoma" w:cs="Tahoma"/>
          <w:sz w:val="24"/>
          <w:szCs w:val="24"/>
        </w:rPr>
        <w:t>, Gazar war</w:t>
      </w:r>
      <w:r w:rsidR="00E01DCE" w:rsidRPr="00796E2E">
        <w:rPr>
          <w:rFonts w:ascii="Tahoma" w:hAnsi="Tahoma" w:cs="Tahoma"/>
          <w:sz w:val="24"/>
          <w:szCs w:val="24"/>
        </w:rPr>
        <w:t xml:space="preserve"> which disrupted supply chains</w:t>
      </w:r>
      <w:r w:rsidR="009E62AF" w:rsidRPr="00796E2E">
        <w:rPr>
          <w:rFonts w:ascii="Tahoma" w:hAnsi="Tahoma" w:cs="Tahoma"/>
          <w:sz w:val="24"/>
          <w:szCs w:val="24"/>
        </w:rPr>
        <w:t xml:space="preserve"> and </w:t>
      </w:r>
      <w:r w:rsidR="009E206D" w:rsidRPr="00796E2E">
        <w:rPr>
          <w:rFonts w:ascii="Tahoma" w:hAnsi="Tahoma" w:cs="Tahoma"/>
          <w:sz w:val="24"/>
          <w:szCs w:val="24"/>
        </w:rPr>
        <w:t>El Nino induced drought</w:t>
      </w:r>
      <w:r w:rsidR="009E62AF" w:rsidRPr="00796E2E">
        <w:rPr>
          <w:rFonts w:ascii="Tahoma" w:hAnsi="Tahoma" w:cs="Tahoma"/>
          <w:sz w:val="24"/>
          <w:szCs w:val="24"/>
        </w:rPr>
        <w:t>.</w:t>
      </w:r>
    </w:p>
    <w:p w14:paraId="5226B57B" w14:textId="77777777" w:rsidR="00AB665D" w:rsidRPr="00796E2E" w:rsidRDefault="004F680D" w:rsidP="00D5422A">
      <w:pPr>
        <w:ind w:left="720" w:hanging="720"/>
        <w:jc w:val="both"/>
        <w:rPr>
          <w:rFonts w:ascii="Tahoma" w:hAnsi="Tahoma" w:cs="Tahoma"/>
          <w:i/>
          <w:iCs/>
          <w:sz w:val="24"/>
          <w:szCs w:val="24"/>
        </w:rPr>
      </w:pPr>
      <w:r w:rsidRPr="00796E2E">
        <w:rPr>
          <w:rFonts w:ascii="Tahoma" w:hAnsi="Tahoma" w:cs="Tahoma"/>
          <w:sz w:val="24"/>
          <w:szCs w:val="24"/>
        </w:rPr>
        <w:t>2.2</w:t>
      </w:r>
      <w:r w:rsidRPr="00796E2E">
        <w:rPr>
          <w:rFonts w:ascii="Tahoma" w:hAnsi="Tahoma" w:cs="Tahoma"/>
          <w:sz w:val="24"/>
          <w:szCs w:val="24"/>
        </w:rPr>
        <w:tab/>
      </w:r>
      <w:r w:rsidR="00AB665D" w:rsidRPr="00796E2E">
        <w:rPr>
          <w:rFonts w:ascii="Tahoma" w:hAnsi="Tahoma" w:cs="Tahoma"/>
          <w:sz w:val="24"/>
          <w:szCs w:val="24"/>
        </w:rPr>
        <w:t xml:space="preserve">On a </w:t>
      </w:r>
      <w:r w:rsidR="00E54A43" w:rsidRPr="00796E2E">
        <w:rPr>
          <w:rFonts w:ascii="Tahoma" w:hAnsi="Tahoma" w:cs="Tahoma"/>
          <w:sz w:val="24"/>
          <w:szCs w:val="24"/>
        </w:rPr>
        <w:t>year-to-date</w:t>
      </w:r>
      <w:r w:rsidR="00AB665D" w:rsidRPr="00796E2E">
        <w:rPr>
          <w:rFonts w:ascii="Tahoma" w:hAnsi="Tahoma" w:cs="Tahoma"/>
          <w:sz w:val="24"/>
          <w:szCs w:val="24"/>
        </w:rPr>
        <w:t xml:space="preserve"> basis (YtD), gold gained </w:t>
      </w:r>
      <w:r w:rsidR="0056797E" w:rsidRPr="00796E2E">
        <w:rPr>
          <w:rFonts w:ascii="Tahoma" w:hAnsi="Tahoma" w:cs="Tahoma"/>
          <w:sz w:val="24"/>
          <w:szCs w:val="24"/>
        </w:rPr>
        <w:t>12</w:t>
      </w:r>
      <w:r w:rsidR="00AB665D" w:rsidRPr="00796E2E">
        <w:rPr>
          <w:rFonts w:ascii="Tahoma" w:hAnsi="Tahoma" w:cs="Tahoma"/>
          <w:sz w:val="24"/>
          <w:szCs w:val="24"/>
        </w:rPr>
        <w:t>.</w:t>
      </w:r>
      <w:r w:rsidR="0056797E" w:rsidRPr="00796E2E">
        <w:rPr>
          <w:rFonts w:ascii="Tahoma" w:hAnsi="Tahoma" w:cs="Tahoma"/>
          <w:sz w:val="24"/>
          <w:szCs w:val="24"/>
        </w:rPr>
        <w:t>4</w:t>
      </w:r>
      <w:r w:rsidR="00AB665D" w:rsidRPr="00796E2E">
        <w:rPr>
          <w:rFonts w:ascii="Tahoma" w:hAnsi="Tahoma" w:cs="Tahoma"/>
          <w:sz w:val="24"/>
          <w:szCs w:val="24"/>
        </w:rPr>
        <w:t xml:space="preserve">8% and </w:t>
      </w:r>
      <w:r w:rsidR="00A054C3" w:rsidRPr="00796E2E">
        <w:rPr>
          <w:rFonts w:ascii="Tahoma" w:hAnsi="Tahoma" w:cs="Tahoma"/>
          <w:sz w:val="24"/>
          <w:szCs w:val="24"/>
        </w:rPr>
        <w:t>1</w:t>
      </w:r>
      <w:r w:rsidR="0056797E" w:rsidRPr="00796E2E">
        <w:rPr>
          <w:rFonts w:ascii="Tahoma" w:hAnsi="Tahoma" w:cs="Tahoma"/>
          <w:sz w:val="24"/>
          <w:szCs w:val="24"/>
        </w:rPr>
        <w:t>5</w:t>
      </w:r>
      <w:r w:rsidR="00AB665D" w:rsidRPr="00796E2E">
        <w:rPr>
          <w:rFonts w:ascii="Tahoma" w:hAnsi="Tahoma" w:cs="Tahoma"/>
          <w:sz w:val="24"/>
          <w:szCs w:val="24"/>
        </w:rPr>
        <w:t>.</w:t>
      </w:r>
      <w:r w:rsidR="0056797E" w:rsidRPr="00796E2E">
        <w:rPr>
          <w:rFonts w:ascii="Tahoma" w:hAnsi="Tahoma" w:cs="Tahoma"/>
          <w:sz w:val="24"/>
          <w:szCs w:val="24"/>
        </w:rPr>
        <w:t>16</w:t>
      </w:r>
      <w:r w:rsidR="004624DA" w:rsidRPr="00796E2E">
        <w:rPr>
          <w:rFonts w:ascii="Tahoma" w:hAnsi="Tahoma" w:cs="Tahoma"/>
          <w:sz w:val="24"/>
          <w:szCs w:val="24"/>
        </w:rPr>
        <w:t xml:space="preserve">% on year on year (YoY) basis while copper gained </w:t>
      </w:r>
      <w:r w:rsidR="0056797E" w:rsidRPr="00796E2E">
        <w:rPr>
          <w:rFonts w:ascii="Tahoma" w:hAnsi="Tahoma" w:cs="Tahoma"/>
          <w:sz w:val="24"/>
          <w:szCs w:val="24"/>
        </w:rPr>
        <w:t>16.86</w:t>
      </w:r>
      <w:r w:rsidR="004624DA" w:rsidRPr="00796E2E">
        <w:rPr>
          <w:rFonts w:ascii="Tahoma" w:hAnsi="Tahoma" w:cs="Tahoma"/>
          <w:sz w:val="24"/>
          <w:szCs w:val="24"/>
        </w:rPr>
        <w:t>% Yt</w:t>
      </w:r>
      <w:r w:rsidR="00C840CA" w:rsidRPr="00796E2E">
        <w:rPr>
          <w:rFonts w:ascii="Tahoma" w:hAnsi="Tahoma" w:cs="Tahoma"/>
          <w:sz w:val="24"/>
          <w:szCs w:val="24"/>
        </w:rPr>
        <w:t>D</w:t>
      </w:r>
      <w:r w:rsidR="004624DA" w:rsidRPr="00796E2E">
        <w:rPr>
          <w:rFonts w:ascii="Tahoma" w:hAnsi="Tahoma" w:cs="Tahoma"/>
          <w:sz w:val="24"/>
          <w:szCs w:val="24"/>
        </w:rPr>
        <w:t xml:space="preserve"> and </w:t>
      </w:r>
      <w:r w:rsidR="0056797E" w:rsidRPr="00796E2E">
        <w:rPr>
          <w:rFonts w:ascii="Tahoma" w:hAnsi="Tahoma" w:cs="Tahoma"/>
          <w:sz w:val="24"/>
          <w:szCs w:val="24"/>
        </w:rPr>
        <w:t>17.95</w:t>
      </w:r>
      <w:r w:rsidR="004624DA" w:rsidRPr="00796E2E">
        <w:rPr>
          <w:rFonts w:ascii="Tahoma" w:hAnsi="Tahoma" w:cs="Tahoma"/>
          <w:sz w:val="24"/>
          <w:szCs w:val="24"/>
        </w:rPr>
        <w:t xml:space="preserve">% </w:t>
      </w:r>
      <w:r w:rsidR="00976EA8" w:rsidRPr="00796E2E">
        <w:rPr>
          <w:rFonts w:ascii="Tahoma" w:hAnsi="Tahoma" w:cs="Tahoma"/>
          <w:sz w:val="24"/>
          <w:szCs w:val="24"/>
        </w:rPr>
        <w:t xml:space="preserve">on </w:t>
      </w:r>
      <w:r w:rsidR="004624DA" w:rsidRPr="00796E2E">
        <w:rPr>
          <w:rFonts w:ascii="Tahoma" w:hAnsi="Tahoma" w:cs="Tahoma"/>
          <w:sz w:val="24"/>
          <w:szCs w:val="24"/>
        </w:rPr>
        <w:t xml:space="preserve">YoY. Nickel </w:t>
      </w:r>
      <w:r w:rsidR="00A054C3" w:rsidRPr="00796E2E">
        <w:rPr>
          <w:rFonts w:ascii="Tahoma" w:hAnsi="Tahoma" w:cs="Tahoma"/>
          <w:sz w:val="24"/>
          <w:szCs w:val="24"/>
        </w:rPr>
        <w:t>gained</w:t>
      </w:r>
      <w:r w:rsidR="004624DA" w:rsidRPr="00796E2E">
        <w:rPr>
          <w:rFonts w:ascii="Tahoma" w:hAnsi="Tahoma" w:cs="Tahoma"/>
          <w:sz w:val="24"/>
          <w:szCs w:val="24"/>
        </w:rPr>
        <w:t xml:space="preserve"> </w:t>
      </w:r>
      <w:r w:rsidR="0056797E" w:rsidRPr="00796E2E">
        <w:rPr>
          <w:rFonts w:ascii="Tahoma" w:hAnsi="Tahoma" w:cs="Tahoma"/>
          <w:sz w:val="24"/>
          <w:szCs w:val="24"/>
        </w:rPr>
        <w:t>20.14</w:t>
      </w:r>
      <w:r w:rsidR="004624DA" w:rsidRPr="00796E2E">
        <w:rPr>
          <w:rFonts w:ascii="Tahoma" w:hAnsi="Tahoma" w:cs="Tahoma"/>
          <w:sz w:val="24"/>
          <w:szCs w:val="24"/>
        </w:rPr>
        <w:t xml:space="preserve">% and </w:t>
      </w:r>
      <w:r w:rsidR="00A054C3" w:rsidRPr="00796E2E">
        <w:rPr>
          <w:rFonts w:ascii="Tahoma" w:hAnsi="Tahoma" w:cs="Tahoma"/>
          <w:sz w:val="24"/>
          <w:szCs w:val="24"/>
        </w:rPr>
        <w:t xml:space="preserve">lost </w:t>
      </w:r>
      <w:r w:rsidR="004624DA" w:rsidRPr="00796E2E">
        <w:rPr>
          <w:rFonts w:ascii="Tahoma" w:hAnsi="Tahoma" w:cs="Tahoma"/>
          <w:sz w:val="24"/>
          <w:szCs w:val="24"/>
        </w:rPr>
        <w:t>2</w:t>
      </w:r>
      <w:r w:rsidR="0056797E" w:rsidRPr="00796E2E">
        <w:rPr>
          <w:rFonts w:ascii="Tahoma" w:hAnsi="Tahoma" w:cs="Tahoma"/>
          <w:sz w:val="24"/>
          <w:szCs w:val="24"/>
        </w:rPr>
        <w:t>0</w:t>
      </w:r>
      <w:r w:rsidR="004624DA" w:rsidRPr="00796E2E">
        <w:rPr>
          <w:rFonts w:ascii="Tahoma" w:hAnsi="Tahoma" w:cs="Tahoma"/>
          <w:sz w:val="24"/>
          <w:szCs w:val="24"/>
        </w:rPr>
        <w:t>.</w:t>
      </w:r>
      <w:r w:rsidR="0056797E" w:rsidRPr="00796E2E">
        <w:rPr>
          <w:rFonts w:ascii="Tahoma" w:hAnsi="Tahoma" w:cs="Tahoma"/>
          <w:sz w:val="24"/>
          <w:szCs w:val="24"/>
        </w:rPr>
        <w:t>54</w:t>
      </w:r>
      <w:r w:rsidR="004624DA" w:rsidRPr="00796E2E">
        <w:rPr>
          <w:rFonts w:ascii="Tahoma" w:hAnsi="Tahoma" w:cs="Tahoma"/>
          <w:sz w:val="24"/>
          <w:szCs w:val="24"/>
        </w:rPr>
        <w:t>% Yt</w:t>
      </w:r>
      <w:r w:rsidR="00C840CA" w:rsidRPr="00796E2E">
        <w:rPr>
          <w:rFonts w:ascii="Tahoma" w:hAnsi="Tahoma" w:cs="Tahoma"/>
          <w:sz w:val="24"/>
          <w:szCs w:val="24"/>
        </w:rPr>
        <w:t>D</w:t>
      </w:r>
      <w:r w:rsidR="004624DA" w:rsidRPr="00796E2E">
        <w:rPr>
          <w:rFonts w:ascii="Tahoma" w:hAnsi="Tahoma" w:cs="Tahoma"/>
          <w:sz w:val="24"/>
          <w:szCs w:val="24"/>
        </w:rPr>
        <w:t xml:space="preserve"> and YoY, respectively while Aluminium gained </w:t>
      </w:r>
      <w:r w:rsidR="0056797E" w:rsidRPr="00796E2E">
        <w:rPr>
          <w:rFonts w:ascii="Tahoma" w:hAnsi="Tahoma" w:cs="Tahoma"/>
          <w:sz w:val="24"/>
          <w:szCs w:val="24"/>
        </w:rPr>
        <w:t>13.46</w:t>
      </w:r>
      <w:r w:rsidR="000732CC" w:rsidRPr="00796E2E">
        <w:rPr>
          <w:rFonts w:ascii="Tahoma" w:hAnsi="Tahoma" w:cs="Tahoma"/>
          <w:sz w:val="24"/>
          <w:szCs w:val="24"/>
        </w:rPr>
        <w:t xml:space="preserve">% </w:t>
      </w:r>
      <w:r w:rsidR="00AE068D" w:rsidRPr="00796E2E">
        <w:rPr>
          <w:rFonts w:ascii="Tahoma" w:hAnsi="Tahoma" w:cs="Tahoma"/>
          <w:sz w:val="24"/>
          <w:szCs w:val="24"/>
        </w:rPr>
        <w:t xml:space="preserve">on </w:t>
      </w:r>
      <w:r w:rsidR="000732CC" w:rsidRPr="00796E2E">
        <w:rPr>
          <w:rFonts w:ascii="Tahoma" w:hAnsi="Tahoma" w:cs="Tahoma"/>
          <w:sz w:val="24"/>
          <w:szCs w:val="24"/>
        </w:rPr>
        <w:t>Yt</w:t>
      </w:r>
      <w:r w:rsidR="00C840CA" w:rsidRPr="00796E2E">
        <w:rPr>
          <w:rFonts w:ascii="Tahoma" w:hAnsi="Tahoma" w:cs="Tahoma"/>
          <w:sz w:val="24"/>
          <w:szCs w:val="24"/>
        </w:rPr>
        <w:t>D</w:t>
      </w:r>
      <w:r w:rsidR="000732CC" w:rsidRPr="00796E2E">
        <w:rPr>
          <w:rFonts w:ascii="Tahoma" w:hAnsi="Tahoma" w:cs="Tahoma"/>
          <w:sz w:val="24"/>
          <w:szCs w:val="24"/>
        </w:rPr>
        <w:t xml:space="preserve"> and </w:t>
      </w:r>
      <w:r w:rsidR="0056797E" w:rsidRPr="00796E2E">
        <w:rPr>
          <w:rFonts w:ascii="Tahoma" w:hAnsi="Tahoma" w:cs="Tahoma"/>
          <w:sz w:val="24"/>
          <w:szCs w:val="24"/>
        </w:rPr>
        <w:t>9.80</w:t>
      </w:r>
      <w:r w:rsidR="000732CC" w:rsidRPr="00796E2E">
        <w:rPr>
          <w:rFonts w:ascii="Tahoma" w:hAnsi="Tahoma" w:cs="Tahoma"/>
          <w:sz w:val="24"/>
          <w:szCs w:val="24"/>
        </w:rPr>
        <w:t xml:space="preserve">% </w:t>
      </w:r>
      <w:r w:rsidR="00AE068D" w:rsidRPr="00796E2E">
        <w:rPr>
          <w:rFonts w:ascii="Tahoma" w:hAnsi="Tahoma" w:cs="Tahoma"/>
          <w:sz w:val="24"/>
          <w:szCs w:val="24"/>
        </w:rPr>
        <w:t xml:space="preserve">on </w:t>
      </w:r>
      <w:r w:rsidR="000732CC" w:rsidRPr="00796E2E">
        <w:rPr>
          <w:rFonts w:ascii="Tahoma" w:hAnsi="Tahoma" w:cs="Tahoma"/>
          <w:sz w:val="24"/>
          <w:szCs w:val="24"/>
        </w:rPr>
        <w:t xml:space="preserve">YoY. </w:t>
      </w:r>
      <w:r w:rsidR="00D5422A" w:rsidRPr="00796E2E">
        <w:rPr>
          <w:rFonts w:ascii="Tahoma" w:hAnsi="Tahoma" w:cs="Tahoma"/>
          <w:i/>
          <w:iCs/>
          <w:sz w:val="24"/>
          <w:szCs w:val="24"/>
        </w:rPr>
        <w:t>This trend, particularly for gold, copper, and aluminium, is positive and bodes well for the country's mining sector and future growth.</w:t>
      </w:r>
    </w:p>
    <w:p w14:paraId="320D1F54" w14:textId="77777777" w:rsidR="000732CC" w:rsidRPr="00796E2E" w:rsidRDefault="004F680D" w:rsidP="004F680D">
      <w:pPr>
        <w:ind w:left="720" w:hanging="720"/>
        <w:jc w:val="both"/>
        <w:rPr>
          <w:rFonts w:ascii="Tahoma" w:hAnsi="Tahoma" w:cs="Tahoma"/>
          <w:sz w:val="24"/>
          <w:szCs w:val="24"/>
        </w:rPr>
      </w:pPr>
      <w:r w:rsidRPr="00796E2E">
        <w:rPr>
          <w:rFonts w:ascii="Tahoma" w:hAnsi="Tahoma" w:cs="Tahoma"/>
          <w:sz w:val="24"/>
          <w:szCs w:val="24"/>
        </w:rPr>
        <w:lastRenderedPageBreak/>
        <w:t>2.3</w:t>
      </w:r>
      <w:r w:rsidRPr="00796E2E">
        <w:rPr>
          <w:rFonts w:ascii="Tahoma" w:hAnsi="Tahoma" w:cs="Tahoma"/>
          <w:sz w:val="24"/>
          <w:szCs w:val="24"/>
        </w:rPr>
        <w:tab/>
      </w:r>
      <w:r w:rsidR="00F50599" w:rsidRPr="00796E2E">
        <w:rPr>
          <w:rFonts w:ascii="Tahoma" w:hAnsi="Tahoma" w:cs="Tahoma"/>
          <w:sz w:val="24"/>
          <w:szCs w:val="24"/>
        </w:rPr>
        <w:t xml:space="preserve">On agricultural commodities, </w:t>
      </w:r>
      <w:r w:rsidR="00C840CA" w:rsidRPr="00796E2E">
        <w:rPr>
          <w:rFonts w:ascii="Tahoma" w:hAnsi="Tahoma" w:cs="Tahoma"/>
          <w:sz w:val="24"/>
          <w:szCs w:val="24"/>
        </w:rPr>
        <w:t>c</w:t>
      </w:r>
      <w:r w:rsidR="000732CC" w:rsidRPr="00796E2E">
        <w:rPr>
          <w:rFonts w:ascii="Tahoma" w:hAnsi="Tahoma" w:cs="Tahoma"/>
          <w:sz w:val="24"/>
          <w:szCs w:val="24"/>
        </w:rPr>
        <w:t xml:space="preserve">otton </w:t>
      </w:r>
      <w:r w:rsidR="00647E48" w:rsidRPr="00796E2E">
        <w:rPr>
          <w:rFonts w:ascii="Tahoma" w:hAnsi="Tahoma" w:cs="Tahoma"/>
          <w:sz w:val="24"/>
          <w:szCs w:val="24"/>
        </w:rPr>
        <w:t>lost by</w:t>
      </w:r>
      <w:r w:rsidR="000732CC" w:rsidRPr="00796E2E">
        <w:rPr>
          <w:rFonts w:ascii="Tahoma" w:hAnsi="Tahoma" w:cs="Tahoma"/>
          <w:sz w:val="24"/>
          <w:szCs w:val="24"/>
        </w:rPr>
        <w:t xml:space="preserve"> </w:t>
      </w:r>
      <w:r w:rsidR="00647E48" w:rsidRPr="00796E2E">
        <w:rPr>
          <w:rFonts w:ascii="Tahoma" w:hAnsi="Tahoma" w:cs="Tahoma"/>
          <w:sz w:val="24"/>
          <w:szCs w:val="24"/>
        </w:rPr>
        <w:t>7</w:t>
      </w:r>
      <w:r w:rsidR="000732CC" w:rsidRPr="00796E2E">
        <w:rPr>
          <w:rFonts w:ascii="Tahoma" w:hAnsi="Tahoma" w:cs="Tahoma"/>
          <w:sz w:val="24"/>
          <w:szCs w:val="24"/>
        </w:rPr>
        <w:t>.</w:t>
      </w:r>
      <w:r w:rsidR="00647E48" w:rsidRPr="00796E2E">
        <w:rPr>
          <w:rFonts w:ascii="Tahoma" w:hAnsi="Tahoma" w:cs="Tahoma"/>
          <w:sz w:val="24"/>
          <w:szCs w:val="24"/>
        </w:rPr>
        <w:t>91</w:t>
      </w:r>
      <w:r w:rsidR="000732CC" w:rsidRPr="00796E2E">
        <w:rPr>
          <w:rFonts w:ascii="Tahoma" w:hAnsi="Tahoma" w:cs="Tahoma"/>
          <w:sz w:val="24"/>
          <w:szCs w:val="24"/>
        </w:rPr>
        <w:t xml:space="preserve">% and </w:t>
      </w:r>
      <w:r w:rsidR="00647E48" w:rsidRPr="00796E2E">
        <w:rPr>
          <w:rFonts w:ascii="Tahoma" w:hAnsi="Tahoma" w:cs="Tahoma"/>
          <w:sz w:val="24"/>
          <w:szCs w:val="24"/>
        </w:rPr>
        <w:t>2</w:t>
      </w:r>
      <w:r w:rsidR="00C15C2B" w:rsidRPr="00796E2E">
        <w:rPr>
          <w:rFonts w:ascii="Tahoma" w:hAnsi="Tahoma" w:cs="Tahoma"/>
          <w:sz w:val="24"/>
          <w:szCs w:val="24"/>
        </w:rPr>
        <w:t>.</w:t>
      </w:r>
      <w:r w:rsidR="00647E48" w:rsidRPr="00796E2E">
        <w:rPr>
          <w:rFonts w:ascii="Tahoma" w:hAnsi="Tahoma" w:cs="Tahoma"/>
          <w:sz w:val="24"/>
          <w:szCs w:val="24"/>
        </w:rPr>
        <w:t>93</w:t>
      </w:r>
      <w:r w:rsidR="000732CC" w:rsidRPr="00796E2E">
        <w:rPr>
          <w:rFonts w:ascii="Tahoma" w:hAnsi="Tahoma" w:cs="Tahoma"/>
          <w:sz w:val="24"/>
          <w:szCs w:val="24"/>
        </w:rPr>
        <w:t xml:space="preserve">% </w:t>
      </w:r>
      <w:r w:rsidR="00B65977" w:rsidRPr="00796E2E">
        <w:rPr>
          <w:rFonts w:ascii="Tahoma" w:hAnsi="Tahoma" w:cs="Tahoma"/>
          <w:sz w:val="24"/>
          <w:szCs w:val="24"/>
        </w:rPr>
        <w:t xml:space="preserve">on </w:t>
      </w:r>
      <w:r w:rsidR="000732CC" w:rsidRPr="00796E2E">
        <w:rPr>
          <w:rFonts w:ascii="Tahoma" w:hAnsi="Tahoma" w:cs="Tahoma"/>
          <w:sz w:val="24"/>
          <w:szCs w:val="24"/>
        </w:rPr>
        <w:t>Yt</w:t>
      </w:r>
      <w:r w:rsidR="00C840CA" w:rsidRPr="00796E2E">
        <w:rPr>
          <w:rFonts w:ascii="Tahoma" w:hAnsi="Tahoma" w:cs="Tahoma"/>
          <w:sz w:val="24"/>
          <w:szCs w:val="24"/>
        </w:rPr>
        <w:t>D</w:t>
      </w:r>
      <w:r w:rsidR="000732CC" w:rsidRPr="00796E2E">
        <w:rPr>
          <w:rFonts w:ascii="Tahoma" w:hAnsi="Tahoma" w:cs="Tahoma"/>
          <w:sz w:val="24"/>
          <w:szCs w:val="24"/>
        </w:rPr>
        <w:t xml:space="preserve"> and YoY, respectively</w:t>
      </w:r>
      <w:r w:rsidR="00C840CA" w:rsidRPr="00796E2E">
        <w:rPr>
          <w:rFonts w:ascii="Tahoma" w:hAnsi="Tahoma" w:cs="Tahoma"/>
          <w:sz w:val="24"/>
          <w:szCs w:val="24"/>
        </w:rPr>
        <w:t>,</w:t>
      </w:r>
      <w:r w:rsidR="000732CC" w:rsidRPr="00796E2E">
        <w:rPr>
          <w:rFonts w:ascii="Tahoma" w:hAnsi="Tahoma" w:cs="Tahoma"/>
          <w:sz w:val="24"/>
          <w:szCs w:val="24"/>
        </w:rPr>
        <w:t xml:space="preserve"> whil</w:t>
      </w:r>
      <w:r w:rsidR="00F50599" w:rsidRPr="00796E2E">
        <w:rPr>
          <w:rFonts w:ascii="Tahoma" w:hAnsi="Tahoma" w:cs="Tahoma"/>
          <w:sz w:val="24"/>
          <w:szCs w:val="24"/>
        </w:rPr>
        <w:t>st</w:t>
      </w:r>
      <w:r w:rsidR="000732CC" w:rsidRPr="00796E2E">
        <w:rPr>
          <w:rFonts w:ascii="Tahoma" w:hAnsi="Tahoma" w:cs="Tahoma"/>
          <w:sz w:val="24"/>
          <w:szCs w:val="24"/>
        </w:rPr>
        <w:t xml:space="preserve"> wheat</w:t>
      </w:r>
      <w:r w:rsidR="00796E2E" w:rsidRPr="00796E2E">
        <w:rPr>
          <w:rFonts w:ascii="Tahoma" w:hAnsi="Tahoma" w:cs="Tahoma"/>
          <w:sz w:val="24"/>
          <w:szCs w:val="24"/>
        </w:rPr>
        <w:t xml:space="preserve"> also</w:t>
      </w:r>
      <w:r w:rsidR="000732CC" w:rsidRPr="00796E2E">
        <w:rPr>
          <w:rFonts w:ascii="Tahoma" w:hAnsi="Tahoma" w:cs="Tahoma"/>
          <w:sz w:val="24"/>
          <w:szCs w:val="24"/>
        </w:rPr>
        <w:t xml:space="preserve"> lost </w:t>
      </w:r>
      <w:r w:rsidR="00647E48" w:rsidRPr="00796E2E">
        <w:rPr>
          <w:rFonts w:ascii="Tahoma" w:hAnsi="Tahoma" w:cs="Tahoma"/>
          <w:sz w:val="24"/>
          <w:szCs w:val="24"/>
        </w:rPr>
        <w:t>0</w:t>
      </w:r>
      <w:r w:rsidR="000732CC" w:rsidRPr="00796E2E">
        <w:rPr>
          <w:rFonts w:ascii="Tahoma" w:hAnsi="Tahoma" w:cs="Tahoma"/>
          <w:sz w:val="24"/>
          <w:szCs w:val="24"/>
        </w:rPr>
        <w:t>.</w:t>
      </w:r>
      <w:r w:rsidR="00647E48" w:rsidRPr="00796E2E">
        <w:rPr>
          <w:rFonts w:ascii="Tahoma" w:hAnsi="Tahoma" w:cs="Tahoma"/>
          <w:sz w:val="24"/>
          <w:szCs w:val="24"/>
        </w:rPr>
        <w:t>3</w:t>
      </w:r>
      <w:r w:rsidR="00C15C2B" w:rsidRPr="00796E2E">
        <w:rPr>
          <w:rFonts w:ascii="Tahoma" w:hAnsi="Tahoma" w:cs="Tahoma"/>
          <w:sz w:val="24"/>
          <w:szCs w:val="24"/>
        </w:rPr>
        <w:t>3</w:t>
      </w:r>
      <w:r w:rsidR="000732CC" w:rsidRPr="00796E2E">
        <w:rPr>
          <w:rFonts w:ascii="Tahoma" w:hAnsi="Tahoma" w:cs="Tahoma"/>
          <w:sz w:val="24"/>
          <w:szCs w:val="24"/>
        </w:rPr>
        <w:t xml:space="preserve">% </w:t>
      </w:r>
      <w:r w:rsidR="00B65977" w:rsidRPr="00796E2E">
        <w:rPr>
          <w:rFonts w:ascii="Tahoma" w:hAnsi="Tahoma" w:cs="Tahoma"/>
          <w:sz w:val="24"/>
          <w:szCs w:val="24"/>
        </w:rPr>
        <w:t xml:space="preserve">on </w:t>
      </w:r>
      <w:r w:rsidR="000732CC" w:rsidRPr="00796E2E">
        <w:rPr>
          <w:rFonts w:ascii="Tahoma" w:hAnsi="Tahoma" w:cs="Tahoma"/>
          <w:sz w:val="24"/>
          <w:szCs w:val="24"/>
        </w:rPr>
        <w:t>Yt</w:t>
      </w:r>
      <w:r w:rsidR="00C840CA" w:rsidRPr="00796E2E">
        <w:rPr>
          <w:rFonts w:ascii="Tahoma" w:hAnsi="Tahoma" w:cs="Tahoma"/>
          <w:sz w:val="24"/>
          <w:szCs w:val="24"/>
        </w:rPr>
        <w:t>D</w:t>
      </w:r>
      <w:r w:rsidR="000732CC" w:rsidRPr="00796E2E">
        <w:rPr>
          <w:rFonts w:ascii="Tahoma" w:hAnsi="Tahoma" w:cs="Tahoma"/>
          <w:sz w:val="24"/>
          <w:szCs w:val="24"/>
        </w:rPr>
        <w:t xml:space="preserve"> and </w:t>
      </w:r>
      <w:r w:rsidR="00647E48" w:rsidRPr="00796E2E">
        <w:rPr>
          <w:rFonts w:ascii="Tahoma" w:hAnsi="Tahoma" w:cs="Tahoma"/>
          <w:sz w:val="24"/>
          <w:szCs w:val="24"/>
        </w:rPr>
        <w:t>2</w:t>
      </w:r>
      <w:r w:rsidR="000732CC" w:rsidRPr="00796E2E">
        <w:rPr>
          <w:rFonts w:ascii="Tahoma" w:hAnsi="Tahoma" w:cs="Tahoma"/>
          <w:sz w:val="24"/>
          <w:szCs w:val="24"/>
        </w:rPr>
        <w:t>.</w:t>
      </w:r>
      <w:r w:rsidR="00647E48" w:rsidRPr="00796E2E">
        <w:rPr>
          <w:rFonts w:ascii="Tahoma" w:hAnsi="Tahoma" w:cs="Tahoma"/>
          <w:sz w:val="24"/>
          <w:szCs w:val="24"/>
        </w:rPr>
        <w:t>66</w:t>
      </w:r>
      <w:r w:rsidR="000732CC" w:rsidRPr="00796E2E">
        <w:rPr>
          <w:rFonts w:ascii="Tahoma" w:hAnsi="Tahoma" w:cs="Tahoma"/>
          <w:sz w:val="24"/>
          <w:szCs w:val="24"/>
        </w:rPr>
        <w:t xml:space="preserve">% YoY. Corn lost by </w:t>
      </w:r>
      <w:r w:rsidR="00647E48" w:rsidRPr="00796E2E">
        <w:rPr>
          <w:rFonts w:ascii="Tahoma" w:hAnsi="Tahoma" w:cs="Tahoma"/>
          <w:sz w:val="24"/>
          <w:szCs w:val="24"/>
        </w:rPr>
        <w:t>2</w:t>
      </w:r>
      <w:r w:rsidR="00C15C2B" w:rsidRPr="00796E2E">
        <w:rPr>
          <w:rFonts w:ascii="Tahoma" w:hAnsi="Tahoma" w:cs="Tahoma"/>
          <w:sz w:val="24"/>
          <w:szCs w:val="24"/>
        </w:rPr>
        <w:t>.</w:t>
      </w:r>
      <w:r w:rsidR="00647E48" w:rsidRPr="00796E2E">
        <w:rPr>
          <w:rFonts w:ascii="Tahoma" w:hAnsi="Tahoma" w:cs="Tahoma"/>
          <w:sz w:val="24"/>
          <w:szCs w:val="24"/>
        </w:rPr>
        <w:t>56</w:t>
      </w:r>
      <w:r w:rsidR="000732CC" w:rsidRPr="00796E2E">
        <w:rPr>
          <w:rFonts w:ascii="Tahoma" w:hAnsi="Tahoma" w:cs="Tahoma"/>
          <w:sz w:val="24"/>
          <w:szCs w:val="24"/>
        </w:rPr>
        <w:t>% Yt</w:t>
      </w:r>
      <w:r w:rsidR="00C840CA" w:rsidRPr="00796E2E">
        <w:rPr>
          <w:rFonts w:ascii="Tahoma" w:hAnsi="Tahoma" w:cs="Tahoma"/>
          <w:sz w:val="24"/>
          <w:szCs w:val="24"/>
        </w:rPr>
        <w:t>D</w:t>
      </w:r>
      <w:r w:rsidR="000732CC" w:rsidRPr="00796E2E">
        <w:rPr>
          <w:rFonts w:ascii="Tahoma" w:hAnsi="Tahoma" w:cs="Tahoma"/>
          <w:sz w:val="24"/>
          <w:szCs w:val="24"/>
        </w:rPr>
        <w:t xml:space="preserve"> and </w:t>
      </w:r>
      <w:r w:rsidR="00647E48" w:rsidRPr="00796E2E">
        <w:rPr>
          <w:rFonts w:ascii="Tahoma" w:hAnsi="Tahoma" w:cs="Tahoma"/>
          <w:sz w:val="24"/>
          <w:szCs w:val="24"/>
        </w:rPr>
        <w:t>29</w:t>
      </w:r>
      <w:r w:rsidR="000732CC" w:rsidRPr="00796E2E">
        <w:rPr>
          <w:rFonts w:ascii="Tahoma" w:hAnsi="Tahoma" w:cs="Tahoma"/>
          <w:sz w:val="24"/>
          <w:szCs w:val="24"/>
        </w:rPr>
        <w:t>.</w:t>
      </w:r>
      <w:r w:rsidR="00647E48" w:rsidRPr="00796E2E">
        <w:rPr>
          <w:rFonts w:ascii="Tahoma" w:hAnsi="Tahoma" w:cs="Tahoma"/>
          <w:sz w:val="24"/>
          <w:szCs w:val="24"/>
        </w:rPr>
        <w:t>76</w:t>
      </w:r>
      <w:r w:rsidR="000732CC" w:rsidRPr="00796E2E">
        <w:rPr>
          <w:rFonts w:ascii="Tahoma" w:hAnsi="Tahoma" w:cs="Tahoma"/>
          <w:sz w:val="24"/>
          <w:szCs w:val="24"/>
        </w:rPr>
        <w:t xml:space="preserve">% YoY. </w:t>
      </w:r>
      <w:r w:rsidR="00647E48" w:rsidRPr="00796E2E">
        <w:rPr>
          <w:rFonts w:ascii="Tahoma" w:hAnsi="Tahoma" w:cs="Tahoma"/>
          <w:sz w:val="24"/>
          <w:szCs w:val="24"/>
        </w:rPr>
        <w:t xml:space="preserve">Soyabeans lost by 7.05% on YtD and 20.66% on YoY. </w:t>
      </w:r>
      <w:r w:rsidR="000732CC" w:rsidRPr="00796E2E">
        <w:rPr>
          <w:rFonts w:ascii="Tahoma" w:hAnsi="Tahoma" w:cs="Tahoma"/>
          <w:i/>
          <w:iCs/>
          <w:sz w:val="24"/>
          <w:szCs w:val="24"/>
        </w:rPr>
        <w:t>Cotton</w:t>
      </w:r>
      <w:r w:rsidR="00E724A6" w:rsidRPr="00796E2E">
        <w:rPr>
          <w:rFonts w:ascii="Tahoma" w:hAnsi="Tahoma" w:cs="Tahoma"/>
          <w:i/>
          <w:iCs/>
          <w:sz w:val="24"/>
          <w:szCs w:val="24"/>
        </w:rPr>
        <w:t xml:space="preserve">, </w:t>
      </w:r>
      <w:r w:rsidR="000732CC" w:rsidRPr="00796E2E">
        <w:rPr>
          <w:rFonts w:ascii="Tahoma" w:hAnsi="Tahoma" w:cs="Tahoma"/>
          <w:i/>
          <w:iCs/>
          <w:sz w:val="24"/>
          <w:szCs w:val="24"/>
        </w:rPr>
        <w:t>corn</w:t>
      </w:r>
      <w:r w:rsidR="00E724A6" w:rsidRPr="00796E2E">
        <w:rPr>
          <w:rFonts w:ascii="Tahoma" w:hAnsi="Tahoma" w:cs="Tahoma"/>
          <w:i/>
          <w:iCs/>
          <w:sz w:val="24"/>
          <w:szCs w:val="24"/>
        </w:rPr>
        <w:t>,</w:t>
      </w:r>
      <w:r w:rsidR="00647E48" w:rsidRPr="00796E2E">
        <w:rPr>
          <w:rFonts w:ascii="Tahoma" w:hAnsi="Tahoma" w:cs="Tahoma"/>
          <w:i/>
          <w:iCs/>
          <w:sz w:val="24"/>
          <w:szCs w:val="24"/>
        </w:rPr>
        <w:t xml:space="preserve"> soyabeans</w:t>
      </w:r>
      <w:r w:rsidR="00E724A6" w:rsidRPr="00796E2E">
        <w:rPr>
          <w:rFonts w:ascii="Tahoma" w:hAnsi="Tahoma" w:cs="Tahoma"/>
          <w:i/>
          <w:iCs/>
          <w:sz w:val="24"/>
          <w:szCs w:val="24"/>
        </w:rPr>
        <w:t xml:space="preserve"> and wheat</w:t>
      </w:r>
      <w:r w:rsidR="000732CC" w:rsidRPr="00796E2E">
        <w:rPr>
          <w:rFonts w:ascii="Tahoma" w:hAnsi="Tahoma" w:cs="Tahoma"/>
          <w:i/>
          <w:iCs/>
          <w:sz w:val="24"/>
          <w:szCs w:val="24"/>
        </w:rPr>
        <w:t xml:space="preserve"> prices prospects are discouraging</w:t>
      </w:r>
      <w:r w:rsidR="00C840CA" w:rsidRPr="00796E2E">
        <w:rPr>
          <w:rFonts w:ascii="Tahoma" w:hAnsi="Tahoma" w:cs="Tahoma"/>
          <w:i/>
          <w:iCs/>
          <w:sz w:val="24"/>
          <w:szCs w:val="24"/>
        </w:rPr>
        <w:t xml:space="preserve"> for the country’s agricultural sector growth prospects.</w:t>
      </w:r>
      <w:r w:rsidR="00C840CA" w:rsidRPr="00796E2E">
        <w:rPr>
          <w:rFonts w:ascii="Tahoma" w:hAnsi="Tahoma" w:cs="Tahoma"/>
          <w:sz w:val="24"/>
          <w:szCs w:val="24"/>
        </w:rPr>
        <w:t xml:space="preserve"> </w:t>
      </w:r>
      <w:r w:rsidR="003E051C" w:rsidRPr="00796E2E">
        <w:rPr>
          <w:rFonts w:ascii="Tahoma" w:hAnsi="Tahoma" w:cs="Tahoma"/>
          <w:sz w:val="24"/>
          <w:szCs w:val="24"/>
        </w:rPr>
        <w:t xml:space="preserve"> </w:t>
      </w:r>
    </w:p>
    <w:p w14:paraId="3C77A5B8" w14:textId="77777777" w:rsidR="00AB665D" w:rsidRPr="00D01B59" w:rsidRDefault="004F680D" w:rsidP="004F680D">
      <w:pPr>
        <w:ind w:left="720" w:hanging="720"/>
        <w:jc w:val="both"/>
        <w:rPr>
          <w:rFonts w:ascii="Tahoma" w:hAnsi="Tahoma" w:cs="Tahoma"/>
          <w:i/>
          <w:iCs/>
          <w:sz w:val="24"/>
          <w:szCs w:val="24"/>
        </w:rPr>
      </w:pPr>
      <w:r w:rsidRPr="00796E2E">
        <w:rPr>
          <w:rFonts w:ascii="Tahoma" w:hAnsi="Tahoma" w:cs="Tahoma"/>
          <w:sz w:val="24"/>
          <w:szCs w:val="24"/>
        </w:rPr>
        <w:t>2.4</w:t>
      </w:r>
      <w:r w:rsidRPr="00796E2E">
        <w:rPr>
          <w:rFonts w:ascii="Tahoma" w:hAnsi="Tahoma" w:cs="Tahoma"/>
          <w:sz w:val="24"/>
          <w:szCs w:val="24"/>
        </w:rPr>
        <w:tab/>
      </w:r>
      <w:r w:rsidR="000732CC" w:rsidRPr="00796E2E">
        <w:rPr>
          <w:rFonts w:ascii="Tahoma" w:hAnsi="Tahoma" w:cs="Tahoma"/>
          <w:sz w:val="24"/>
          <w:szCs w:val="24"/>
        </w:rPr>
        <w:t xml:space="preserve">On a </w:t>
      </w:r>
      <w:r w:rsidR="006503EF" w:rsidRPr="00796E2E">
        <w:rPr>
          <w:rFonts w:ascii="Tahoma" w:hAnsi="Tahoma" w:cs="Tahoma"/>
          <w:sz w:val="24"/>
          <w:szCs w:val="24"/>
        </w:rPr>
        <w:t xml:space="preserve">monthly </w:t>
      </w:r>
      <w:r w:rsidR="000732CC" w:rsidRPr="00796E2E">
        <w:rPr>
          <w:rFonts w:ascii="Tahoma" w:hAnsi="Tahoma" w:cs="Tahoma"/>
          <w:sz w:val="24"/>
          <w:szCs w:val="24"/>
        </w:rPr>
        <w:t>basis,</w:t>
      </w:r>
      <w:r w:rsidR="006503EF" w:rsidRPr="00796E2E">
        <w:rPr>
          <w:rFonts w:ascii="Tahoma" w:hAnsi="Tahoma" w:cs="Tahoma"/>
          <w:sz w:val="24"/>
          <w:szCs w:val="24"/>
        </w:rPr>
        <w:t xml:space="preserve"> </w:t>
      </w:r>
      <w:r w:rsidR="000E0195" w:rsidRPr="00796E2E">
        <w:rPr>
          <w:rFonts w:ascii="Tahoma" w:hAnsi="Tahoma" w:cs="Tahoma"/>
          <w:sz w:val="24"/>
          <w:szCs w:val="24"/>
        </w:rPr>
        <w:t>natural gas</w:t>
      </w:r>
      <w:r w:rsidR="006503EF" w:rsidRPr="00796E2E">
        <w:rPr>
          <w:rFonts w:ascii="Tahoma" w:hAnsi="Tahoma" w:cs="Tahoma"/>
          <w:sz w:val="24"/>
          <w:szCs w:val="24"/>
        </w:rPr>
        <w:t xml:space="preserve">, </w:t>
      </w:r>
      <w:r w:rsidR="00796E2E" w:rsidRPr="00796E2E">
        <w:rPr>
          <w:rFonts w:ascii="Tahoma" w:hAnsi="Tahoma" w:cs="Tahoma"/>
          <w:sz w:val="24"/>
          <w:szCs w:val="24"/>
        </w:rPr>
        <w:t>aluminium</w:t>
      </w:r>
      <w:r w:rsidR="006503EF" w:rsidRPr="00796E2E">
        <w:rPr>
          <w:rFonts w:ascii="Tahoma" w:hAnsi="Tahoma" w:cs="Tahoma"/>
          <w:sz w:val="24"/>
          <w:szCs w:val="24"/>
        </w:rPr>
        <w:t>,</w:t>
      </w:r>
      <w:r w:rsidR="000732CC" w:rsidRPr="00796E2E">
        <w:rPr>
          <w:rFonts w:ascii="Tahoma" w:hAnsi="Tahoma" w:cs="Tahoma"/>
          <w:sz w:val="24"/>
          <w:szCs w:val="24"/>
        </w:rPr>
        <w:t xml:space="preserve"> copper</w:t>
      </w:r>
      <w:r w:rsidR="006503EF" w:rsidRPr="00796E2E">
        <w:rPr>
          <w:rFonts w:ascii="Tahoma" w:hAnsi="Tahoma" w:cs="Tahoma"/>
          <w:sz w:val="24"/>
          <w:szCs w:val="24"/>
        </w:rPr>
        <w:t>,</w:t>
      </w:r>
      <w:r w:rsidR="000E0195" w:rsidRPr="00796E2E">
        <w:rPr>
          <w:rFonts w:ascii="Tahoma" w:hAnsi="Tahoma" w:cs="Tahoma"/>
          <w:sz w:val="24"/>
          <w:szCs w:val="24"/>
        </w:rPr>
        <w:t xml:space="preserve"> nickel,</w:t>
      </w:r>
      <w:r w:rsidR="000732CC" w:rsidRPr="00796E2E">
        <w:rPr>
          <w:rFonts w:ascii="Tahoma" w:hAnsi="Tahoma" w:cs="Tahoma"/>
          <w:sz w:val="24"/>
          <w:szCs w:val="24"/>
        </w:rPr>
        <w:t xml:space="preserve"> gold</w:t>
      </w:r>
      <w:r w:rsidR="006503EF" w:rsidRPr="00796E2E">
        <w:rPr>
          <w:rFonts w:ascii="Tahoma" w:hAnsi="Tahoma" w:cs="Tahoma"/>
          <w:sz w:val="24"/>
          <w:szCs w:val="24"/>
        </w:rPr>
        <w:t>,</w:t>
      </w:r>
      <w:r w:rsidR="000E0195" w:rsidRPr="00796E2E">
        <w:rPr>
          <w:rFonts w:ascii="Tahoma" w:hAnsi="Tahoma" w:cs="Tahoma"/>
          <w:sz w:val="24"/>
          <w:szCs w:val="24"/>
        </w:rPr>
        <w:t xml:space="preserve"> </w:t>
      </w:r>
      <w:r w:rsidR="00796E2E" w:rsidRPr="00796E2E">
        <w:rPr>
          <w:rFonts w:ascii="Tahoma" w:hAnsi="Tahoma" w:cs="Tahoma"/>
          <w:sz w:val="24"/>
          <w:szCs w:val="24"/>
        </w:rPr>
        <w:t>corn,</w:t>
      </w:r>
      <w:r w:rsidR="000732CC" w:rsidRPr="00796E2E">
        <w:rPr>
          <w:rFonts w:ascii="Tahoma" w:hAnsi="Tahoma" w:cs="Tahoma"/>
          <w:sz w:val="24"/>
          <w:szCs w:val="24"/>
        </w:rPr>
        <w:t xml:space="preserve"> </w:t>
      </w:r>
      <w:r w:rsidR="000E0195" w:rsidRPr="00796E2E">
        <w:rPr>
          <w:rFonts w:ascii="Tahoma" w:hAnsi="Tahoma" w:cs="Tahoma"/>
          <w:sz w:val="24"/>
          <w:szCs w:val="24"/>
        </w:rPr>
        <w:t xml:space="preserve">and wheat </w:t>
      </w:r>
      <w:r w:rsidR="000732CC" w:rsidRPr="00796E2E">
        <w:rPr>
          <w:rFonts w:ascii="Tahoma" w:hAnsi="Tahoma" w:cs="Tahoma"/>
          <w:sz w:val="24"/>
          <w:szCs w:val="24"/>
        </w:rPr>
        <w:t>recorded gains while</w:t>
      </w:r>
      <w:r w:rsidR="000E0195" w:rsidRPr="00796E2E">
        <w:rPr>
          <w:rFonts w:ascii="Tahoma" w:hAnsi="Tahoma" w:cs="Tahoma"/>
          <w:sz w:val="24"/>
          <w:szCs w:val="24"/>
        </w:rPr>
        <w:t xml:space="preserve"> Crude oil</w:t>
      </w:r>
      <w:r w:rsidR="00E943B5" w:rsidRPr="00796E2E">
        <w:rPr>
          <w:rFonts w:ascii="Tahoma" w:hAnsi="Tahoma" w:cs="Tahoma"/>
          <w:sz w:val="24"/>
          <w:szCs w:val="24"/>
        </w:rPr>
        <w:t xml:space="preserve"> (Brent)</w:t>
      </w:r>
      <w:r w:rsidR="000E0195" w:rsidRPr="00796E2E">
        <w:rPr>
          <w:rFonts w:ascii="Tahoma" w:hAnsi="Tahoma" w:cs="Tahoma"/>
          <w:sz w:val="24"/>
          <w:szCs w:val="24"/>
        </w:rPr>
        <w:t>, cotton and soyabeans</w:t>
      </w:r>
      <w:r w:rsidR="000732CC" w:rsidRPr="00796E2E">
        <w:rPr>
          <w:rFonts w:ascii="Tahoma" w:hAnsi="Tahoma" w:cs="Tahoma"/>
          <w:sz w:val="24"/>
          <w:szCs w:val="24"/>
        </w:rPr>
        <w:t xml:space="preserve"> re</w:t>
      </w:r>
      <w:r w:rsidRPr="00796E2E">
        <w:rPr>
          <w:rFonts w:ascii="Tahoma" w:hAnsi="Tahoma" w:cs="Tahoma"/>
          <w:sz w:val="24"/>
          <w:szCs w:val="24"/>
        </w:rPr>
        <w:t>corded losses as Shown in Table 2</w:t>
      </w:r>
      <w:r w:rsidR="000732CC" w:rsidRPr="00796E2E">
        <w:rPr>
          <w:rFonts w:ascii="Tahoma" w:hAnsi="Tahoma" w:cs="Tahoma"/>
          <w:sz w:val="24"/>
          <w:szCs w:val="24"/>
        </w:rPr>
        <w:t xml:space="preserve">. </w:t>
      </w:r>
      <w:bookmarkStart w:id="17" w:name="_Hlk164071685"/>
    </w:p>
    <w:p w14:paraId="551D5344" w14:textId="77777777" w:rsidR="00EF37FE" w:rsidRPr="00796E2E" w:rsidRDefault="009F5CE5" w:rsidP="0001510C">
      <w:pPr>
        <w:pStyle w:val="ListofTables"/>
      </w:pPr>
      <w:bookmarkStart w:id="18" w:name="_Toc164072363"/>
      <w:bookmarkStart w:id="19" w:name="_Toc166658890"/>
      <w:bookmarkStart w:id="20" w:name="_Toc168306902"/>
      <w:bookmarkEnd w:id="17"/>
      <w:r w:rsidRPr="00796E2E">
        <w:t xml:space="preserve">Table </w:t>
      </w:r>
      <w:r w:rsidRPr="00796E2E">
        <w:fldChar w:fldCharType="begin"/>
      </w:r>
      <w:r w:rsidRPr="00796E2E">
        <w:instrText xml:space="preserve"> SEQ Table \* ARABIC </w:instrText>
      </w:r>
      <w:r w:rsidRPr="00796E2E">
        <w:fldChar w:fldCharType="separate"/>
      </w:r>
      <w:r w:rsidR="00D30418" w:rsidRPr="00796E2E">
        <w:t>2</w:t>
      </w:r>
      <w:r w:rsidRPr="00796E2E">
        <w:fldChar w:fldCharType="end"/>
      </w:r>
      <w:r w:rsidRPr="00796E2E">
        <w:t xml:space="preserve">: Commodity Price Movements – </w:t>
      </w:r>
      <w:r w:rsidR="00761C54" w:rsidRPr="00796E2E">
        <w:t>Month</w:t>
      </w:r>
      <w:r w:rsidRPr="00796E2E">
        <w:t xml:space="preserve"> Ending </w:t>
      </w:r>
      <w:r w:rsidR="009F03CB" w:rsidRPr="00796E2E">
        <w:t>30</w:t>
      </w:r>
      <w:r w:rsidRPr="00796E2E">
        <w:t xml:space="preserve"> </w:t>
      </w:r>
      <w:r w:rsidR="009F03CB" w:rsidRPr="00796E2E">
        <w:t>April</w:t>
      </w:r>
      <w:r w:rsidRPr="00796E2E">
        <w:t xml:space="preserve"> 202</w:t>
      </w:r>
      <w:r w:rsidR="007A3D03" w:rsidRPr="00796E2E">
        <w:t>4</w:t>
      </w:r>
      <w:bookmarkEnd w:id="18"/>
      <w:bookmarkEnd w:id="19"/>
      <w:bookmarkEnd w:id="20"/>
    </w:p>
    <w:p w14:paraId="61104638" w14:textId="7E503880" w:rsidR="00EF37FE" w:rsidRPr="00796E2E" w:rsidRDefault="00C64199" w:rsidP="0076325F">
      <w:pPr>
        <w:spacing w:after="0"/>
        <w:rPr>
          <w:rFonts w:ascii="Tahoma" w:hAnsi="Tahoma" w:cs="Tahoma"/>
          <w:sz w:val="24"/>
          <w:szCs w:val="24"/>
        </w:rPr>
      </w:pPr>
      <w:r w:rsidRPr="00C86244">
        <w:rPr>
          <w:noProof/>
        </w:rPr>
        <w:drawing>
          <wp:inline distT="0" distB="0" distL="0" distR="0" wp14:anchorId="2721F636" wp14:editId="26B81026">
            <wp:extent cx="5734050" cy="1981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a:noFill/>
                    </a:ln>
                  </pic:spPr>
                </pic:pic>
              </a:graphicData>
            </a:graphic>
          </wp:inline>
        </w:drawing>
      </w:r>
    </w:p>
    <w:p w14:paraId="4862CF79" w14:textId="77777777" w:rsidR="00EF37FE" w:rsidRPr="00796E2E" w:rsidRDefault="00EF37FE">
      <w:pPr>
        <w:rPr>
          <w:rFonts w:ascii="Tahoma" w:hAnsi="Tahoma" w:cs="Tahoma"/>
          <w:i/>
          <w:sz w:val="24"/>
          <w:szCs w:val="24"/>
        </w:rPr>
      </w:pPr>
      <w:r w:rsidRPr="00796E2E">
        <w:rPr>
          <w:rFonts w:ascii="Tahoma" w:hAnsi="Tahoma" w:cs="Tahoma"/>
          <w:i/>
          <w:sz w:val="24"/>
          <w:szCs w:val="24"/>
        </w:rPr>
        <w:t xml:space="preserve">Source: </w:t>
      </w:r>
      <w:r w:rsidR="006B3019" w:rsidRPr="00796E2E">
        <w:rPr>
          <w:rFonts w:ascii="Tahoma" w:hAnsi="Tahoma" w:cs="Tahoma"/>
          <w:i/>
          <w:sz w:val="24"/>
          <w:szCs w:val="24"/>
        </w:rPr>
        <w:t>Trading Economics (202</w:t>
      </w:r>
      <w:r w:rsidR="00431F13" w:rsidRPr="00796E2E">
        <w:rPr>
          <w:rFonts w:ascii="Tahoma" w:hAnsi="Tahoma" w:cs="Tahoma"/>
          <w:i/>
          <w:sz w:val="24"/>
          <w:szCs w:val="24"/>
        </w:rPr>
        <w:t>4</w:t>
      </w:r>
      <w:r w:rsidR="006B3019" w:rsidRPr="00796E2E">
        <w:rPr>
          <w:rFonts w:ascii="Tahoma" w:hAnsi="Tahoma" w:cs="Tahoma"/>
          <w:i/>
          <w:sz w:val="24"/>
          <w:szCs w:val="24"/>
        </w:rPr>
        <w:t>)</w:t>
      </w:r>
    </w:p>
    <w:p w14:paraId="11BE3BD6" w14:textId="77777777" w:rsidR="00EF37FE" w:rsidRPr="00796E2E" w:rsidRDefault="004F680D" w:rsidP="0006717B">
      <w:pPr>
        <w:pStyle w:val="Heading1"/>
        <w:spacing w:before="0" w:after="240"/>
      </w:pPr>
      <w:bookmarkStart w:id="21" w:name="_Toc166607893"/>
      <w:bookmarkStart w:id="22" w:name="_Toc168317168"/>
      <w:r w:rsidRPr="00796E2E">
        <w:t>3.0</w:t>
      </w:r>
      <w:r w:rsidRPr="00796E2E">
        <w:tab/>
      </w:r>
      <w:r w:rsidR="00476766" w:rsidRPr="00796E2E">
        <w:t>Zimbabwe GDP Growth Update</w:t>
      </w:r>
      <w:bookmarkEnd w:id="21"/>
      <w:bookmarkEnd w:id="22"/>
      <w:r w:rsidR="00476766" w:rsidRPr="00796E2E">
        <w:t xml:space="preserve"> </w:t>
      </w:r>
      <w:r w:rsidR="00EF37FE" w:rsidRPr="00796E2E">
        <w:t xml:space="preserve"> </w:t>
      </w:r>
    </w:p>
    <w:p w14:paraId="4A0A4347" w14:textId="77777777" w:rsidR="0076325F" w:rsidRPr="00796E2E" w:rsidRDefault="004F680D" w:rsidP="00056CEF">
      <w:pPr>
        <w:ind w:left="720" w:hanging="720"/>
        <w:jc w:val="both"/>
        <w:rPr>
          <w:rFonts w:ascii="Tahoma" w:hAnsi="Tahoma" w:cs="Tahoma"/>
          <w:kern w:val="0"/>
          <w:sz w:val="24"/>
          <w:szCs w:val="24"/>
          <w:lang w:eastAsia="en-ZW"/>
        </w:rPr>
      </w:pPr>
      <w:r w:rsidRPr="00796E2E">
        <w:rPr>
          <w:rFonts w:ascii="Tahoma" w:hAnsi="Tahoma" w:cs="Tahoma"/>
          <w:sz w:val="24"/>
          <w:szCs w:val="24"/>
        </w:rPr>
        <w:t>3.1</w:t>
      </w:r>
      <w:r w:rsidRPr="00796E2E">
        <w:rPr>
          <w:rFonts w:ascii="Tahoma" w:hAnsi="Tahoma" w:cs="Tahoma"/>
          <w:sz w:val="24"/>
          <w:szCs w:val="24"/>
        </w:rPr>
        <w:tab/>
      </w:r>
      <w:r w:rsidR="00C94F65" w:rsidRPr="00796E2E">
        <w:rPr>
          <w:rFonts w:ascii="Tahoma" w:hAnsi="Tahoma" w:cs="Tahoma"/>
          <w:kern w:val="0"/>
          <w:sz w:val="24"/>
          <w:szCs w:val="24"/>
          <w:lang w:eastAsia="en-ZW"/>
        </w:rPr>
        <w:t xml:space="preserve">According to the 2024 </w:t>
      </w:r>
      <w:r w:rsidR="00A5720C" w:rsidRPr="00796E2E">
        <w:rPr>
          <w:rFonts w:ascii="Tahoma" w:hAnsi="Tahoma" w:cs="Tahoma"/>
          <w:kern w:val="0"/>
          <w:sz w:val="24"/>
          <w:szCs w:val="24"/>
          <w:lang w:eastAsia="en-ZW"/>
        </w:rPr>
        <w:t>Monetary Policy</w:t>
      </w:r>
      <w:r w:rsidR="00C94F65" w:rsidRPr="00796E2E">
        <w:rPr>
          <w:rFonts w:ascii="Tahoma" w:hAnsi="Tahoma" w:cs="Tahoma"/>
          <w:kern w:val="0"/>
          <w:sz w:val="24"/>
          <w:szCs w:val="24"/>
          <w:lang w:eastAsia="en-ZW"/>
        </w:rPr>
        <w:t xml:space="preserve"> Statement, Zimbabwe's GDP is anticipated to increase by 3.5% in 2024, </w:t>
      </w:r>
      <w:r w:rsidR="0085444B" w:rsidRPr="00796E2E">
        <w:rPr>
          <w:rFonts w:ascii="Tahoma" w:hAnsi="Tahoma" w:cs="Tahoma"/>
          <w:kern w:val="0"/>
          <w:sz w:val="24"/>
          <w:szCs w:val="24"/>
          <w:lang w:eastAsia="en-ZW"/>
        </w:rPr>
        <w:t>higher</w:t>
      </w:r>
      <w:r w:rsidR="00C94F65" w:rsidRPr="00796E2E">
        <w:rPr>
          <w:rFonts w:ascii="Tahoma" w:hAnsi="Tahoma" w:cs="Tahoma"/>
          <w:kern w:val="0"/>
          <w:sz w:val="24"/>
          <w:szCs w:val="24"/>
          <w:lang w:eastAsia="en-ZW"/>
        </w:rPr>
        <w:t xml:space="preserve"> than the IMF's</w:t>
      </w:r>
      <w:r w:rsidR="0085444B" w:rsidRPr="00796E2E">
        <w:rPr>
          <w:rFonts w:ascii="Tahoma" w:hAnsi="Tahoma" w:cs="Tahoma"/>
          <w:kern w:val="0"/>
          <w:sz w:val="24"/>
          <w:szCs w:val="24"/>
          <w:lang w:eastAsia="en-ZW"/>
        </w:rPr>
        <w:t xml:space="preserve"> WEO April 2024 update</w:t>
      </w:r>
      <w:r w:rsidR="00C94F65" w:rsidRPr="00796E2E">
        <w:rPr>
          <w:rFonts w:ascii="Tahoma" w:hAnsi="Tahoma" w:cs="Tahoma"/>
          <w:kern w:val="0"/>
          <w:sz w:val="24"/>
          <w:szCs w:val="24"/>
          <w:lang w:eastAsia="en-ZW"/>
        </w:rPr>
        <w:t xml:space="preserve"> projection of </w:t>
      </w:r>
      <w:r w:rsidR="0085444B" w:rsidRPr="00796E2E">
        <w:rPr>
          <w:rFonts w:ascii="Tahoma" w:hAnsi="Tahoma" w:cs="Tahoma"/>
          <w:kern w:val="0"/>
          <w:sz w:val="24"/>
          <w:szCs w:val="24"/>
          <w:lang w:eastAsia="en-ZW"/>
        </w:rPr>
        <w:t>3.2</w:t>
      </w:r>
      <w:r w:rsidR="00C94F65" w:rsidRPr="00796E2E">
        <w:rPr>
          <w:rFonts w:ascii="Tahoma" w:hAnsi="Tahoma" w:cs="Tahoma"/>
          <w:kern w:val="0"/>
          <w:sz w:val="24"/>
          <w:szCs w:val="24"/>
          <w:lang w:eastAsia="en-ZW"/>
        </w:rPr>
        <w:t xml:space="preserve">% </w:t>
      </w:r>
      <w:r w:rsidR="0076325F" w:rsidRPr="00796E2E">
        <w:rPr>
          <w:rFonts w:ascii="Tahoma" w:hAnsi="Tahoma" w:cs="Tahoma"/>
          <w:kern w:val="0"/>
          <w:sz w:val="24"/>
          <w:szCs w:val="24"/>
          <w:lang w:eastAsia="en-ZW"/>
        </w:rPr>
        <w:t xml:space="preserve">as shown in </w:t>
      </w:r>
      <w:r w:rsidR="00C94F65" w:rsidRPr="00796E2E">
        <w:rPr>
          <w:rFonts w:ascii="Tahoma" w:hAnsi="Tahoma" w:cs="Tahoma"/>
          <w:kern w:val="0"/>
          <w:sz w:val="24"/>
          <w:szCs w:val="24"/>
          <w:lang w:eastAsia="en-ZW"/>
        </w:rPr>
        <w:t xml:space="preserve">Figure 2. </w:t>
      </w:r>
    </w:p>
    <w:p w14:paraId="06C3E006" w14:textId="77777777" w:rsidR="00F94586" w:rsidRPr="00796E2E" w:rsidRDefault="009F5CE5" w:rsidP="0001510C">
      <w:pPr>
        <w:pStyle w:val="ListofFigures"/>
        <w:rPr>
          <w:noProof w:val="0"/>
        </w:rPr>
      </w:pPr>
      <w:bookmarkStart w:id="23" w:name="_Toc166608988"/>
      <w:bookmarkStart w:id="24" w:name="_Toc168306921"/>
      <w:bookmarkStart w:id="25" w:name="_Toc168317337"/>
      <w:r w:rsidRPr="00796E2E">
        <w:rPr>
          <w:noProof w:val="0"/>
        </w:rPr>
        <w:t xml:space="preserve">Figure </w:t>
      </w:r>
      <w:r w:rsidRPr="00796E2E">
        <w:rPr>
          <w:noProof w:val="0"/>
        </w:rPr>
        <w:fldChar w:fldCharType="begin"/>
      </w:r>
      <w:r w:rsidRPr="00796E2E">
        <w:rPr>
          <w:noProof w:val="0"/>
        </w:rPr>
        <w:instrText xml:space="preserve"> SEQ Figure \* ARABIC </w:instrText>
      </w:r>
      <w:r w:rsidRPr="00796E2E">
        <w:rPr>
          <w:noProof w:val="0"/>
        </w:rPr>
        <w:fldChar w:fldCharType="separate"/>
      </w:r>
      <w:r w:rsidR="0080107D">
        <w:t>2</w:t>
      </w:r>
      <w:r w:rsidRPr="00796E2E">
        <w:rPr>
          <w:noProof w:val="0"/>
        </w:rPr>
        <w:fldChar w:fldCharType="end"/>
      </w:r>
      <w:r w:rsidRPr="00796E2E">
        <w:rPr>
          <w:noProof w:val="0"/>
        </w:rPr>
        <w:t>: Zimbabwe Economic Growth Prospects</w:t>
      </w:r>
      <w:bookmarkEnd w:id="23"/>
      <w:bookmarkEnd w:id="24"/>
      <w:bookmarkEnd w:id="25"/>
    </w:p>
    <w:p w14:paraId="237608DE" w14:textId="221692FA" w:rsidR="00CC5C99" w:rsidRPr="00796E2E" w:rsidRDefault="00C64199" w:rsidP="0076540F">
      <w:pPr>
        <w:spacing w:after="0"/>
        <w:rPr>
          <w:rFonts w:ascii="Tahoma" w:hAnsi="Tahoma" w:cs="Tahoma"/>
          <w:sz w:val="24"/>
          <w:szCs w:val="24"/>
        </w:rPr>
      </w:pPr>
      <w:r w:rsidRPr="00031724">
        <w:rPr>
          <w:rFonts w:ascii="Tahoma" w:hAnsi="Tahoma" w:cs="Tahoma"/>
          <w:noProof/>
          <w:sz w:val="24"/>
          <w:szCs w:val="24"/>
        </w:rPr>
        <w:drawing>
          <wp:inline distT="0" distB="0" distL="0" distR="0" wp14:anchorId="5CEF4ABC" wp14:editId="0ED1CF9E">
            <wp:extent cx="5781675" cy="2752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752725"/>
                    </a:xfrm>
                    <a:prstGeom prst="rect">
                      <a:avLst/>
                    </a:prstGeom>
                    <a:noFill/>
                    <a:ln>
                      <a:noFill/>
                    </a:ln>
                  </pic:spPr>
                </pic:pic>
              </a:graphicData>
            </a:graphic>
          </wp:inline>
        </w:drawing>
      </w:r>
    </w:p>
    <w:p w14:paraId="023EF974" w14:textId="77777777" w:rsidR="0076540F" w:rsidRPr="00796E2E" w:rsidRDefault="0076540F">
      <w:pPr>
        <w:rPr>
          <w:rFonts w:ascii="Tahoma" w:hAnsi="Tahoma" w:cs="Tahoma"/>
          <w:i/>
          <w:sz w:val="24"/>
          <w:szCs w:val="24"/>
        </w:rPr>
      </w:pPr>
      <w:r w:rsidRPr="00796E2E">
        <w:rPr>
          <w:rFonts w:ascii="Tahoma" w:hAnsi="Tahoma" w:cs="Tahoma"/>
          <w:i/>
          <w:sz w:val="24"/>
          <w:szCs w:val="24"/>
        </w:rPr>
        <w:t xml:space="preserve">Source: </w:t>
      </w:r>
      <w:r w:rsidR="00B1678A" w:rsidRPr="00796E2E">
        <w:rPr>
          <w:rFonts w:ascii="Tahoma" w:hAnsi="Tahoma" w:cs="Tahoma"/>
          <w:i/>
          <w:sz w:val="24"/>
          <w:szCs w:val="24"/>
        </w:rPr>
        <w:t>MoFED</w:t>
      </w:r>
      <w:r w:rsidR="0006717B">
        <w:rPr>
          <w:rFonts w:ascii="Tahoma" w:hAnsi="Tahoma" w:cs="Tahoma"/>
          <w:i/>
          <w:sz w:val="24"/>
          <w:szCs w:val="24"/>
        </w:rPr>
        <w:t>&amp;</w:t>
      </w:r>
      <w:r w:rsidR="003D0C8C" w:rsidRPr="00796E2E">
        <w:rPr>
          <w:rFonts w:ascii="Tahoma" w:hAnsi="Tahoma" w:cs="Tahoma"/>
          <w:i/>
          <w:sz w:val="24"/>
          <w:szCs w:val="24"/>
        </w:rPr>
        <w:t>IP</w:t>
      </w:r>
      <w:r w:rsidR="00B1678A" w:rsidRPr="00796E2E">
        <w:rPr>
          <w:rFonts w:ascii="Tahoma" w:hAnsi="Tahoma" w:cs="Tahoma"/>
          <w:i/>
          <w:sz w:val="24"/>
          <w:szCs w:val="24"/>
        </w:rPr>
        <w:t xml:space="preserve"> (202</w:t>
      </w:r>
      <w:r w:rsidR="00287F5F" w:rsidRPr="00796E2E">
        <w:rPr>
          <w:rFonts w:ascii="Tahoma" w:hAnsi="Tahoma" w:cs="Tahoma"/>
          <w:i/>
          <w:sz w:val="24"/>
          <w:szCs w:val="24"/>
        </w:rPr>
        <w:t>4</w:t>
      </w:r>
      <w:r w:rsidR="00B1678A" w:rsidRPr="00796E2E">
        <w:rPr>
          <w:rFonts w:ascii="Tahoma" w:hAnsi="Tahoma" w:cs="Tahoma"/>
          <w:i/>
          <w:sz w:val="24"/>
          <w:szCs w:val="24"/>
        </w:rPr>
        <w:t>); IMF W</w:t>
      </w:r>
      <w:r w:rsidR="008174D1" w:rsidRPr="00796E2E">
        <w:rPr>
          <w:rFonts w:ascii="Tahoma" w:hAnsi="Tahoma" w:cs="Tahoma"/>
          <w:i/>
          <w:sz w:val="24"/>
          <w:szCs w:val="24"/>
        </w:rPr>
        <w:t>EO</w:t>
      </w:r>
      <w:r w:rsidR="00B1678A" w:rsidRPr="00796E2E">
        <w:rPr>
          <w:rFonts w:ascii="Tahoma" w:hAnsi="Tahoma" w:cs="Tahoma"/>
          <w:i/>
          <w:sz w:val="24"/>
          <w:szCs w:val="24"/>
        </w:rPr>
        <w:t xml:space="preserve"> Update</w:t>
      </w:r>
      <w:r w:rsidR="009044CB">
        <w:rPr>
          <w:rFonts w:ascii="Tahoma" w:hAnsi="Tahoma" w:cs="Tahoma"/>
          <w:i/>
          <w:sz w:val="24"/>
          <w:szCs w:val="24"/>
        </w:rPr>
        <w:t>s</w:t>
      </w:r>
      <w:r w:rsidR="00B1678A" w:rsidRPr="00796E2E">
        <w:rPr>
          <w:rFonts w:ascii="Tahoma" w:hAnsi="Tahoma" w:cs="Tahoma"/>
          <w:i/>
          <w:sz w:val="24"/>
          <w:szCs w:val="24"/>
        </w:rPr>
        <w:t xml:space="preserve"> (</w:t>
      </w:r>
      <w:r w:rsidR="00287F5F" w:rsidRPr="00796E2E">
        <w:rPr>
          <w:rFonts w:ascii="Tahoma" w:hAnsi="Tahoma" w:cs="Tahoma"/>
          <w:i/>
          <w:sz w:val="24"/>
          <w:szCs w:val="24"/>
        </w:rPr>
        <w:t>January</w:t>
      </w:r>
      <w:r w:rsidR="00B1678A" w:rsidRPr="00796E2E">
        <w:rPr>
          <w:rFonts w:ascii="Tahoma" w:hAnsi="Tahoma" w:cs="Tahoma"/>
          <w:i/>
          <w:sz w:val="24"/>
          <w:szCs w:val="24"/>
        </w:rPr>
        <w:t xml:space="preserve"> </w:t>
      </w:r>
      <w:r w:rsidR="008174D1" w:rsidRPr="00796E2E">
        <w:rPr>
          <w:rFonts w:ascii="Tahoma" w:hAnsi="Tahoma" w:cs="Tahoma"/>
          <w:i/>
          <w:sz w:val="24"/>
          <w:szCs w:val="24"/>
        </w:rPr>
        <w:t xml:space="preserve">and April </w:t>
      </w:r>
      <w:r w:rsidR="00B1678A" w:rsidRPr="00796E2E">
        <w:rPr>
          <w:rFonts w:ascii="Tahoma" w:hAnsi="Tahoma" w:cs="Tahoma"/>
          <w:i/>
          <w:sz w:val="24"/>
          <w:szCs w:val="24"/>
        </w:rPr>
        <w:t>202</w:t>
      </w:r>
      <w:r w:rsidR="00287F5F" w:rsidRPr="00796E2E">
        <w:rPr>
          <w:rFonts w:ascii="Tahoma" w:hAnsi="Tahoma" w:cs="Tahoma"/>
          <w:i/>
          <w:sz w:val="24"/>
          <w:szCs w:val="24"/>
        </w:rPr>
        <w:t>4</w:t>
      </w:r>
      <w:r w:rsidR="00B1678A" w:rsidRPr="00796E2E">
        <w:rPr>
          <w:rFonts w:ascii="Tahoma" w:hAnsi="Tahoma" w:cs="Tahoma"/>
          <w:i/>
          <w:sz w:val="24"/>
          <w:szCs w:val="24"/>
        </w:rPr>
        <w:t>)</w:t>
      </w:r>
    </w:p>
    <w:p w14:paraId="44F49196" w14:textId="77777777" w:rsidR="0076325F" w:rsidRPr="00796E2E" w:rsidRDefault="0076325F" w:rsidP="0076325F">
      <w:pPr>
        <w:ind w:left="720" w:hanging="720"/>
        <w:jc w:val="both"/>
        <w:rPr>
          <w:rFonts w:ascii="Tahoma" w:hAnsi="Tahoma" w:cs="Tahoma"/>
          <w:sz w:val="24"/>
          <w:szCs w:val="24"/>
        </w:rPr>
      </w:pPr>
      <w:r w:rsidRPr="00796E2E">
        <w:rPr>
          <w:rFonts w:ascii="Tahoma" w:hAnsi="Tahoma" w:cs="Tahoma"/>
          <w:iCs/>
          <w:sz w:val="24"/>
          <w:szCs w:val="24"/>
        </w:rPr>
        <w:lastRenderedPageBreak/>
        <w:t xml:space="preserve">3.2 </w:t>
      </w:r>
      <w:r w:rsidRPr="00796E2E">
        <w:rPr>
          <w:rFonts w:ascii="Tahoma" w:hAnsi="Tahoma" w:cs="Tahoma"/>
          <w:iCs/>
          <w:sz w:val="24"/>
          <w:szCs w:val="24"/>
        </w:rPr>
        <w:tab/>
      </w:r>
      <w:bookmarkStart w:id="26" w:name="_Hlk166603728"/>
      <w:r w:rsidRPr="00796E2E">
        <w:rPr>
          <w:rFonts w:ascii="Tahoma" w:hAnsi="Tahoma" w:cs="Tahoma"/>
          <w:kern w:val="0"/>
          <w:sz w:val="24"/>
          <w:szCs w:val="24"/>
          <w:lang w:eastAsia="en-ZW"/>
        </w:rPr>
        <w:t xml:space="preserve">The </w:t>
      </w:r>
      <w:r w:rsidR="0006717B">
        <w:rPr>
          <w:rFonts w:ascii="Tahoma" w:hAnsi="Tahoma" w:cs="Tahoma"/>
          <w:kern w:val="0"/>
          <w:sz w:val="24"/>
          <w:szCs w:val="24"/>
          <w:lang w:eastAsia="en-ZW"/>
        </w:rPr>
        <w:t xml:space="preserve">country’s </w:t>
      </w:r>
      <w:r w:rsidRPr="00796E2E">
        <w:rPr>
          <w:rFonts w:ascii="Tahoma" w:hAnsi="Tahoma" w:cs="Tahoma"/>
          <w:kern w:val="0"/>
          <w:sz w:val="24"/>
          <w:szCs w:val="24"/>
          <w:lang w:eastAsia="en-ZW"/>
        </w:rPr>
        <w:t>growth rate in 2024 is expected to be lower than 2023</w:t>
      </w:r>
      <w:r w:rsidR="00D0095B" w:rsidRPr="00796E2E">
        <w:rPr>
          <w:rFonts w:ascii="Tahoma" w:hAnsi="Tahoma" w:cs="Tahoma"/>
          <w:kern w:val="0"/>
          <w:sz w:val="24"/>
          <w:szCs w:val="24"/>
          <w:lang w:eastAsia="en-ZW"/>
        </w:rPr>
        <w:t xml:space="preserve"> growth</w:t>
      </w:r>
      <w:r w:rsidRPr="00796E2E">
        <w:rPr>
          <w:rFonts w:ascii="Tahoma" w:hAnsi="Tahoma" w:cs="Tahoma"/>
          <w:kern w:val="0"/>
          <w:sz w:val="24"/>
          <w:szCs w:val="24"/>
          <w:lang w:eastAsia="en-ZW"/>
        </w:rPr>
        <w:t xml:space="preserve"> due to the effects of </w:t>
      </w:r>
      <w:r w:rsidR="000D22EE" w:rsidRPr="00796E2E">
        <w:rPr>
          <w:rFonts w:ascii="Tahoma" w:hAnsi="Tahoma" w:cs="Tahoma"/>
          <w:kern w:val="0"/>
          <w:sz w:val="24"/>
          <w:szCs w:val="24"/>
          <w:lang w:eastAsia="en-ZW"/>
        </w:rPr>
        <w:t xml:space="preserve">the </w:t>
      </w:r>
      <w:r w:rsidRPr="00796E2E">
        <w:rPr>
          <w:rFonts w:ascii="Tahoma" w:hAnsi="Tahoma" w:cs="Tahoma"/>
          <w:kern w:val="0"/>
          <w:sz w:val="24"/>
          <w:szCs w:val="24"/>
          <w:lang w:eastAsia="en-ZW"/>
        </w:rPr>
        <w:t>El Nino</w:t>
      </w:r>
      <w:r w:rsidR="000D22EE" w:rsidRPr="00796E2E">
        <w:rPr>
          <w:rFonts w:ascii="Tahoma" w:hAnsi="Tahoma" w:cs="Tahoma"/>
          <w:kern w:val="0"/>
          <w:sz w:val="24"/>
          <w:szCs w:val="24"/>
          <w:lang w:eastAsia="en-ZW"/>
        </w:rPr>
        <w:t xml:space="preserve"> induced drought</w:t>
      </w:r>
      <w:r w:rsidR="00A90DAA" w:rsidRPr="00796E2E">
        <w:rPr>
          <w:rFonts w:ascii="Tahoma" w:hAnsi="Tahoma" w:cs="Tahoma"/>
          <w:kern w:val="0"/>
          <w:sz w:val="24"/>
          <w:szCs w:val="24"/>
          <w:lang w:eastAsia="en-ZW"/>
        </w:rPr>
        <w:t xml:space="preserve">, </w:t>
      </w:r>
      <w:r w:rsidR="00A90DAA" w:rsidRPr="00796E2E">
        <w:rPr>
          <w:rFonts w:ascii="Tahoma" w:hAnsi="Tahoma" w:cs="Tahoma"/>
          <w:sz w:val="24"/>
          <w:szCs w:val="24"/>
          <w:shd w:val="clear" w:color="auto" w:fill="FFFFFF"/>
        </w:rPr>
        <w:t xml:space="preserve">the impact of structural bottlenecks and lower </w:t>
      </w:r>
      <w:r w:rsidR="0006717B">
        <w:rPr>
          <w:rFonts w:ascii="Tahoma" w:hAnsi="Tahoma" w:cs="Tahoma"/>
          <w:sz w:val="24"/>
          <w:szCs w:val="24"/>
          <w:shd w:val="clear" w:color="auto" w:fill="FFFFFF"/>
        </w:rPr>
        <w:t xml:space="preserve">agricultural </w:t>
      </w:r>
      <w:r w:rsidR="00A90DAA" w:rsidRPr="00796E2E">
        <w:rPr>
          <w:rFonts w:ascii="Tahoma" w:hAnsi="Tahoma" w:cs="Tahoma"/>
          <w:sz w:val="24"/>
          <w:szCs w:val="24"/>
          <w:shd w:val="clear" w:color="auto" w:fill="FFFFFF"/>
        </w:rPr>
        <w:t xml:space="preserve">commodity prices. El-Nino-induced drought affected most rain-fed crops and </w:t>
      </w:r>
      <w:r w:rsidR="0006717B">
        <w:rPr>
          <w:rFonts w:ascii="Tahoma" w:hAnsi="Tahoma" w:cs="Tahoma"/>
          <w:sz w:val="24"/>
          <w:szCs w:val="24"/>
          <w:shd w:val="clear" w:color="auto" w:fill="FFFFFF"/>
        </w:rPr>
        <w:t xml:space="preserve">is </w:t>
      </w:r>
      <w:r w:rsidR="00A90DAA" w:rsidRPr="00796E2E">
        <w:rPr>
          <w:rFonts w:ascii="Tahoma" w:hAnsi="Tahoma" w:cs="Tahoma"/>
          <w:sz w:val="24"/>
          <w:szCs w:val="24"/>
          <w:shd w:val="clear" w:color="auto" w:fill="FFFFFF"/>
        </w:rPr>
        <w:t>intensify</w:t>
      </w:r>
      <w:r w:rsidR="0006717B">
        <w:rPr>
          <w:rFonts w:ascii="Tahoma" w:hAnsi="Tahoma" w:cs="Tahoma"/>
          <w:sz w:val="24"/>
          <w:szCs w:val="24"/>
          <w:shd w:val="clear" w:color="auto" w:fill="FFFFFF"/>
        </w:rPr>
        <w:t>ing</w:t>
      </w:r>
      <w:r w:rsidR="00A90DAA" w:rsidRPr="00796E2E">
        <w:rPr>
          <w:rFonts w:ascii="Tahoma" w:hAnsi="Tahoma" w:cs="Tahoma"/>
          <w:sz w:val="24"/>
          <w:szCs w:val="24"/>
          <w:shd w:val="clear" w:color="auto" w:fill="FFFFFF"/>
        </w:rPr>
        <w:t xml:space="preserve"> electricity supply shortages.</w:t>
      </w:r>
    </w:p>
    <w:bookmarkEnd w:id="26"/>
    <w:p w14:paraId="7581F50B" w14:textId="77777777" w:rsidR="007625FE" w:rsidRPr="00796E2E" w:rsidRDefault="00385A53" w:rsidP="005C07A4">
      <w:pPr>
        <w:ind w:left="720" w:hanging="720"/>
        <w:jc w:val="both"/>
        <w:rPr>
          <w:rFonts w:ascii="Tahoma" w:hAnsi="Tahoma" w:cs="Tahoma"/>
          <w:sz w:val="24"/>
          <w:szCs w:val="24"/>
        </w:rPr>
      </w:pPr>
      <w:r w:rsidRPr="00796E2E">
        <w:rPr>
          <w:rFonts w:ascii="Tahoma" w:hAnsi="Tahoma" w:cs="Tahoma"/>
          <w:sz w:val="24"/>
          <w:szCs w:val="24"/>
        </w:rPr>
        <w:t>3.</w:t>
      </w:r>
      <w:r w:rsidR="0076325F" w:rsidRPr="00796E2E">
        <w:rPr>
          <w:rFonts w:ascii="Tahoma" w:hAnsi="Tahoma" w:cs="Tahoma"/>
          <w:sz w:val="24"/>
          <w:szCs w:val="24"/>
        </w:rPr>
        <w:t>3</w:t>
      </w:r>
      <w:r w:rsidRPr="00796E2E">
        <w:rPr>
          <w:rFonts w:ascii="Tahoma" w:hAnsi="Tahoma" w:cs="Tahoma"/>
          <w:sz w:val="24"/>
          <w:szCs w:val="24"/>
        </w:rPr>
        <w:tab/>
      </w:r>
      <w:r w:rsidR="00E62FD6" w:rsidRPr="00372F9E">
        <w:rPr>
          <w:rFonts w:ascii="Tahoma" w:hAnsi="Tahoma" w:cs="Tahoma"/>
          <w:kern w:val="0"/>
          <w:sz w:val="24"/>
          <w:szCs w:val="24"/>
          <w:lang w:eastAsia="en-ZW"/>
        </w:rPr>
        <w:t xml:space="preserve">In terms of outlook, </w:t>
      </w:r>
      <w:r w:rsidR="00372F9E" w:rsidRPr="00372F9E">
        <w:rPr>
          <w:rFonts w:ascii="Tahoma" w:hAnsi="Tahoma" w:cs="Tahoma"/>
          <w:kern w:val="0"/>
          <w:sz w:val="24"/>
          <w:szCs w:val="24"/>
          <w:lang w:eastAsia="en-ZW"/>
        </w:rPr>
        <w:t>the April IMF WEO Update projects Zimbabwe to grow by 3.2% lower t</w:t>
      </w:r>
      <w:r w:rsidR="00E62FD6" w:rsidRPr="00372F9E">
        <w:rPr>
          <w:rFonts w:ascii="Tahoma" w:hAnsi="Tahoma" w:cs="Tahoma"/>
          <w:kern w:val="0"/>
          <w:sz w:val="24"/>
          <w:szCs w:val="24"/>
          <w:lang w:eastAsia="en-ZW"/>
        </w:rPr>
        <w:t xml:space="preserve">he </w:t>
      </w:r>
      <w:r w:rsidR="00372F9E" w:rsidRPr="00372F9E">
        <w:rPr>
          <w:rFonts w:ascii="Tahoma" w:hAnsi="Tahoma" w:cs="Tahoma"/>
          <w:kern w:val="0"/>
          <w:sz w:val="24"/>
          <w:szCs w:val="24"/>
          <w:lang w:eastAsia="en-ZW"/>
        </w:rPr>
        <w:t xml:space="preserve">3.5% initially projected in the Jan Update. </w:t>
      </w:r>
    </w:p>
    <w:p w14:paraId="15A297C4" w14:textId="77777777" w:rsidR="00EF37FE" w:rsidRPr="00796E2E" w:rsidRDefault="00B1678A" w:rsidP="009F5CE5">
      <w:pPr>
        <w:pStyle w:val="Heading1"/>
        <w:spacing w:before="0" w:after="240" w:line="240" w:lineRule="auto"/>
        <w:rPr>
          <w:rFonts w:cs="Tahoma"/>
          <w:bCs/>
          <w:color w:val="000000"/>
          <w:szCs w:val="24"/>
        </w:rPr>
      </w:pPr>
      <w:bookmarkStart w:id="27" w:name="_Toc166607894"/>
      <w:bookmarkStart w:id="28" w:name="_Toc168317169"/>
      <w:r w:rsidRPr="00796E2E">
        <w:rPr>
          <w:rFonts w:cs="Tahoma"/>
          <w:bCs/>
          <w:color w:val="000000"/>
          <w:szCs w:val="24"/>
        </w:rPr>
        <w:t>4.0</w:t>
      </w:r>
      <w:r w:rsidRPr="00796E2E">
        <w:rPr>
          <w:rFonts w:cs="Tahoma"/>
          <w:bCs/>
          <w:color w:val="000000"/>
          <w:szCs w:val="24"/>
        </w:rPr>
        <w:tab/>
      </w:r>
      <w:r w:rsidR="00EF37FE" w:rsidRPr="00796E2E">
        <w:rPr>
          <w:rFonts w:cs="Tahoma"/>
          <w:bCs/>
          <w:color w:val="000000"/>
          <w:szCs w:val="24"/>
        </w:rPr>
        <w:t>Merchandise Trade Developments</w:t>
      </w:r>
      <w:bookmarkEnd w:id="27"/>
      <w:bookmarkEnd w:id="28"/>
      <w:r w:rsidR="00EF37FE" w:rsidRPr="00796E2E">
        <w:rPr>
          <w:rFonts w:cs="Tahoma"/>
          <w:bCs/>
          <w:color w:val="000000"/>
          <w:szCs w:val="24"/>
        </w:rPr>
        <w:t xml:space="preserve"> </w:t>
      </w:r>
    </w:p>
    <w:p w14:paraId="19A4FBEB" w14:textId="77777777" w:rsidR="00372F9E" w:rsidRDefault="00B1678A" w:rsidP="00AB4D3A">
      <w:pPr>
        <w:ind w:left="720" w:hanging="720"/>
        <w:jc w:val="both"/>
        <w:rPr>
          <w:rFonts w:ascii="Tahoma" w:hAnsi="Tahoma" w:cs="Tahoma"/>
          <w:kern w:val="0"/>
          <w:sz w:val="24"/>
          <w:szCs w:val="24"/>
          <w:lang w:eastAsia="en-ZW"/>
        </w:rPr>
      </w:pPr>
      <w:r w:rsidRPr="00796E2E">
        <w:rPr>
          <w:rFonts w:ascii="Tahoma" w:hAnsi="Tahoma" w:cs="Tahoma"/>
          <w:sz w:val="24"/>
          <w:szCs w:val="24"/>
        </w:rPr>
        <w:t>4.1</w:t>
      </w:r>
      <w:r w:rsidRPr="00796E2E">
        <w:rPr>
          <w:rFonts w:ascii="Tahoma" w:hAnsi="Tahoma" w:cs="Tahoma"/>
          <w:sz w:val="24"/>
          <w:szCs w:val="24"/>
        </w:rPr>
        <w:tab/>
      </w:r>
      <w:r w:rsidR="00C5355A" w:rsidRPr="00CA25D7">
        <w:rPr>
          <w:rFonts w:ascii="Tahoma" w:hAnsi="Tahoma" w:cs="Tahoma"/>
          <w:sz w:val="24"/>
          <w:szCs w:val="24"/>
        </w:rPr>
        <w:t>By the time of compiling th</w:t>
      </w:r>
      <w:r w:rsidR="00601473" w:rsidRPr="00CA25D7">
        <w:rPr>
          <w:rFonts w:ascii="Tahoma" w:hAnsi="Tahoma" w:cs="Tahoma"/>
          <w:sz w:val="24"/>
          <w:szCs w:val="24"/>
        </w:rPr>
        <w:t>is</w:t>
      </w:r>
      <w:r w:rsidR="00C5355A" w:rsidRPr="00CA25D7">
        <w:rPr>
          <w:rFonts w:ascii="Tahoma" w:hAnsi="Tahoma" w:cs="Tahoma"/>
          <w:sz w:val="24"/>
          <w:szCs w:val="24"/>
        </w:rPr>
        <w:t xml:space="preserve"> report, ZimStat had not published the merchandise trade data</w:t>
      </w:r>
      <w:r w:rsidR="0096751E" w:rsidRPr="00CA25D7">
        <w:rPr>
          <w:rFonts w:ascii="Tahoma" w:hAnsi="Tahoma" w:cs="Tahoma"/>
          <w:sz w:val="24"/>
          <w:szCs w:val="24"/>
        </w:rPr>
        <w:t xml:space="preserve"> for the month of April 2024</w:t>
      </w:r>
      <w:r w:rsidR="00C5355A" w:rsidRPr="00CA25D7">
        <w:rPr>
          <w:rFonts w:ascii="Tahoma" w:hAnsi="Tahoma" w:cs="Tahoma"/>
          <w:sz w:val="24"/>
          <w:szCs w:val="24"/>
        </w:rPr>
        <w:t>, thus the analysis relied on the available data</w:t>
      </w:r>
      <w:r w:rsidR="00372F9E" w:rsidRPr="00CA25D7">
        <w:rPr>
          <w:rFonts w:ascii="Tahoma" w:hAnsi="Tahoma" w:cs="Tahoma"/>
          <w:sz w:val="24"/>
          <w:szCs w:val="24"/>
        </w:rPr>
        <w:t xml:space="preserve"> </w:t>
      </w:r>
      <w:r w:rsidR="0096751E" w:rsidRPr="00CA25D7">
        <w:rPr>
          <w:rFonts w:ascii="Tahoma" w:hAnsi="Tahoma" w:cs="Tahoma"/>
          <w:sz w:val="24"/>
          <w:szCs w:val="24"/>
        </w:rPr>
        <w:t>as of March 2024</w:t>
      </w:r>
      <w:r w:rsidR="00C5355A" w:rsidRPr="00CA25D7">
        <w:rPr>
          <w:rFonts w:ascii="Tahoma" w:hAnsi="Tahoma" w:cs="Tahoma"/>
          <w:sz w:val="24"/>
          <w:szCs w:val="24"/>
        </w:rPr>
        <w:t xml:space="preserve">. In this regard, </w:t>
      </w:r>
      <w:bookmarkStart w:id="29" w:name="_Hlk168306576"/>
      <w:bookmarkStart w:id="30" w:name="_Hlk167711791"/>
      <w:r w:rsidR="0096751E" w:rsidRPr="00CA25D7">
        <w:rPr>
          <w:rFonts w:ascii="Tahoma" w:hAnsi="Tahoma" w:cs="Tahoma"/>
          <w:sz w:val="24"/>
          <w:szCs w:val="24"/>
          <w:lang w:val="en-ZW"/>
        </w:rPr>
        <w:t>the country’s trade deficit stood at US$184.3 million during the month under review, higher than US$81.4 million recorded in the previous month. The country’s deficit narrowed from US$2</w:t>
      </w:r>
      <w:r w:rsidR="00CA25D7">
        <w:rPr>
          <w:rFonts w:ascii="Tahoma" w:hAnsi="Tahoma" w:cs="Tahoma"/>
          <w:sz w:val="24"/>
          <w:szCs w:val="24"/>
          <w:lang w:val="en-ZW"/>
        </w:rPr>
        <w:t>29</w:t>
      </w:r>
      <w:r w:rsidR="0096751E" w:rsidRPr="00CA25D7">
        <w:rPr>
          <w:rFonts w:ascii="Tahoma" w:hAnsi="Tahoma" w:cs="Tahoma"/>
          <w:sz w:val="24"/>
          <w:szCs w:val="24"/>
          <w:lang w:val="en-ZW"/>
        </w:rPr>
        <w:t>.</w:t>
      </w:r>
      <w:r w:rsidR="00CA25D7">
        <w:rPr>
          <w:rFonts w:ascii="Tahoma" w:hAnsi="Tahoma" w:cs="Tahoma"/>
          <w:sz w:val="24"/>
          <w:szCs w:val="24"/>
          <w:lang w:val="en-ZW"/>
        </w:rPr>
        <w:t>20</w:t>
      </w:r>
      <w:r w:rsidR="0096751E" w:rsidRPr="00CA25D7">
        <w:rPr>
          <w:rFonts w:ascii="Tahoma" w:hAnsi="Tahoma" w:cs="Tahoma"/>
          <w:sz w:val="24"/>
          <w:szCs w:val="24"/>
          <w:lang w:val="en-ZW"/>
        </w:rPr>
        <w:t xml:space="preserve"> million in March 2023 to US$184.3 million in March 2024</w:t>
      </w:r>
      <w:r w:rsidR="00CA25D7">
        <w:rPr>
          <w:rFonts w:ascii="Tahoma" w:hAnsi="Tahoma" w:cs="Tahoma"/>
          <w:sz w:val="24"/>
          <w:szCs w:val="24"/>
          <w:lang w:val="en-ZW"/>
        </w:rPr>
        <w:t xml:space="preserve"> </w:t>
      </w:r>
      <w:bookmarkEnd w:id="29"/>
      <w:r w:rsidR="00CA25D7">
        <w:rPr>
          <w:rFonts w:ascii="Tahoma" w:hAnsi="Tahoma" w:cs="Tahoma"/>
          <w:sz w:val="24"/>
          <w:szCs w:val="24"/>
          <w:lang w:val="en-ZW"/>
        </w:rPr>
        <w:t>as shown in Figure 3.</w:t>
      </w:r>
    </w:p>
    <w:p w14:paraId="6961254F" w14:textId="77777777" w:rsidR="0080107D" w:rsidRPr="0080107D" w:rsidRDefault="0080107D" w:rsidP="0080107D">
      <w:pPr>
        <w:pStyle w:val="Caption"/>
        <w:jc w:val="both"/>
        <w:rPr>
          <w:rFonts w:ascii="Tahoma" w:hAnsi="Tahoma" w:cs="Tahoma"/>
          <w:b/>
          <w:bCs/>
          <w:i w:val="0"/>
          <w:iCs w:val="0"/>
          <w:color w:val="auto"/>
          <w:sz w:val="24"/>
          <w:szCs w:val="24"/>
        </w:rPr>
      </w:pPr>
      <w:bookmarkStart w:id="31" w:name="_Toc168317338"/>
      <w:r w:rsidRPr="0080107D">
        <w:rPr>
          <w:rFonts w:ascii="Tahoma" w:hAnsi="Tahoma" w:cs="Tahoma"/>
          <w:b/>
          <w:bCs/>
          <w:i w:val="0"/>
          <w:iCs w:val="0"/>
          <w:color w:val="auto"/>
          <w:sz w:val="24"/>
          <w:szCs w:val="24"/>
        </w:rPr>
        <w:t xml:space="preserve">Figure </w:t>
      </w:r>
      <w:r w:rsidRPr="0080107D">
        <w:rPr>
          <w:rFonts w:ascii="Tahoma" w:hAnsi="Tahoma" w:cs="Tahoma"/>
          <w:b/>
          <w:bCs/>
          <w:i w:val="0"/>
          <w:iCs w:val="0"/>
          <w:color w:val="auto"/>
          <w:sz w:val="24"/>
          <w:szCs w:val="24"/>
        </w:rPr>
        <w:fldChar w:fldCharType="begin"/>
      </w:r>
      <w:r w:rsidRPr="0080107D">
        <w:rPr>
          <w:rFonts w:ascii="Tahoma" w:hAnsi="Tahoma" w:cs="Tahoma"/>
          <w:b/>
          <w:bCs/>
          <w:i w:val="0"/>
          <w:iCs w:val="0"/>
          <w:color w:val="auto"/>
          <w:sz w:val="24"/>
          <w:szCs w:val="24"/>
        </w:rPr>
        <w:instrText xml:space="preserve"> SEQ Figure \* ARABIC </w:instrText>
      </w:r>
      <w:r w:rsidRPr="0080107D">
        <w:rPr>
          <w:rFonts w:ascii="Tahoma" w:hAnsi="Tahoma" w:cs="Tahoma"/>
          <w:b/>
          <w:bCs/>
          <w:i w:val="0"/>
          <w:iCs w:val="0"/>
          <w:color w:val="auto"/>
          <w:sz w:val="24"/>
          <w:szCs w:val="24"/>
        </w:rPr>
        <w:fldChar w:fldCharType="separate"/>
      </w:r>
      <w:r w:rsidRPr="0080107D">
        <w:rPr>
          <w:rFonts w:ascii="Tahoma" w:hAnsi="Tahoma" w:cs="Tahoma"/>
          <w:b/>
          <w:bCs/>
          <w:i w:val="0"/>
          <w:iCs w:val="0"/>
          <w:noProof/>
          <w:color w:val="auto"/>
          <w:sz w:val="24"/>
          <w:szCs w:val="24"/>
        </w:rPr>
        <w:t>3</w:t>
      </w:r>
      <w:r w:rsidRPr="0080107D">
        <w:rPr>
          <w:rFonts w:ascii="Tahoma" w:hAnsi="Tahoma" w:cs="Tahoma"/>
          <w:b/>
          <w:bCs/>
          <w:i w:val="0"/>
          <w:iCs w:val="0"/>
          <w:color w:val="auto"/>
          <w:sz w:val="24"/>
          <w:szCs w:val="24"/>
        </w:rPr>
        <w:fldChar w:fldCharType="end"/>
      </w:r>
      <w:r w:rsidRPr="0080107D">
        <w:rPr>
          <w:rFonts w:ascii="Tahoma" w:hAnsi="Tahoma" w:cs="Tahoma"/>
          <w:b/>
          <w:bCs/>
          <w:i w:val="0"/>
          <w:iCs w:val="0"/>
          <w:color w:val="auto"/>
          <w:sz w:val="24"/>
          <w:szCs w:val="24"/>
        </w:rPr>
        <w:t>: Merchandise Trade Deve</w:t>
      </w:r>
      <w:r w:rsidR="00717618">
        <w:rPr>
          <w:rFonts w:ascii="Tahoma" w:hAnsi="Tahoma" w:cs="Tahoma"/>
          <w:b/>
          <w:bCs/>
          <w:i w:val="0"/>
          <w:iCs w:val="0"/>
          <w:color w:val="auto"/>
          <w:sz w:val="24"/>
          <w:szCs w:val="24"/>
        </w:rPr>
        <w:t>l</w:t>
      </w:r>
      <w:r w:rsidRPr="0080107D">
        <w:rPr>
          <w:rFonts w:ascii="Tahoma" w:hAnsi="Tahoma" w:cs="Tahoma"/>
          <w:b/>
          <w:bCs/>
          <w:i w:val="0"/>
          <w:iCs w:val="0"/>
          <w:color w:val="auto"/>
          <w:sz w:val="24"/>
          <w:szCs w:val="24"/>
        </w:rPr>
        <w:t>opments</w:t>
      </w:r>
      <w:bookmarkEnd w:id="31"/>
    </w:p>
    <w:p w14:paraId="4EE137B7" w14:textId="48418656" w:rsidR="0096751E" w:rsidRDefault="00C64199" w:rsidP="0080107D">
      <w:pPr>
        <w:spacing w:after="0"/>
        <w:ind w:left="720" w:hanging="720"/>
        <w:jc w:val="both"/>
        <w:rPr>
          <w:rFonts w:ascii="Tahoma" w:hAnsi="Tahoma" w:cs="Tahoma"/>
          <w:kern w:val="0"/>
          <w:sz w:val="24"/>
          <w:szCs w:val="24"/>
          <w:lang w:eastAsia="en-ZW"/>
        </w:rPr>
      </w:pPr>
      <w:r w:rsidRPr="00C86244">
        <w:rPr>
          <w:noProof/>
        </w:rPr>
        <w:drawing>
          <wp:inline distT="0" distB="0" distL="0" distR="0" wp14:anchorId="6312F552" wp14:editId="0D426C4D">
            <wp:extent cx="5753100" cy="2752725"/>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235687" w14:textId="77777777" w:rsidR="0096751E" w:rsidRDefault="0096751E" w:rsidP="00AB4D3A">
      <w:pPr>
        <w:ind w:left="720" w:hanging="720"/>
        <w:jc w:val="both"/>
        <w:rPr>
          <w:rFonts w:ascii="Tahoma" w:hAnsi="Tahoma" w:cs="Tahoma"/>
          <w:i/>
          <w:iCs/>
          <w:kern w:val="0"/>
          <w:sz w:val="24"/>
          <w:szCs w:val="24"/>
          <w:lang w:eastAsia="en-ZW"/>
        </w:rPr>
      </w:pPr>
      <w:r w:rsidRPr="00CA25D7">
        <w:rPr>
          <w:rFonts w:ascii="Tahoma" w:hAnsi="Tahoma" w:cs="Tahoma"/>
          <w:i/>
          <w:iCs/>
          <w:kern w:val="0"/>
          <w:sz w:val="24"/>
          <w:szCs w:val="24"/>
          <w:lang w:eastAsia="en-ZW"/>
        </w:rPr>
        <w:t>Source: ZimStat (2024)</w:t>
      </w:r>
    </w:p>
    <w:p w14:paraId="33BB33DD" w14:textId="77777777" w:rsidR="00CA25D7" w:rsidRPr="00CA25D7" w:rsidRDefault="00CA25D7" w:rsidP="00AB4D3A">
      <w:pPr>
        <w:ind w:left="720" w:hanging="720"/>
        <w:jc w:val="both"/>
        <w:rPr>
          <w:rFonts w:ascii="Tahoma" w:hAnsi="Tahoma" w:cs="Tahoma"/>
          <w:kern w:val="0"/>
          <w:sz w:val="24"/>
          <w:szCs w:val="24"/>
          <w:lang w:eastAsia="en-ZW"/>
        </w:rPr>
      </w:pPr>
      <w:r>
        <w:rPr>
          <w:rFonts w:ascii="Tahoma" w:hAnsi="Tahoma" w:cs="Tahoma"/>
          <w:kern w:val="0"/>
          <w:sz w:val="24"/>
          <w:szCs w:val="24"/>
          <w:lang w:eastAsia="en-ZW"/>
        </w:rPr>
        <w:t>4.2</w:t>
      </w:r>
      <w:r>
        <w:rPr>
          <w:rFonts w:ascii="Tahoma" w:hAnsi="Tahoma" w:cs="Tahoma"/>
          <w:kern w:val="0"/>
          <w:sz w:val="24"/>
          <w:szCs w:val="24"/>
          <w:lang w:eastAsia="en-ZW"/>
        </w:rPr>
        <w:tab/>
      </w:r>
      <w:r w:rsidR="00131F51" w:rsidRPr="00131F51">
        <w:rPr>
          <w:rFonts w:ascii="Tahoma" w:hAnsi="Tahoma" w:cs="Tahoma"/>
          <w:kern w:val="0"/>
          <w:sz w:val="24"/>
          <w:szCs w:val="24"/>
          <w:lang w:val="en-ZW" w:eastAsia="en-ZW"/>
        </w:rPr>
        <w:t>The country's primary export commodities, including gold, PGMs, tobacco, and industrial diamonds, were the leading export commodities, contributing 23.6%, 26.6%, 13.9%, and 10.8% respectively.</w:t>
      </w:r>
      <w:r w:rsidR="00131F51">
        <w:rPr>
          <w:rFonts w:ascii="Tahoma" w:hAnsi="Tahoma" w:cs="Tahoma"/>
          <w:kern w:val="0"/>
          <w:sz w:val="24"/>
          <w:szCs w:val="24"/>
          <w:lang w:val="en-ZW" w:eastAsia="en-ZW"/>
        </w:rPr>
        <w:t xml:space="preserve"> On the other hand, t</w:t>
      </w:r>
      <w:r w:rsidR="00131F51" w:rsidRPr="00131F51">
        <w:rPr>
          <w:rFonts w:ascii="Tahoma" w:hAnsi="Tahoma" w:cs="Tahoma"/>
          <w:kern w:val="0"/>
          <w:sz w:val="24"/>
          <w:szCs w:val="24"/>
          <w:lang w:val="en-ZW" w:eastAsia="en-ZW"/>
        </w:rPr>
        <w:t>he country's imports in March 2024 primarily consisted of diesel, maize, leaded petrol, and crude soya bean oil, which represented 10.5%, 5.9%, 5.1%, and 2.5% of the total imports, respectively.</w:t>
      </w:r>
    </w:p>
    <w:p w14:paraId="2FC16F51" w14:textId="77777777" w:rsidR="00EF37FE" w:rsidRPr="00796E2E" w:rsidRDefault="00B1678A" w:rsidP="009F5CE5">
      <w:pPr>
        <w:pStyle w:val="Heading1"/>
        <w:spacing w:before="0" w:after="240" w:line="240" w:lineRule="auto"/>
        <w:rPr>
          <w:rFonts w:cs="Tahoma"/>
          <w:bCs/>
          <w:color w:val="000000"/>
          <w:szCs w:val="24"/>
        </w:rPr>
      </w:pPr>
      <w:bookmarkStart w:id="32" w:name="_Toc166607895"/>
      <w:bookmarkStart w:id="33" w:name="_Toc168317170"/>
      <w:bookmarkEnd w:id="30"/>
      <w:r w:rsidRPr="00796E2E">
        <w:rPr>
          <w:rFonts w:cs="Tahoma"/>
          <w:bCs/>
          <w:color w:val="000000"/>
          <w:szCs w:val="24"/>
        </w:rPr>
        <w:t>5.0</w:t>
      </w:r>
      <w:r w:rsidRPr="00796E2E">
        <w:rPr>
          <w:rFonts w:cs="Tahoma"/>
          <w:bCs/>
          <w:color w:val="000000"/>
          <w:szCs w:val="24"/>
        </w:rPr>
        <w:tab/>
      </w:r>
      <w:r w:rsidR="00EF37FE" w:rsidRPr="00796E2E">
        <w:rPr>
          <w:rFonts w:cs="Tahoma"/>
          <w:bCs/>
          <w:color w:val="000000"/>
          <w:szCs w:val="24"/>
        </w:rPr>
        <w:t>Exchange Rate Developments</w:t>
      </w:r>
      <w:bookmarkEnd w:id="32"/>
      <w:bookmarkEnd w:id="33"/>
      <w:r w:rsidR="00EF37FE" w:rsidRPr="00796E2E">
        <w:rPr>
          <w:rFonts w:cs="Tahoma"/>
          <w:bCs/>
          <w:color w:val="000000"/>
          <w:szCs w:val="24"/>
        </w:rPr>
        <w:t xml:space="preserve"> </w:t>
      </w:r>
    </w:p>
    <w:p w14:paraId="2AD83B96" w14:textId="77777777" w:rsidR="00EF25BB" w:rsidRPr="00796E2E" w:rsidRDefault="00B1678A" w:rsidP="003C1D2F">
      <w:pPr>
        <w:pStyle w:val="Heading2"/>
        <w:spacing w:before="0" w:after="240" w:line="240" w:lineRule="auto"/>
        <w:rPr>
          <w:rFonts w:cs="Tahoma"/>
          <w:b/>
          <w:color w:val="000000"/>
          <w:szCs w:val="24"/>
        </w:rPr>
      </w:pPr>
      <w:bookmarkStart w:id="34" w:name="_Toc166607896"/>
      <w:bookmarkStart w:id="35" w:name="_Toc168317171"/>
      <w:r w:rsidRPr="00796E2E">
        <w:rPr>
          <w:rFonts w:cs="Tahoma"/>
          <w:b/>
          <w:color w:val="000000"/>
          <w:szCs w:val="24"/>
        </w:rPr>
        <w:t>5.1</w:t>
      </w:r>
      <w:r w:rsidRPr="00796E2E">
        <w:rPr>
          <w:rFonts w:cs="Tahoma"/>
          <w:b/>
          <w:color w:val="000000"/>
          <w:szCs w:val="24"/>
        </w:rPr>
        <w:tab/>
      </w:r>
      <w:r w:rsidR="00EF25BB" w:rsidRPr="00796E2E">
        <w:rPr>
          <w:rFonts w:cs="Tahoma"/>
          <w:b/>
          <w:color w:val="000000"/>
          <w:szCs w:val="24"/>
        </w:rPr>
        <w:t>Zimbabwean Dollar Exchange Rate Developments</w:t>
      </w:r>
      <w:bookmarkEnd w:id="34"/>
      <w:bookmarkEnd w:id="35"/>
      <w:r w:rsidR="00EF25BB" w:rsidRPr="00796E2E">
        <w:rPr>
          <w:rFonts w:cs="Tahoma"/>
          <w:b/>
          <w:color w:val="000000"/>
          <w:szCs w:val="24"/>
        </w:rPr>
        <w:t xml:space="preserve"> </w:t>
      </w:r>
    </w:p>
    <w:p w14:paraId="4472B612" w14:textId="778DAC3C" w:rsidR="00E36CF6" w:rsidRPr="00796E2E" w:rsidRDefault="00B1678A" w:rsidP="00945E19">
      <w:pPr>
        <w:ind w:left="720" w:hanging="720"/>
        <w:jc w:val="both"/>
        <w:rPr>
          <w:rFonts w:ascii="Tahoma" w:hAnsi="Tahoma" w:cs="Tahoma"/>
          <w:sz w:val="24"/>
          <w:szCs w:val="24"/>
        </w:rPr>
      </w:pPr>
      <w:r w:rsidRPr="00796E2E">
        <w:rPr>
          <w:rFonts w:ascii="Tahoma" w:hAnsi="Tahoma" w:cs="Tahoma"/>
          <w:sz w:val="24"/>
          <w:szCs w:val="24"/>
        </w:rPr>
        <w:t>5.1.1</w:t>
      </w:r>
      <w:r w:rsidRPr="00796E2E">
        <w:rPr>
          <w:rFonts w:ascii="Tahoma" w:hAnsi="Tahoma" w:cs="Tahoma"/>
          <w:sz w:val="24"/>
          <w:szCs w:val="24"/>
        </w:rPr>
        <w:tab/>
      </w:r>
      <w:r w:rsidR="00F97C36">
        <w:rPr>
          <w:rFonts w:ascii="Tahoma" w:hAnsi="Tahoma" w:cs="Tahoma"/>
          <w:sz w:val="24"/>
          <w:szCs w:val="24"/>
        </w:rPr>
        <w:t>T</w:t>
      </w:r>
      <w:r w:rsidR="00026A42" w:rsidRPr="00796E2E">
        <w:rPr>
          <w:rFonts w:ascii="Tahoma" w:hAnsi="Tahoma" w:cs="Tahoma"/>
          <w:sz w:val="24"/>
          <w:szCs w:val="24"/>
        </w:rPr>
        <w:t>he Reserve Bank of Zimbabwe</w:t>
      </w:r>
      <w:r w:rsidR="00F97C36">
        <w:rPr>
          <w:rFonts w:ascii="Tahoma" w:hAnsi="Tahoma" w:cs="Tahoma"/>
          <w:sz w:val="24"/>
          <w:szCs w:val="24"/>
        </w:rPr>
        <w:t xml:space="preserve"> (RBZ)</w:t>
      </w:r>
      <w:r w:rsidR="00026A42" w:rsidRPr="00796E2E">
        <w:rPr>
          <w:rFonts w:ascii="Tahoma" w:hAnsi="Tahoma" w:cs="Tahoma"/>
          <w:sz w:val="24"/>
          <w:szCs w:val="24"/>
        </w:rPr>
        <w:t xml:space="preserve"> introduced </w:t>
      </w:r>
      <w:r w:rsidR="00F97C36">
        <w:rPr>
          <w:rFonts w:ascii="Tahoma" w:hAnsi="Tahoma" w:cs="Tahoma"/>
          <w:sz w:val="24"/>
          <w:szCs w:val="24"/>
        </w:rPr>
        <w:t>a</w:t>
      </w:r>
      <w:r w:rsidR="00026A42" w:rsidRPr="00796E2E">
        <w:rPr>
          <w:rFonts w:ascii="Tahoma" w:hAnsi="Tahoma" w:cs="Tahoma"/>
          <w:sz w:val="24"/>
          <w:szCs w:val="24"/>
        </w:rPr>
        <w:t xml:space="preserve"> structured currency called Zimbabwe Gold (ZiG) on 5</w:t>
      </w:r>
      <w:r w:rsidR="00026A42" w:rsidRPr="00796E2E">
        <w:rPr>
          <w:rFonts w:ascii="Tahoma" w:hAnsi="Tahoma" w:cs="Tahoma"/>
          <w:sz w:val="24"/>
          <w:szCs w:val="24"/>
          <w:vertAlign w:val="superscript"/>
        </w:rPr>
        <w:t>th</w:t>
      </w:r>
      <w:r w:rsidR="00026A42" w:rsidRPr="00796E2E">
        <w:rPr>
          <w:rFonts w:ascii="Tahoma" w:hAnsi="Tahoma" w:cs="Tahoma"/>
          <w:sz w:val="24"/>
          <w:szCs w:val="24"/>
        </w:rPr>
        <w:t xml:space="preserve"> of April 2024. </w:t>
      </w:r>
      <w:r w:rsidR="00F97C36">
        <w:rPr>
          <w:rFonts w:ascii="Tahoma" w:hAnsi="Tahoma" w:cs="Tahoma"/>
          <w:sz w:val="24"/>
          <w:szCs w:val="24"/>
        </w:rPr>
        <w:t>However,</w:t>
      </w:r>
      <w:r w:rsidR="00E36CF6" w:rsidRPr="00796E2E">
        <w:rPr>
          <w:rFonts w:ascii="Tahoma" w:hAnsi="Tahoma" w:cs="Tahoma"/>
          <w:sz w:val="24"/>
          <w:szCs w:val="24"/>
        </w:rPr>
        <w:t xml:space="preserve"> </w:t>
      </w:r>
      <w:r w:rsidR="00F97C36">
        <w:rPr>
          <w:rFonts w:ascii="Tahoma" w:hAnsi="Tahoma" w:cs="Tahoma"/>
          <w:sz w:val="24"/>
          <w:szCs w:val="24"/>
        </w:rPr>
        <w:t xml:space="preserve">during the month under </w:t>
      </w:r>
      <w:r w:rsidR="00F97C36">
        <w:rPr>
          <w:rFonts w:ascii="Tahoma" w:hAnsi="Tahoma" w:cs="Tahoma"/>
          <w:sz w:val="24"/>
          <w:szCs w:val="24"/>
        </w:rPr>
        <w:lastRenderedPageBreak/>
        <w:t xml:space="preserve">review, </w:t>
      </w:r>
      <w:r w:rsidR="00E36CF6" w:rsidRPr="00796E2E">
        <w:rPr>
          <w:rFonts w:ascii="Tahoma" w:hAnsi="Tahoma" w:cs="Tahoma"/>
          <w:sz w:val="24"/>
          <w:szCs w:val="24"/>
        </w:rPr>
        <w:t>the Zi</w:t>
      </w:r>
      <w:r w:rsidR="0090418A" w:rsidRPr="00796E2E">
        <w:rPr>
          <w:rFonts w:ascii="Tahoma" w:hAnsi="Tahoma" w:cs="Tahoma"/>
          <w:sz w:val="24"/>
          <w:szCs w:val="24"/>
        </w:rPr>
        <w:t xml:space="preserve">G </w:t>
      </w:r>
      <w:r w:rsidR="0062024E" w:rsidRPr="00796E2E">
        <w:rPr>
          <w:rFonts w:ascii="Tahoma" w:hAnsi="Tahoma" w:cs="Tahoma"/>
          <w:sz w:val="24"/>
          <w:szCs w:val="24"/>
        </w:rPr>
        <w:t>depreciated</w:t>
      </w:r>
      <w:r w:rsidR="00E36CF6" w:rsidRPr="00796E2E">
        <w:rPr>
          <w:rFonts w:ascii="Tahoma" w:hAnsi="Tahoma" w:cs="Tahoma"/>
          <w:sz w:val="24"/>
          <w:szCs w:val="24"/>
        </w:rPr>
        <w:t xml:space="preserve"> against all major cu</w:t>
      </w:r>
      <w:r w:rsidRPr="00796E2E">
        <w:rPr>
          <w:rFonts w:ascii="Tahoma" w:hAnsi="Tahoma" w:cs="Tahoma"/>
          <w:sz w:val="24"/>
          <w:szCs w:val="24"/>
        </w:rPr>
        <w:t>rrencies, as shown</w:t>
      </w:r>
      <w:r w:rsidR="004E71C0" w:rsidRPr="00796E2E">
        <w:rPr>
          <w:rFonts w:ascii="Tahoma" w:hAnsi="Tahoma" w:cs="Tahoma"/>
          <w:sz w:val="24"/>
          <w:szCs w:val="24"/>
        </w:rPr>
        <w:t xml:space="preserve"> by Table 3</w:t>
      </w:r>
      <w:r w:rsidR="00E36CF6" w:rsidRPr="00796E2E">
        <w:rPr>
          <w:rFonts w:ascii="Tahoma" w:hAnsi="Tahoma" w:cs="Tahoma"/>
          <w:sz w:val="24"/>
          <w:szCs w:val="24"/>
        </w:rPr>
        <w:t xml:space="preserve">. </w:t>
      </w:r>
      <w:r w:rsidR="00BE64E8" w:rsidRPr="00796E2E">
        <w:rPr>
          <w:rFonts w:ascii="Tahoma" w:hAnsi="Tahoma" w:cs="Tahoma"/>
          <w:sz w:val="24"/>
          <w:szCs w:val="24"/>
        </w:rPr>
        <w:t xml:space="preserve">On </w:t>
      </w:r>
      <w:r w:rsidR="004E71C0" w:rsidRPr="00796E2E">
        <w:rPr>
          <w:rFonts w:ascii="Tahoma" w:hAnsi="Tahoma" w:cs="Tahoma"/>
          <w:sz w:val="24"/>
          <w:szCs w:val="24"/>
        </w:rPr>
        <w:t>M</w:t>
      </w:r>
      <w:r w:rsidR="00BE64E8" w:rsidRPr="00796E2E">
        <w:rPr>
          <w:rFonts w:ascii="Tahoma" w:hAnsi="Tahoma" w:cs="Tahoma"/>
          <w:sz w:val="24"/>
          <w:szCs w:val="24"/>
        </w:rPr>
        <w:t>o</w:t>
      </w:r>
      <w:r w:rsidR="004E71C0" w:rsidRPr="00796E2E">
        <w:rPr>
          <w:rFonts w:ascii="Tahoma" w:hAnsi="Tahoma" w:cs="Tahoma"/>
          <w:sz w:val="24"/>
          <w:szCs w:val="24"/>
        </w:rPr>
        <w:t>M</w:t>
      </w:r>
      <w:r w:rsidR="00C5355A" w:rsidRPr="00796E2E">
        <w:rPr>
          <w:rFonts w:ascii="Tahoma" w:hAnsi="Tahoma" w:cs="Tahoma"/>
          <w:sz w:val="24"/>
          <w:szCs w:val="24"/>
        </w:rPr>
        <w:t xml:space="preserve"> basis</w:t>
      </w:r>
      <w:r w:rsidR="00BE64E8" w:rsidRPr="00796E2E">
        <w:rPr>
          <w:rFonts w:ascii="Tahoma" w:hAnsi="Tahoma" w:cs="Tahoma"/>
          <w:sz w:val="24"/>
          <w:szCs w:val="24"/>
        </w:rPr>
        <w:t>, t</w:t>
      </w:r>
      <w:r w:rsidR="0062024E" w:rsidRPr="00796E2E">
        <w:rPr>
          <w:rFonts w:ascii="Tahoma" w:hAnsi="Tahoma" w:cs="Tahoma"/>
          <w:sz w:val="24"/>
          <w:szCs w:val="24"/>
        </w:rPr>
        <w:t>he Z</w:t>
      </w:r>
      <w:r w:rsidR="00F22A6E" w:rsidRPr="00796E2E">
        <w:rPr>
          <w:rFonts w:ascii="Tahoma" w:hAnsi="Tahoma" w:cs="Tahoma"/>
          <w:sz w:val="24"/>
          <w:szCs w:val="24"/>
        </w:rPr>
        <w:t>iG</w:t>
      </w:r>
      <w:r w:rsidR="0062024E" w:rsidRPr="00796E2E">
        <w:rPr>
          <w:rFonts w:ascii="Tahoma" w:hAnsi="Tahoma" w:cs="Tahoma"/>
          <w:sz w:val="24"/>
          <w:szCs w:val="24"/>
        </w:rPr>
        <w:t xml:space="preserve"> depreciated by about</w:t>
      </w:r>
      <w:r w:rsidR="00E36CF6" w:rsidRPr="00796E2E">
        <w:rPr>
          <w:rFonts w:ascii="Tahoma" w:hAnsi="Tahoma" w:cs="Tahoma"/>
          <w:sz w:val="24"/>
          <w:szCs w:val="24"/>
        </w:rPr>
        <w:t xml:space="preserve"> </w:t>
      </w:r>
      <w:r w:rsidR="00F22A6E" w:rsidRPr="00796E2E">
        <w:rPr>
          <w:rFonts w:ascii="Tahoma" w:hAnsi="Tahoma" w:cs="Tahoma"/>
          <w:sz w:val="24"/>
          <w:szCs w:val="24"/>
        </w:rPr>
        <w:t>52.15</w:t>
      </w:r>
      <w:r w:rsidR="00BE64E8" w:rsidRPr="00796E2E">
        <w:rPr>
          <w:rFonts w:ascii="Tahoma" w:hAnsi="Tahoma" w:cs="Tahoma"/>
          <w:sz w:val="24"/>
          <w:szCs w:val="24"/>
        </w:rPr>
        <w:t>% against the USD</w:t>
      </w:r>
      <w:r w:rsidR="005645F7" w:rsidRPr="00796E2E">
        <w:rPr>
          <w:rFonts w:ascii="Tahoma" w:hAnsi="Tahoma" w:cs="Tahoma"/>
          <w:sz w:val="24"/>
          <w:szCs w:val="24"/>
        </w:rPr>
        <w:t xml:space="preserve">. </w:t>
      </w:r>
      <w:r w:rsidR="00BE64E8" w:rsidRPr="00796E2E">
        <w:rPr>
          <w:rFonts w:ascii="Tahoma" w:hAnsi="Tahoma" w:cs="Tahoma"/>
          <w:sz w:val="24"/>
          <w:szCs w:val="24"/>
        </w:rPr>
        <w:t>On an Yt</w:t>
      </w:r>
      <w:r w:rsidR="005645F7" w:rsidRPr="00796E2E">
        <w:rPr>
          <w:rFonts w:ascii="Tahoma" w:hAnsi="Tahoma" w:cs="Tahoma"/>
          <w:sz w:val="24"/>
          <w:szCs w:val="24"/>
        </w:rPr>
        <w:t>D</w:t>
      </w:r>
      <w:r w:rsidR="00BE64E8" w:rsidRPr="00796E2E">
        <w:rPr>
          <w:rFonts w:ascii="Tahoma" w:hAnsi="Tahoma" w:cs="Tahoma"/>
          <w:sz w:val="24"/>
          <w:szCs w:val="24"/>
        </w:rPr>
        <w:t xml:space="preserve"> and YoY basis, the </w:t>
      </w:r>
      <w:r w:rsidR="003D3E43" w:rsidRPr="00796E2E">
        <w:rPr>
          <w:rFonts w:ascii="Tahoma" w:hAnsi="Tahoma" w:cs="Tahoma"/>
          <w:sz w:val="24"/>
          <w:szCs w:val="24"/>
        </w:rPr>
        <w:t>ZiG</w:t>
      </w:r>
      <w:r w:rsidR="00BE64E8" w:rsidRPr="00796E2E">
        <w:rPr>
          <w:rFonts w:ascii="Tahoma" w:hAnsi="Tahoma" w:cs="Tahoma"/>
          <w:sz w:val="24"/>
          <w:szCs w:val="24"/>
        </w:rPr>
        <w:t xml:space="preserve"> lost by </w:t>
      </w:r>
      <w:r w:rsidR="003D3E43" w:rsidRPr="00796E2E">
        <w:rPr>
          <w:rFonts w:ascii="Tahoma" w:hAnsi="Tahoma" w:cs="Tahoma"/>
          <w:sz w:val="24"/>
          <w:szCs w:val="24"/>
        </w:rPr>
        <w:t>230.54</w:t>
      </w:r>
      <w:r w:rsidR="00BE64E8" w:rsidRPr="00796E2E">
        <w:rPr>
          <w:rFonts w:ascii="Tahoma" w:hAnsi="Tahoma" w:cs="Tahoma"/>
          <w:sz w:val="24"/>
          <w:szCs w:val="24"/>
        </w:rPr>
        <w:t xml:space="preserve">% and </w:t>
      </w:r>
      <w:r w:rsidR="003D3E43" w:rsidRPr="00796E2E">
        <w:rPr>
          <w:rFonts w:ascii="Tahoma" w:hAnsi="Tahoma" w:cs="Tahoma"/>
          <w:sz w:val="24"/>
          <w:szCs w:val="24"/>
        </w:rPr>
        <w:t>3513.88</w:t>
      </w:r>
      <w:r w:rsidR="00BE64E8" w:rsidRPr="00796E2E">
        <w:rPr>
          <w:rFonts w:ascii="Tahoma" w:hAnsi="Tahoma" w:cs="Tahoma"/>
          <w:sz w:val="24"/>
          <w:szCs w:val="24"/>
        </w:rPr>
        <w:t xml:space="preserve">%, respectively against the USD. </w:t>
      </w:r>
      <w:r w:rsidR="00C64199" w:rsidRPr="00C64199">
        <w:rPr>
          <w:rFonts w:ascii="Tahoma" w:hAnsi="Tahoma" w:cs="Tahoma"/>
          <w:i/>
          <w:iCs/>
          <w:sz w:val="24"/>
          <w:szCs w:val="24"/>
        </w:rPr>
        <w:t>The depreciation of the ZiG on MoM, YtD and YoY basis on the official market is mainly due to the conversion from the Zim dollar to the ZiG.</w:t>
      </w:r>
      <w:r w:rsidR="00C64199">
        <w:rPr>
          <w:rFonts w:ascii="Tahoma" w:hAnsi="Tahoma" w:cs="Tahoma"/>
          <w:sz w:val="24"/>
          <w:szCs w:val="24"/>
        </w:rPr>
        <w:t xml:space="preserve"> </w:t>
      </w:r>
    </w:p>
    <w:p w14:paraId="7FBF9C70" w14:textId="77777777" w:rsidR="00EF37FE" w:rsidRPr="00796E2E" w:rsidRDefault="003C1D2F" w:rsidP="0001510C">
      <w:pPr>
        <w:pStyle w:val="ListofTables"/>
      </w:pPr>
      <w:bookmarkStart w:id="36" w:name="_Toc164072364"/>
      <w:bookmarkStart w:id="37" w:name="_Toc166658891"/>
      <w:bookmarkStart w:id="38" w:name="_Toc168306903"/>
      <w:r w:rsidRPr="00796E2E">
        <w:t xml:space="preserve">Table </w:t>
      </w:r>
      <w:r w:rsidRPr="00796E2E">
        <w:fldChar w:fldCharType="begin"/>
      </w:r>
      <w:r w:rsidRPr="00796E2E">
        <w:instrText xml:space="preserve"> SEQ Table \* ARABIC </w:instrText>
      </w:r>
      <w:r w:rsidRPr="00796E2E">
        <w:fldChar w:fldCharType="separate"/>
      </w:r>
      <w:r w:rsidR="00D30418" w:rsidRPr="00796E2E">
        <w:t>3</w:t>
      </w:r>
      <w:r w:rsidRPr="00796E2E">
        <w:fldChar w:fldCharType="end"/>
      </w:r>
      <w:r w:rsidRPr="00796E2E">
        <w:t xml:space="preserve">: ZWL$ Exchange Rate Movements – </w:t>
      </w:r>
      <w:r w:rsidR="00F471BC" w:rsidRPr="00796E2E">
        <w:t>Month</w:t>
      </w:r>
      <w:r w:rsidRPr="00796E2E">
        <w:t xml:space="preserve"> Ending </w:t>
      </w:r>
      <w:r w:rsidR="00AC4BB6" w:rsidRPr="00796E2E">
        <w:t>30</w:t>
      </w:r>
      <w:r w:rsidRPr="00796E2E">
        <w:t xml:space="preserve"> </w:t>
      </w:r>
      <w:r w:rsidR="00AC4BB6" w:rsidRPr="00796E2E">
        <w:t>April</w:t>
      </w:r>
      <w:r w:rsidRPr="00796E2E">
        <w:t xml:space="preserve"> 202</w:t>
      </w:r>
      <w:r w:rsidR="00F471BC" w:rsidRPr="00796E2E">
        <w:t>4</w:t>
      </w:r>
      <w:bookmarkEnd w:id="36"/>
      <w:bookmarkEnd w:id="37"/>
      <w:bookmarkEnd w:id="38"/>
    </w:p>
    <w:p w14:paraId="74E174F6" w14:textId="6D5F73E4" w:rsidR="009F4C6F" w:rsidRPr="00796E2E" w:rsidRDefault="00C64199" w:rsidP="00C5355A">
      <w:pPr>
        <w:spacing w:after="0"/>
        <w:rPr>
          <w:rFonts w:ascii="Tahoma" w:hAnsi="Tahoma" w:cs="Tahoma"/>
          <w:sz w:val="24"/>
          <w:szCs w:val="24"/>
        </w:rPr>
      </w:pPr>
      <w:r w:rsidRPr="00C86244">
        <w:rPr>
          <w:noProof/>
        </w:rPr>
        <w:drawing>
          <wp:inline distT="0" distB="0" distL="0" distR="0" wp14:anchorId="695A41A0" wp14:editId="2D0D2C0B">
            <wp:extent cx="5734050" cy="1181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08510060" w14:textId="77777777" w:rsidR="00184FA3" w:rsidRPr="00796E2E" w:rsidRDefault="00184FA3">
      <w:pPr>
        <w:rPr>
          <w:rFonts w:ascii="Tahoma" w:hAnsi="Tahoma" w:cs="Tahoma"/>
          <w:sz w:val="24"/>
          <w:szCs w:val="24"/>
        </w:rPr>
      </w:pPr>
      <w:r w:rsidRPr="00796E2E">
        <w:rPr>
          <w:rFonts w:ascii="Tahoma" w:hAnsi="Tahoma" w:cs="Tahoma"/>
          <w:i/>
          <w:sz w:val="24"/>
          <w:szCs w:val="24"/>
        </w:rPr>
        <w:t>Source</w:t>
      </w:r>
      <w:r w:rsidR="00B1678A" w:rsidRPr="00796E2E">
        <w:rPr>
          <w:rFonts w:ascii="Tahoma" w:hAnsi="Tahoma" w:cs="Tahoma"/>
          <w:i/>
          <w:sz w:val="24"/>
          <w:szCs w:val="24"/>
        </w:rPr>
        <w:t>: R</w:t>
      </w:r>
      <w:r w:rsidR="009044CB">
        <w:rPr>
          <w:rFonts w:ascii="Tahoma" w:hAnsi="Tahoma" w:cs="Tahoma"/>
          <w:i/>
          <w:sz w:val="24"/>
          <w:szCs w:val="24"/>
        </w:rPr>
        <w:t>BZ</w:t>
      </w:r>
      <w:r w:rsidR="00B1678A" w:rsidRPr="00796E2E">
        <w:rPr>
          <w:rFonts w:ascii="Tahoma" w:hAnsi="Tahoma" w:cs="Tahoma"/>
          <w:i/>
          <w:sz w:val="24"/>
          <w:szCs w:val="24"/>
        </w:rPr>
        <w:t xml:space="preserve"> (</w:t>
      </w:r>
      <w:r w:rsidR="0062024E" w:rsidRPr="00796E2E">
        <w:rPr>
          <w:rFonts w:ascii="Tahoma" w:hAnsi="Tahoma" w:cs="Tahoma"/>
          <w:i/>
          <w:sz w:val="24"/>
          <w:szCs w:val="24"/>
        </w:rPr>
        <w:t>202</w:t>
      </w:r>
      <w:r w:rsidR="008B2E08" w:rsidRPr="00796E2E">
        <w:rPr>
          <w:rFonts w:ascii="Tahoma" w:hAnsi="Tahoma" w:cs="Tahoma"/>
          <w:i/>
          <w:sz w:val="24"/>
          <w:szCs w:val="24"/>
        </w:rPr>
        <w:t>4</w:t>
      </w:r>
      <w:r w:rsidR="00B1678A" w:rsidRPr="00796E2E">
        <w:rPr>
          <w:rFonts w:ascii="Tahoma" w:hAnsi="Tahoma" w:cs="Tahoma"/>
          <w:i/>
          <w:sz w:val="24"/>
          <w:szCs w:val="24"/>
        </w:rPr>
        <w:t>)</w:t>
      </w:r>
      <w:r w:rsidR="0062024E" w:rsidRPr="00796E2E">
        <w:rPr>
          <w:rFonts w:ascii="Tahoma" w:hAnsi="Tahoma" w:cs="Tahoma"/>
          <w:i/>
          <w:sz w:val="24"/>
          <w:szCs w:val="24"/>
        </w:rPr>
        <w:t xml:space="preserve"> </w:t>
      </w:r>
    </w:p>
    <w:p w14:paraId="268811DB" w14:textId="77777777" w:rsidR="00184FA3" w:rsidRPr="00796E2E" w:rsidRDefault="004C7E36" w:rsidP="00CD41A9">
      <w:pPr>
        <w:ind w:left="720" w:hanging="720"/>
        <w:jc w:val="both"/>
        <w:rPr>
          <w:rFonts w:ascii="Tahoma" w:hAnsi="Tahoma" w:cs="Tahoma"/>
          <w:sz w:val="24"/>
          <w:szCs w:val="24"/>
        </w:rPr>
      </w:pPr>
      <w:r w:rsidRPr="00796E2E">
        <w:rPr>
          <w:rFonts w:ascii="Tahoma" w:hAnsi="Tahoma" w:cs="Tahoma"/>
          <w:sz w:val="24"/>
          <w:szCs w:val="24"/>
        </w:rPr>
        <w:t>5.1.2</w:t>
      </w:r>
      <w:r w:rsidRPr="00796E2E">
        <w:rPr>
          <w:rFonts w:ascii="Tahoma" w:hAnsi="Tahoma" w:cs="Tahoma"/>
          <w:sz w:val="24"/>
          <w:szCs w:val="24"/>
        </w:rPr>
        <w:tab/>
      </w:r>
      <w:r w:rsidR="002D3BAB" w:rsidRPr="00796E2E">
        <w:rPr>
          <w:rFonts w:ascii="Tahoma" w:hAnsi="Tahoma" w:cs="Tahoma"/>
          <w:sz w:val="24"/>
          <w:szCs w:val="24"/>
        </w:rPr>
        <w:t xml:space="preserve">During the period under review, the market </w:t>
      </w:r>
      <w:r w:rsidR="00A937B8" w:rsidRPr="00796E2E">
        <w:rPr>
          <w:rFonts w:ascii="Tahoma" w:hAnsi="Tahoma" w:cs="Tahoma"/>
          <w:sz w:val="24"/>
          <w:szCs w:val="24"/>
        </w:rPr>
        <w:t xml:space="preserve">exchange rate </w:t>
      </w:r>
      <w:r w:rsidR="002D3BAB" w:rsidRPr="00796E2E">
        <w:rPr>
          <w:rFonts w:ascii="Tahoma" w:hAnsi="Tahoma" w:cs="Tahoma"/>
          <w:sz w:val="24"/>
          <w:szCs w:val="24"/>
        </w:rPr>
        <w:t xml:space="preserve">premium </w:t>
      </w:r>
      <w:r w:rsidR="00A937B8" w:rsidRPr="00796E2E">
        <w:rPr>
          <w:rFonts w:ascii="Tahoma" w:hAnsi="Tahoma" w:cs="Tahoma"/>
          <w:sz w:val="24"/>
          <w:szCs w:val="24"/>
        </w:rPr>
        <w:t xml:space="preserve">remained </w:t>
      </w:r>
      <w:r w:rsidR="005645F7" w:rsidRPr="00796E2E">
        <w:rPr>
          <w:rFonts w:ascii="Tahoma" w:hAnsi="Tahoma" w:cs="Tahoma"/>
          <w:sz w:val="24"/>
          <w:szCs w:val="24"/>
        </w:rPr>
        <w:t>high</w:t>
      </w:r>
      <w:r w:rsidR="00A937B8" w:rsidRPr="00796E2E">
        <w:rPr>
          <w:rFonts w:ascii="Tahoma" w:hAnsi="Tahoma" w:cs="Tahoma"/>
          <w:sz w:val="24"/>
          <w:szCs w:val="24"/>
        </w:rPr>
        <w:t xml:space="preserve"> </w:t>
      </w:r>
      <w:r w:rsidR="00CD41A9" w:rsidRPr="00796E2E">
        <w:rPr>
          <w:rFonts w:ascii="Tahoma" w:hAnsi="Tahoma" w:cs="Tahoma"/>
          <w:sz w:val="24"/>
          <w:szCs w:val="24"/>
        </w:rPr>
        <w:t xml:space="preserve">inhibiting </w:t>
      </w:r>
      <w:r w:rsidR="002D3BAB" w:rsidRPr="00796E2E">
        <w:rPr>
          <w:rFonts w:ascii="Tahoma" w:hAnsi="Tahoma" w:cs="Tahoma"/>
          <w:sz w:val="24"/>
          <w:szCs w:val="24"/>
        </w:rPr>
        <w:t xml:space="preserve">the </w:t>
      </w:r>
      <w:r w:rsidR="00CD41A9" w:rsidRPr="00796E2E">
        <w:rPr>
          <w:rFonts w:ascii="Tahoma" w:hAnsi="Tahoma" w:cs="Tahoma"/>
          <w:sz w:val="24"/>
          <w:szCs w:val="24"/>
        </w:rPr>
        <w:t>opportunity</w:t>
      </w:r>
      <w:r w:rsidR="002D3BAB" w:rsidRPr="00796E2E">
        <w:rPr>
          <w:rFonts w:ascii="Tahoma" w:hAnsi="Tahoma" w:cs="Tahoma"/>
          <w:sz w:val="24"/>
          <w:szCs w:val="24"/>
        </w:rPr>
        <w:t xml:space="preserve"> for convergence </w:t>
      </w:r>
      <w:r w:rsidR="00CD41A9" w:rsidRPr="00796E2E">
        <w:rPr>
          <w:rFonts w:ascii="Tahoma" w:hAnsi="Tahoma" w:cs="Tahoma"/>
          <w:sz w:val="24"/>
          <w:szCs w:val="24"/>
        </w:rPr>
        <w:t>between</w:t>
      </w:r>
      <w:r w:rsidR="002D3BAB" w:rsidRPr="00796E2E">
        <w:rPr>
          <w:rFonts w:ascii="Tahoma" w:hAnsi="Tahoma" w:cs="Tahoma"/>
          <w:sz w:val="24"/>
          <w:szCs w:val="24"/>
        </w:rPr>
        <w:t xml:space="preserve"> the official and the parallel market exchange rate</w:t>
      </w:r>
      <w:r w:rsidR="00CD41A9" w:rsidRPr="00796E2E">
        <w:rPr>
          <w:rFonts w:ascii="Tahoma" w:hAnsi="Tahoma" w:cs="Tahoma"/>
          <w:sz w:val="24"/>
          <w:szCs w:val="24"/>
        </w:rPr>
        <w:t>s</w:t>
      </w:r>
      <w:r w:rsidRPr="00796E2E">
        <w:rPr>
          <w:rFonts w:ascii="Tahoma" w:hAnsi="Tahoma" w:cs="Tahoma"/>
          <w:sz w:val="24"/>
          <w:szCs w:val="24"/>
        </w:rPr>
        <w:t xml:space="preserve"> as </w:t>
      </w:r>
      <w:r w:rsidR="00CD41A9" w:rsidRPr="00796E2E">
        <w:rPr>
          <w:rFonts w:ascii="Tahoma" w:hAnsi="Tahoma" w:cs="Tahoma"/>
          <w:sz w:val="24"/>
          <w:szCs w:val="24"/>
        </w:rPr>
        <w:t>indicated</w:t>
      </w:r>
      <w:r w:rsidRPr="00796E2E">
        <w:rPr>
          <w:rFonts w:ascii="Tahoma" w:hAnsi="Tahoma" w:cs="Tahoma"/>
          <w:sz w:val="24"/>
          <w:szCs w:val="24"/>
        </w:rPr>
        <w:t xml:space="preserve"> in Figure 4</w:t>
      </w:r>
      <w:r w:rsidR="002D3BAB" w:rsidRPr="00796E2E">
        <w:rPr>
          <w:rFonts w:ascii="Tahoma" w:hAnsi="Tahoma" w:cs="Tahoma"/>
          <w:sz w:val="24"/>
          <w:szCs w:val="24"/>
        </w:rPr>
        <w:t>.</w:t>
      </w:r>
      <w:r w:rsidR="00CD41A9" w:rsidRPr="00796E2E">
        <w:rPr>
          <w:rFonts w:ascii="Tahoma" w:hAnsi="Tahoma" w:cs="Tahoma"/>
          <w:sz w:val="24"/>
          <w:szCs w:val="24"/>
        </w:rPr>
        <w:t xml:space="preserve"> </w:t>
      </w:r>
    </w:p>
    <w:p w14:paraId="4D21D420" w14:textId="77777777" w:rsidR="0080107D" w:rsidRPr="0080107D" w:rsidRDefault="0080107D" w:rsidP="0080107D">
      <w:pPr>
        <w:pStyle w:val="Caption"/>
        <w:rPr>
          <w:rFonts w:ascii="Tahoma" w:hAnsi="Tahoma" w:cs="Tahoma"/>
          <w:b/>
          <w:bCs/>
          <w:i w:val="0"/>
          <w:iCs w:val="0"/>
          <w:color w:val="auto"/>
          <w:sz w:val="24"/>
          <w:szCs w:val="24"/>
        </w:rPr>
      </w:pPr>
      <w:bookmarkStart w:id="39" w:name="_Toc168317339"/>
      <w:r w:rsidRPr="0080107D">
        <w:rPr>
          <w:rFonts w:ascii="Tahoma" w:hAnsi="Tahoma" w:cs="Tahoma"/>
          <w:b/>
          <w:bCs/>
          <w:i w:val="0"/>
          <w:iCs w:val="0"/>
          <w:color w:val="auto"/>
          <w:sz w:val="24"/>
          <w:szCs w:val="24"/>
        </w:rPr>
        <w:t xml:space="preserve">Figure </w:t>
      </w:r>
      <w:r w:rsidRPr="0080107D">
        <w:rPr>
          <w:rFonts w:ascii="Tahoma" w:hAnsi="Tahoma" w:cs="Tahoma"/>
          <w:b/>
          <w:bCs/>
          <w:i w:val="0"/>
          <w:iCs w:val="0"/>
          <w:color w:val="auto"/>
          <w:sz w:val="24"/>
          <w:szCs w:val="24"/>
        </w:rPr>
        <w:fldChar w:fldCharType="begin"/>
      </w:r>
      <w:r w:rsidRPr="0080107D">
        <w:rPr>
          <w:rFonts w:ascii="Tahoma" w:hAnsi="Tahoma" w:cs="Tahoma"/>
          <w:b/>
          <w:bCs/>
          <w:i w:val="0"/>
          <w:iCs w:val="0"/>
          <w:color w:val="auto"/>
          <w:sz w:val="24"/>
          <w:szCs w:val="24"/>
        </w:rPr>
        <w:instrText xml:space="preserve"> SEQ Figure \* ARABIC </w:instrText>
      </w:r>
      <w:r w:rsidRPr="0080107D">
        <w:rPr>
          <w:rFonts w:ascii="Tahoma" w:hAnsi="Tahoma" w:cs="Tahoma"/>
          <w:b/>
          <w:bCs/>
          <w:i w:val="0"/>
          <w:iCs w:val="0"/>
          <w:color w:val="auto"/>
          <w:sz w:val="24"/>
          <w:szCs w:val="24"/>
        </w:rPr>
        <w:fldChar w:fldCharType="separate"/>
      </w:r>
      <w:r>
        <w:rPr>
          <w:rFonts w:ascii="Tahoma" w:hAnsi="Tahoma" w:cs="Tahoma"/>
          <w:b/>
          <w:bCs/>
          <w:i w:val="0"/>
          <w:iCs w:val="0"/>
          <w:noProof/>
          <w:color w:val="auto"/>
          <w:sz w:val="24"/>
          <w:szCs w:val="24"/>
        </w:rPr>
        <w:t>4</w:t>
      </w:r>
      <w:r w:rsidRPr="0080107D">
        <w:rPr>
          <w:rFonts w:ascii="Tahoma" w:hAnsi="Tahoma" w:cs="Tahoma"/>
          <w:b/>
          <w:bCs/>
          <w:i w:val="0"/>
          <w:iCs w:val="0"/>
          <w:color w:val="auto"/>
          <w:sz w:val="24"/>
          <w:szCs w:val="24"/>
        </w:rPr>
        <w:fldChar w:fldCharType="end"/>
      </w:r>
      <w:r w:rsidRPr="0080107D">
        <w:rPr>
          <w:rFonts w:ascii="Tahoma" w:hAnsi="Tahoma" w:cs="Tahoma"/>
          <w:b/>
          <w:bCs/>
          <w:i w:val="0"/>
          <w:iCs w:val="0"/>
          <w:color w:val="auto"/>
          <w:sz w:val="24"/>
          <w:szCs w:val="24"/>
        </w:rPr>
        <w:t>: Exchange Rate Developments</w:t>
      </w:r>
      <w:bookmarkEnd w:id="39"/>
    </w:p>
    <w:p w14:paraId="25D3BA1A" w14:textId="591B38DF" w:rsidR="00C65CC6" w:rsidRPr="00796E2E" w:rsidRDefault="00C64199" w:rsidP="004C7E36">
      <w:pPr>
        <w:spacing w:after="0"/>
        <w:rPr>
          <w:rFonts w:ascii="Tahoma" w:hAnsi="Tahoma" w:cs="Tahoma"/>
          <w:sz w:val="24"/>
          <w:szCs w:val="24"/>
        </w:rPr>
      </w:pPr>
      <w:r w:rsidRPr="00C86244">
        <w:rPr>
          <w:noProof/>
        </w:rPr>
        <w:drawing>
          <wp:inline distT="0" distB="0" distL="0" distR="0" wp14:anchorId="4694741C" wp14:editId="2BE70799">
            <wp:extent cx="5753100" cy="31623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972F31" w14:textId="77777777" w:rsidR="00184FA3" w:rsidRPr="00796E2E" w:rsidRDefault="00C65CC6" w:rsidP="00F97C36">
      <w:pPr>
        <w:spacing w:line="360" w:lineRule="auto"/>
        <w:rPr>
          <w:rFonts w:ascii="Tahoma" w:hAnsi="Tahoma" w:cs="Tahoma"/>
          <w:i/>
          <w:sz w:val="24"/>
          <w:szCs w:val="24"/>
        </w:rPr>
      </w:pPr>
      <w:r w:rsidRPr="00796E2E">
        <w:rPr>
          <w:rFonts w:ascii="Tahoma" w:hAnsi="Tahoma" w:cs="Tahoma"/>
          <w:i/>
          <w:sz w:val="24"/>
          <w:szCs w:val="24"/>
        </w:rPr>
        <w:t>Source: R</w:t>
      </w:r>
      <w:r w:rsidR="009044CB">
        <w:rPr>
          <w:rFonts w:ascii="Tahoma" w:hAnsi="Tahoma" w:cs="Tahoma"/>
          <w:i/>
          <w:sz w:val="24"/>
          <w:szCs w:val="24"/>
        </w:rPr>
        <w:t>BZ</w:t>
      </w:r>
      <w:r w:rsidR="000B63CE" w:rsidRPr="00796E2E">
        <w:rPr>
          <w:rFonts w:ascii="Tahoma" w:hAnsi="Tahoma" w:cs="Tahoma"/>
          <w:i/>
          <w:sz w:val="24"/>
          <w:szCs w:val="24"/>
        </w:rPr>
        <w:t xml:space="preserve"> </w:t>
      </w:r>
      <w:r w:rsidR="0091755A" w:rsidRPr="00796E2E">
        <w:rPr>
          <w:rFonts w:ascii="Tahoma" w:hAnsi="Tahoma" w:cs="Tahoma"/>
          <w:i/>
          <w:sz w:val="24"/>
          <w:szCs w:val="24"/>
        </w:rPr>
        <w:t>(</w:t>
      </w:r>
      <w:r w:rsidR="000B63CE" w:rsidRPr="00796E2E">
        <w:rPr>
          <w:rFonts w:ascii="Tahoma" w:hAnsi="Tahoma" w:cs="Tahoma"/>
          <w:i/>
          <w:sz w:val="24"/>
          <w:szCs w:val="24"/>
        </w:rPr>
        <w:t>2024</w:t>
      </w:r>
      <w:r w:rsidR="0091755A" w:rsidRPr="00796E2E">
        <w:rPr>
          <w:rFonts w:ascii="Tahoma" w:hAnsi="Tahoma" w:cs="Tahoma"/>
          <w:i/>
          <w:sz w:val="24"/>
          <w:szCs w:val="24"/>
        </w:rPr>
        <w:t>)</w:t>
      </w:r>
      <w:r w:rsidRPr="00796E2E">
        <w:rPr>
          <w:rFonts w:ascii="Tahoma" w:hAnsi="Tahoma" w:cs="Tahoma"/>
          <w:i/>
          <w:sz w:val="24"/>
          <w:szCs w:val="24"/>
        </w:rPr>
        <w:t xml:space="preserve"> and Harare </w:t>
      </w:r>
      <w:r w:rsidR="004C7E36" w:rsidRPr="00796E2E">
        <w:rPr>
          <w:rFonts w:ascii="Tahoma" w:hAnsi="Tahoma" w:cs="Tahoma"/>
          <w:i/>
          <w:sz w:val="24"/>
          <w:szCs w:val="24"/>
        </w:rPr>
        <w:t>Streets</w:t>
      </w:r>
    </w:p>
    <w:p w14:paraId="30FA4A09" w14:textId="77777777" w:rsidR="00C65CC6" w:rsidRPr="00796E2E" w:rsidRDefault="004C7E36" w:rsidP="003C1D2F">
      <w:pPr>
        <w:pStyle w:val="Heading2"/>
        <w:spacing w:before="0" w:after="240" w:line="240" w:lineRule="auto"/>
        <w:rPr>
          <w:rFonts w:cs="Tahoma"/>
          <w:b/>
          <w:color w:val="000000"/>
          <w:szCs w:val="24"/>
        </w:rPr>
      </w:pPr>
      <w:bookmarkStart w:id="40" w:name="_Toc166607897"/>
      <w:bookmarkStart w:id="41" w:name="_Toc168317172"/>
      <w:r w:rsidRPr="00796E2E">
        <w:rPr>
          <w:rFonts w:cs="Tahoma"/>
          <w:b/>
          <w:color w:val="000000"/>
          <w:szCs w:val="24"/>
        </w:rPr>
        <w:t>5.2</w:t>
      </w:r>
      <w:r w:rsidRPr="00796E2E">
        <w:rPr>
          <w:rFonts w:cs="Tahoma"/>
          <w:b/>
          <w:color w:val="000000"/>
          <w:szCs w:val="24"/>
        </w:rPr>
        <w:tab/>
      </w:r>
      <w:r w:rsidR="00EF25BB" w:rsidRPr="00796E2E">
        <w:rPr>
          <w:rFonts w:cs="Tahoma"/>
          <w:b/>
          <w:color w:val="000000"/>
          <w:szCs w:val="24"/>
        </w:rPr>
        <w:t>Cross Rate Developments</w:t>
      </w:r>
      <w:bookmarkEnd w:id="40"/>
      <w:bookmarkEnd w:id="41"/>
      <w:r w:rsidR="00EF25BB" w:rsidRPr="00796E2E">
        <w:rPr>
          <w:rFonts w:cs="Tahoma"/>
          <w:b/>
          <w:color w:val="000000"/>
          <w:szCs w:val="24"/>
        </w:rPr>
        <w:t xml:space="preserve"> </w:t>
      </w:r>
    </w:p>
    <w:p w14:paraId="0CF70FF1" w14:textId="77777777" w:rsidR="00C65CC6" w:rsidRPr="00796E2E" w:rsidRDefault="004C7E36" w:rsidP="004C7E36">
      <w:pPr>
        <w:ind w:left="720" w:hanging="720"/>
        <w:jc w:val="both"/>
        <w:rPr>
          <w:rFonts w:ascii="Tahoma" w:hAnsi="Tahoma" w:cs="Tahoma"/>
          <w:sz w:val="24"/>
          <w:szCs w:val="24"/>
        </w:rPr>
      </w:pPr>
      <w:r w:rsidRPr="00796E2E">
        <w:rPr>
          <w:rFonts w:ascii="Tahoma" w:hAnsi="Tahoma" w:cs="Tahoma"/>
          <w:sz w:val="24"/>
          <w:szCs w:val="24"/>
        </w:rPr>
        <w:t>5.2.1</w:t>
      </w:r>
      <w:r w:rsidRPr="00796E2E">
        <w:rPr>
          <w:rFonts w:ascii="Tahoma" w:hAnsi="Tahoma" w:cs="Tahoma"/>
          <w:sz w:val="24"/>
          <w:szCs w:val="24"/>
        </w:rPr>
        <w:tab/>
      </w:r>
      <w:r w:rsidR="00E25542" w:rsidRPr="00796E2E">
        <w:rPr>
          <w:rFonts w:ascii="Tahoma" w:hAnsi="Tahoma" w:cs="Tahoma"/>
          <w:sz w:val="24"/>
          <w:szCs w:val="24"/>
        </w:rPr>
        <w:t xml:space="preserve">On </w:t>
      </w:r>
      <w:r w:rsidR="005645F7" w:rsidRPr="00796E2E">
        <w:rPr>
          <w:rFonts w:ascii="Tahoma" w:hAnsi="Tahoma" w:cs="Tahoma"/>
          <w:sz w:val="24"/>
          <w:szCs w:val="24"/>
        </w:rPr>
        <w:t>MoM</w:t>
      </w:r>
      <w:r w:rsidR="00E25542" w:rsidRPr="00796E2E">
        <w:rPr>
          <w:rFonts w:ascii="Tahoma" w:hAnsi="Tahoma" w:cs="Tahoma"/>
          <w:sz w:val="24"/>
          <w:szCs w:val="24"/>
        </w:rPr>
        <w:t xml:space="preserve"> basis</w:t>
      </w:r>
      <w:r w:rsidR="00EF25BB" w:rsidRPr="00796E2E">
        <w:rPr>
          <w:rFonts w:ascii="Tahoma" w:hAnsi="Tahoma" w:cs="Tahoma"/>
          <w:sz w:val="24"/>
          <w:szCs w:val="24"/>
        </w:rPr>
        <w:t xml:space="preserve">, the USD depreciated </w:t>
      </w:r>
      <w:r w:rsidR="004B3C36" w:rsidRPr="00796E2E">
        <w:rPr>
          <w:rFonts w:ascii="Tahoma" w:hAnsi="Tahoma" w:cs="Tahoma"/>
          <w:sz w:val="24"/>
          <w:szCs w:val="24"/>
        </w:rPr>
        <w:t>by 1.</w:t>
      </w:r>
      <w:r w:rsidR="002E6010" w:rsidRPr="00796E2E">
        <w:rPr>
          <w:rFonts w:ascii="Tahoma" w:hAnsi="Tahoma" w:cs="Tahoma"/>
          <w:sz w:val="24"/>
          <w:szCs w:val="24"/>
        </w:rPr>
        <w:t>23</w:t>
      </w:r>
      <w:r w:rsidR="004B3C36" w:rsidRPr="00796E2E">
        <w:rPr>
          <w:rFonts w:ascii="Tahoma" w:hAnsi="Tahoma" w:cs="Tahoma"/>
          <w:sz w:val="24"/>
          <w:szCs w:val="24"/>
        </w:rPr>
        <w:t xml:space="preserve">% </w:t>
      </w:r>
      <w:r w:rsidR="00EF25BB" w:rsidRPr="00796E2E">
        <w:rPr>
          <w:rFonts w:ascii="Tahoma" w:hAnsi="Tahoma" w:cs="Tahoma"/>
          <w:sz w:val="24"/>
          <w:szCs w:val="24"/>
        </w:rPr>
        <w:t xml:space="preserve">against the </w:t>
      </w:r>
      <w:r w:rsidR="00E25542" w:rsidRPr="00796E2E">
        <w:rPr>
          <w:rFonts w:ascii="Tahoma" w:hAnsi="Tahoma" w:cs="Tahoma"/>
          <w:sz w:val="24"/>
          <w:szCs w:val="24"/>
        </w:rPr>
        <w:t xml:space="preserve">South African Rand </w:t>
      </w:r>
      <w:r w:rsidR="00EF25BB" w:rsidRPr="00796E2E">
        <w:rPr>
          <w:rFonts w:ascii="Tahoma" w:hAnsi="Tahoma" w:cs="Tahoma"/>
          <w:sz w:val="24"/>
          <w:szCs w:val="24"/>
        </w:rPr>
        <w:t>(</w:t>
      </w:r>
      <w:r w:rsidR="00E25542" w:rsidRPr="00796E2E">
        <w:rPr>
          <w:rFonts w:ascii="Tahoma" w:hAnsi="Tahoma" w:cs="Tahoma"/>
          <w:sz w:val="24"/>
          <w:szCs w:val="24"/>
        </w:rPr>
        <w:t>ZAR</w:t>
      </w:r>
      <w:r w:rsidR="00EF25BB" w:rsidRPr="00796E2E">
        <w:rPr>
          <w:rFonts w:ascii="Tahoma" w:hAnsi="Tahoma" w:cs="Tahoma"/>
          <w:sz w:val="24"/>
          <w:szCs w:val="24"/>
        </w:rPr>
        <w:t xml:space="preserve">) and gained against the </w:t>
      </w:r>
      <w:r w:rsidR="00E25542" w:rsidRPr="00796E2E">
        <w:rPr>
          <w:rFonts w:ascii="Tahoma" w:hAnsi="Tahoma" w:cs="Tahoma"/>
          <w:sz w:val="24"/>
          <w:szCs w:val="24"/>
        </w:rPr>
        <w:t>British Pound and EUR</w:t>
      </w:r>
      <w:r w:rsidRPr="00796E2E">
        <w:rPr>
          <w:rFonts w:ascii="Tahoma" w:hAnsi="Tahoma" w:cs="Tahoma"/>
          <w:sz w:val="24"/>
          <w:szCs w:val="24"/>
        </w:rPr>
        <w:t xml:space="preserve">, </w:t>
      </w:r>
      <w:r w:rsidR="00460658">
        <w:rPr>
          <w:rFonts w:ascii="Tahoma" w:hAnsi="Tahoma" w:cs="Tahoma"/>
          <w:sz w:val="24"/>
          <w:szCs w:val="24"/>
        </w:rPr>
        <w:t xml:space="preserve">by 0.79% and 1.15% respectively </w:t>
      </w:r>
      <w:r w:rsidRPr="00796E2E">
        <w:rPr>
          <w:rFonts w:ascii="Tahoma" w:hAnsi="Tahoma" w:cs="Tahoma"/>
          <w:sz w:val="24"/>
          <w:szCs w:val="24"/>
        </w:rPr>
        <w:t>as shown in Table 4</w:t>
      </w:r>
      <w:r w:rsidR="00EF25BB" w:rsidRPr="00796E2E">
        <w:rPr>
          <w:rFonts w:ascii="Tahoma" w:hAnsi="Tahoma" w:cs="Tahoma"/>
          <w:sz w:val="24"/>
          <w:szCs w:val="24"/>
        </w:rPr>
        <w:t xml:space="preserve">. </w:t>
      </w:r>
      <w:r w:rsidR="00CB6A80" w:rsidRPr="00460658">
        <w:rPr>
          <w:rFonts w:ascii="Tahoma" w:hAnsi="Tahoma" w:cs="Tahoma"/>
          <w:i/>
          <w:iCs/>
          <w:sz w:val="24"/>
          <w:szCs w:val="24"/>
        </w:rPr>
        <w:t xml:space="preserve">If the </w:t>
      </w:r>
      <w:r w:rsidR="002B6209" w:rsidRPr="00460658">
        <w:rPr>
          <w:rFonts w:ascii="Tahoma" w:hAnsi="Tahoma" w:cs="Tahoma"/>
          <w:i/>
          <w:iCs/>
          <w:sz w:val="24"/>
          <w:szCs w:val="24"/>
        </w:rPr>
        <w:t xml:space="preserve">appreciation of the ZAR against the USD </w:t>
      </w:r>
      <w:r w:rsidR="00CB6A80" w:rsidRPr="00460658">
        <w:rPr>
          <w:rFonts w:ascii="Tahoma" w:hAnsi="Tahoma" w:cs="Tahoma"/>
          <w:i/>
          <w:iCs/>
          <w:sz w:val="24"/>
          <w:szCs w:val="24"/>
        </w:rPr>
        <w:t xml:space="preserve">is maintained going forward, this has the effect of </w:t>
      </w:r>
      <w:r w:rsidR="00F84DF8" w:rsidRPr="00460658">
        <w:rPr>
          <w:rFonts w:ascii="Tahoma" w:hAnsi="Tahoma" w:cs="Tahoma"/>
          <w:i/>
          <w:iCs/>
          <w:sz w:val="24"/>
          <w:szCs w:val="24"/>
        </w:rPr>
        <w:t>discourag</w:t>
      </w:r>
      <w:r w:rsidR="00CB6A80" w:rsidRPr="00460658">
        <w:rPr>
          <w:rFonts w:ascii="Tahoma" w:hAnsi="Tahoma" w:cs="Tahoma"/>
          <w:i/>
          <w:iCs/>
          <w:sz w:val="24"/>
          <w:szCs w:val="24"/>
        </w:rPr>
        <w:t>ing</w:t>
      </w:r>
      <w:r w:rsidR="00F84DF8" w:rsidRPr="00460658">
        <w:rPr>
          <w:rFonts w:ascii="Tahoma" w:hAnsi="Tahoma" w:cs="Tahoma"/>
          <w:i/>
          <w:iCs/>
          <w:sz w:val="24"/>
          <w:szCs w:val="24"/>
        </w:rPr>
        <w:t xml:space="preserve"> imports from South Africa </w:t>
      </w:r>
      <w:r w:rsidR="00CB6A80" w:rsidRPr="00460658">
        <w:rPr>
          <w:rFonts w:ascii="Tahoma" w:hAnsi="Tahoma" w:cs="Tahoma"/>
          <w:i/>
          <w:iCs/>
          <w:sz w:val="24"/>
          <w:szCs w:val="24"/>
        </w:rPr>
        <w:t>and</w:t>
      </w:r>
      <w:r w:rsidR="00F84DF8" w:rsidRPr="00460658">
        <w:rPr>
          <w:rFonts w:ascii="Tahoma" w:hAnsi="Tahoma" w:cs="Tahoma"/>
          <w:i/>
          <w:iCs/>
          <w:sz w:val="24"/>
          <w:szCs w:val="24"/>
        </w:rPr>
        <w:t xml:space="preserve"> promoting local production and exports.</w:t>
      </w:r>
    </w:p>
    <w:p w14:paraId="7D2B4DC4" w14:textId="77777777" w:rsidR="003C1D2F" w:rsidRPr="00796E2E" w:rsidRDefault="003C1D2F" w:rsidP="0001510C">
      <w:pPr>
        <w:pStyle w:val="ListofTables"/>
      </w:pPr>
      <w:bookmarkStart w:id="42" w:name="_Toc164072365"/>
      <w:bookmarkStart w:id="43" w:name="_Toc166658892"/>
      <w:bookmarkStart w:id="44" w:name="_Toc168306904"/>
      <w:r w:rsidRPr="00796E2E">
        <w:lastRenderedPageBreak/>
        <w:t xml:space="preserve">Table </w:t>
      </w:r>
      <w:r w:rsidRPr="00796E2E">
        <w:fldChar w:fldCharType="begin"/>
      </w:r>
      <w:r w:rsidRPr="00796E2E">
        <w:instrText xml:space="preserve"> SEQ Table \* ARABIC </w:instrText>
      </w:r>
      <w:r w:rsidRPr="00796E2E">
        <w:fldChar w:fldCharType="separate"/>
      </w:r>
      <w:r w:rsidR="00D30418" w:rsidRPr="00796E2E">
        <w:t>4</w:t>
      </w:r>
      <w:r w:rsidRPr="00796E2E">
        <w:fldChar w:fldCharType="end"/>
      </w:r>
      <w:r w:rsidRPr="00796E2E">
        <w:t xml:space="preserve">: USD Exchange Rate Movements – </w:t>
      </w:r>
      <w:r w:rsidR="00642C66" w:rsidRPr="00796E2E">
        <w:t>Month</w:t>
      </w:r>
      <w:r w:rsidRPr="00796E2E">
        <w:t xml:space="preserve"> Ended </w:t>
      </w:r>
      <w:r w:rsidR="00170788" w:rsidRPr="00796E2E">
        <w:t>30</w:t>
      </w:r>
      <w:r w:rsidRPr="00796E2E">
        <w:t xml:space="preserve"> </w:t>
      </w:r>
      <w:r w:rsidR="00170788" w:rsidRPr="00796E2E">
        <w:t>April</w:t>
      </w:r>
      <w:r w:rsidRPr="00796E2E">
        <w:t xml:space="preserve"> 202</w:t>
      </w:r>
      <w:r w:rsidR="00642C66" w:rsidRPr="00796E2E">
        <w:t>4</w:t>
      </w:r>
      <w:bookmarkEnd w:id="42"/>
      <w:bookmarkEnd w:id="43"/>
      <w:bookmarkEnd w:id="44"/>
    </w:p>
    <w:p w14:paraId="01534168" w14:textId="72CF3659" w:rsidR="000E455D" w:rsidRPr="00796E2E" w:rsidRDefault="00C64199" w:rsidP="00CB6A80">
      <w:pPr>
        <w:spacing w:after="0"/>
        <w:rPr>
          <w:rFonts w:ascii="Tahoma" w:hAnsi="Tahoma" w:cs="Tahoma"/>
          <w:sz w:val="24"/>
          <w:szCs w:val="24"/>
        </w:rPr>
      </w:pPr>
      <w:r w:rsidRPr="00C86244">
        <w:rPr>
          <w:noProof/>
        </w:rPr>
        <w:drawing>
          <wp:inline distT="0" distB="0" distL="0" distR="0" wp14:anchorId="48373FF8" wp14:editId="03B5DC40">
            <wp:extent cx="5724525" cy="13335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333500"/>
                    </a:xfrm>
                    <a:prstGeom prst="rect">
                      <a:avLst/>
                    </a:prstGeom>
                    <a:noFill/>
                    <a:ln>
                      <a:noFill/>
                    </a:ln>
                  </pic:spPr>
                </pic:pic>
              </a:graphicData>
            </a:graphic>
          </wp:inline>
        </w:drawing>
      </w:r>
    </w:p>
    <w:p w14:paraId="7200E727" w14:textId="77777777" w:rsidR="00184FA3" w:rsidRPr="00796E2E" w:rsidRDefault="004C7E36">
      <w:pPr>
        <w:rPr>
          <w:rFonts w:ascii="Tahoma" w:hAnsi="Tahoma" w:cs="Tahoma"/>
          <w:i/>
          <w:sz w:val="24"/>
          <w:szCs w:val="24"/>
        </w:rPr>
      </w:pPr>
      <w:r w:rsidRPr="00796E2E">
        <w:rPr>
          <w:rFonts w:ascii="Tahoma" w:hAnsi="Tahoma" w:cs="Tahoma"/>
          <w:i/>
          <w:sz w:val="24"/>
          <w:szCs w:val="24"/>
        </w:rPr>
        <w:t xml:space="preserve">Source: </w:t>
      </w:r>
      <w:r w:rsidR="006F52AC" w:rsidRPr="00796E2E">
        <w:rPr>
          <w:rFonts w:ascii="Tahoma" w:hAnsi="Tahoma" w:cs="Tahoma"/>
          <w:i/>
          <w:sz w:val="24"/>
          <w:szCs w:val="24"/>
        </w:rPr>
        <w:t>RBZ</w:t>
      </w:r>
      <w:r w:rsidRPr="00796E2E">
        <w:rPr>
          <w:rFonts w:ascii="Tahoma" w:hAnsi="Tahoma" w:cs="Tahoma"/>
          <w:i/>
          <w:sz w:val="24"/>
          <w:szCs w:val="24"/>
        </w:rPr>
        <w:t xml:space="preserve"> (202</w:t>
      </w:r>
      <w:r w:rsidR="006F52AC" w:rsidRPr="00796E2E">
        <w:rPr>
          <w:rFonts w:ascii="Tahoma" w:hAnsi="Tahoma" w:cs="Tahoma"/>
          <w:i/>
          <w:sz w:val="24"/>
          <w:szCs w:val="24"/>
        </w:rPr>
        <w:t>4</w:t>
      </w:r>
      <w:r w:rsidRPr="00796E2E">
        <w:rPr>
          <w:rFonts w:ascii="Tahoma" w:hAnsi="Tahoma" w:cs="Tahoma"/>
          <w:i/>
          <w:sz w:val="24"/>
          <w:szCs w:val="24"/>
        </w:rPr>
        <w:t>)</w:t>
      </w:r>
    </w:p>
    <w:p w14:paraId="27B0C219" w14:textId="77777777" w:rsidR="00EF25BB" w:rsidRPr="00460658" w:rsidRDefault="004C7E36" w:rsidP="004C7E36">
      <w:pPr>
        <w:ind w:left="720" w:hanging="720"/>
        <w:jc w:val="both"/>
        <w:rPr>
          <w:rFonts w:ascii="Tahoma" w:hAnsi="Tahoma" w:cs="Tahoma"/>
          <w:i/>
          <w:iCs/>
          <w:sz w:val="24"/>
          <w:szCs w:val="24"/>
        </w:rPr>
      </w:pPr>
      <w:r w:rsidRPr="00796E2E">
        <w:rPr>
          <w:rFonts w:ascii="Tahoma" w:hAnsi="Tahoma" w:cs="Tahoma"/>
          <w:sz w:val="24"/>
          <w:szCs w:val="24"/>
        </w:rPr>
        <w:t>5.2.2</w:t>
      </w:r>
      <w:r w:rsidRPr="00796E2E">
        <w:rPr>
          <w:rFonts w:ascii="Tahoma" w:hAnsi="Tahoma" w:cs="Tahoma"/>
          <w:sz w:val="24"/>
          <w:szCs w:val="24"/>
        </w:rPr>
        <w:tab/>
      </w:r>
      <w:r w:rsidR="00CB6A80" w:rsidRPr="00796E2E">
        <w:rPr>
          <w:rFonts w:ascii="Tahoma" w:hAnsi="Tahoma" w:cs="Tahoma"/>
          <w:sz w:val="24"/>
          <w:szCs w:val="24"/>
        </w:rPr>
        <w:t>Meanwhile, t</w:t>
      </w:r>
      <w:r w:rsidR="00EF25BB" w:rsidRPr="00796E2E">
        <w:rPr>
          <w:rFonts w:ascii="Tahoma" w:hAnsi="Tahoma" w:cs="Tahoma"/>
          <w:sz w:val="24"/>
          <w:szCs w:val="24"/>
        </w:rPr>
        <w:t xml:space="preserve">he </w:t>
      </w:r>
      <w:r w:rsidR="002E6010" w:rsidRPr="00796E2E">
        <w:rPr>
          <w:rFonts w:ascii="Tahoma" w:hAnsi="Tahoma" w:cs="Tahoma"/>
          <w:sz w:val="24"/>
          <w:szCs w:val="24"/>
        </w:rPr>
        <w:t>USD</w:t>
      </w:r>
      <w:r w:rsidR="00EF25BB" w:rsidRPr="00796E2E">
        <w:rPr>
          <w:rFonts w:ascii="Tahoma" w:hAnsi="Tahoma" w:cs="Tahoma"/>
          <w:sz w:val="24"/>
          <w:szCs w:val="24"/>
        </w:rPr>
        <w:t xml:space="preserve"> </w:t>
      </w:r>
      <w:r w:rsidR="002E6010" w:rsidRPr="00796E2E">
        <w:rPr>
          <w:rFonts w:ascii="Tahoma" w:hAnsi="Tahoma" w:cs="Tahoma"/>
          <w:sz w:val="24"/>
          <w:szCs w:val="24"/>
        </w:rPr>
        <w:t>weakened</w:t>
      </w:r>
      <w:r w:rsidR="00427C53" w:rsidRPr="00796E2E">
        <w:rPr>
          <w:rFonts w:ascii="Tahoma" w:hAnsi="Tahoma" w:cs="Tahoma"/>
          <w:sz w:val="24"/>
          <w:szCs w:val="24"/>
        </w:rPr>
        <w:t xml:space="preserve"> by</w:t>
      </w:r>
      <w:r w:rsidR="00EF25BB" w:rsidRPr="00796E2E">
        <w:rPr>
          <w:rFonts w:ascii="Tahoma" w:hAnsi="Tahoma" w:cs="Tahoma"/>
          <w:sz w:val="24"/>
          <w:szCs w:val="24"/>
        </w:rPr>
        <w:t xml:space="preserve"> </w:t>
      </w:r>
      <w:r w:rsidR="002E6010" w:rsidRPr="00796E2E">
        <w:rPr>
          <w:rFonts w:ascii="Tahoma" w:hAnsi="Tahoma" w:cs="Tahoma"/>
          <w:sz w:val="24"/>
          <w:szCs w:val="24"/>
        </w:rPr>
        <w:t>0.73</w:t>
      </w:r>
      <w:r w:rsidR="00EF25BB" w:rsidRPr="00796E2E">
        <w:rPr>
          <w:rFonts w:ascii="Tahoma" w:hAnsi="Tahoma" w:cs="Tahoma"/>
          <w:sz w:val="24"/>
          <w:szCs w:val="24"/>
        </w:rPr>
        <w:t>%</w:t>
      </w:r>
      <w:r w:rsidR="00427C53" w:rsidRPr="00796E2E">
        <w:rPr>
          <w:rFonts w:ascii="Tahoma" w:hAnsi="Tahoma" w:cs="Tahoma"/>
          <w:sz w:val="24"/>
          <w:szCs w:val="24"/>
        </w:rPr>
        <w:t xml:space="preserve"> on</w:t>
      </w:r>
      <w:r w:rsidR="00EF25BB" w:rsidRPr="00796E2E">
        <w:rPr>
          <w:rFonts w:ascii="Tahoma" w:hAnsi="Tahoma" w:cs="Tahoma"/>
          <w:sz w:val="24"/>
          <w:szCs w:val="24"/>
        </w:rPr>
        <w:t xml:space="preserve"> Yt</w:t>
      </w:r>
      <w:r w:rsidR="00CB6A80" w:rsidRPr="00796E2E">
        <w:rPr>
          <w:rFonts w:ascii="Tahoma" w:hAnsi="Tahoma" w:cs="Tahoma"/>
          <w:sz w:val="24"/>
          <w:szCs w:val="24"/>
        </w:rPr>
        <w:t>D</w:t>
      </w:r>
      <w:r w:rsidR="00EF25BB" w:rsidRPr="00796E2E">
        <w:rPr>
          <w:rFonts w:ascii="Tahoma" w:hAnsi="Tahoma" w:cs="Tahoma"/>
          <w:sz w:val="24"/>
          <w:szCs w:val="24"/>
        </w:rPr>
        <w:t xml:space="preserve"> </w:t>
      </w:r>
      <w:r w:rsidR="00427C53" w:rsidRPr="00796E2E">
        <w:rPr>
          <w:rFonts w:ascii="Tahoma" w:hAnsi="Tahoma" w:cs="Tahoma"/>
          <w:sz w:val="24"/>
          <w:szCs w:val="24"/>
        </w:rPr>
        <w:t xml:space="preserve">basis </w:t>
      </w:r>
      <w:r w:rsidR="00EF25BB" w:rsidRPr="00796E2E">
        <w:rPr>
          <w:rFonts w:ascii="Tahoma" w:hAnsi="Tahoma" w:cs="Tahoma"/>
          <w:sz w:val="24"/>
          <w:szCs w:val="24"/>
        </w:rPr>
        <w:t xml:space="preserve">and </w:t>
      </w:r>
      <w:r w:rsidR="002E6010" w:rsidRPr="00796E2E">
        <w:rPr>
          <w:rFonts w:ascii="Tahoma" w:hAnsi="Tahoma" w:cs="Tahoma"/>
          <w:sz w:val="24"/>
          <w:szCs w:val="24"/>
        </w:rPr>
        <w:t>gained by 1.99</w:t>
      </w:r>
      <w:r w:rsidR="00EF25BB" w:rsidRPr="00796E2E">
        <w:rPr>
          <w:rFonts w:ascii="Tahoma" w:hAnsi="Tahoma" w:cs="Tahoma"/>
          <w:sz w:val="24"/>
          <w:szCs w:val="24"/>
        </w:rPr>
        <w:t xml:space="preserve">% </w:t>
      </w:r>
      <w:r w:rsidR="00427C53" w:rsidRPr="00796E2E">
        <w:rPr>
          <w:rFonts w:ascii="Tahoma" w:hAnsi="Tahoma" w:cs="Tahoma"/>
          <w:sz w:val="24"/>
          <w:szCs w:val="24"/>
        </w:rPr>
        <w:t xml:space="preserve">on </w:t>
      </w:r>
      <w:r w:rsidR="00EF25BB" w:rsidRPr="00796E2E">
        <w:rPr>
          <w:rFonts w:ascii="Tahoma" w:hAnsi="Tahoma" w:cs="Tahoma"/>
          <w:sz w:val="24"/>
          <w:szCs w:val="24"/>
        </w:rPr>
        <w:t xml:space="preserve">YoY </w:t>
      </w:r>
      <w:r w:rsidR="00427C53" w:rsidRPr="00796E2E">
        <w:rPr>
          <w:rFonts w:ascii="Tahoma" w:hAnsi="Tahoma" w:cs="Tahoma"/>
          <w:sz w:val="24"/>
          <w:szCs w:val="24"/>
        </w:rPr>
        <w:t xml:space="preserve">basis </w:t>
      </w:r>
      <w:r w:rsidR="00EF25BB" w:rsidRPr="00796E2E">
        <w:rPr>
          <w:rFonts w:ascii="Tahoma" w:hAnsi="Tahoma" w:cs="Tahoma"/>
          <w:sz w:val="24"/>
          <w:szCs w:val="24"/>
        </w:rPr>
        <w:t xml:space="preserve">against the </w:t>
      </w:r>
      <w:r w:rsidR="002E6010" w:rsidRPr="00796E2E">
        <w:rPr>
          <w:rFonts w:ascii="Tahoma" w:hAnsi="Tahoma" w:cs="Tahoma"/>
          <w:sz w:val="24"/>
          <w:szCs w:val="24"/>
        </w:rPr>
        <w:t>ZAR</w:t>
      </w:r>
      <w:r w:rsidR="00EF25BB" w:rsidRPr="00796E2E">
        <w:rPr>
          <w:rFonts w:ascii="Tahoma" w:hAnsi="Tahoma" w:cs="Tahoma"/>
          <w:sz w:val="24"/>
          <w:szCs w:val="24"/>
        </w:rPr>
        <w:t xml:space="preserve"> as the economy was still recovering from the COVID-19 pandemic effects. </w:t>
      </w:r>
      <w:r w:rsidR="00EF25BB" w:rsidRPr="00460658">
        <w:rPr>
          <w:rFonts w:ascii="Tahoma" w:hAnsi="Tahoma" w:cs="Tahoma"/>
          <w:i/>
          <w:iCs/>
          <w:sz w:val="24"/>
          <w:szCs w:val="24"/>
        </w:rPr>
        <w:t>Th</w:t>
      </w:r>
      <w:r w:rsidR="00CB6A80" w:rsidRPr="00460658">
        <w:rPr>
          <w:rFonts w:ascii="Tahoma" w:hAnsi="Tahoma" w:cs="Tahoma"/>
          <w:i/>
          <w:iCs/>
          <w:sz w:val="24"/>
          <w:szCs w:val="24"/>
        </w:rPr>
        <w:t>is</w:t>
      </w:r>
      <w:r w:rsidR="00A8286A" w:rsidRPr="00460658">
        <w:rPr>
          <w:rFonts w:ascii="Tahoma" w:hAnsi="Tahoma" w:cs="Tahoma"/>
          <w:i/>
          <w:iCs/>
          <w:sz w:val="24"/>
          <w:szCs w:val="24"/>
        </w:rPr>
        <w:t xml:space="preserve"> trend</w:t>
      </w:r>
      <w:r w:rsidR="00EF25BB" w:rsidRPr="00460658">
        <w:rPr>
          <w:rFonts w:ascii="Tahoma" w:hAnsi="Tahoma" w:cs="Tahoma"/>
          <w:i/>
          <w:iCs/>
          <w:sz w:val="24"/>
          <w:szCs w:val="24"/>
        </w:rPr>
        <w:t xml:space="preserve"> of the ZAR </w:t>
      </w:r>
      <w:r w:rsidR="002E6010" w:rsidRPr="00460658">
        <w:rPr>
          <w:rFonts w:ascii="Tahoma" w:hAnsi="Tahoma" w:cs="Tahoma"/>
          <w:i/>
          <w:iCs/>
          <w:sz w:val="24"/>
          <w:szCs w:val="24"/>
        </w:rPr>
        <w:t xml:space="preserve">promotes </w:t>
      </w:r>
      <w:r w:rsidR="00C52C3C" w:rsidRPr="00460658">
        <w:rPr>
          <w:rFonts w:ascii="Tahoma" w:hAnsi="Tahoma" w:cs="Tahoma"/>
          <w:i/>
          <w:iCs/>
          <w:sz w:val="24"/>
          <w:szCs w:val="24"/>
        </w:rPr>
        <w:t xml:space="preserve">competitiveness of Zimbabwean goods in the South African market. </w:t>
      </w:r>
    </w:p>
    <w:p w14:paraId="431312EC" w14:textId="77777777" w:rsidR="00184FA3" w:rsidRPr="00796E2E" w:rsidRDefault="004C7E36" w:rsidP="003C1D2F">
      <w:pPr>
        <w:pStyle w:val="Heading1"/>
        <w:spacing w:before="0" w:after="240" w:line="240" w:lineRule="auto"/>
        <w:rPr>
          <w:rFonts w:cs="Tahoma"/>
          <w:bCs/>
          <w:color w:val="000000"/>
          <w:szCs w:val="24"/>
        </w:rPr>
      </w:pPr>
      <w:bookmarkStart w:id="45" w:name="_Toc166607898"/>
      <w:bookmarkStart w:id="46" w:name="_Toc168317173"/>
      <w:r w:rsidRPr="00796E2E">
        <w:rPr>
          <w:rFonts w:cs="Tahoma"/>
          <w:bCs/>
          <w:color w:val="000000"/>
          <w:szCs w:val="24"/>
        </w:rPr>
        <w:t>6.0</w:t>
      </w:r>
      <w:r w:rsidRPr="00796E2E">
        <w:rPr>
          <w:rFonts w:cs="Tahoma"/>
          <w:bCs/>
          <w:color w:val="000000"/>
          <w:szCs w:val="24"/>
        </w:rPr>
        <w:tab/>
      </w:r>
      <w:r w:rsidR="00184FA3" w:rsidRPr="00796E2E">
        <w:rPr>
          <w:rFonts w:cs="Tahoma"/>
          <w:bCs/>
          <w:color w:val="000000"/>
          <w:szCs w:val="24"/>
        </w:rPr>
        <w:t>Inflation Developments</w:t>
      </w:r>
      <w:bookmarkEnd w:id="45"/>
      <w:bookmarkEnd w:id="46"/>
      <w:r w:rsidR="00184FA3" w:rsidRPr="00796E2E">
        <w:rPr>
          <w:rFonts w:cs="Tahoma"/>
          <w:bCs/>
          <w:color w:val="000000"/>
          <w:szCs w:val="24"/>
        </w:rPr>
        <w:t xml:space="preserve"> </w:t>
      </w:r>
    </w:p>
    <w:p w14:paraId="4DC9B968" w14:textId="77777777" w:rsidR="00FC71BF" w:rsidRPr="00796E2E" w:rsidRDefault="004C7E36" w:rsidP="004C7E36">
      <w:pPr>
        <w:ind w:left="720" w:hanging="720"/>
        <w:jc w:val="both"/>
        <w:rPr>
          <w:rFonts w:ascii="Tahoma" w:hAnsi="Tahoma" w:cs="Tahoma"/>
          <w:sz w:val="24"/>
          <w:szCs w:val="24"/>
        </w:rPr>
      </w:pPr>
      <w:r w:rsidRPr="00796E2E">
        <w:rPr>
          <w:rFonts w:ascii="Tahoma" w:hAnsi="Tahoma" w:cs="Tahoma"/>
          <w:sz w:val="24"/>
          <w:szCs w:val="24"/>
        </w:rPr>
        <w:t>6.1</w:t>
      </w:r>
      <w:r w:rsidRPr="00796E2E">
        <w:rPr>
          <w:rFonts w:ascii="Tahoma" w:hAnsi="Tahoma" w:cs="Tahoma"/>
          <w:sz w:val="24"/>
          <w:szCs w:val="24"/>
        </w:rPr>
        <w:tab/>
      </w:r>
      <w:bookmarkStart w:id="47" w:name="_Hlk166606180"/>
      <w:r w:rsidR="00B860C5" w:rsidRPr="00796E2E">
        <w:rPr>
          <w:rFonts w:ascii="Tahoma" w:hAnsi="Tahoma" w:cs="Tahoma"/>
          <w:sz w:val="24"/>
          <w:szCs w:val="24"/>
        </w:rPr>
        <w:t xml:space="preserve">During the </w:t>
      </w:r>
      <w:r w:rsidR="00CC0A83" w:rsidRPr="00796E2E">
        <w:rPr>
          <w:rFonts w:ascii="Tahoma" w:hAnsi="Tahoma" w:cs="Tahoma"/>
          <w:sz w:val="24"/>
          <w:szCs w:val="24"/>
        </w:rPr>
        <w:t>month</w:t>
      </w:r>
      <w:r w:rsidR="00B860C5" w:rsidRPr="00796E2E">
        <w:rPr>
          <w:rFonts w:ascii="Tahoma" w:hAnsi="Tahoma" w:cs="Tahoma"/>
          <w:sz w:val="24"/>
          <w:szCs w:val="24"/>
        </w:rPr>
        <w:t xml:space="preserve"> under review, </w:t>
      </w:r>
      <w:r w:rsidR="00CB6A80" w:rsidRPr="00796E2E">
        <w:rPr>
          <w:rFonts w:ascii="Tahoma" w:hAnsi="Tahoma" w:cs="Tahoma"/>
          <w:sz w:val="24"/>
          <w:szCs w:val="24"/>
        </w:rPr>
        <w:t>MoM</w:t>
      </w:r>
      <w:r w:rsidR="00B860C5" w:rsidRPr="00796E2E">
        <w:rPr>
          <w:rFonts w:ascii="Tahoma" w:hAnsi="Tahoma" w:cs="Tahoma"/>
          <w:sz w:val="24"/>
          <w:szCs w:val="24"/>
        </w:rPr>
        <w:t xml:space="preserve"> inflation stood at </w:t>
      </w:r>
      <w:r w:rsidR="00B97DEF" w:rsidRPr="00796E2E">
        <w:rPr>
          <w:rFonts w:ascii="Tahoma" w:hAnsi="Tahoma" w:cs="Tahoma"/>
          <w:sz w:val="24"/>
          <w:szCs w:val="24"/>
        </w:rPr>
        <w:t>2.9</w:t>
      </w:r>
      <w:r w:rsidR="00B860C5" w:rsidRPr="00796E2E">
        <w:rPr>
          <w:rFonts w:ascii="Tahoma" w:hAnsi="Tahoma" w:cs="Tahoma"/>
          <w:sz w:val="24"/>
          <w:szCs w:val="24"/>
        </w:rPr>
        <w:t xml:space="preserve">% </w:t>
      </w:r>
      <w:r w:rsidR="00CB6A80" w:rsidRPr="00796E2E">
        <w:rPr>
          <w:rFonts w:ascii="Tahoma" w:hAnsi="Tahoma" w:cs="Tahoma"/>
          <w:sz w:val="24"/>
          <w:szCs w:val="24"/>
        </w:rPr>
        <w:t xml:space="preserve">down from </w:t>
      </w:r>
      <w:r w:rsidR="00B97DEF" w:rsidRPr="00796E2E">
        <w:rPr>
          <w:rFonts w:ascii="Tahoma" w:hAnsi="Tahoma" w:cs="Tahoma"/>
          <w:sz w:val="24"/>
          <w:szCs w:val="24"/>
        </w:rPr>
        <w:t>4.9</w:t>
      </w:r>
      <w:r w:rsidR="009D2B26" w:rsidRPr="00796E2E">
        <w:rPr>
          <w:rFonts w:ascii="Tahoma" w:hAnsi="Tahoma" w:cs="Tahoma"/>
          <w:sz w:val="24"/>
          <w:szCs w:val="24"/>
        </w:rPr>
        <w:t>%</w:t>
      </w:r>
      <w:r w:rsidR="00CB6A80" w:rsidRPr="00796E2E">
        <w:rPr>
          <w:rFonts w:ascii="Tahoma" w:hAnsi="Tahoma" w:cs="Tahoma"/>
          <w:sz w:val="24"/>
          <w:szCs w:val="24"/>
        </w:rPr>
        <w:t xml:space="preserve"> recorded in the previous month</w:t>
      </w:r>
      <w:r w:rsidR="00670FF1" w:rsidRPr="00796E2E">
        <w:rPr>
          <w:rFonts w:ascii="Tahoma" w:hAnsi="Tahoma" w:cs="Tahoma"/>
          <w:sz w:val="24"/>
          <w:szCs w:val="24"/>
        </w:rPr>
        <w:t xml:space="preserve">, see Figure </w:t>
      </w:r>
      <w:r w:rsidR="0080107D">
        <w:rPr>
          <w:rFonts w:ascii="Tahoma" w:hAnsi="Tahoma" w:cs="Tahoma"/>
          <w:sz w:val="24"/>
          <w:szCs w:val="24"/>
        </w:rPr>
        <w:t>5</w:t>
      </w:r>
      <w:r w:rsidR="00670FF1" w:rsidRPr="00796E2E">
        <w:rPr>
          <w:rFonts w:ascii="Tahoma" w:hAnsi="Tahoma" w:cs="Tahoma"/>
          <w:sz w:val="24"/>
          <w:szCs w:val="24"/>
        </w:rPr>
        <w:t xml:space="preserve">. </w:t>
      </w:r>
    </w:p>
    <w:p w14:paraId="4EDAA42C" w14:textId="60A84F63" w:rsidR="00FA3C4E" w:rsidRPr="00796E2E" w:rsidRDefault="004C7E36" w:rsidP="00516FE0">
      <w:pPr>
        <w:ind w:left="720" w:hanging="720"/>
        <w:jc w:val="both"/>
        <w:rPr>
          <w:rFonts w:ascii="Tahoma" w:hAnsi="Tahoma" w:cs="Tahoma"/>
          <w:sz w:val="24"/>
          <w:szCs w:val="24"/>
        </w:rPr>
      </w:pPr>
      <w:r w:rsidRPr="00796E2E">
        <w:rPr>
          <w:rFonts w:ascii="Tahoma" w:hAnsi="Tahoma" w:cs="Tahoma"/>
          <w:sz w:val="24"/>
          <w:szCs w:val="24"/>
        </w:rPr>
        <w:t>6.2</w:t>
      </w:r>
      <w:r w:rsidRPr="00796E2E">
        <w:rPr>
          <w:rFonts w:ascii="Tahoma" w:hAnsi="Tahoma" w:cs="Tahoma"/>
          <w:sz w:val="24"/>
          <w:szCs w:val="24"/>
        </w:rPr>
        <w:tab/>
      </w:r>
      <w:r w:rsidR="00670FF1" w:rsidRPr="00796E2E">
        <w:rPr>
          <w:rFonts w:ascii="Tahoma" w:hAnsi="Tahoma" w:cs="Tahoma"/>
          <w:sz w:val="24"/>
          <w:szCs w:val="24"/>
        </w:rPr>
        <w:t>On the other hand, all items monthly inflation rate</w:t>
      </w:r>
      <w:r w:rsidR="00B97DEF" w:rsidRPr="00796E2E">
        <w:rPr>
          <w:rFonts w:ascii="Tahoma" w:hAnsi="Tahoma" w:cs="Tahoma"/>
          <w:sz w:val="24"/>
          <w:szCs w:val="24"/>
        </w:rPr>
        <w:t xml:space="preserve"> recorded a</w:t>
      </w:r>
      <w:r w:rsidR="00BA6DBC">
        <w:rPr>
          <w:rFonts w:ascii="Tahoma" w:hAnsi="Tahoma" w:cs="Tahoma"/>
          <w:sz w:val="24"/>
          <w:szCs w:val="24"/>
        </w:rPr>
        <w:t xml:space="preserve">n increase </w:t>
      </w:r>
      <w:r w:rsidR="00B97DEF" w:rsidRPr="00796E2E">
        <w:rPr>
          <w:rFonts w:ascii="Tahoma" w:hAnsi="Tahoma" w:cs="Tahoma"/>
          <w:sz w:val="24"/>
          <w:szCs w:val="24"/>
        </w:rPr>
        <w:t xml:space="preserve">from </w:t>
      </w:r>
      <w:r w:rsidR="00BA6DBC">
        <w:rPr>
          <w:rFonts w:ascii="Tahoma" w:hAnsi="Tahoma" w:cs="Tahoma"/>
          <w:sz w:val="24"/>
          <w:szCs w:val="24"/>
        </w:rPr>
        <w:t>97.14</w:t>
      </w:r>
      <w:r w:rsidR="00B97DEF" w:rsidRPr="00796E2E">
        <w:rPr>
          <w:rFonts w:ascii="Tahoma" w:hAnsi="Tahoma" w:cs="Tahoma"/>
          <w:sz w:val="24"/>
          <w:szCs w:val="24"/>
        </w:rPr>
        <w:t xml:space="preserve">% in </w:t>
      </w:r>
      <w:r w:rsidR="00C63687">
        <w:rPr>
          <w:rFonts w:ascii="Tahoma" w:hAnsi="Tahoma" w:cs="Tahoma"/>
          <w:sz w:val="24"/>
          <w:szCs w:val="24"/>
        </w:rPr>
        <w:t xml:space="preserve">March </w:t>
      </w:r>
      <w:r w:rsidR="00B97DEF" w:rsidRPr="00796E2E">
        <w:rPr>
          <w:rFonts w:ascii="Tahoma" w:hAnsi="Tahoma" w:cs="Tahoma"/>
          <w:sz w:val="24"/>
          <w:szCs w:val="24"/>
        </w:rPr>
        <w:t xml:space="preserve">2024 to </w:t>
      </w:r>
      <w:r w:rsidR="00BA6DBC">
        <w:rPr>
          <w:rFonts w:ascii="Tahoma" w:hAnsi="Tahoma" w:cs="Tahoma"/>
          <w:sz w:val="24"/>
          <w:szCs w:val="24"/>
        </w:rPr>
        <w:t>100</w:t>
      </w:r>
      <w:r w:rsidR="00B97DEF" w:rsidRPr="00796E2E">
        <w:rPr>
          <w:rFonts w:ascii="Tahoma" w:hAnsi="Tahoma" w:cs="Tahoma"/>
          <w:sz w:val="24"/>
          <w:szCs w:val="24"/>
        </w:rPr>
        <w:t xml:space="preserve">% </w:t>
      </w:r>
      <w:bookmarkEnd w:id="47"/>
      <w:r w:rsidR="00B97DEF" w:rsidRPr="00796E2E">
        <w:rPr>
          <w:rFonts w:ascii="Tahoma" w:hAnsi="Tahoma" w:cs="Tahoma"/>
          <w:sz w:val="24"/>
          <w:szCs w:val="24"/>
        </w:rPr>
        <w:t>in April 2024</w:t>
      </w:r>
      <w:r w:rsidR="00F226F3" w:rsidRPr="00796E2E">
        <w:rPr>
          <w:rFonts w:ascii="Tahoma" w:hAnsi="Tahoma" w:cs="Tahoma"/>
          <w:sz w:val="24"/>
          <w:szCs w:val="24"/>
        </w:rPr>
        <w:t xml:space="preserve"> </w:t>
      </w:r>
      <w:r w:rsidR="009379B9" w:rsidRPr="00796E2E">
        <w:rPr>
          <w:rFonts w:ascii="Tahoma" w:hAnsi="Tahoma" w:cs="Tahoma"/>
          <w:sz w:val="24"/>
          <w:szCs w:val="24"/>
        </w:rPr>
        <w:t>(see Table 5)</w:t>
      </w:r>
      <w:r w:rsidR="00CB6A80" w:rsidRPr="00796E2E">
        <w:rPr>
          <w:rFonts w:ascii="Tahoma" w:hAnsi="Tahoma" w:cs="Tahoma"/>
          <w:sz w:val="24"/>
          <w:szCs w:val="24"/>
        </w:rPr>
        <w:t xml:space="preserve">. </w:t>
      </w:r>
      <w:r w:rsidR="009379B9" w:rsidRPr="00796E2E">
        <w:rPr>
          <w:rFonts w:ascii="Tahoma" w:hAnsi="Tahoma" w:cs="Tahoma"/>
          <w:sz w:val="24"/>
          <w:szCs w:val="24"/>
        </w:rPr>
        <w:t>The main drivers being food and non-alcoholic beverages and</w:t>
      </w:r>
      <w:r w:rsidR="00335FD6" w:rsidRPr="00796E2E">
        <w:rPr>
          <w:rFonts w:ascii="Tahoma" w:hAnsi="Tahoma" w:cs="Tahoma"/>
          <w:sz w:val="24"/>
          <w:szCs w:val="24"/>
        </w:rPr>
        <w:t xml:space="preserve"> </w:t>
      </w:r>
      <w:r w:rsidR="009379B9" w:rsidRPr="00796E2E">
        <w:rPr>
          <w:rFonts w:ascii="Tahoma" w:hAnsi="Tahoma" w:cs="Tahoma"/>
          <w:sz w:val="24"/>
          <w:szCs w:val="24"/>
        </w:rPr>
        <w:t>housing, water, electricity, gas and other fuels.</w:t>
      </w:r>
      <w:r w:rsidR="00F226F3" w:rsidRPr="00796E2E">
        <w:rPr>
          <w:rFonts w:ascii="Tahoma" w:hAnsi="Tahoma" w:cs="Tahoma"/>
          <w:sz w:val="24"/>
          <w:szCs w:val="24"/>
        </w:rPr>
        <w:t xml:space="preserve"> </w:t>
      </w:r>
    </w:p>
    <w:p w14:paraId="34D8FA36" w14:textId="77777777" w:rsidR="0080107D" w:rsidRPr="0080107D" w:rsidRDefault="0080107D" w:rsidP="0080107D">
      <w:pPr>
        <w:pStyle w:val="Caption"/>
        <w:rPr>
          <w:rFonts w:ascii="Tahoma" w:hAnsi="Tahoma" w:cs="Tahoma"/>
          <w:b/>
          <w:bCs/>
          <w:i w:val="0"/>
          <w:iCs w:val="0"/>
          <w:color w:val="auto"/>
          <w:sz w:val="24"/>
          <w:szCs w:val="24"/>
        </w:rPr>
      </w:pPr>
      <w:bookmarkStart w:id="48" w:name="_Toc168317340"/>
      <w:r w:rsidRPr="0080107D">
        <w:rPr>
          <w:rFonts w:ascii="Tahoma" w:hAnsi="Tahoma" w:cs="Tahoma"/>
          <w:b/>
          <w:bCs/>
          <w:i w:val="0"/>
          <w:iCs w:val="0"/>
          <w:color w:val="auto"/>
          <w:sz w:val="24"/>
          <w:szCs w:val="24"/>
        </w:rPr>
        <w:t xml:space="preserve">Figure </w:t>
      </w:r>
      <w:r w:rsidRPr="0080107D">
        <w:rPr>
          <w:rFonts w:ascii="Tahoma" w:hAnsi="Tahoma" w:cs="Tahoma"/>
          <w:b/>
          <w:bCs/>
          <w:i w:val="0"/>
          <w:iCs w:val="0"/>
          <w:color w:val="auto"/>
          <w:sz w:val="24"/>
          <w:szCs w:val="24"/>
        </w:rPr>
        <w:fldChar w:fldCharType="begin"/>
      </w:r>
      <w:r w:rsidRPr="0080107D">
        <w:rPr>
          <w:rFonts w:ascii="Tahoma" w:hAnsi="Tahoma" w:cs="Tahoma"/>
          <w:b/>
          <w:bCs/>
          <w:i w:val="0"/>
          <w:iCs w:val="0"/>
          <w:color w:val="auto"/>
          <w:sz w:val="24"/>
          <w:szCs w:val="24"/>
        </w:rPr>
        <w:instrText xml:space="preserve"> SEQ Figure \* ARABIC </w:instrText>
      </w:r>
      <w:r w:rsidRPr="0080107D">
        <w:rPr>
          <w:rFonts w:ascii="Tahoma" w:hAnsi="Tahoma" w:cs="Tahoma"/>
          <w:b/>
          <w:bCs/>
          <w:i w:val="0"/>
          <w:iCs w:val="0"/>
          <w:color w:val="auto"/>
          <w:sz w:val="24"/>
          <w:szCs w:val="24"/>
        </w:rPr>
        <w:fldChar w:fldCharType="separate"/>
      </w:r>
      <w:r>
        <w:rPr>
          <w:rFonts w:ascii="Tahoma" w:hAnsi="Tahoma" w:cs="Tahoma"/>
          <w:b/>
          <w:bCs/>
          <w:i w:val="0"/>
          <w:iCs w:val="0"/>
          <w:noProof/>
          <w:color w:val="auto"/>
          <w:sz w:val="24"/>
          <w:szCs w:val="24"/>
        </w:rPr>
        <w:t>5</w:t>
      </w:r>
      <w:r w:rsidRPr="0080107D">
        <w:rPr>
          <w:rFonts w:ascii="Tahoma" w:hAnsi="Tahoma" w:cs="Tahoma"/>
          <w:b/>
          <w:bCs/>
          <w:i w:val="0"/>
          <w:iCs w:val="0"/>
          <w:color w:val="auto"/>
          <w:sz w:val="24"/>
          <w:szCs w:val="24"/>
        </w:rPr>
        <w:fldChar w:fldCharType="end"/>
      </w:r>
      <w:r w:rsidRPr="0080107D">
        <w:rPr>
          <w:rFonts w:ascii="Tahoma" w:hAnsi="Tahoma" w:cs="Tahoma"/>
          <w:b/>
          <w:bCs/>
          <w:i w:val="0"/>
          <w:iCs w:val="0"/>
          <w:color w:val="auto"/>
          <w:sz w:val="24"/>
          <w:szCs w:val="24"/>
        </w:rPr>
        <w:t>: Month-on-Month Inflation Outturn</w:t>
      </w:r>
      <w:bookmarkEnd w:id="48"/>
    </w:p>
    <w:p w14:paraId="0303B560" w14:textId="7E0AD535" w:rsidR="00474E3B" w:rsidRPr="00796E2E" w:rsidRDefault="00C64199" w:rsidP="004C7E36">
      <w:pPr>
        <w:spacing w:after="0"/>
        <w:rPr>
          <w:rFonts w:ascii="Tahoma" w:hAnsi="Tahoma" w:cs="Tahoma"/>
          <w:sz w:val="24"/>
          <w:szCs w:val="24"/>
        </w:rPr>
      </w:pPr>
      <w:r w:rsidRPr="00C86244">
        <w:rPr>
          <w:noProof/>
        </w:rPr>
        <w:drawing>
          <wp:inline distT="0" distB="0" distL="0" distR="0" wp14:anchorId="0A9DF938" wp14:editId="6FB7ECF8">
            <wp:extent cx="5800725" cy="2867025"/>
            <wp:effectExtent l="0" t="0" r="0"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51C97D" w14:textId="77777777" w:rsidR="00474E3B" w:rsidRPr="00796E2E" w:rsidRDefault="004C7E36" w:rsidP="00474E3B">
      <w:pPr>
        <w:rPr>
          <w:rFonts w:ascii="Tahoma" w:hAnsi="Tahoma" w:cs="Tahoma"/>
          <w:i/>
          <w:sz w:val="24"/>
          <w:szCs w:val="24"/>
        </w:rPr>
      </w:pPr>
      <w:r w:rsidRPr="00796E2E">
        <w:rPr>
          <w:rFonts w:ascii="Tahoma" w:hAnsi="Tahoma" w:cs="Tahoma"/>
          <w:i/>
          <w:sz w:val="24"/>
          <w:szCs w:val="24"/>
        </w:rPr>
        <w:t>Source: ZimStat (202</w:t>
      </w:r>
      <w:r w:rsidR="00FF16B2" w:rsidRPr="00796E2E">
        <w:rPr>
          <w:rFonts w:ascii="Tahoma" w:hAnsi="Tahoma" w:cs="Tahoma"/>
          <w:i/>
          <w:sz w:val="24"/>
          <w:szCs w:val="24"/>
        </w:rPr>
        <w:t>4</w:t>
      </w:r>
      <w:r w:rsidRPr="00796E2E">
        <w:rPr>
          <w:rFonts w:ascii="Tahoma" w:hAnsi="Tahoma" w:cs="Tahoma"/>
          <w:i/>
          <w:sz w:val="24"/>
          <w:szCs w:val="24"/>
        </w:rPr>
        <w:t>)</w:t>
      </w:r>
    </w:p>
    <w:p w14:paraId="1CABA14C" w14:textId="1B7709C3" w:rsidR="00474E3B" w:rsidRPr="00796E2E" w:rsidRDefault="004C7E36" w:rsidP="004C7E36">
      <w:pPr>
        <w:ind w:left="720" w:hanging="720"/>
        <w:rPr>
          <w:rFonts w:ascii="Tahoma" w:hAnsi="Tahoma" w:cs="Tahoma"/>
          <w:sz w:val="24"/>
          <w:szCs w:val="24"/>
        </w:rPr>
      </w:pPr>
      <w:r w:rsidRPr="00796E2E">
        <w:rPr>
          <w:rFonts w:ascii="Tahoma" w:hAnsi="Tahoma" w:cs="Tahoma"/>
          <w:sz w:val="24"/>
          <w:szCs w:val="24"/>
        </w:rPr>
        <w:t>6.5</w:t>
      </w:r>
      <w:r w:rsidRPr="00796E2E">
        <w:rPr>
          <w:rFonts w:ascii="Tahoma" w:hAnsi="Tahoma" w:cs="Tahoma"/>
          <w:sz w:val="24"/>
          <w:szCs w:val="24"/>
        </w:rPr>
        <w:tab/>
      </w:r>
      <w:r w:rsidR="00474E3B" w:rsidRPr="00796E2E">
        <w:rPr>
          <w:rFonts w:ascii="Tahoma" w:hAnsi="Tahoma" w:cs="Tahoma"/>
          <w:sz w:val="24"/>
          <w:szCs w:val="24"/>
        </w:rPr>
        <w:t>Table</w:t>
      </w:r>
      <w:r w:rsidRPr="00796E2E">
        <w:rPr>
          <w:rFonts w:ascii="Tahoma" w:hAnsi="Tahoma" w:cs="Tahoma"/>
          <w:sz w:val="24"/>
          <w:szCs w:val="24"/>
        </w:rPr>
        <w:t xml:space="preserve"> 5</w:t>
      </w:r>
      <w:r w:rsidR="00CB6A80" w:rsidRPr="00796E2E">
        <w:rPr>
          <w:rFonts w:ascii="Tahoma" w:hAnsi="Tahoma" w:cs="Tahoma"/>
          <w:sz w:val="24"/>
          <w:szCs w:val="24"/>
        </w:rPr>
        <w:t xml:space="preserve"> shows the main drivers of inflation in the month of </w:t>
      </w:r>
      <w:r w:rsidR="006744E8">
        <w:rPr>
          <w:rFonts w:ascii="Tahoma" w:hAnsi="Tahoma" w:cs="Tahoma"/>
          <w:sz w:val="24"/>
          <w:szCs w:val="24"/>
        </w:rPr>
        <w:t>April</w:t>
      </w:r>
      <w:r w:rsidR="00CB6A80" w:rsidRPr="00796E2E">
        <w:rPr>
          <w:rFonts w:ascii="Tahoma" w:hAnsi="Tahoma" w:cs="Tahoma"/>
          <w:sz w:val="24"/>
          <w:szCs w:val="24"/>
        </w:rPr>
        <w:t xml:space="preserve"> 2024. </w:t>
      </w:r>
    </w:p>
    <w:p w14:paraId="7F57A5C4" w14:textId="77777777" w:rsidR="00D81672" w:rsidRPr="00796E2E" w:rsidRDefault="003C1D2F" w:rsidP="0001510C">
      <w:pPr>
        <w:pStyle w:val="ListofTables"/>
      </w:pPr>
      <w:bookmarkStart w:id="49" w:name="_Toc164072366"/>
      <w:bookmarkStart w:id="50" w:name="_Toc166658893"/>
      <w:bookmarkStart w:id="51" w:name="_Toc168306905"/>
      <w:r w:rsidRPr="00796E2E">
        <w:lastRenderedPageBreak/>
        <w:t xml:space="preserve">Table </w:t>
      </w:r>
      <w:r w:rsidRPr="00796E2E">
        <w:fldChar w:fldCharType="begin"/>
      </w:r>
      <w:r w:rsidRPr="00796E2E">
        <w:instrText xml:space="preserve"> SEQ Table \* ARABIC </w:instrText>
      </w:r>
      <w:r w:rsidRPr="00796E2E">
        <w:fldChar w:fldCharType="separate"/>
      </w:r>
      <w:r w:rsidR="00D30418" w:rsidRPr="00796E2E">
        <w:t>5</w:t>
      </w:r>
      <w:r w:rsidRPr="00796E2E">
        <w:fldChar w:fldCharType="end"/>
      </w:r>
      <w:r w:rsidRPr="00796E2E">
        <w:t xml:space="preserve">: Inflation by Sector </w:t>
      </w:r>
      <w:r w:rsidR="009F7A4B" w:rsidRPr="00796E2E">
        <w:t>April</w:t>
      </w:r>
      <w:r w:rsidRPr="00796E2E">
        <w:t xml:space="preserve"> 202</w:t>
      </w:r>
      <w:r w:rsidR="002525BF" w:rsidRPr="00796E2E">
        <w:t>4</w:t>
      </w:r>
      <w:bookmarkEnd w:id="49"/>
      <w:bookmarkEnd w:id="50"/>
      <w:bookmarkEnd w:id="51"/>
    </w:p>
    <w:p w14:paraId="607F4324" w14:textId="7D48283B" w:rsidR="00364947" w:rsidRPr="00796E2E" w:rsidRDefault="003C1636" w:rsidP="004C7E36">
      <w:pPr>
        <w:spacing w:after="0"/>
        <w:rPr>
          <w:rFonts w:ascii="Tahoma" w:hAnsi="Tahoma" w:cs="Tahoma"/>
          <w:sz w:val="24"/>
          <w:szCs w:val="24"/>
        </w:rPr>
      </w:pPr>
      <w:r w:rsidRPr="003C1636">
        <w:rPr>
          <w:rFonts w:ascii="Tahoma" w:hAnsi="Tahoma" w:cs="Tahoma"/>
          <w:noProof/>
          <w:sz w:val="24"/>
          <w:szCs w:val="24"/>
        </w:rPr>
        <w:drawing>
          <wp:inline distT="0" distB="0" distL="0" distR="0" wp14:anchorId="543C616F" wp14:editId="605978E7">
            <wp:extent cx="5731510" cy="2985135"/>
            <wp:effectExtent l="0" t="0" r="2540" b="5715"/>
            <wp:docPr id="109397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76969" name=""/>
                    <pic:cNvPicPr/>
                  </pic:nvPicPr>
                  <pic:blipFill>
                    <a:blip r:embed="rId18"/>
                    <a:stretch>
                      <a:fillRect/>
                    </a:stretch>
                  </pic:blipFill>
                  <pic:spPr>
                    <a:xfrm>
                      <a:off x="0" y="0"/>
                      <a:ext cx="5731510" cy="2985135"/>
                    </a:xfrm>
                    <a:prstGeom prst="rect">
                      <a:avLst/>
                    </a:prstGeom>
                  </pic:spPr>
                </pic:pic>
              </a:graphicData>
            </a:graphic>
          </wp:inline>
        </w:drawing>
      </w:r>
    </w:p>
    <w:p w14:paraId="0D3FAE7F" w14:textId="77777777" w:rsidR="00D81672" w:rsidRPr="00796E2E" w:rsidRDefault="00D81672">
      <w:pPr>
        <w:rPr>
          <w:rFonts w:ascii="Tahoma" w:hAnsi="Tahoma" w:cs="Tahoma"/>
          <w:i/>
          <w:sz w:val="24"/>
          <w:szCs w:val="24"/>
        </w:rPr>
      </w:pPr>
      <w:r w:rsidRPr="00796E2E">
        <w:rPr>
          <w:rFonts w:ascii="Tahoma" w:hAnsi="Tahoma" w:cs="Tahoma"/>
          <w:i/>
          <w:sz w:val="24"/>
          <w:szCs w:val="24"/>
        </w:rPr>
        <w:t>Source</w:t>
      </w:r>
      <w:r w:rsidR="004C7E36" w:rsidRPr="00796E2E">
        <w:rPr>
          <w:rFonts w:ascii="Tahoma" w:hAnsi="Tahoma" w:cs="Tahoma"/>
          <w:i/>
          <w:sz w:val="24"/>
          <w:szCs w:val="24"/>
        </w:rPr>
        <w:t>: ZimStat (202</w:t>
      </w:r>
      <w:r w:rsidR="00386A89" w:rsidRPr="00796E2E">
        <w:rPr>
          <w:rFonts w:ascii="Tahoma" w:hAnsi="Tahoma" w:cs="Tahoma"/>
          <w:i/>
          <w:sz w:val="24"/>
          <w:szCs w:val="24"/>
        </w:rPr>
        <w:t>4</w:t>
      </w:r>
      <w:r w:rsidR="004C7E36" w:rsidRPr="00796E2E">
        <w:rPr>
          <w:rFonts w:ascii="Tahoma" w:hAnsi="Tahoma" w:cs="Tahoma"/>
          <w:i/>
          <w:sz w:val="24"/>
          <w:szCs w:val="24"/>
        </w:rPr>
        <w:t>)</w:t>
      </w:r>
    </w:p>
    <w:p w14:paraId="5F15FF9F" w14:textId="77777777" w:rsidR="00184FA3" w:rsidRPr="00796E2E" w:rsidRDefault="00184FA3" w:rsidP="003D0C8C">
      <w:pPr>
        <w:pStyle w:val="Heading1"/>
        <w:numPr>
          <w:ilvl w:val="0"/>
          <w:numId w:val="6"/>
        </w:numPr>
        <w:spacing w:before="0" w:after="240" w:line="240" w:lineRule="auto"/>
        <w:rPr>
          <w:rFonts w:cs="Tahoma"/>
          <w:bCs/>
          <w:color w:val="000000"/>
          <w:szCs w:val="24"/>
        </w:rPr>
      </w:pPr>
      <w:bookmarkStart w:id="52" w:name="_Toc166607899"/>
      <w:bookmarkStart w:id="53" w:name="_Toc168317174"/>
      <w:r w:rsidRPr="00796E2E">
        <w:rPr>
          <w:rFonts w:cs="Tahoma"/>
          <w:bCs/>
          <w:color w:val="000000"/>
          <w:szCs w:val="24"/>
        </w:rPr>
        <w:t>Monetary Developments</w:t>
      </w:r>
      <w:bookmarkEnd w:id="52"/>
      <w:bookmarkEnd w:id="53"/>
      <w:r w:rsidRPr="00796E2E">
        <w:rPr>
          <w:rFonts w:cs="Tahoma"/>
          <w:bCs/>
          <w:color w:val="000000"/>
          <w:szCs w:val="24"/>
        </w:rPr>
        <w:t xml:space="preserve"> </w:t>
      </w:r>
    </w:p>
    <w:p w14:paraId="69FC6D85" w14:textId="77777777" w:rsidR="003D0C8C" w:rsidRPr="00796E2E" w:rsidRDefault="003D0C8C" w:rsidP="003D0C8C">
      <w:pPr>
        <w:pStyle w:val="Heading2"/>
        <w:spacing w:before="0" w:after="240" w:line="240" w:lineRule="auto"/>
        <w:rPr>
          <w:rFonts w:cs="Tahoma"/>
          <w:b/>
          <w:color w:val="000000"/>
          <w:szCs w:val="24"/>
        </w:rPr>
      </w:pPr>
      <w:bookmarkStart w:id="54" w:name="_Toc166607900"/>
      <w:bookmarkStart w:id="55" w:name="_Toc168317175"/>
      <w:r w:rsidRPr="00796E2E">
        <w:rPr>
          <w:rFonts w:cs="Tahoma"/>
          <w:b/>
          <w:color w:val="000000"/>
          <w:szCs w:val="24"/>
        </w:rPr>
        <w:t>7.1</w:t>
      </w:r>
      <w:r w:rsidRPr="00796E2E">
        <w:rPr>
          <w:rFonts w:cs="Tahoma"/>
          <w:b/>
          <w:color w:val="000000"/>
          <w:szCs w:val="24"/>
        </w:rPr>
        <w:tab/>
        <w:t>Money Supply</w:t>
      </w:r>
      <w:bookmarkEnd w:id="54"/>
      <w:bookmarkEnd w:id="55"/>
    </w:p>
    <w:p w14:paraId="140283B3" w14:textId="77777777" w:rsidR="00E65FAE" w:rsidRDefault="004C7E36" w:rsidP="00CB6A80">
      <w:pPr>
        <w:ind w:left="720" w:hanging="720"/>
        <w:jc w:val="both"/>
        <w:rPr>
          <w:rFonts w:ascii="Tahoma" w:eastAsia="Times New Roman" w:hAnsi="Tahoma" w:cs="Tahoma"/>
          <w:kern w:val="0"/>
          <w:sz w:val="24"/>
          <w:szCs w:val="24"/>
          <w:lang w:eastAsia="en-ZW"/>
        </w:rPr>
      </w:pPr>
      <w:r w:rsidRPr="00796E2E">
        <w:rPr>
          <w:rFonts w:ascii="Tahoma" w:hAnsi="Tahoma" w:cs="Tahoma"/>
          <w:sz w:val="24"/>
          <w:szCs w:val="24"/>
        </w:rPr>
        <w:t>7.1</w:t>
      </w:r>
      <w:r w:rsidR="00FA7297" w:rsidRPr="00796E2E">
        <w:rPr>
          <w:rFonts w:ascii="Tahoma" w:hAnsi="Tahoma" w:cs="Tahoma"/>
          <w:sz w:val="24"/>
          <w:szCs w:val="24"/>
        </w:rPr>
        <w:t>.</w:t>
      </w:r>
      <w:r w:rsidR="003D0C8C" w:rsidRPr="00796E2E">
        <w:rPr>
          <w:rFonts w:ascii="Tahoma" w:hAnsi="Tahoma" w:cs="Tahoma"/>
          <w:sz w:val="24"/>
          <w:szCs w:val="24"/>
        </w:rPr>
        <w:t>1</w:t>
      </w:r>
      <w:r w:rsidRPr="00796E2E">
        <w:rPr>
          <w:rFonts w:ascii="Tahoma" w:hAnsi="Tahoma" w:cs="Tahoma"/>
          <w:sz w:val="24"/>
          <w:szCs w:val="24"/>
        </w:rPr>
        <w:tab/>
      </w:r>
      <w:r w:rsidR="00CB6A80" w:rsidRPr="00C61E56">
        <w:rPr>
          <w:rFonts w:ascii="Tahoma" w:hAnsi="Tahoma" w:cs="Tahoma"/>
          <w:sz w:val="24"/>
          <w:szCs w:val="24"/>
        </w:rPr>
        <w:t xml:space="preserve">At the time of compiling the report, the </w:t>
      </w:r>
      <w:r w:rsidR="00FC270B" w:rsidRPr="00C61E56">
        <w:rPr>
          <w:rFonts w:ascii="Tahoma" w:hAnsi="Tahoma" w:cs="Tahoma"/>
          <w:sz w:val="24"/>
          <w:szCs w:val="24"/>
        </w:rPr>
        <w:t>RBZ</w:t>
      </w:r>
      <w:r w:rsidR="00CB6A80" w:rsidRPr="00C61E56">
        <w:rPr>
          <w:rFonts w:ascii="Tahoma" w:hAnsi="Tahoma" w:cs="Tahoma"/>
          <w:sz w:val="24"/>
          <w:szCs w:val="24"/>
        </w:rPr>
        <w:t xml:space="preserve"> had not published data on M3</w:t>
      </w:r>
      <w:r w:rsidR="00C61E56" w:rsidRPr="00C61E56">
        <w:rPr>
          <w:rFonts w:ascii="Tahoma" w:hAnsi="Tahoma" w:cs="Tahoma"/>
          <w:sz w:val="24"/>
          <w:szCs w:val="24"/>
        </w:rPr>
        <w:t xml:space="preserve"> for April 2024</w:t>
      </w:r>
      <w:r w:rsidR="00CB6A80" w:rsidRPr="00C61E56">
        <w:rPr>
          <w:rFonts w:ascii="Tahoma" w:hAnsi="Tahoma" w:cs="Tahoma"/>
          <w:sz w:val="24"/>
          <w:szCs w:val="24"/>
        </w:rPr>
        <w:t xml:space="preserve">, thus analysis is based on data available up to </w:t>
      </w:r>
      <w:r w:rsidR="00C61E56" w:rsidRPr="00C61E56">
        <w:rPr>
          <w:rFonts w:ascii="Tahoma" w:hAnsi="Tahoma" w:cs="Tahoma"/>
          <w:sz w:val="24"/>
          <w:szCs w:val="24"/>
        </w:rPr>
        <w:t>March</w:t>
      </w:r>
      <w:r w:rsidR="00CB6A80" w:rsidRPr="00C61E56">
        <w:rPr>
          <w:rFonts w:ascii="Tahoma" w:hAnsi="Tahoma" w:cs="Tahoma"/>
          <w:sz w:val="24"/>
          <w:szCs w:val="24"/>
        </w:rPr>
        <w:t xml:space="preserve"> 2024.  </w:t>
      </w:r>
      <w:bookmarkStart w:id="56" w:name="_Hlk166606487"/>
      <w:r w:rsidR="00E65FAE" w:rsidRPr="00C61E56">
        <w:rPr>
          <w:rFonts w:ascii="Tahoma" w:eastAsia="Times New Roman" w:hAnsi="Tahoma" w:cs="Tahoma"/>
          <w:kern w:val="0"/>
          <w:sz w:val="24"/>
          <w:szCs w:val="24"/>
          <w:lang w:eastAsia="en-ZW"/>
        </w:rPr>
        <w:t xml:space="preserve">M3 </w:t>
      </w:r>
      <w:r w:rsidR="00442387" w:rsidRPr="00C61E56">
        <w:rPr>
          <w:rFonts w:ascii="Tahoma" w:eastAsia="Times New Roman" w:hAnsi="Tahoma" w:cs="Tahoma"/>
          <w:kern w:val="0"/>
          <w:sz w:val="24"/>
          <w:szCs w:val="24"/>
          <w:lang w:eastAsia="en-ZW"/>
        </w:rPr>
        <w:t xml:space="preserve">stood at </w:t>
      </w:r>
      <w:r w:rsidR="00C61E56" w:rsidRPr="00C61E56">
        <w:rPr>
          <w:rFonts w:ascii="Tahoma" w:eastAsia="Times New Roman" w:hAnsi="Tahoma" w:cs="Tahoma"/>
          <w:kern w:val="0"/>
          <w:sz w:val="24"/>
          <w:szCs w:val="24"/>
          <w:lang w:eastAsia="en-ZW"/>
        </w:rPr>
        <w:t xml:space="preserve">ZiG23.68 million in March 2024 reflecting a 45.70% increase from 16.25 million in February 2024. </w:t>
      </w:r>
    </w:p>
    <w:p w14:paraId="3F833196" w14:textId="77777777" w:rsidR="00C61E56" w:rsidRPr="00796E2E" w:rsidRDefault="00C61E56" w:rsidP="00CB6A80">
      <w:pPr>
        <w:ind w:left="720" w:hanging="720"/>
        <w:jc w:val="both"/>
        <w:rPr>
          <w:rFonts w:ascii="Tahoma" w:eastAsia="Times New Roman" w:hAnsi="Tahoma" w:cs="Tahoma"/>
          <w:kern w:val="0"/>
          <w:sz w:val="24"/>
          <w:szCs w:val="24"/>
          <w:lang w:eastAsia="en-ZW"/>
        </w:rPr>
      </w:pPr>
      <w:r>
        <w:rPr>
          <w:rFonts w:ascii="Tahoma" w:hAnsi="Tahoma" w:cs="Tahoma"/>
          <w:sz w:val="24"/>
          <w:szCs w:val="24"/>
        </w:rPr>
        <w:t>7.</w:t>
      </w:r>
      <w:r>
        <w:rPr>
          <w:rFonts w:ascii="Tahoma" w:eastAsia="Times New Roman" w:hAnsi="Tahoma" w:cs="Tahoma"/>
          <w:kern w:val="0"/>
          <w:sz w:val="24"/>
          <w:szCs w:val="24"/>
          <w:lang w:eastAsia="en-ZW"/>
        </w:rPr>
        <w:t>1.2</w:t>
      </w:r>
      <w:r>
        <w:rPr>
          <w:rFonts w:ascii="Tahoma" w:eastAsia="Times New Roman" w:hAnsi="Tahoma" w:cs="Tahoma"/>
          <w:kern w:val="0"/>
          <w:sz w:val="24"/>
          <w:szCs w:val="24"/>
          <w:lang w:eastAsia="en-ZW"/>
        </w:rPr>
        <w:tab/>
      </w:r>
      <w:r w:rsidRPr="00C61E56">
        <w:rPr>
          <w:rFonts w:ascii="Tahoma" w:eastAsia="Times New Roman" w:hAnsi="Tahoma" w:cs="Tahoma"/>
          <w:kern w:val="0"/>
          <w:sz w:val="24"/>
          <w:szCs w:val="24"/>
          <w:lang w:eastAsia="en-ZW"/>
        </w:rPr>
        <w:t>The money stock comprised foreign currency deposits, 86.80% local currency deposits, 13.17%, and the local currency in circulation, 0.03%</w:t>
      </w:r>
      <w:r>
        <w:rPr>
          <w:rFonts w:ascii="Tahoma" w:eastAsia="Times New Roman" w:hAnsi="Tahoma" w:cs="Tahoma"/>
          <w:kern w:val="0"/>
          <w:sz w:val="24"/>
          <w:szCs w:val="24"/>
          <w:lang w:eastAsia="en-ZW"/>
        </w:rPr>
        <w:t xml:space="preserve">. </w:t>
      </w:r>
    </w:p>
    <w:bookmarkEnd w:id="56"/>
    <w:p w14:paraId="27120CE1" w14:textId="77777777" w:rsidR="007723FC" w:rsidRPr="00796E2E" w:rsidRDefault="00CD54F7" w:rsidP="00A31AE0">
      <w:pPr>
        <w:spacing w:after="0" w:line="240" w:lineRule="auto"/>
        <w:rPr>
          <w:rFonts w:ascii="Tahoma" w:hAnsi="Tahoma" w:cs="Tahoma"/>
          <w:sz w:val="24"/>
          <w:szCs w:val="24"/>
        </w:rPr>
      </w:pPr>
      <w:r w:rsidRPr="00796E2E">
        <w:rPr>
          <w:rFonts w:ascii="Tahoma" w:hAnsi="Tahoma" w:cs="Tahoma"/>
          <w:sz w:val="24"/>
          <w:szCs w:val="24"/>
        </w:rPr>
        <w:t xml:space="preserve"> </w:t>
      </w:r>
    </w:p>
    <w:p w14:paraId="7A84CEDA" w14:textId="77777777" w:rsidR="00567040" w:rsidRPr="00796E2E" w:rsidRDefault="00F67469" w:rsidP="003C1D2F">
      <w:pPr>
        <w:pStyle w:val="Heading2"/>
        <w:spacing w:before="0" w:after="240" w:line="240" w:lineRule="auto"/>
        <w:rPr>
          <w:rFonts w:cs="Tahoma"/>
          <w:b/>
          <w:color w:val="000000"/>
          <w:szCs w:val="24"/>
        </w:rPr>
      </w:pPr>
      <w:bookmarkStart w:id="57" w:name="_Toc166607901"/>
      <w:bookmarkStart w:id="58" w:name="_Toc168317176"/>
      <w:r w:rsidRPr="00796E2E">
        <w:rPr>
          <w:rFonts w:cs="Tahoma"/>
          <w:b/>
          <w:color w:val="000000"/>
          <w:szCs w:val="24"/>
        </w:rPr>
        <w:t>7.2</w:t>
      </w:r>
      <w:r w:rsidRPr="00796E2E">
        <w:rPr>
          <w:rFonts w:cs="Tahoma"/>
          <w:b/>
          <w:color w:val="000000"/>
          <w:szCs w:val="24"/>
        </w:rPr>
        <w:tab/>
      </w:r>
      <w:r w:rsidR="00567040" w:rsidRPr="00796E2E">
        <w:rPr>
          <w:rFonts w:cs="Tahoma"/>
          <w:b/>
          <w:color w:val="000000"/>
          <w:szCs w:val="24"/>
        </w:rPr>
        <w:t>Interest Rates</w:t>
      </w:r>
      <w:bookmarkEnd w:id="57"/>
      <w:bookmarkEnd w:id="58"/>
      <w:r w:rsidR="00567040" w:rsidRPr="00796E2E">
        <w:rPr>
          <w:rFonts w:cs="Tahoma"/>
          <w:b/>
          <w:color w:val="000000"/>
          <w:szCs w:val="24"/>
        </w:rPr>
        <w:t xml:space="preserve"> </w:t>
      </w:r>
    </w:p>
    <w:p w14:paraId="54008D76" w14:textId="77777777" w:rsidR="000B4023" w:rsidRPr="00796E2E" w:rsidRDefault="00F67469" w:rsidP="00F67469">
      <w:pPr>
        <w:ind w:left="720" w:hanging="720"/>
        <w:jc w:val="both"/>
        <w:rPr>
          <w:rFonts w:ascii="Tahoma" w:hAnsi="Tahoma" w:cs="Tahoma"/>
          <w:sz w:val="24"/>
          <w:szCs w:val="24"/>
        </w:rPr>
      </w:pPr>
      <w:r w:rsidRPr="00796E2E">
        <w:rPr>
          <w:rFonts w:ascii="Tahoma" w:hAnsi="Tahoma" w:cs="Tahoma"/>
          <w:sz w:val="24"/>
          <w:szCs w:val="24"/>
        </w:rPr>
        <w:t>7.2.1</w:t>
      </w:r>
      <w:r w:rsidRPr="00796E2E">
        <w:rPr>
          <w:rFonts w:ascii="Tahoma" w:hAnsi="Tahoma" w:cs="Tahoma"/>
          <w:sz w:val="24"/>
          <w:szCs w:val="24"/>
        </w:rPr>
        <w:tab/>
      </w:r>
      <w:r w:rsidR="00BD0502">
        <w:rPr>
          <w:rFonts w:ascii="Tahoma" w:hAnsi="Tahoma" w:cs="Tahoma"/>
          <w:sz w:val="24"/>
          <w:szCs w:val="24"/>
        </w:rPr>
        <w:t>The reporting of interest rates is based on the 2024 Monetary Policy Statement. In this regard, d</w:t>
      </w:r>
      <w:r w:rsidR="00427CDA" w:rsidRPr="00796E2E">
        <w:rPr>
          <w:rFonts w:ascii="Tahoma" w:hAnsi="Tahoma" w:cs="Tahoma"/>
          <w:sz w:val="24"/>
          <w:szCs w:val="24"/>
        </w:rPr>
        <w:t>uring the period under review, t</w:t>
      </w:r>
      <w:r w:rsidR="00B93EEE" w:rsidRPr="00796E2E">
        <w:rPr>
          <w:rFonts w:ascii="Tahoma" w:hAnsi="Tahoma" w:cs="Tahoma"/>
          <w:sz w:val="24"/>
          <w:szCs w:val="24"/>
        </w:rPr>
        <w:t>he bank policy</w:t>
      </w:r>
      <w:r w:rsidR="00FC4690" w:rsidRPr="00796E2E">
        <w:rPr>
          <w:rFonts w:ascii="Tahoma" w:hAnsi="Tahoma" w:cs="Tahoma"/>
          <w:sz w:val="24"/>
          <w:szCs w:val="24"/>
        </w:rPr>
        <w:t xml:space="preserve"> rate</w:t>
      </w:r>
      <w:r w:rsidR="00427CDA" w:rsidRPr="00796E2E">
        <w:rPr>
          <w:rFonts w:ascii="Tahoma" w:hAnsi="Tahoma" w:cs="Tahoma"/>
          <w:sz w:val="24"/>
          <w:szCs w:val="24"/>
        </w:rPr>
        <w:t xml:space="preserve"> </w:t>
      </w:r>
      <w:r w:rsidR="00491236" w:rsidRPr="00796E2E">
        <w:rPr>
          <w:rFonts w:ascii="Tahoma" w:hAnsi="Tahoma" w:cs="Tahoma"/>
          <w:sz w:val="24"/>
          <w:szCs w:val="24"/>
        </w:rPr>
        <w:t>was pegged at 20% per annum consistent with the 2024 monetary policy framework.</w:t>
      </w:r>
      <w:r w:rsidR="000B4023" w:rsidRPr="00796E2E">
        <w:rPr>
          <w:rFonts w:ascii="Tahoma" w:hAnsi="Tahoma" w:cs="Tahoma"/>
          <w:sz w:val="24"/>
          <w:szCs w:val="24"/>
        </w:rPr>
        <w:t xml:space="preserve"> </w:t>
      </w:r>
    </w:p>
    <w:p w14:paraId="343FC2E8" w14:textId="77777777" w:rsidR="00BD0502" w:rsidRDefault="00F67469" w:rsidP="00F65CAE">
      <w:pPr>
        <w:ind w:left="720" w:hanging="720"/>
        <w:jc w:val="both"/>
        <w:rPr>
          <w:rFonts w:ascii="Tahoma" w:hAnsi="Tahoma" w:cs="Tahoma"/>
          <w:sz w:val="24"/>
          <w:szCs w:val="24"/>
        </w:rPr>
      </w:pPr>
      <w:r w:rsidRPr="00796E2E">
        <w:rPr>
          <w:rFonts w:ascii="Tahoma" w:hAnsi="Tahoma" w:cs="Tahoma"/>
          <w:sz w:val="24"/>
          <w:szCs w:val="24"/>
        </w:rPr>
        <w:t>7.2</w:t>
      </w:r>
      <w:r w:rsidR="00F84FC8" w:rsidRPr="00796E2E">
        <w:rPr>
          <w:rFonts w:ascii="Tahoma" w:hAnsi="Tahoma" w:cs="Tahoma"/>
          <w:sz w:val="24"/>
          <w:szCs w:val="24"/>
        </w:rPr>
        <w:t>.</w:t>
      </w:r>
      <w:r w:rsidRPr="00796E2E">
        <w:rPr>
          <w:rFonts w:ascii="Tahoma" w:hAnsi="Tahoma" w:cs="Tahoma"/>
          <w:sz w:val="24"/>
          <w:szCs w:val="24"/>
        </w:rPr>
        <w:t>2</w:t>
      </w:r>
      <w:r w:rsidRPr="00796E2E">
        <w:rPr>
          <w:rFonts w:ascii="Tahoma" w:hAnsi="Tahoma" w:cs="Tahoma"/>
          <w:sz w:val="24"/>
          <w:szCs w:val="24"/>
        </w:rPr>
        <w:tab/>
      </w:r>
      <w:r w:rsidR="009E4A5D" w:rsidRPr="00796E2E">
        <w:rPr>
          <w:rFonts w:ascii="Tahoma" w:hAnsi="Tahoma" w:cs="Tahoma"/>
          <w:sz w:val="24"/>
          <w:szCs w:val="24"/>
        </w:rPr>
        <w:t xml:space="preserve">The overnight accommodation interest rate has been fixed at 5% above the </w:t>
      </w:r>
      <w:r w:rsidR="00BD0502">
        <w:rPr>
          <w:rFonts w:ascii="Tahoma" w:hAnsi="Tahoma" w:cs="Tahoma"/>
          <w:sz w:val="24"/>
          <w:szCs w:val="24"/>
        </w:rPr>
        <w:t>B</w:t>
      </w:r>
      <w:r w:rsidR="009E4A5D" w:rsidRPr="00796E2E">
        <w:rPr>
          <w:rFonts w:ascii="Tahoma" w:hAnsi="Tahoma" w:cs="Tahoma"/>
          <w:sz w:val="24"/>
          <w:szCs w:val="24"/>
        </w:rPr>
        <w:t xml:space="preserve">ank policy rate, while the bank deposit facility rate is 7.5% below the </w:t>
      </w:r>
      <w:r w:rsidR="00BD0502">
        <w:rPr>
          <w:rFonts w:ascii="Tahoma" w:hAnsi="Tahoma" w:cs="Tahoma"/>
          <w:sz w:val="24"/>
          <w:szCs w:val="24"/>
        </w:rPr>
        <w:t>B</w:t>
      </w:r>
      <w:r w:rsidR="009E4A5D" w:rsidRPr="00796E2E">
        <w:rPr>
          <w:rFonts w:ascii="Tahoma" w:hAnsi="Tahoma" w:cs="Tahoma"/>
          <w:sz w:val="24"/>
          <w:szCs w:val="24"/>
        </w:rPr>
        <w:t xml:space="preserve">ank policy rate. </w:t>
      </w:r>
    </w:p>
    <w:p w14:paraId="0D250C5C" w14:textId="77777777" w:rsidR="000F7BEA" w:rsidRPr="00796E2E" w:rsidRDefault="00BD0502" w:rsidP="00F65CAE">
      <w:pPr>
        <w:ind w:left="720" w:hanging="720"/>
        <w:jc w:val="both"/>
        <w:rPr>
          <w:rFonts w:ascii="Tahoma" w:hAnsi="Tahoma" w:cs="Tahoma"/>
          <w:sz w:val="24"/>
          <w:szCs w:val="24"/>
        </w:rPr>
      </w:pPr>
      <w:r>
        <w:rPr>
          <w:rFonts w:ascii="Tahoma" w:hAnsi="Tahoma" w:cs="Tahoma"/>
          <w:sz w:val="24"/>
          <w:szCs w:val="24"/>
        </w:rPr>
        <w:t>7.2.3</w:t>
      </w:r>
      <w:r>
        <w:rPr>
          <w:rFonts w:ascii="Tahoma" w:hAnsi="Tahoma" w:cs="Tahoma"/>
          <w:sz w:val="24"/>
          <w:szCs w:val="24"/>
        </w:rPr>
        <w:tab/>
      </w:r>
      <w:r w:rsidR="009E4A5D" w:rsidRPr="00796E2E">
        <w:rPr>
          <w:rFonts w:ascii="Tahoma" w:hAnsi="Tahoma" w:cs="Tahoma"/>
          <w:sz w:val="24"/>
          <w:szCs w:val="24"/>
        </w:rPr>
        <w:t xml:space="preserve">Savings and time deposits interest rates on ZiG are set at 9% and 7.5% lower than the </w:t>
      </w:r>
      <w:r>
        <w:rPr>
          <w:rFonts w:ascii="Tahoma" w:hAnsi="Tahoma" w:cs="Tahoma"/>
          <w:sz w:val="24"/>
          <w:szCs w:val="24"/>
        </w:rPr>
        <w:t>B</w:t>
      </w:r>
      <w:r w:rsidR="009E4A5D" w:rsidRPr="00796E2E">
        <w:rPr>
          <w:rFonts w:ascii="Tahoma" w:hAnsi="Tahoma" w:cs="Tahoma"/>
          <w:sz w:val="24"/>
          <w:szCs w:val="24"/>
        </w:rPr>
        <w:t xml:space="preserve">ank deposit facility rate of 12.5%, respectively. </w:t>
      </w:r>
      <w:r>
        <w:rPr>
          <w:rFonts w:ascii="Tahoma" w:hAnsi="Tahoma" w:cs="Tahoma"/>
          <w:sz w:val="24"/>
          <w:szCs w:val="24"/>
        </w:rPr>
        <w:t>W</w:t>
      </w:r>
      <w:r w:rsidR="009E4A5D" w:rsidRPr="00796E2E">
        <w:rPr>
          <w:rFonts w:ascii="Tahoma" w:hAnsi="Tahoma" w:cs="Tahoma"/>
          <w:sz w:val="24"/>
          <w:szCs w:val="24"/>
        </w:rPr>
        <w:t>hile interest rates on FCA deposits remain unchanged at 1% and 2.5% for savings and time deposits, respectively.</w:t>
      </w:r>
    </w:p>
    <w:p w14:paraId="6157E33C" w14:textId="77777777" w:rsidR="00184FA3" w:rsidRPr="00796E2E" w:rsidRDefault="00F67469" w:rsidP="00022BFE">
      <w:pPr>
        <w:pStyle w:val="Heading1"/>
        <w:spacing w:before="0" w:after="240" w:line="240" w:lineRule="auto"/>
        <w:rPr>
          <w:rFonts w:cs="Tahoma"/>
          <w:bCs/>
          <w:color w:val="000000"/>
          <w:szCs w:val="24"/>
        </w:rPr>
      </w:pPr>
      <w:bookmarkStart w:id="59" w:name="_Toc166607902"/>
      <w:bookmarkStart w:id="60" w:name="_Toc168317177"/>
      <w:r w:rsidRPr="00796E2E">
        <w:rPr>
          <w:rFonts w:cs="Tahoma"/>
          <w:bCs/>
          <w:color w:val="000000"/>
          <w:szCs w:val="24"/>
        </w:rPr>
        <w:lastRenderedPageBreak/>
        <w:t>8.0</w:t>
      </w:r>
      <w:r w:rsidRPr="00796E2E">
        <w:rPr>
          <w:rFonts w:cs="Tahoma"/>
          <w:bCs/>
          <w:color w:val="000000"/>
          <w:szCs w:val="24"/>
        </w:rPr>
        <w:tab/>
      </w:r>
      <w:r w:rsidR="00184FA3" w:rsidRPr="00796E2E">
        <w:rPr>
          <w:rFonts w:cs="Tahoma"/>
          <w:bCs/>
          <w:color w:val="000000"/>
          <w:szCs w:val="24"/>
        </w:rPr>
        <w:t>Stock Market Developments</w:t>
      </w:r>
      <w:bookmarkEnd w:id="59"/>
      <w:bookmarkEnd w:id="60"/>
      <w:r w:rsidR="00184FA3" w:rsidRPr="00796E2E">
        <w:rPr>
          <w:rFonts w:cs="Tahoma"/>
          <w:bCs/>
          <w:color w:val="000000"/>
          <w:szCs w:val="24"/>
        </w:rPr>
        <w:t xml:space="preserve"> </w:t>
      </w:r>
    </w:p>
    <w:p w14:paraId="03B56F62" w14:textId="77777777" w:rsidR="00184FA3" w:rsidRPr="00796E2E" w:rsidRDefault="00F67469" w:rsidP="003C1D2F">
      <w:pPr>
        <w:pStyle w:val="Heading2"/>
        <w:spacing w:before="0" w:after="240" w:line="240" w:lineRule="auto"/>
        <w:rPr>
          <w:rFonts w:cs="Tahoma"/>
          <w:b/>
          <w:color w:val="000000"/>
          <w:szCs w:val="24"/>
        </w:rPr>
      </w:pPr>
      <w:bookmarkStart w:id="61" w:name="_Toc166607903"/>
      <w:bookmarkStart w:id="62" w:name="_Toc168317178"/>
      <w:r w:rsidRPr="00796E2E">
        <w:rPr>
          <w:rFonts w:cs="Tahoma"/>
          <w:b/>
          <w:color w:val="000000"/>
          <w:szCs w:val="24"/>
        </w:rPr>
        <w:t>8.1</w:t>
      </w:r>
      <w:r w:rsidRPr="00796E2E">
        <w:rPr>
          <w:rFonts w:cs="Tahoma"/>
          <w:b/>
          <w:color w:val="000000"/>
          <w:szCs w:val="24"/>
        </w:rPr>
        <w:tab/>
      </w:r>
      <w:r w:rsidR="00184FA3" w:rsidRPr="00796E2E">
        <w:rPr>
          <w:rFonts w:cs="Tahoma"/>
          <w:b/>
          <w:color w:val="000000"/>
          <w:szCs w:val="24"/>
        </w:rPr>
        <w:t>Zimbabwe Stock Exchange</w:t>
      </w:r>
      <w:bookmarkEnd w:id="61"/>
      <w:bookmarkEnd w:id="62"/>
      <w:r w:rsidR="00184FA3" w:rsidRPr="00796E2E">
        <w:rPr>
          <w:rFonts w:cs="Tahoma"/>
          <w:b/>
          <w:color w:val="000000"/>
          <w:szCs w:val="24"/>
        </w:rPr>
        <w:t xml:space="preserve"> </w:t>
      </w:r>
    </w:p>
    <w:p w14:paraId="627EBC5F" w14:textId="77777777" w:rsidR="00F6081E" w:rsidRPr="00796E2E" w:rsidRDefault="00F67469" w:rsidP="00F67469">
      <w:pPr>
        <w:ind w:left="720" w:hanging="720"/>
        <w:jc w:val="both"/>
        <w:rPr>
          <w:rFonts w:ascii="Tahoma" w:hAnsi="Tahoma" w:cs="Tahoma"/>
          <w:sz w:val="24"/>
          <w:szCs w:val="24"/>
        </w:rPr>
      </w:pPr>
      <w:r w:rsidRPr="00796E2E">
        <w:rPr>
          <w:rFonts w:ascii="Tahoma" w:hAnsi="Tahoma" w:cs="Tahoma"/>
          <w:sz w:val="24"/>
          <w:szCs w:val="24"/>
        </w:rPr>
        <w:t>8.1.</w:t>
      </w:r>
      <w:r w:rsidR="003F3FB4">
        <w:rPr>
          <w:rFonts w:ascii="Tahoma" w:hAnsi="Tahoma" w:cs="Tahoma"/>
          <w:sz w:val="24"/>
          <w:szCs w:val="24"/>
        </w:rPr>
        <w:t>1</w:t>
      </w:r>
      <w:r w:rsidRPr="00796E2E">
        <w:rPr>
          <w:rFonts w:ascii="Tahoma" w:hAnsi="Tahoma" w:cs="Tahoma"/>
          <w:sz w:val="24"/>
          <w:szCs w:val="24"/>
        </w:rPr>
        <w:tab/>
      </w:r>
      <w:r w:rsidR="00DA5ADC" w:rsidRPr="00796E2E">
        <w:rPr>
          <w:rFonts w:ascii="Tahoma" w:hAnsi="Tahoma" w:cs="Tahoma"/>
          <w:sz w:val="24"/>
          <w:szCs w:val="24"/>
        </w:rPr>
        <w:t>During the period under review, the Zimbabwe Stock Exchange</w:t>
      </w:r>
      <w:r w:rsidR="003F3FB4">
        <w:rPr>
          <w:rFonts w:ascii="Tahoma" w:hAnsi="Tahoma" w:cs="Tahoma"/>
          <w:sz w:val="24"/>
          <w:szCs w:val="24"/>
        </w:rPr>
        <w:t xml:space="preserve"> (ZSE)</w:t>
      </w:r>
      <w:r w:rsidR="00DA5ADC" w:rsidRPr="00796E2E">
        <w:rPr>
          <w:rFonts w:ascii="Tahoma" w:hAnsi="Tahoma" w:cs="Tahoma"/>
          <w:sz w:val="24"/>
          <w:szCs w:val="24"/>
        </w:rPr>
        <w:t xml:space="preserve"> recoded a </w:t>
      </w:r>
      <w:r w:rsidR="005C2848" w:rsidRPr="00796E2E">
        <w:rPr>
          <w:rFonts w:ascii="Tahoma" w:hAnsi="Tahoma" w:cs="Tahoma"/>
          <w:sz w:val="24"/>
          <w:szCs w:val="24"/>
        </w:rPr>
        <w:t>bearish</w:t>
      </w:r>
      <w:r w:rsidR="00DA5ADC" w:rsidRPr="00796E2E">
        <w:rPr>
          <w:rFonts w:ascii="Tahoma" w:hAnsi="Tahoma" w:cs="Tahoma"/>
          <w:sz w:val="24"/>
          <w:szCs w:val="24"/>
        </w:rPr>
        <w:t xml:space="preserve"> trend</w:t>
      </w:r>
      <w:r w:rsidR="00EE2480" w:rsidRPr="00796E2E">
        <w:rPr>
          <w:rFonts w:ascii="Tahoma" w:hAnsi="Tahoma" w:cs="Tahoma"/>
          <w:sz w:val="24"/>
          <w:szCs w:val="24"/>
        </w:rPr>
        <w:t>.</w:t>
      </w:r>
      <w:r w:rsidR="00DA5ADC" w:rsidRPr="00796E2E">
        <w:rPr>
          <w:rFonts w:ascii="Tahoma" w:hAnsi="Tahoma" w:cs="Tahoma"/>
          <w:sz w:val="24"/>
          <w:szCs w:val="24"/>
        </w:rPr>
        <w:t xml:space="preserve"> </w:t>
      </w:r>
      <w:r w:rsidR="003F3FB4">
        <w:rPr>
          <w:rFonts w:ascii="Tahoma" w:hAnsi="Tahoma" w:cs="Tahoma"/>
          <w:sz w:val="24"/>
          <w:szCs w:val="24"/>
        </w:rPr>
        <w:t xml:space="preserve">The </w:t>
      </w:r>
      <w:r w:rsidR="00DA5ADC" w:rsidRPr="00796E2E">
        <w:rPr>
          <w:rFonts w:ascii="Tahoma" w:hAnsi="Tahoma" w:cs="Tahoma"/>
          <w:sz w:val="24"/>
          <w:szCs w:val="24"/>
        </w:rPr>
        <w:t>All</w:t>
      </w:r>
      <w:r w:rsidR="00362187" w:rsidRPr="00796E2E">
        <w:rPr>
          <w:rFonts w:ascii="Tahoma" w:hAnsi="Tahoma" w:cs="Tahoma"/>
          <w:sz w:val="24"/>
          <w:szCs w:val="24"/>
        </w:rPr>
        <w:t xml:space="preserve"> share index </w:t>
      </w:r>
      <w:r w:rsidR="005C2848" w:rsidRPr="00796E2E">
        <w:rPr>
          <w:rFonts w:ascii="Tahoma" w:hAnsi="Tahoma" w:cs="Tahoma"/>
          <w:sz w:val="24"/>
          <w:szCs w:val="24"/>
        </w:rPr>
        <w:t>lost</w:t>
      </w:r>
      <w:r w:rsidR="00362187" w:rsidRPr="00796E2E">
        <w:rPr>
          <w:rFonts w:ascii="Tahoma" w:hAnsi="Tahoma" w:cs="Tahoma"/>
          <w:sz w:val="24"/>
          <w:szCs w:val="24"/>
        </w:rPr>
        <w:t xml:space="preserve"> by </w:t>
      </w:r>
      <w:r w:rsidR="005C2848" w:rsidRPr="00796E2E">
        <w:rPr>
          <w:rFonts w:ascii="Tahoma" w:hAnsi="Tahoma" w:cs="Tahoma"/>
          <w:sz w:val="24"/>
          <w:szCs w:val="24"/>
        </w:rPr>
        <w:t>71.74</w:t>
      </w:r>
      <w:r w:rsidR="00362187" w:rsidRPr="00796E2E">
        <w:rPr>
          <w:rFonts w:ascii="Tahoma" w:hAnsi="Tahoma" w:cs="Tahoma"/>
          <w:sz w:val="24"/>
          <w:szCs w:val="24"/>
        </w:rPr>
        <w:t xml:space="preserve">% </w:t>
      </w:r>
      <w:r w:rsidR="003F3FB4">
        <w:rPr>
          <w:rFonts w:ascii="Tahoma" w:hAnsi="Tahoma" w:cs="Tahoma"/>
          <w:sz w:val="24"/>
          <w:szCs w:val="24"/>
        </w:rPr>
        <w:t xml:space="preserve">and 53.95% </w:t>
      </w:r>
      <w:r w:rsidR="00362187" w:rsidRPr="00796E2E">
        <w:rPr>
          <w:rFonts w:ascii="Tahoma" w:hAnsi="Tahoma" w:cs="Tahoma"/>
          <w:sz w:val="24"/>
          <w:szCs w:val="24"/>
        </w:rPr>
        <w:t xml:space="preserve">on </w:t>
      </w:r>
      <w:r w:rsidR="00427CDA" w:rsidRPr="00796E2E">
        <w:rPr>
          <w:rFonts w:ascii="Tahoma" w:hAnsi="Tahoma" w:cs="Tahoma"/>
          <w:sz w:val="24"/>
          <w:szCs w:val="24"/>
        </w:rPr>
        <w:t>MoM</w:t>
      </w:r>
      <w:r w:rsidR="003F3FB4">
        <w:rPr>
          <w:rFonts w:ascii="Tahoma" w:hAnsi="Tahoma" w:cs="Tahoma"/>
          <w:sz w:val="24"/>
          <w:szCs w:val="24"/>
        </w:rPr>
        <w:t xml:space="preserve"> and YtD, respectively</w:t>
      </w:r>
      <w:r w:rsidR="00362187" w:rsidRPr="00796E2E">
        <w:rPr>
          <w:rFonts w:ascii="Tahoma" w:hAnsi="Tahoma" w:cs="Tahoma"/>
          <w:sz w:val="24"/>
          <w:szCs w:val="24"/>
        </w:rPr>
        <w:t xml:space="preserve">, </w:t>
      </w:r>
      <w:r w:rsidR="00427CDA" w:rsidRPr="00796E2E">
        <w:rPr>
          <w:rFonts w:ascii="Tahoma" w:hAnsi="Tahoma" w:cs="Tahoma"/>
          <w:sz w:val="24"/>
          <w:szCs w:val="24"/>
        </w:rPr>
        <w:t xml:space="preserve">while </w:t>
      </w:r>
      <w:r w:rsidR="00362187" w:rsidRPr="00796E2E">
        <w:rPr>
          <w:rFonts w:ascii="Tahoma" w:hAnsi="Tahoma" w:cs="Tahoma"/>
          <w:sz w:val="24"/>
          <w:szCs w:val="24"/>
        </w:rPr>
        <w:t xml:space="preserve">on YoY </w:t>
      </w:r>
      <w:r w:rsidR="003F3FB4">
        <w:rPr>
          <w:rFonts w:ascii="Tahoma" w:hAnsi="Tahoma" w:cs="Tahoma"/>
          <w:sz w:val="24"/>
          <w:szCs w:val="24"/>
        </w:rPr>
        <w:t xml:space="preserve">it </w:t>
      </w:r>
      <w:r w:rsidR="00362187" w:rsidRPr="00796E2E">
        <w:rPr>
          <w:rFonts w:ascii="Tahoma" w:hAnsi="Tahoma" w:cs="Tahoma"/>
          <w:sz w:val="24"/>
          <w:szCs w:val="24"/>
        </w:rPr>
        <w:t xml:space="preserve">gained </w:t>
      </w:r>
      <w:r w:rsidR="005C2848" w:rsidRPr="00796E2E">
        <w:rPr>
          <w:rFonts w:ascii="Tahoma" w:hAnsi="Tahoma" w:cs="Tahoma"/>
          <w:sz w:val="24"/>
          <w:szCs w:val="24"/>
        </w:rPr>
        <w:t>496.56</w:t>
      </w:r>
      <w:r w:rsidR="00362187" w:rsidRPr="00796E2E">
        <w:rPr>
          <w:rFonts w:ascii="Tahoma" w:hAnsi="Tahoma" w:cs="Tahoma"/>
          <w:sz w:val="24"/>
          <w:szCs w:val="24"/>
        </w:rPr>
        <w:t>%</w:t>
      </w:r>
      <w:r w:rsidR="00455BB9" w:rsidRPr="00796E2E">
        <w:rPr>
          <w:rFonts w:ascii="Tahoma" w:hAnsi="Tahoma" w:cs="Tahoma"/>
          <w:sz w:val="24"/>
          <w:szCs w:val="24"/>
        </w:rPr>
        <w:t>.</w:t>
      </w:r>
      <w:r w:rsidR="00243665" w:rsidRPr="00796E2E">
        <w:rPr>
          <w:rFonts w:ascii="Tahoma" w:hAnsi="Tahoma" w:cs="Tahoma"/>
          <w:sz w:val="24"/>
          <w:szCs w:val="24"/>
        </w:rPr>
        <w:t xml:space="preserve"> </w:t>
      </w:r>
      <w:r w:rsidR="00427CDA" w:rsidRPr="00796E2E">
        <w:rPr>
          <w:rFonts w:ascii="Tahoma" w:hAnsi="Tahoma" w:cs="Tahoma"/>
          <w:sz w:val="24"/>
          <w:szCs w:val="24"/>
        </w:rPr>
        <w:t>Similarly, t</w:t>
      </w:r>
      <w:r w:rsidR="00243665" w:rsidRPr="00796E2E">
        <w:rPr>
          <w:rFonts w:ascii="Tahoma" w:hAnsi="Tahoma" w:cs="Tahoma"/>
          <w:sz w:val="24"/>
          <w:szCs w:val="24"/>
        </w:rPr>
        <w:t xml:space="preserve">he Top 10 index </w:t>
      </w:r>
      <w:r w:rsidR="003F3FB4">
        <w:rPr>
          <w:rFonts w:ascii="Tahoma" w:hAnsi="Tahoma" w:cs="Tahoma"/>
          <w:sz w:val="24"/>
          <w:szCs w:val="24"/>
        </w:rPr>
        <w:t>lost</w:t>
      </w:r>
      <w:r w:rsidR="00243665" w:rsidRPr="00796E2E">
        <w:rPr>
          <w:rFonts w:ascii="Tahoma" w:hAnsi="Tahoma" w:cs="Tahoma"/>
          <w:sz w:val="24"/>
          <w:szCs w:val="24"/>
        </w:rPr>
        <w:t xml:space="preserve"> </w:t>
      </w:r>
      <w:r w:rsidR="005C2848" w:rsidRPr="00796E2E">
        <w:rPr>
          <w:rFonts w:ascii="Tahoma" w:hAnsi="Tahoma" w:cs="Tahoma"/>
          <w:sz w:val="24"/>
          <w:szCs w:val="24"/>
        </w:rPr>
        <w:t>39.36</w:t>
      </w:r>
      <w:r w:rsidR="00243665" w:rsidRPr="00796E2E">
        <w:rPr>
          <w:rFonts w:ascii="Tahoma" w:hAnsi="Tahoma" w:cs="Tahoma"/>
          <w:sz w:val="24"/>
          <w:szCs w:val="24"/>
        </w:rPr>
        <w:t>%</w:t>
      </w:r>
      <w:r w:rsidR="005C2848" w:rsidRPr="00796E2E">
        <w:rPr>
          <w:rFonts w:ascii="Tahoma" w:hAnsi="Tahoma" w:cs="Tahoma"/>
          <w:sz w:val="24"/>
          <w:szCs w:val="24"/>
        </w:rPr>
        <w:t xml:space="preserve"> and 0.39</w:t>
      </w:r>
      <w:r w:rsidR="00243665" w:rsidRPr="00796E2E">
        <w:rPr>
          <w:rFonts w:ascii="Tahoma" w:hAnsi="Tahoma" w:cs="Tahoma"/>
          <w:sz w:val="24"/>
          <w:szCs w:val="24"/>
        </w:rPr>
        <w:t xml:space="preserve">% </w:t>
      </w:r>
      <w:r w:rsidR="005C2848" w:rsidRPr="00796E2E">
        <w:rPr>
          <w:rFonts w:ascii="Tahoma" w:hAnsi="Tahoma" w:cs="Tahoma"/>
          <w:sz w:val="24"/>
          <w:szCs w:val="24"/>
        </w:rPr>
        <w:t>on MoM and YtD basis</w:t>
      </w:r>
      <w:r w:rsidR="003F3FB4">
        <w:rPr>
          <w:rFonts w:ascii="Tahoma" w:hAnsi="Tahoma" w:cs="Tahoma"/>
          <w:sz w:val="24"/>
          <w:szCs w:val="24"/>
        </w:rPr>
        <w:t>,</w:t>
      </w:r>
      <w:r w:rsidR="005C2848" w:rsidRPr="00796E2E">
        <w:rPr>
          <w:rFonts w:ascii="Tahoma" w:hAnsi="Tahoma" w:cs="Tahoma"/>
          <w:sz w:val="24"/>
          <w:szCs w:val="24"/>
        </w:rPr>
        <w:t xml:space="preserve"> respectively while on a YoY </w:t>
      </w:r>
      <w:r w:rsidR="003F3FB4">
        <w:rPr>
          <w:rFonts w:ascii="Tahoma" w:hAnsi="Tahoma" w:cs="Tahoma"/>
          <w:sz w:val="24"/>
          <w:szCs w:val="24"/>
        </w:rPr>
        <w:t>it gained</w:t>
      </w:r>
      <w:r w:rsidR="005C2848" w:rsidRPr="00796E2E">
        <w:rPr>
          <w:rFonts w:ascii="Tahoma" w:hAnsi="Tahoma" w:cs="Tahoma"/>
          <w:sz w:val="24"/>
          <w:szCs w:val="24"/>
        </w:rPr>
        <w:t xml:space="preserve"> 915.28%</w:t>
      </w:r>
      <w:r w:rsidR="00362187" w:rsidRPr="00796E2E">
        <w:rPr>
          <w:rFonts w:ascii="Tahoma" w:hAnsi="Tahoma" w:cs="Tahoma"/>
          <w:sz w:val="24"/>
          <w:szCs w:val="24"/>
        </w:rPr>
        <w:t xml:space="preserve"> (see Table 7)</w:t>
      </w:r>
      <w:r w:rsidR="00243665" w:rsidRPr="00796E2E">
        <w:rPr>
          <w:rFonts w:ascii="Tahoma" w:hAnsi="Tahoma" w:cs="Tahoma"/>
          <w:sz w:val="24"/>
          <w:szCs w:val="24"/>
        </w:rPr>
        <w:t>.</w:t>
      </w:r>
    </w:p>
    <w:p w14:paraId="330D6413" w14:textId="77777777" w:rsidR="00E65B67" w:rsidRPr="00796E2E" w:rsidRDefault="00595E97" w:rsidP="0001510C">
      <w:pPr>
        <w:pStyle w:val="ListofTables"/>
      </w:pPr>
      <w:bookmarkStart w:id="63" w:name="_Toc164072367"/>
      <w:bookmarkStart w:id="64" w:name="_Toc166658894"/>
      <w:bookmarkStart w:id="65" w:name="_Toc168306906"/>
      <w:r w:rsidRPr="00796E2E">
        <w:t xml:space="preserve">Table </w:t>
      </w:r>
      <w:r w:rsidRPr="00796E2E">
        <w:fldChar w:fldCharType="begin"/>
      </w:r>
      <w:r w:rsidRPr="00796E2E">
        <w:instrText xml:space="preserve"> SEQ Table \* ARABIC </w:instrText>
      </w:r>
      <w:r w:rsidRPr="00796E2E">
        <w:fldChar w:fldCharType="separate"/>
      </w:r>
      <w:r w:rsidR="00D30418" w:rsidRPr="00796E2E">
        <w:t>6</w:t>
      </w:r>
      <w:r w:rsidRPr="00796E2E">
        <w:fldChar w:fldCharType="end"/>
      </w:r>
      <w:r w:rsidRPr="00796E2E">
        <w:t xml:space="preserve">: Zimbabwe Stock </w:t>
      </w:r>
      <w:r w:rsidR="00D30418" w:rsidRPr="00796E2E">
        <w:t xml:space="preserve">Exchange </w:t>
      </w:r>
      <w:r w:rsidRPr="00796E2E">
        <w:t>Movements</w:t>
      </w:r>
      <w:bookmarkEnd w:id="63"/>
      <w:bookmarkEnd w:id="64"/>
      <w:bookmarkEnd w:id="65"/>
    </w:p>
    <w:p w14:paraId="23C50565" w14:textId="02191992" w:rsidR="004D4E48" w:rsidRPr="00796E2E" w:rsidRDefault="00C64199" w:rsidP="00427CDA">
      <w:pPr>
        <w:spacing w:after="0"/>
        <w:ind w:left="720" w:hanging="720"/>
        <w:jc w:val="both"/>
        <w:rPr>
          <w:rFonts w:ascii="Tahoma" w:hAnsi="Tahoma" w:cs="Tahoma"/>
          <w:sz w:val="24"/>
          <w:szCs w:val="24"/>
        </w:rPr>
      </w:pPr>
      <w:r w:rsidRPr="00C86244">
        <w:rPr>
          <w:noProof/>
        </w:rPr>
        <w:drawing>
          <wp:inline distT="0" distB="0" distL="0" distR="0" wp14:anchorId="51BB3ED9" wp14:editId="337A9E56">
            <wp:extent cx="5734050" cy="11811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586CBB06" w14:textId="77777777" w:rsidR="00C56F60" w:rsidRDefault="00C56F60" w:rsidP="00F67469">
      <w:pPr>
        <w:ind w:left="720" w:hanging="720"/>
        <w:jc w:val="both"/>
        <w:rPr>
          <w:rFonts w:ascii="Tahoma" w:hAnsi="Tahoma" w:cs="Tahoma"/>
          <w:i/>
          <w:iCs/>
          <w:sz w:val="24"/>
          <w:szCs w:val="24"/>
        </w:rPr>
      </w:pPr>
      <w:r w:rsidRPr="00796E2E">
        <w:rPr>
          <w:rFonts w:ascii="Tahoma" w:hAnsi="Tahoma" w:cs="Tahoma"/>
          <w:i/>
          <w:iCs/>
          <w:sz w:val="24"/>
          <w:szCs w:val="24"/>
        </w:rPr>
        <w:t xml:space="preserve">Source: </w:t>
      </w:r>
      <w:r w:rsidR="00D31BED" w:rsidRPr="00796E2E">
        <w:rPr>
          <w:rFonts w:ascii="Tahoma" w:hAnsi="Tahoma" w:cs="Tahoma"/>
          <w:i/>
          <w:iCs/>
          <w:sz w:val="24"/>
          <w:szCs w:val="24"/>
        </w:rPr>
        <w:t>ZSE</w:t>
      </w:r>
      <w:r w:rsidRPr="00796E2E">
        <w:rPr>
          <w:rFonts w:ascii="Tahoma" w:hAnsi="Tahoma" w:cs="Tahoma"/>
          <w:i/>
          <w:iCs/>
          <w:sz w:val="24"/>
          <w:szCs w:val="24"/>
        </w:rPr>
        <w:t xml:space="preserve"> (2024)</w:t>
      </w:r>
    </w:p>
    <w:p w14:paraId="5E4FAC05" w14:textId="77777777" w:rsidR="003F3FB4" w:rsidRPr="003F3FB4" w:rsidRDefault="003F3FB4" w:rsidP="003F3FB4">
      <w:pPr>
        <w:ind w:left="720" w:hanging="720"/>
        <w:jc w:val="both"/>
        <w:rPr>
          <w:rFonts w:ascii="Tahoma" w:hAnsi="Tahoma" w:cs="Tahoma"/>
          <w:sz w:val="24"/>
          <w:szCs w:val="24"/>
        </w:rPr>
      </w:pPr>
      <w:r w:rsidRPr="00796E2E">
        <w:rPr>
          <w:rFonts w:ascii="Tahoma" w:hAnsi="Tahoma" w:cs="Tahoma"/>
          <w:sz w:val="24"/>
          <w:szCs w:val="24"/>
        </w:rPr>
        <w:t>8.1.</w:t>
      </w:r>
      <w:r>
        <w:rPr>
          <w:rFonts w:ascii="Tahoma" w:hAnsi="Tahoma" w:cs="Tahoma"/>
          <w:sz w:val="24"/>
          <w:szCs w:val="24"/>
        </w:rPr>
        <w:t>2</w:t>
      </w:r>
      <w:r w:rsidRPr="00796E2E">
        <w:rPr>
          <w:rFonts w:ascii="Tahoma" w:hAnsi="Tahoma" w:cs="Tahoma"/>
          <w:sz w:val="24"/>
          <w:szCs w:val="24"/>
        </w:rPr>
        <w:tab/>
        <w:t>Market Capitalisation in April 2024</w:t>
      </w:r>
      <w:r>
        <w:rPr>
          <w:rFonts w:ascii="Tahoma" w:hAnsi="Tahoma" w:cs="Tahoma"/>
          <w:sz w:val="24"/>
          <w:szCs w:val="24"/>
        </w:rPr>
        <w:t xml:space="preserve"> was</w:t>
      </w:r>
      <w:r w:rsidRPr="00796E2E">
        <w:rPr>
          <w:rFonts w:ascii="Tahoma" w:hAnsi="Tahoma" w:cs="Tahoma"/>
          <w:sz w:val="24"/>
          <w:szCs w:val="24"/>
        </w:rPr>
        <w:t xml:space="preserve"> ZiG27826.11</w:t>
      </w:r>
      <w:r>
        <w:rPr>
          <w:rFonts w:ascii="Tahoma" w:hAnsi="Tahoma" w:cs="Tahoma"/>
          <w:sz w:val="24"/>
          <w:szCs w:val="24"/>
        </w:rPr>
        <w:t xml:space="preserve"> million reflecting a</w:t>
      </w:r>
      <w:r w:rsidRPr="00796E2E">
        <w:rPr>
          <w:rFonts w:ascii="Tahoma" w:hAnsi="Tahoma" w:cs="Tahoma"/>
          <w:sz w:val="24"/>
          <w:szCs w:val="24"/>
        </w:rPr>
        <w:t xml:space="preserve"> </w:t>
      </w:r>
      <w:r>
        <w:rPr>
          <w:rFonts w:ascii="Tahoma" w:hAnsi="Tahoma" w:cs="Tahoma"/>
          <w:sz w:val="24"/>
          <w:szCs w:val="24"/>
        </w:rPr>
        <w:t>3.66% increase from the ZiG</w:t>
      </w:r>
      <w:r w:rsidRPr="00796E2E">
        <w:rPr>
          <w:rFonts w:ascii="Tahoma" w:hAnsi="Tahoma" w:cs="Tahoma"/>
          <w:sz w:val="24"/>
          <w:szCs w:val="24"/>
        </w:rPr>
        <w:t xml:space="preserve">26843.41 million </w:t>
      </w:r>
      <w:r>
        <w:rPr>
          <w:rFonts w:ascii="Tahoma" w:hAnsi="Tahoma" w:cs="Tahoma"/>
          <w:sz w:val="24"/>
          <w:szCs w:val="24"/>
        </w:rPr>
        <w:t>in March 2024</w:t>
      </w:r>
      <w:r w:rsidRPr="00796E2E">
        <w:rPr>
          <w:rFonts w:ascii="Tahoma" w:hAnsi="Tahoma" w:cs="Tahoma"/>
          <w:sz w:val="24"/>
          <w:szCs w:val="24"/>
        </w:rPr>
        <w:t>. On a YtD and YoY basis, market capitalization added 67.07% and 1934.5%, respectively as shown in Table 7.</w:t>
      </w:r>
    </w:p>
    <w:p w14:paraId="318729AA" w14:textId="77777777" w:rsidR="00184FA3" w:rsidRPr="00796E2E" w:rsidRDefault="00F67469" w:rsidP="003C1D2F">
      <w:pPr>
        <w:pStyle w:val="Heading2"/>
        <w:spacing w:before="0" w:after="240" w:line="240" w:lineRule="auto"/>
        <w:rPr>
          <w:rFonts w:cs="Tahoma"/>
          <w:b/>
          <w:color w:val="000000"/>
          <w:szCs w:val="24"/>
        </w:rPr>
      </w:pPr>
      <w:bookmarkStart w:id="66" w:name="_Toc166607904"/>
      <w:bookmarkStart w:id="67" w:name="_Toc168317179"/>
      <w:r w:rsidRPr="00796E2E">
        <w:rPr>
          <w:rFonts w:cs="Tahoma"/>
          <w:b/>
          <w:color w:val="000000"/>
          <w:szCs w:val="24"/>
        </w:rPr>
        <w:t>8.2</w:t>
      </w:r>
      <w:r w:rsidRPr="00796E2E">
        <w:rPr>
          <w:rFonts w:cs="Tahoma"/>
          <w:b/>
          <w:color w:val="000000"/>
          <w:szCs w:val="24"/>
        </w:rPr>
        <w:tab/>
      </w:r>
      <w:r w:rsidR="00184FA3" w:rsidRPr="00796E2E">
        <w:rPr>
          <w:rFonts w:cs="Tahoma"/>
          <w:b/>
          <w:color w:val="000000"/>
          <w:szCs w:val="24"/>
        </w:rPr>
        <w:t>Victoria Falls Stock Exchange</w:t>
      </w:r>
      <w:bookmarkEnd w:id="66"/>
      <w:bookmarkEnd w:id="67"/>
      <w:r w:rsidR="00184FA3" w:rsidRPr="00796E2E">
        <w:rPr>
          <w:rFonts w:cs="Tahoma"/>
          <w:b/>
          <w:color w:val="000000"/>
          <w:szCs w:val="24"/>
        </w:rPr>
        <w:t xml:space="preserve"> </w:t>
      </w:r>
    </w:p>
    <w:p w14:paraId="29561D2D" w14:textId="77777777" w:rsidR="00427CDA" w:rsidRPr="00796E2E" w:rsidRDefault="00F67469" w:rsidP="00D46304">
      <w:pPr>
        <w:ind w:left="720" w:hanging="720"/>
        <w:jc w:val="both"/>
        <w:rPr>
          <w:rFonts w:ascii="Tahoma" w:hAnsi="Tahoma" w:cs="Tahoma"/>
          <w:sz w:val="24"/>
          <w:szCs w:val="24"/>
        </w:rPr>
      </w:pPr>
      <w:r w:rsidRPr="00796E2E">
        <w:rPr>
          <w:rFonts w:ascii="Tahoma" w:hAnsi="Tahoma" w:cs="Tahoma"/>
          <w:sz w:val="24"/>
          <w:szCs w:val="24"/>
        </w:rPr>
        <w:t>8.2.1</w:t>
      </w:r>
      <w:r w:rsidRPr="00796E2E">
        <w:rPr>
          <w:rFonts w:ascii="Tahoma" w:hAnsi="Tahoma" w:cs="Tahoma"/>
          <w:sz w:val="24"/>
          <w:szCs w:val="24"/>
        </w:rPr>
        <w:tab/>
      </w:r>
      <w:r w:rsidR="00427CDA" w:rsidRPr="00796E2E">
        <w:rPr>
          <w:rFonts w:ascii="Tahoma" w:hAnsi="Tahoma" w:cs="Tahoma"/>
          <w:sz w:val="24"/>
          <w:szCs w:val="24"/>
        </w:rPr>
        <w:t>During the month</w:t>
      </w:r>
      <w:r w:rsidR="0063529F" w:rsidRPr="00796E2E">
        <w:rPr>
          <w:rFonts w:ascii="Tahoma" w:hAnsi="Tahoma" w:cs="Tahoma"/>
          <w:sz w:val="24"/>
          <w:szCs w:val="24"/>
        </w:rPr>
        <w:t xml:space="preserve"> of April 2024</w:t>
      </w:r>
      <w:r w:rsidR="00427CDA" w:rsidRPr="00796E2E">
        <w:rPr>
          <w:rFonts w:ascii="Tahoma" w:hAnsi="Tahoma" w:cs="Tahoma"/>
          <w:sz w:val="24"/>
          <w:szCs w:val="24"/>
        </w:rPr>
        <w:t>, the Victoria Falls Stock Exchange</w:t>
      </w:r>
      <w:r w:rsidR="007B5625">
        <w:rPr>
          <w:rFonts w:ascii="Tahoma" w:hAnsi="Tahoma" w:cs="Tahoma"/>
          <w:sz w:val="24"/>
          <w:szCs w:val="24"/>
        </w:rPr>
        <w:t xml:space="preserve"> (VFEX)</w:t>
      </w:r>
      <w:r w:rsidR="00427CDA" w:rsidRPr="00796E2E">
        <w:rPr>
          <w:rFonts w:ascii="Tahoma" w:hAnsi="Tahoma" w:cs="Tahoma"/>
          <w:sz w:val="24"/>
          <w:szCs w:val="24"/>
        </w:rPr>
        <w:t xml:space="preserve"> recorded a b</w:t>
      </w:r>
      <w:r w:rsidR="0063529F" w:rsidRPr="00796E2E">
        <w:rPr>
          <w:rFonts w:ascii="Tahoma" w:hAnsi="Tahoma" w:cs="Tahoma"/>
          <w:sz w:val="24"/>
          <w:szCs w:val="24"/>
        </w:rPr>
        <w:t>earish</w:t>
      </w:r>
      <w:r w:rsidR="00427CDA" w:rsidRPr="00796E2E">
        <w:rPr>
          <w:rFonts w:ascii="Tahoma" w:hAnsi="Tahoma" w:cs="Tahoma"/>
          <w:sz w:val="24"/>
          <w:szCs w:val="24"/>
        </w:rPr>
        <w:t xml:space="preserve"> trend. On MoM basis, the </w:t>
      </w:r>
      <w:r w:rsidR="00DC4765" w:rsidRPr="00796E2E">
        <w:rPr>
          <w:rFonts w:ascii="Tahoma" w:hAnsi="Tahoma" w:cs="Tahoma"/>
          <w:sz w:val="24"/>
          <w:szCs w:val="24"/>
        </w:rPr>
        <w:t>All</w:t>
      </w:r>
      <w:r w:rsidR="0063529F" w:rsidRPr="00796E2E">
        <w:rPr>
          <w:rFonts w:ascii="Tahoma" w:hAnsi="Tahoma" w:cs="Tahoma"/>
          <w:sz w:val="24"/>
          <w:szCs w:val="24"/>
        </w:rPr>
        <w:t xml:space="preserve"> </w:t>
      </w:r>
      <w:r w:rsidR="00DC4765" w:rsidRPr="00796E2E">
        <w:rPr>
          <w:rFonts w:ascii="Tahoma" w:hAnsi="Tahoma" w:cs="Tahoma"/>
          <w:sz w:val="24"/>
          <w:szCs w:val="24"/>
        </w:rPr>
        <w:t xml:space="preserve">Share Index </w:t>
      </w:r>
      <w:r w:rsidR="0063529F" w:rsidRPr="00796E2E">
        <w:rPr>
          <w:rFonts w:ascii="Tahoma" w:hAnsi="Tahoma" w:cs="Tahoma"/>
          <w:sz w:val="24"/>
          <w:szCs w:val="24"/>
        </w:rPr>
        <w:t>lost</w:t>
      </w:r>
      <w:r w:rsidR="00DC4765" w:rsidRPr="00796E2E">
        <w:rPr>
          <w:rFonts w:ascii="Tahoma" w:hAnsi="Tahoma" w:cs="Tahoma"/>
          <w:sz w:val="24"/>
          <w:szCs w:val="24"/>
        </w:rPr>
        <w:t xml:space="preserve"> by </w:t>
      </w:r>
      <w:r w:rsidR="0063529F" w:rsidRPr="00796E2E">
        <w:rPr>
          <w:rFonts w:ascii="Tahoma" w:hAnsi="Tahoma" w:cs="Tahoma"/>
          <w:sz w:val="24"/>
          <w:szCs w:val="24"/>
        </w:rPr>
        <w:t>1</w:t>
      </w:r>
      <w:r w:rsidR="00DC4765" w:rsidRPr="00796E2E">
        <w:rPr>
          <w:rFonts w:ascii="Tahoma" w:hAnsi="Tahoma" w:cs="Tahoma"/>
          <w:sz w:val="24"/>
          <w:szCs w:val="24"/>
        </w:rPr>
        <w:t>.</w:t>
      </w:r>
      <w:r w:rsidR="0063529F" w:rsidRPr="00796E2E">
        <w:rPr>
          <w:rFonts w:ascii="Tahoma" w:hAnsi="Tahoma" w:cs="Tahoma"/>
          <w:sz w:val="24"/>
          <w:szCs w:val="24"/>
        </w:rPr>
        <w:t>44</w:t>
      </w:r>
      <w:r w:rsidR="00DC4765" w:rsidRPr="00796E2E">
        <w:rPr>
          <w:rFonts w:ascii="Tahoma" w:hAnsi="Tahoma" w:cs="Tahoma"/>
          <w:sz w:val="24"/>
          <w:szCs w:val="24"/>
        </w:rPr>
        <w:t>%</w:t>
      </w:r>
      <w:r w:rsidR="00427CDA" w:rsidRPr="00796E2E">
        <w:rPr>
          <w:rFonts w:ascii="Tahoma" w:hAnsi="Tahoma" w:cs="Tahoma"/>
          <w:sz w:val="24"/>
          <w:szCs w:val="24"/>
        </w:rPr>
        <w:t xml:space="preserve">, while </w:t>
      </w:r>
      <w:r w:rsidR="007B5625">
        <w:rPr>
          <w:rFonts w:ascii="Tahoma" w:hAnsi="Tahoma" w:cs="Tahoma"/>
          <w:sz w:val="24"/>
          <w:szCs w:val="24"/>
        </w:rPr>
        <w:t>V</w:t>
      </w:r>
      <w:r w:rsidR="00427CDA" w:rsidRPr="00796E2E">
        <w:rPr>
          <w:rFonts w:ascii="Tahoma" w:hAnsi="Tahoma" w:cs="Tahoma"/>
          <w:sz w:val="24"/>
          <w:szCs w:val="24"/>
        </w:rPr>
        <w:t xml:space="preserve">alued </w:t>
      </w:r>
      <w:r w:rsidR="007B5625">
        <w:rPr>
          <w:rFonts w:ascii="Tahoma" w:hAnsi="Tahoma" w:cs="Tahoma"/>
          <w:sz w:val="24"/>
          <w:szCs w:val="24"/>
        </w:rPr>
        <w:t>T</w:t>
      </w:r>
      <w:r w:rsidR="00427CDA" w:rsidRPr="00796E2E">
        <w:rPr>
          <w:rFonts w:ascii="Tahoma" w:hAnsi="Tahoma" w:cs="Tahoma"/>
          <w:sz w:val="24"/>
          <w:szCs w:val="24"/>
        </w:rPr>
        <w:t xml:space="preserve">raded </w:t>
      </w:r>
      <w:r w:rsidR="0063529F" w:rsidRPr="00796E2E">
        <w:rPr>
          <w:rFonts w:ascii="Tahoma" w:hAnsi="Tahoma" w:cs="Tahoma"/>
          <w:sz w:val="24"/>
          <w:szCs w:val="24"/>
        </w:rPr>
        <w:t>decrease</w:t>
      </w:r>
      <w:r w:rsidR="007B5625">
        <w:rPr>
          <w:rFonts w:ascii="Tahoma" w:hAnsi="Tahoma" w:cs="Tahoma"/>
          <w:sz w:val="24"/>
          <w:szCs w:val="24"/>
        </w:rPr>
        <w:t>d</w:t>
      </w:r>
      <w:r w:rsidR="00427CDA" w:rsidRPr="00796E2E">
        <w:rPr>
          <w:rFonts w:ascii="Tahoma" w:hAnsi="Tahoma" w:cs="Tahoma"/>
          <w:sz w:val="24"/>
          <w:szCs w:val="24"/>
        </w:rPr>
        <w:t xml:space="preserve"> by </w:t>
      </w:r>
      <w:r w:rsidR="0063529F" w:rsidRPr="00796E2E">
        <w:rPr>
          <w:rFonts w:ascii="Tahoma" w:hAnsi="Tahoma" w:cs="Tahoma"/>
          <w:sz w:val="24"/>
          <w:szCs w:val="24"/>
        </w:rPr>
        <w:t>98.85</w:t>
      </w:r>
      <w:r w:rsidR="00427CDA" w:rsidRPr="00796E2E">
        <w:rPr>
          <w:rFonts w:ascii="Tahoma" w:hAnsi="Tahoma" w:cs="Tahoma"/>
          <w:sz w:val="24"/>
          <w:szCs w:val="24"/>
        </w:rPr>
        <w:t xml:space="preserve">% and market </w:t>
      </w:r>
      <w:r w:rsidR="00B968F0" w:rsidRPr="00796E2E">
        <w:rPr>
          <w:rFonts w:ascii="Tahoma" w:hAnsi="Tahoma" w:cs="Tahoma"/>
          <w:sz w:val="24"/>
          <w:szCs w:val="24"/>
        </w:rPr>
        <w:t>capitalization</w:t>
      </w:r>
      <w:r w:rsidR="00427CDA" w:rsidRPr="00796E2E">
        <w:rPr>
          <w:rFonts w:ascii="Tahoma" w:hAnsi="Tahoma" w:cs="Tahoma"/>
          <w:sz w:val="24"/>
          <w:szCs w:val="24"/>
        </w:rPr>
        <w:t xml:space="preserve"> </w:t>
      </w:r>
      <w:r w:rsidR="0063529F" w:rsidRPr="00796E2E">
        <w:rPr>
          <w:rFonts w:ascii="Tahoma" w:hAnsi="Tahoma" w:cs="Tahoma"/>
          <w:sz w:val="24"/>
          <w:szCs w:val="24"/>
        </w:rPr>
        <w:t>lost</w:t>
      </w:r>
      <w:r w:rsidR="00427CDA" w:rsidRPr="00796E2E">
        <w:rPr>
          <w:rFonts w:ascii="Tahoma" w:hAnsi="Tahoma" w:cs="Tahoma"/>
          <w:sz w:val="24"/>
          <w:szCs w:val="24"/>
        </w:rPr>
        <w:t xml:space="preserve"> by </w:t>
      </w:r>
      <w:r w:rsidR="0063529F" w:rsidRPr="00796E2E">
        <w:rPr>
          <w:rFonts w:ascii="Tahoma" w:hAnsi="Tahoma" w:cs="Tahoma"/>
          <w:sz w:val="24"/>
          <w:szCs w:val="24"/>
        </w:rPr>
        <w:t>1.65</w:t>
      </w:r>
      <w:r w:rsidR="00427CDA" w:rsidRPr="00796E2E">
        <w:rPr>
          <w:rFonts w:ascii="Tahoma" w:hAnsi="Tahoma" w:cs="Tahoma"/>
          <w:sz w:val="24"/>
          <w:szCs w:val="24"/>
        </w:rPr>
        <w:t xml:space="preserve">% as shown in Table 8. </w:t>
      </w:r>
    </w:p>
    <w:p w14:paraId="67AA0696" w14:textId="77777777" w:rsidR="00F84FC8" w:rsidRPr="00796E2E" w:rsidRDefault="00DC4765" w:rsidP="00906D64">
      <w:pPr>
        <w:ind w:left="720" w:hanging="720"/>
        <w:jc w:val="both"/>
        <w:rPr>
          <w:rFonts w:ascii="Tahoma" w:hAnsi="Tahoma" w:cs="Tahoma"/>
          <w:sz w:val="24"/>
          <w:szCs w:val="24"/>
        </w:rPr>
      </w:pPr>
      <w:r w:rsidRPr="00796E2E">
        <w:rPr>
          <w:rFonts w:ascii="Tahoma" w:hAnsi="Tahoma" w:cs="Tahoma"/>
          <w:sz w:val="24"/>
          <w:szCs w:val="24"/>
        </w:rPr>
        <w:t xml:space="preserve"> </w:t>
      </w:r>
      <w:r w:rsidR="00F67469" w:rsidRPr="00796E2E">
        <w:rPr>
          <w:rFonts w:ascii="Tahoma" w:hAnsi="Tahoma" w:cs="Tahoma"/>
          <w:sz w:val="24"/>
          <w:szCs w:val="24"/>
        </w:rPr>
        <w:t>8.2.3</w:t>
      </w:r>
      <w:r w:rsidR="00F67469" w:rsidRPr="00796E2E">
        <w:rPr>
          <w:rFonts w:ascii="Tahoma" w:hAnsi="Tahoma" w:cs="Tahoma"/>
          <w:sz w:val="24"/>
          <w:szCs w:val="24"/>
        </w:rPr>
        <w:tab/>
      </w:r>
      <w:r w:rsidR="00427CDA" w:rsidRPr="00796E2E">
        <w:rPr>
          <w:rFonts w:ascii="Tahoma" w:hAnsi="Tahoma" w:cs="Tahoma"/>
          <w:sz w:val="24"/>
          <w:szCs w:val="24"/>
        </w:rPr>
        <w:t>On a Y</w:t>
      </w:r>
      <w:r w:rsidR="00AC77F7" w:rsidRPr="00796E2E">
        <w:rPr>
          <w:rFonts w:ascii="Tahoma" w:hAnsi="Tahoma" w:cs="Tahoma"/>
          <w:sz w:val="24"/>
          <w:szCs w:val="24"/>
        </w:rPr>
        <w:t>tD</w:t>
      </w:r>
      <w:r w:rsidR="00427CDA" w:rsidRPr="00796E2E">
        <w:rPr>
          <w:rFonts w:ascii="Tahoma" w:hAnsi="Tahoma" w:cs="Tahoma"/>
          <w:sz w:val="24"/>
          <w:szCs w:val="24"/>
        </w:rPr>
        <w:t xml:space="preserve"> basis, the All Share Index</w:t>
      </w:r>
      <w:r w:rsidR="00AC77F7" w:rsidRPr="00796E2E">
        <w:rPr>
          <w:rFonts w:ascii="Tahoma" w:hAnsi="Tahoma" w:cs="Tahoma"/>
          <w:sz w:val="24"/>
          <w:szCs w:val="24"/>
        </w:rPr>
        <w:t xml:space="preserve">, Value Traded and </w:t>
      </w:r>
      <w:r w:rsidR="00D15639">
        <w:rPr>
          <w:rFonts w:ascii="Tahoma" w:hAnsi="Tahoma" w:cs="Tahoma"/>
          <w:sz w:val="24"/>
          <w:szCs w:val="24"/>
        </w:rPr>
        <w:t>m</w:t>
      </w:r>
      <w:r w:rsidR="00AC77F7" w:rsidRPr="00796E2E">
        <w:rPr>
          <w:rFonts w:ascii="Tahoma" w:hAnsi="Tahoma" w:cs="Tahoma"/>
          <w:sz w:val="24"/>
          <w:szCs w:val="24"/>
        </w:rPr>
        <w:t xml:space="preserve">arket </w:t>
      </w:r>
      <w:r w:rsidR="00D15639">
        <w:rPr>
          <w:rFonts w:ascii="Tahoma" w:hAnsi="Tahoma" w:cs="Tahoma"/>
          <w:sz w:val="24"/>
          <w:szCs w:val="24"/>
        </w:rPr>
        <w:t>c</w:t>
      </w:r>
      <w:r w:rsidR="00AC77F7" w:rsidRPr="00796E2E">
        <w:rPr>
          <w:rFonts w:ascii="Tahoma" w:hAnsi="Tahoma" w:cs="Tahoma"/>
          <w:sz w:val="24"/>
          <w:szCs w:val="24"/>
        </w:rPr>
        <w:t>ap</w:t>
      </w:r>
      <w:r w:rsidR="00D15639">
        <w:rPr>
          <w:rFonts w:ascii="Tahoma" w:hAnsi="Tahoma" w:cs="Tahoma"/>
          <w:sz w:val="24"/>
          <w:szCs w:val="24"/>
        </w:rPr>
        <w:t>italisation registered negative trends.</w:t>
      </w:r>
      <w:r w:rsidR="00AC77F7" w:rsidRPr="00796E2E">
        <w:rPr>
          <w:rFonts w:ascii="Tahoma" w:hAnsi="Tahoma" w:cs="Tahoma"/>
          <w:sz w:val="24"/>
          <w:szCs w:val="24"/>
        </w:rPr>
        <w:t xml:space="preserve"> On YoY basis, </w:t>
      </w:r>
      <w:r w:rsidR="00D15639">
        <w:rPr>
          <w:rFonts w:ascii="Tahoma" w:hAnsi="Tahoma" w:cs="Tahoma"/>
          <w:sz w:val="24"/>
          <w:szCs w:val="24"/>
        </w:rPr>
        <w:t xml:space="preserve">the </w:t>
      </w:r>
      <w:r w:rsidR="00AC77F7" w:rsidRPr="00796E2E">
        <w:rPr>
          <w:rFonts w:ascii="Tahoma" w:hAnsi="Tahoma" w:cs="Tahoma"/>
          <w:sz w:val="24"/>
          <w:szCs w:val="24"/>
        </w:rPr>
        <w:t xml:space="preserve">All Share Index </w:t>
      </w:r>
      <w:r w:rsidR="00427CDA" w:rsidRPr="00796E2E">
        <w:rPr>
          <w:rFonts w:ascii="Tahoma" w:hAnsi="Tahoma" w:cs="Tahoma"/>
          <w:sz w:val="24"/>
          <w:szCs w:val="24"/>
        </w:rPr>
        <w:t>gained by</w:t>
      </w:r>
      <w:r w:rsidR="00AC77F7" w:rsidRPr="00796E2E">
        <w:rPr>
          <w:rFonts w:ascii="Tahoma" w:hAnsi="Tahoma" w:cs="Tahoma"/>
          <w:sz w:val="24"/>
          <w:szCs w:val="24"/>
        </w:rPr>
        <w:t xml:space="preserve"> </w:t>
      </w:r>
      <w:r w:rsidR="00427CDA" w:rsidRPr="00796E2E">
        <w:rPr>
          <w:rFonts w:ascii="Tahoma" w:hAnsi="Tahoma" w:cs="Tahoma"/>
          <w:sz w:val="24"/>
          <w:szCs w:val="24"/>
        </w:rPr>
        <w:t xml:space="preserve">15% while the value traded </w:t>
      </w:r>
      <w:r w:rsidR="00AC77F7" w:rsidRPr="00796E2E">
        <w:rPr>
          <w:rFonts w:ascii="Tahoma" w:hAnsi="Tahoma" w:cs="Tahoma"/>
          <w:sz w:val="24"/>
          <w:szCs w:val="24"/>
        </w:rPr>
        <w:t>lost</w:t>
      </w:r>
      <w:r w:rsidR="00427CDA" w:rsidRPr="00796E2E">
        <w:rPr>
          <w:rFonts w:ascii="Tahoma" w:hAnsi="Tahoma" w:cs="Tahoma"/>
          <w:sz w:val="24"/>
          <w:szCs w:val="24"/>
        </w:rPr>
        <w:t xml:space="preserve"> by </w:t>
      </w:r>
      <w:r w:rsidR="00AC77F7" w:rsidRPr="00796E2E">
        <w:rPr>
          <w:rFonts w:ascii="Tahoma" w:hAnsi="Tahoma" w:cs="Tahoma"/>
          <w:sz w:val="24"/>
          <w:szCs w:val="24"/>
        </w:rPr>
        <w:t>96.21</w:t>
      </w:r>
      <w:r w:rsidR="00427CDA" w:rsidRPr="00796E2E">
        <w:rPr>
          <w:rFonts w:ascii="Tahoma" w:hAnsi="Tahoma" w:cs="Tahoma"/>
          <w:sz w:val="24"/>
          <w:szCs w:val="24"/>
        </w:rPr>
        <w:t xml:space="preserve">% and market capitalisation lost by </w:t>
      </w:r>
      <w:r w:rsidR="00AC77F7" w:rsidRPr="00796E2E">
        <w:rPr>
          <w:rFonts w:ascii="Tahoma" w:hAnsi="Tahoma" w:cs="Tahoma"/>
          <w:sz w:val="24"/>
          <w:szCs w:val="24"/>
        </w:rPr>
        <w:t>5</w:t>
      </w:r>
      <w:r w:rsidR="00427CDA" w:rsidRPr="00796E2E">
        <w:rPr>
          <w:rFonts w:ascii="Tahoma" w:hAnsi="Tahoma" w:cs="Tahoma"/>
          <w:sz w:val="24"/>
          <w:szCs w:val="24"/>
        </w:rPr>
        <w:t>.</w:t>
      </w:r>
      <w:r w:rsidR="00AC77F7" w:rsidRPr="00796E2E">
        <w:rPr>
          <w:rFonts w:ascii="Tahoma" w:hAnsi="Tahoma" w:cs="Tahoma"/>
          <w:sz w:val="24"/>
          <w:szCs w:val="24"/>
        </w:rPr>
        <w:t>61</w:t>
      </w:r>
      <w:r w:rsidR="00427CDA" w:rsidRPr="00796E2E">
        <w:rPr>
          <w:rFonts w:ascii="Tahoma" w:hAnsi="Tahoma" w:cs="Tahoma"/>
          <w:sz w:val="24"/>
          <w:szCs w:val="24"/>
        </w:rPr>
        <w:t xml:space="preserve">%. </w:t>
      </w:r>
    </w:p>
    <w:p w14:paraId="00CB8E06" w14:textId="77777777" w:rsidR="003C1D2F" w:rsidRPr="00796E2E" w:rsidRDefault="00D30418" w:rsidP="0001510C">
      <w:pPr>
        <w:pStyle w:val="ListofTables"/>
      </w:pPr>
      <w:bookmarkStart w:id="68" w:name="_Toc164072368"/>
      <w:bookmarkStart w:id="69" w:name="_Toc166658895"/>
      <w:bookmarkStart w:id="70" w:name="_Toc168306907"/>
      <w:r w:rsidRPr="00796E2E">
        <w:t xml:space="preserve">Table </w:t>
      </w:r>
      <w:r w:rsidRPr="00796E2E">
        <w:fldChar w:fldCharType="begin"/>
      </w:r>
      <w:r w:rsidRPr="00796E2E">
        <w:instrText xml:space="preserve"> SEQ Table \* ARABIC </w:instrText>
      </w:r>
      <w:r w:rsidRPr="00796E2E">
        <w:fldChar w:fldCharType="separate"/>
      </w:r>
      <w:r w:rsidRPr="00796E2E">
        <w:t>7</w:t>
      </w:r>
      <w:r w:rsidRPr="00796E2E">
        <w:fldChar w:fldCharType="end"/>
      </w:r>
      <w:r w:rsidRPr="00796E2E">
        <w:t>: Victoria Falls Stock Exchange Movements</w:t>
      </w:r>
      <w:bookmarkEnd w:id="68"/>
      <w:bookmarkEnd w:id="69"/>
      <w:bookmarkEnd w:id="70"/>
    </w:p>
    <w:p w14:paraId="1C143461" w14:textId="708E3165" w:rsidR="00E57C56" w:rsidRPr="00796E2E" w:rsidRDefault="00C64199" w:rsidP="00FF0FB8">
      <w:pPr>
        <w:spacing w:after="0"/>
        <w:rPr>
          <w:rFonts w:ascii="Tahoma" w:hAnsi="Tahoma" w:cs="Tahoma"/>
          <w:sz w:val="24"/>
          <w:szCs w:val="24"/>
        </w:rPr>
      </w:pPr>
      <w:r w:rsidRPr="00C86244">
        <w:rPr>
          <w:noProof/>
        </w:rPr>
        <w:drawing>
          <wp:inline distT="0" distB="0" distL="0" distR="0" wp14:anchorId="1766E7BF" wp14:editId="375FC826">
            <wp:extent cx="5734050" cy="12096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209675"/>
                    </a:xfrm>
                    <a:prstGeom prst="rect">
                      <a:avLst/>
                    </a:prstGeom>
                    <a:noFill/>
                    <a:ln>
                      <a:noFill/>
                    </a:ln>
                  </pic:spPr>
                </pic:pic>
              </a:graphicData>
            </a:graphic>
          </wp:inline>
        </w:drawing>
      </w:r>
    </w:p>
    <w:p w14:paraId="4E2A298E" w14:textId="77777777" w:rsidR="00E36CF6" w:rsidRDefault="00E36CF6" w:rsidP="00D15639">
      <w:pPr>
        <w:spacing w:line="360" w:lineRule="auto"/>
        <w:rPr>
          <w:rFonts w:ascii="Tahoma" w:hAnsi="Tahoma" w:cs="Tahoma"/>
          <w:i/>
          <w:sz w:val="24"/>
          <w:szCs w:val="24"/>
        </w:rPr>
      </w:pPr>
      <w:r w:rsidRPr="00796E2E">
        <w:rPr>
          <w:rFonts w:ascii="Tahoma" w:hAnsi="Tahoma" w:cs="Tahoma"/>
          <w:i/>
          <w:sz w:val="24"/>
          <w:szCs w:val="24"/>
        </w:rPr>
        <w:t>Source:</w:t>
      </w:r>
      <w:r w:rsidR="00F67469" w:rsidRPr="00796E2E">
        <w:rPr>
          <w:rFonts w:ascii="Tahoma" w:hAnsi="Tahoma" w:cs="Tahoma"/>
          <w:i/>
          <w:sz w:val="24"/>
          <w:szCs w:val="24"/>
        </w:rPr>
        <w:t xml:space="preserve"> </w:t>
      </w:r>
      <w:r w:rsidR="007B5625">
        <w:rPr>
          <w:rFonts w:ascii="Tahoma" w:hAnsi="Tahoma" w:cs="Tahoma"/>
          <w:i/>
          <w:sz w:val="24"/>
          <w:szCs w:val="24"/>
        </w:rPr>
        <w:t>VFEX</w:t>
      </w:r>
      <w:r w:rsidR="00F5173C" w:rsidRPr="00796E2E">
        <w:rPr>
          <w:rFonts w:ascii="Tahoma" w:hAnsi="Tahoma" w:cs="Tahoma"/>
          <w:i/>
          <w:sz w:val="24"/>
          <w:szCs w:val="24"/>
        </w:rPr>
        <w:t xml:space="preserve"> </w:t>
      </w:r>
      <w:r w:rsidR="00F67469" w:rsidRPr="00796E2E">
        <w:rPr>
          <w:rFonts w:ascii="Tahoma" w:hAnsi="Tahoma" w:cs="Tahoma"/>
          <w:i/>
          <w:sz w:val="24"/>
          <w:szCs w:val="24"/>
        </w:rPr>
        <w:t>(</w:t>
      </w:r>
      <w:r w:rsidRPr="00796E2E">
        <w:rPr>
          <w:rFonts w:ascii="Tahoma" w:hAnsi="Tahoma" w:cs="Tahoma"/>
          <w:i/>
          <w:sz w:val="24"/>
          <w:szCs w:val="24"/>
        </w:rPr>
        <w:t>202</w:t>
      </w:r>
      <w:r w:rsidR="003F1F46" w:rsidRPr="00796E2E">
        <w:rPr>
          <w:rFonts w:ascii="Tahoma" w:hAnsi="Tahoma" w:cs="Tahoma"/>
          <w:i/>
          <w:sz w:val="24"/>
          <w:szCs w:val="24"/>
        </w:rPr>
        <w:t>4</w:t>
      </w:r>
      <w:r w:rsidR="00F67469" w:rsidRPr="00796E2E">
        <w:rPr>
          <w:rFonts w:ascii="Tahoma" w:hAnsi="Tahoma" w:cs="Tahoma"/>
          <w:i/>
          <w:sz w:val="24"/>
          <w:szCs w:val="24"/>
        </w:rPr>
        <w:t>)</w:t>
      </w:r>
      <w:r w:rsidRPr="00796E2E">
        <w:rPr>
          <w:rFonts w:ascii="Tahoma" w:hAnsi="Tahoma" w:cs="Tahoma"/>
          <w:i/>
          <w:sz w:val="24"/>
          <w:szCs w:val="24"/>
        </w:rPr>
        <w:t xml:space="preserve"> </w:t>
      </w:r>
    </w:p>
    <w:p w14:paraId="42891A65" w14:textId="77777777" w:rsidR="0080107D" w:rsidRPr="00796E2E" w:rsidRDefault="0080107D" w:rsidP="00D15639">
      <w:pPr>
        <w:spacing w:line="360" w:lineRule="auto"/>
        <w:rPr>
          <w:rFonts w:ascii="Tahoma" w:hAnsi="Tahoma" w:cs="Tahoma"/>
          <w:i/>
          <w:sz w:val="24"/>
          <w:szCs w:val="24"/>
        </w:rPr>
      </w:pPr>
    </w:p>
    <w:p w14:paraId="20C662C5" w14:textId="77777777" w:rsidR="00EF3AD6" w:rsidRPr="004867F2" w:rsidRDefault="00FC703F" w:rsidP="004B15EE">
      <w:pPr>
        <w:pStyle w:val="Heading1"/>
        <w:spacing w:before="0" w:after="240" w:line="240" w:lineRule="auto"/>
        <w:rPr>
          <w:rFonts w:cs="Tahoma"/>
          <w:bCs/>
          <w:color w:val="000000"/>
          <w:szCs w:val="24"/>
        </w:rPr>
      </w:pPr>
      <w:bookmarkStart w:id="71" w:name="_Toc166607905"/>
      <w:bookmarkStart w:id="72" w:name="_Toc168317180"/>
      <w:r w:rsidRPr="004867F2">
        <w:rPr>
          <w:rFonts w:cs="Tahoma"/>
          <w:bCs/>
          <w:color w:val="000000"/>
          <w:szCs w:val="24"/>
        </w:rPr>
        <w:lastRenderedPageBreak/>
        <w:t>9.0</w:t>
      </w:r>
      <w:r w:rsidRPr="004867F2">
        <w:rPr>
          <w:rFonts w:cs="Tahoma"/>
          <w:bCs/>
          <w:color w:val="000000"/>
          <w:szCs w:val="24"/>
        </w:rPr>
        <w:tab/>
        <w:t>Recommendations</w:t>
      </w:r>
      <w:bookmarkEnd w:id="71"/>
      <w:bookmarkEnd w:id="72"/>
      <w:r w:rsidRPr="004867F2">
        <w:rPr>
          <w:rFonts w:cs="Tahoma"/>
          <w:bCs/>
          <w:color w:val="000000"/>
          <w:szCs w:val="24"/>
        </w:rPr>
        <w:t xml:space="preserve"> </w:t>
      </w:r>
    </w:p>
    <w:p w14:paraId="75C7DD61" w14:textId="77777777" w:rsidR="00FC703F" w:rsidRPr="004867F2" w:rsidRDefault="00EC6C43" w:rsidP="00FC703F">
      <w:pPr>
        <w:ind w:left="720" w:hanging="720"/>
        <w:rPr>
          <w:rFonts w:ascii="Tahoma" w:hAnsi="Tahoma" w:cs="Tahoma"/>
          <w:sz w:val="24"/>
          <w:szCs w:val="24"/>
        </w:rPr>
      </w:pPr>
      <w:r w:rsidRPr="004867F2">
        <w:rPr>
          <w:rFonts w:ascii="Tahoma" w:hAnsi="Tahoma" w:cs="Tahoma"/>
          <w:sz w:val="24"/>
          <w:szCs w:val="24"/>
        </w:rPr>
        <w:t>9.1</w:t>
      </w:r>
      <w:r w:rsidR="00FC703F" w:rsidRPr="004867F2">
        <w:rPr>
          <w:rFonts w:ascii="Tahoma" w:hAnsi="Tahoma" w:cs="Tahoma"/>
          <w:sz w:val="24"/>
          <w:szCs w:val="24"/>
        </w:rPr>
        <w:tab/>
        <w:t xml:space="preserve">The following recommendations are being proposed: </w:t>
      </w:r>
    </w:p>
    <w:p w14:paraId="0F84CCD3" w14:textId="77777777" w:rsidR="00702E44" w:rsidRPr="00907F3E" w:rsidRDefault="0066487F" w:rsidP="00702E44">
      <w:pPr>
        <w:pStyle w:val="ListParagraph"/>
        <w:ind w:hanging="720"/>
        <w:jc w:val="both"/>
        <w:rPr>
          <w:rFonts w:ascii="Tahoma" w:hAnsi="Tahoma" w:cs="Tahoma"/>
          <w:kern w:val="0"/>
          <w:sz w:val="24"/>
          <w:szCs w:val="24"/>
          <w:lang w:val="en-ZW" w:eastAsia="en-ZW"/>
        </w:rPr>
      </w:pPr>
      <w:r w:rsidRPr="004867F2">
        <w:rPr>
          <w:rFonts w:ascii="Tahoma" w:hAnsi="Tahoma" w:cs="Tahoma"/>
          <w:kern w:val="0"/>
          <w:sz w:val="24"/>
          <w:szCs w:val="24"/>
          <w:lang w:eastAsia="en-ZW"/>
        </w:rPr>
        <w:t>9.1.</w:t>
      </w:r>
      <w:r w:rsidR="00595E97" w:rsidRPr="004867F2">
        <w:rPr>
          <w:rFonts w:ascii="Tahoma" w:hAnsi="Tahoma" w:cs="Tahoma"/>
          <w:kern w:val="0"/>
          <w:sz w:val="24"/>
          <w:szCs w:val="24"/>
          <w:lang w:eastAsia="en-ZW"/>
        </w:rPr>
        <w:t>1</w:t>
      </w:r>
      <w:r w:rsidRPr="004867F2">
        <w:rPr>
          <w:rFonts w:ascii="Tahoma" w:hAnsi="Tahoma" w:cs="Tahoma"/>
          <w:kern w:val="0"/>
          <w:sz w:val="24"/>
          <w:szCs w:val="24"/>
          <w:lang w:eastAsia="en-ZW"/>
        </w:rPr>
        <w:tab/>
      </w:r>
      <w:r w:rsidR="00702E44" w:rsidRPr="00907F3E">
        <w:rPr>
          <w:rFonts w:ascii="Tahoma" w:hAnsi="Tahoma" w:cs="Tahoma"/>
          <w:b/>
          <w:bCs/>
          <w:kern w:val="0"/>
          <w:sz w:val="24"/>
          <w:szCs w:val="24"/>
          <w:lang w:val="en-ZW" w:eastAsia="en-ZW"/>
        </w:rPr>
        <w:t>Diversify Export Markets:</w:t>
      </w:r>
      <w:r w:rsidR="00702E44" w:rsidRPr="00702E44">
        <w:rPr>
          <w:rFonts w:ascii="Tahoma" w:hAnsi="Tahoma" w:cs="Tahoma"/>
          <w:kern w:val="0"/>
          <w:sz w:val="24"/>
          <w:szCs w:val="24"/>
          <w:lang w:val="en-ZW" w:eastAsia="en-ZW"/>
        </w:rPr>
        <w:t xml:space="preserve"> </w:t>
      </w:r>
      <w:r w:rsidR="00702E44" w:rsidRPr="00907F3E">
        <w:rPr>
          <w:rFonts w:ascii="Tahoma" w:hAnsi="Tahoma" w:cs="Tahoma"/>
          <w:kern w:val="0"/>
          <w:sz w:val="24"/>
          <w:szCs w:val="24"/>
          <w:lang w:val="en-ZW" w:eastAsia="en-ZW"/>
        </w:rPr>
        <w:t xml:space="preserve">Given the expected steady but slow global economic growth, </w:t>
      </w:r>
      <w:r w:rsidR="00702E44" w:rsidRPr="00702E44">
        <w:rPr>
          <w:rFonts w:ascii="Tahoma" w:hAnsi="Tahoma" w:cs="Tahoma"/>
          <w:kern w:val="0"/>
          <w:sz w:val="24"/>
          <w:szCs w:val="24"/>
          <w:lang w:val="en-ZW" w:eastAsia="en-ZW"/>
        </w:rPr>
        <w:t xml:space="preserve">there is need to </w:t>
      </w:r>
      <w:r w:rsidR="00702E44" w:rsidRPr="00907F3E">
        <w:rPr>
          <w:rFonts w:ascii="Tahoma" w:hAnsi="Tahoma" w:cs="Tahoma"/>
          <w:kern w:val="0"/>
          <w:sz w:val="24"/>
          <w:szCs w:val="24"/>
          <w:lang w:val="en-ZW" w:eastAsia="en-ZW"/>
        </w:rPr>
        <w:t>diversify</w:t>
      </w:r>
      <w:r w:rsidR="00702E44" w:rsidRPr="00702E44">
        <w:rPr>
          <w:rFonts w:ascii="Tahoma" w:hAnsi="Tahoma" w:cs="Tahoma"/>
          <w:kern w:val="0"/>
          <w:sz w:val="24"/>
          <w:szCs w:val="24"/>
          <w:lang w:val="en-ZW" w:eastAsia="en-ZW"/>
        </w:rPr>
        <w:t xml:space="preserve"> the country’s </w:t>
      </w:r>
      <w:r w:rsidR="00702E44" w:rsidRPr="00907F3E">
        <w:rPr>
          <w:rFonts w:ascii="Tahoma" w:hAnsi="Tahoma" w:cs="Tahoma"/>
          <w:kern w:val="0"/>
          <w:sz w:val="24"/>
          <w:szCs w:val="24"/>
          <w:lang w:val="en-ZW" w:eastAsia="en-ZW"/>
        </w:rPr>
        <w:t xml:space="preserve">export markets </w:t>
      </w:r>
      <w:r w:rsidR="00702E44" w:rsidRPr="00702E44">
        <w:rPr>
          <w:rFonts w:ascii="Tahoma" w:hAnsi="Tahoma" w:cs="Tahoma"/>
          <w:kern w:val="0"/>
          <w:sz w:val="24"/>
          <w:szCs w:val="24"/>
          <w:lang w:val="en-ZW" w:eastAsia="en-ZW"/>
        </w:rPr>
        <w:t>to</w:t>
      </w:r>
      <w:r w:rsidR="00702E44" w:rsidRPr="00907F3E">
        <w:rPr>
          <w:rFonts w:ascii="Tahoma" w:hAnsi="Tahoma" w:cs="Tahoma"/>
          <w:kern w:val="0"/>
          <w:sz w:val="24"/>
          <w:szCs w:val="24"/>
          <w:lang w:val="en-ZW" w:eastAsia="en-ZW"/>
        </w:rPr>
        <w:t xml:space="preserve"> mitigate risks associated with economic slowdowns in major trading partners.</w:t>
      </w:r>
      <w:r w:rsidR="00702E44" w:rsidRPr="00702E44">
        <w:rPr>
          <w:rFonts w:ascii="Tahoma" w:hAnsi="Tahoma" w:cs="Tahoma"/>
          <w:kern w:val="0"/>
          <w:sz w:val="24"/>
          <w:szCs w:val="24"/>
          <w:lang w:val="en-ZW" w:eastAsia="en-ZW"/>
        </w:rPr>
        <w:t xml:space="preserve"> The country can es</w:t>
      </w:r>
      <w:r w:rsidR="00702E44" w:rsidRPr="00907F3E">
        <w:rPr>
          <w:rFonts w:ascii="Tahoma" w:hAnsi="Tahoma" w:cs="Tahoma"/>
          <w:kern w:val="0"/>
          <w:sz w:val="24"/>
          <w:szCs w:val="24"/>
          <w:lang w:val="en-ZW" w:eastAsia="en-ZW"/>
        </w:rPr>
        <w:t>tablish trade agreements with emerging markets, particularly in Asia and other fast-growing regions.</w:t>
      </w:r>
    </w:p>
    <w:p w14:paraId="74B2746B"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9.1.2</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Enhance Competitiveness:</w:t>
      </w:r>
      <w:r w:rsidRPr="00702E44">
        <w:rPr>
          <w:rFonts w:ascii="Tahoma" w:hAnsi="Tahoma" w:cs="Tahoma"/>
          <w:kern w:val="0"/>
          <w:sz w:val="24"/>
          <w:szCs w:val="24"/>
          <w:lang w:val="en-ZW" w:eastAsia="en-ZW"/>
        </w:rPr>
        <w:t xml:space="preserve"> Advanced economies and major emerging markets are projected to grow, albeit modestly. Zimbabwe should capitalize on this by improving its product competitiveness. Strategies such as investing in technology and infrastructure to enhance productivity and reduce production costs are most welcome. </w:t>
      </w:r>
    </w:p>
    <w:p w14:paraId="7D292ECB"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9.1.3</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Strengthen Inflation Control Measures</w:t>
      </w:r>
      <w:r w:rsidRPr="00702E44">
        <w:rPr>
          <w:rFonts w:ascii="Tahoma" w:hAnsi="Tahoma" w:cs="Tahoma"/>
          <w:kern w:val="0"/>
          <w:sz w:val="24"/>
          <w:szCs w:val="24"/>
          <w:lang w:val="en-ZW" w:eastAsia="en-ZW"/>
        </w:rPr>
        <w:t>: Global inflation is projected to decrease, which could influence local inflation trends. In this regard, the country should implement policies to stabilize prices, such as improving supply chains for essential goods and tightening monetary policy when necessary.</w:t>
      </w:r>
    </w:p>
    <w:p w14:paraId="2FF520C0"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9.1.4</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Leverage Mining Sector Growth:</w:t>
      </w:r>
      <w:r w:rsidRPr="00702E44">
        <w:rPr>
          <w:rFonts w:ascii="Tahoma" w:hAnsi="Tahoma" w:cs="Tahoma"/>
          <w:kern w:val="0"/>
          <w:sz w:val="24"/>
          <w:szCs w:val="24"/>
          <w:lang w:val="en-ZW" w:eastAsia="en-ZW"/>
        </w:rPr>
        <w:t xml:space="preserve"> Positive trends in gold, copper, and aluminium prices can bolster the mining sector. Therefore, the country should aim to attract foreign investment in mining through favourable policies and ensure the efficient and environmentally responsible extraction of minerals.</w:t>
      </w:r>
    </w:p>
    <w:p w14:paraId="69F63B17"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9.1.5</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Support Agricultural Sector:</w:t>
      </w:r>
      <w:r w:rsidRPr="00702E44">
        <w:rPr>
          <w:rFonts w:ascii="Tahoma" w:hAnsi="Tahoma" w:cs="Tahoma"/>
          <w:kern w:val="0"/>
          <w:sz w:val="24"/>
          <w:szCs w:val="24"/>
          <w:lang w:val="en-ZW" w:eastAsia="en-ZW"/>
        </w:rPr>
        <w:t xml:space="preserve"> Negative trends in cotton, corn, soybeans, and wheat prices pose challenges. The country should provide subsidies, introduce drought-resistant crop varieties, and invest in irrigation infrastructure to mitigate the effects of price volatility and El Nino-induced droughts.</w:t>
      </w:r>
    </w:p>
    <w:p w14:paraId="2645DD4A"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9.1.6</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Reduce Trade Deficit:</w:t>
      </w:r>
      <w:r w:rsidRPr="00702E44">
        <w:rPr>
          <w:rFonts w:ascii="Tahoma" w:hAnsi="Tahoma" w:cs="Tahoma"/>
          <w:kern w:val="0"/>
          <w:sz w:val="24"/>
          <w:szCs w:val="24"/>
          <w:lang w:val="en-ZW" w:eastAsia="en-ZW"/>
        </w:rPr>
        <w:t xml:space="preserve"> A high trade deficit can deplete foreign reserves and weaken the local currency. Therefore, the country should promote export-oriented industries and reduce import dependence by enhancing local production capabilities</w:t>
      </w:r>
      <w:r w:rsidR="00031724">
        <w:rPr>
          <w:rFonts w:ascii="Tahoma" w:hAnsi="Tahoma" w:cs="Tahoma"/>
          <w:kern w:val="0"/>
          <w:sz w:val="24"/>
          <w:szCs w:val="24"/>
          <w:lang w:val="en-ZW" w:eastAsia="en-ZW"/>
        </w:rPr>
        <w:t xml:space="preserve"> and competitiveness</w:t>
      </w:r>
      <w:r w:rsidRPr="00702E44">
        <w:rPr>
          <w:rFonts w:ascii="Tahoma" w:hAnsi="Tahoma" w:cs="Tahoma"/>
          <w:kern w:val="0"/>
          <w:sz w:val="24"/>
          <w:szCs w:val="24"/>
          <w:lang w:val="en-ZW" w:eastAsia="en-ZW"/>
        </w:rPr>
        <w:t>.</w:t>
      </w:r>
    </w:p>
    <w:p w14:paraId="614723FE" w14:textId="77777777" w:rsidR="00702E44" w:rsidRP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9.1.7</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Expand Export Product Base:</w:t>
      </w:r>
      <w:r w:rsidRPr="00702E44">
        <w:rPr>
          <w:rFonts w:ascii="Tahoma" w:hAnsi="Tahoma" w:cs="Tahoma"/>
          <w:kern w:val="0"/>
          <w:sz w:val="24"/>
          <w:szCs w:val="24"/>
          <w:lang w:val="en-ZW" w:eastAsia="en-ZW"/>
        </w:rPr>
        <w:t xml:space="preserve"> Reliance on a few primary export commodities increases vulnerability. Thus, the country should diversify exports by developing value-added products and exploring new markets.</w:t>
      </w:r>
    </w:p>
    <w:p w14:paraId="013CA563" w14:textId="0C11AF39" w:rsidR="00702E44" w:rsidRPr="0063764B" w:rsidRDefault="00702E44" w:rsidP="0063764B">
      <w:pPr>
        <w:pStyle w:val="ListParagraph"/>
        <w:ind w:hanging="720"/>
        <w:jc w:val="both"/>
        <w:rPr>
          <w:rFonts w:ascii="Tahoma" w:hAnsi="Tahoma" w:cs="Tahoma"/>
          <w:color w:val="000000" w:themeColor="text1"/>
          <w:kern w:val="0"/>
          <w:sz w:val="24"/>
          <w:szCs w:val="24"/>
          <w:lang w:val="en-ZW" w:eastAsia="en-ZW"/>
        </w:rPr>
      </w:pPr>
      <w:r w:rsidRPr="00702E44">
        <w:rPr>
          <w:rFonts w:ascii="Tahoma" w:hAnsi="Tahoma" w:cs="Tahoma"/>
          <w:kern w:val="0"/>
          <w:sz w:val="24"/>
          <w:szCs w:val="24"/>
          <w:lang w:val="en-ZW" w:eastAsia="en-ZW"/>
        </w:rPr>
        <w:t>9.1.8</w:t>
      </w:r>
      <w:r>
        <w:rPr>
          <w:rFonts w:ascii="Tahoma" w:hAnsi="Tahoma" w:cs="Tahoma"/>
          <w:b/>
          <w:bCs/>
          <w:kern w:val="0"/>
          <w:sz w:val="24"/>
          <w:szCs w:val="24"/>
          <w:lang w:val="en-ZW" w:eastAsia="en-ZW"/>
        </w:rPr>
        <w:tab/>
      </w:r>
      <w:r w:rsidRPr="0063764B">
        <w:rPr>
          <w:rFonts w:ascii="Tahoma" w:hAnsi="Tahoma" w:cs="Tahoma"/>
          <w:b/>
          <w:bCs/>
          <w:color w:val="000000" w:themeColor="text1"/>
          <w:kern w:val="0"/>
          <w:sz w:val="24"/>
          <w:szCs w:val="24"/>
          <w:lang w:val="en-ZW" w:eastAsia="en-ZW"/>
        </w:rPr>
        <w:t>Promote Confidence in ZiG:</w:t>
      </w:r>
      <w:r w:rsidRPr="0063764B">
        <w:rPr>
          <w:rFonts w:ascii="Tahoma" w:hAnsi="Tahoma" w:cs="Tahoma"/>
          <w:color w:val="000000" w:themeColor="text1"/>
          <w:kern w:val="0"/>
          <w:sz w:val="24"/>
          <w:szCs w:val="24"/>
          <w:lang w:val="en-ZW" w:eastAsia="en-ZW"/>
        </w:rPr>
        <w:t xml:space="preserve"> The depreciation of the ZiG </w:t>
      </w:r>
      <w:r w:rsidR="00C64199" w:rsidRPr="0063764B">
        <w:rPr>
          <w:rFonts w:ascii="Tahoma" w:hAnsi="Tahoma" w:cs="Tahoma"/>
          <w:color w:val="000000" w:themeColor="text1"/>
          <w:kern w:val="0"/>
          <w:sz w:val="24"/>
          <w:szCs w:val="24"/>
          <w:lang w:val="en-ZW" w:eastAsia="en-ZW"/>
        </w:rPr>
        <w:t xml:space="preserve">on the parallel market </w:t>
      </w:r>
      <w:r w:rsidRPr="0063764B">
        <w:rPr>
          <w:rFonts w:ascii="Tahoma" w:hAnsi="Tahoma" w:cs="Tahoma"/>
          <w:color w:val="000000" w:themeColor="text1"/>
          <w:kern w:val="0"/>
          <w:sz w:val="24"/>
          <w:szCs w:val="24"/>
          <w:lang w:val="en-ZW" w:eastAsia="en-ZW"/>
        </w:rPr>
        <w:t xml:space="preserve">indicates a lack of confidence. </w:t>
      </w:r>
      <w:r w:rsidR="0063764B" w:rsidRPr="0063764B">
        <w:rPr>
          <w:rFonts w:ascii="Tahoma" w:hAnsi="Tahoma" w:cs="Tahoma"/>
          <w:color w:val="000000" w:themeColor="text1"/>
          <w:sz w:val="24"/>
          <w:szCs w:val="24"/>
          <w:lang w:val="en-US"/>
        </w:rPr>
        <w:t>As at 30 April 2024, the official exchange rate was at USD1: ZiGL$13.43 while the parallel market rate was at around USD1: ZiG$21.00 translating to a premium of 56.37%.</w:t>
      </w:r>
      <w:r w:rsidR="0063764B" w:rsidRPr="0063764B">
        <w:rPr>
          <w:rFonts w:ascii="Tahoma" w:hAnsi="Tahoma" w:cs="Tahoma"/>
          <w:color w:val="000000" w:themeColor="text1"/>
          <w:kern w:val="0"/>
          <w:sz w:val="24"/>
          <w:szCs w:val="24"/>
          <w:lang w:val="en-ZW" w:eastAsia="en-ZW"/>
        </w:rPr>
        <w:t xml:space="preserve"> </w:t>
      </w:r>
      <w:r w:rsidRPr="0063764B">
        <w:rPr>
          <w:rFonts w:ascii="Tahoma" w:hAnsi="Tahoma" w:cs="Tahoma"/>
          <w:color w:val="000000" w:themeColor="text1"/>
          <w:kern w:val="0"/>
          <w:sz w:val="24"/>
          <w:szCs w:val="24"/>
          <w:lang w:val="en-ZW" w:eastAsia="en-ZW"/>
        </w:rPr>
        <w:t>Authorities should ensure transparency and stability in monetary policy and bolster the credibility of the new currency through sound economic policies. Building adequate reserves to back the local currency is critical going forward.</w:t>
      </w:r>
    </w:p>
    <w:p w14:paraId="0EA17FD7" w14:textId="77777777" w:rsidR="00702E44" w:rsidRDefault="00702E44" w:rsidP="00702E44">
      <w:pPr>
        <w:pStyle w:val="ListParagraph"/>
        <w:ind w:hanging="720"/>
        <w:jc w:val="both"/>
        <w:rPr>
          <w:rFonts w:ascii="Tahoma" w:hAnsi="Tahoma" w:cs="Tahoma"/>
          <w:kern w:val="0"/>
          <w:sz w:val="24"/>
          <w:szCs w:val="24"/>
          <w:lang w:val="en-ZW" w:eastAsia="en-ZW"/>
        </w:rPr>
      </w:pPr>
      <w:r w:rsidRPr="00702E44">
        <w:rPr>
          <w:rFonts w:ascii="Tahoma" w:hAnsi="Tahoma" w:cs="Tahoma"/>
          <w:kern w:val="0"/>
          <w:sz w:val="24"/>
          <w:szCs w:val="24"/>
          <w:lang w:val="en-ZW" w:eastAsia="en-ZW"/>
        </w:rPr>
        <w:t>9.1.9</w:t>
      </w:r>
      <w:r>
        <w:rPr>
          <w:rFonts w:ascii="Tahoma" w:hAnsi="Tahoma" w:cs="Tahoma"/>
          <w:b/>
          <w:bCs/>
          <w:kern w:val="0"/>
          <w:sz w:val="24"/>
          <w:szCs w:val="24"/>
          <w:lang w:val="en-ZW" w:eastAsia="en-ZW"/>
        </w:rPr>
        <w:tab/>
      </w:r>
      <w:r w:rsidRPr="00702E44">
        <w:rPr>
          <w:rFonts w:ascii="Tahoma" w:hAnsi="Tahoma" w:cs="Tahoma"/>
          <w:b/>
          <w:bCs/>
          <w:kern w:val="0"/>
          <w:sz w:val="24"/>
          <w:szCs w:val="24"/>
          <w:lang w:val="en-ZW" w:eastAsia="en-ZW"/>
        </w:rPr>
        <w:t>Control Food and Fuel Prices:</w:t>
      </w:r>
      <w:r w:rsidRPr="00702E44">
        <w:rPr>
          <w:rFonts w:ascii="Tahoma" w:hAnsi="Tahoma" w:cs="Tahoma"/>
          <w:kern w:val="0"/>
          <w:sz w:val="24"/>
          <w:szCs w:val="24"/>
          <w:lang w:val="en-ZW" w:eastAsia="en-ZW"/>
        </w:rPr>
        <w:t xml:space="preserve"> Food and fuel prices are major drivers of inflation. Therefore, there is need to subsidize critical sectors, improve supply chain logistics, and invest in alternative energy sources to stabilize fuel prices.</w:t>
      </w:r>
    </w:p>
    <w:p w14:paraId="64B20969" w14:textId="77777777" w:rsidR="00702E44" w:rsidRDefault="00702E44" w:rsidP="00702E44">
      <w:pPr>
        <w:pStyle w:val="ListParagraph"/>
        <w:ind w:hanging="720"/>
        <w:jc w:val="both"/>
        <w:rPr>
          <w:rFonts w:ascii="Tahoma" w:hAnsi="Tahoma" w:cs="Tahoma"/>
          <w:kern w:val="0"/>
          <w:sz w:val="24"/>
          <w:szCs w:val="24"/>
          <w:lang w:val="en-ZW" w:eastAsia="en-ZW"/>
        </w:rPr>
      </w:pPr>
    </w:p>
    <w:p w14:paraId="1D1FF03A" w14:textId="77777777" w:rsidR="00702E44" w:rsidRPr="00702E44" w:rsidRDefault="00702E44" w:rsidP="00702E44">
      <w:pPr>
        <w:pStyle w:val="ListParagraph"/>
        <w:ind w:hanging="720"/>
        <w:jc w:val="both"/>
        <w:rPr>
          <w:rFonts w:ascii="Tahoma" w:hAnsi="Tahoma" w:cs="Tahoma"/>
          <w:kern w:val="0"/>
          <w:sz w:val="24"/>
          <w:szCs w:val="24"/>
          <w:lang w:val="en-ZW" w:eastAsia="en-ZW"/>
        </w:rPr>
      </w:pPr>
    </w:p>
    <w:p w14:paraId="36BB6907" w14:textId="77777777" w:rsidR="00702E44" w:rsidRPr="00654297" w:rsidRDefault="00702E44" w:rsidP="00654297">
      <w:pPr>
        <w:pStyle w:val="Heading1"/>
        <w:spacing w:before="0" w:after="240" w:line="360" w:lineRule="auto"/>
        <w:jc w:val="both"/>
        <w:rPr>
          <w:rFonts w:cs="Tahoma"/>
          <w:szCs w:val="24"/>
        </w:rPr>
      </w:pPr>
      <w:bookmarkStart w:id="73" w:name="_Toc168317181"/>
      <w:r w:rsidRPr="00654297">
        <w:rPr>
          <w:rFonts w:cs="Tahoma"/>
          <w:szCs w:val="24"/>
        </w:rPr>
        <w:lastRenderedPageBreak/>
        <w:t>10.0</w:t>
      </w:r>
      <w:r w:rsidRPr="00654297">
        <w:rPr>
          <w:rFonts w:cs="Tahoma"/>
          <w:szCs w:val="24"/>
        </w:rPr>
        <w:tab/>
        <w:t>References</w:t>
      </w:r>
      <w:bookmarkEnd w:id="73"/>
    </w:p>
    <w:p w14:paraId="4EB90384" w14:textId="77777777" w:rsidR="00702E44" w:rsidRPr="00654297" w:rsidRDefault="00702E44" w:rsidP="00654297">
      <w:pPr>
        <w:pStyle w:val="Bibliography"/>
        <w:ind w:left="720" w:hanging="720"/>
        <w:jc w:val="both"/>
        <w:rPr>
          <w:rFonts w:ascii="Tahoma" w:hAnsi="Tahoma" w:cs="Tahoma"/>
          <w:noProof/>
          <w:kern w:val="0"/>
          <w:sz w:val="24"/>
          <w:szCs w:val="24"/>
          <w:lang w:val="en-GB"/>
        </w:rPr>
      </w:pPr>
      <w:r w:rsidRPr="00654297">
        <w:rPr>
          <w:rFonts w:ascii="Tahoma" w:hAnsi="Tahoma" w:cs="Tahoma"/>
          <w:noProof/>
          <w:sz w:val="24"/>
          <w:szCs w:val="24"/>
          <w:lang w:val="en-GB"/>
        </w:rPr>
        <w:t xml:space="preserve">IMF. (2024). </w:t>
      </w:r>
      <w:r w:rsidRPr="00654297">
        <w:rPr>
          <w:rFonts w:ascii="Tahoma" w:hAnsi="Tahoma" w:cs="Tahoma"/>
          <w:i/>
          <w:iCs/>
          <w:noProof/>
          <w:sz w:val="24"/>
          <w:szCs w:val="24"/>
          <w:lang w:val="en-GB"/>
        </w:rPr>
        <w:t>World Economic Outlook Update, April 2024.</w:t>
      </w:r>
      <w:r w:rsidRPr="00654297">
        <w:rPr>
          <w:rFonts w:ascii="Tahoma" w:hAnsi="Tahoma" w:cs="Tahoma"/>
          <w:noProof/>
          <w:sz w:val="24"/>
          <w:szCs w:val="24"/>
          <w:lang w:val="en-GB"/>
        </w:rPr>
        <w:t xml:space="preserve"> International Monetary Fund.</w:t>
      </w:r>
    </w:p>
    <w:p w14:paraId="2AC8ADDB"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IMF. (2024). </w:t>
      </w:r>
      <w:r w:rsidRPr="00654297">
        <w:rPr>
          <w:rFonts w:ascii="Tahoma" w:hAnsi="Tahoma" w:cs="Tahoma"/>
          <w:i/>
          <w:iCs/>
          <w:noProof/>
          <w:sz w:val="24"/>
          <w:szCs w:val="24"/>
          <w:lang w:val="en-GB"/>
        </w:rPr>
        <w:t>World Economic Outlook Update, January 2024.</w:t>
      </w:r>
      <w:r w:rsidRPr="00654297">
        <w:rPr>
          <w:rFonts w:ascii="Tahoma" w:hAnsi="Tahoma" w:cs="Tahoma"/>
          <w:noProof/>
          <w:sz w:val="24"/>
          <w:szCs w:val="24"/>
          <w:lang w:val="en-GB"/>
        </w:rPr>
        <w:t xml:space="preserve"> International Monetary Fund.</w:t>
      </w:r>
    </w:p>
    <w:p w14:paraId="6FC2684C"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MOFEDIP. (2023). </w:t>
      </w:r>
      <w:r w:rsidRPr="00654297">
        <w:rPr>
          <w:rFonts w:ascii="Tahoma" w:hAnsi="Tahoma" w:cs="Tahoma"/>
          <w:i/>
          <w:iCs/>
          <w:noProof/>
          <w:sz w:val="24"/>
          <w:szCs w:val="24"/>
          <w:lang w:val="en-GB"/>
        </w:rPr>
        <w:t>The 2024 National Budget Statement.</w:t>
      </w:r>
      <w:r w:rsidRPr="00654297">
        <w:rPr>
          <w:rFonts w:ascii="Tahoma" w:hAnsi="Tahoma" w:cs="Tahoma"/>
          <w:noProof/>
          <w:sz w:val="24"/>
          <w:szCs w:val="24"/>
          <w:lang w:val="en-GB"/>
        </w:rPr>
        <w:t xml:space="preserve"> Ministry of Finance, Economic Development and Investment Promotion.</w:t>
      </w:r>
    </w:p>
    <w:p w14:paraId="10281F3A"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RBZ. (2024). </w:t>
      </w:r>
      <w:r w:rsidRPr="00654297">
        <w:rPr>
          <w:rFonts w:ascii="Tahoma" w:hAnsi="Tahoma" w:cs="Tahoma"/>
          <w:i/>
          <w:iCs/>
          <w:noProof/>
          <w:sz w:val="24"/>
          <w:szCs w:val="24"/>
          <w:lang w:val="en-GB"/>
        </w:rPr>
        <w:t>2024 Monetary Policy Statement.</w:t>
      </w:r>
      <w:r w:rsidRPr="00654297">
        <w:rPr>
          <w:rFonts w:ascii="Tahoma" w:hAnsi="Tahoma" w:cs="Tahoma"/>
          <w:noProof/>
          <w:sz w:val="24"/>
          <w:szCs w:val="24"/>
          <w:lang w:val="en-GB"/>
        </w:rPr>
        <w:t xml:space="preserve"> Reserve Bank of Zimbabwe.</w:t>
      </w:r>
    </w:p>
    <w:p w14:paraId="6E42B209"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RBZ. (2024). </w:t>
      </w:r>
      <w:r w:rsidRPr="00654297">
        <w:rPr>
          <w:rFonts w:ascii="Tahoma" w:hAnsi="Tahoma" w:cs="Tahoma"/>
          <w:i/>
          <w:iCs/>
          <w:noProof/>
          <w:sz w:val="24"/>
          <w:szCs w:val="24"/>
          <w:lang w:val="en-GB"/>
        </w:rPr>
        <w:t>Exchange Rates</w:t>
      </w:r>
      <w:r w:rsidRPr="00654297">
        <w:rPr>
          <w:rFonts w:ascii="Tahoma" w:hAnsi="Tahoma" w:cs="Tahoma"/>
          <w:noProof/>
          <w:sz w:val="24"/>
          <w:szCs w:val="24"/>
          <w:lang w:val="en-GB"/>
        </w:rPr>
        <w:t>. Retrieved from Reserve Bank of Zimbabwe: https://www.rbz.co.zw/index.php/research/markets/exchange-rates</w:t>
      </w:r>
    </w:p>
    <w:p w14:paraId="0FB4E56E"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Trading Economics. (2024). </w:t>
      </w:r>
      <w:r w:rsidRPr="00654297">
        <w:rPr>
          <w:rFonts w:ascii="Tahoma" w:hAnsi="Tahoma" w:cs="Tahoma"/>
          <w:i/>
          <w:iCs/>
          <w:noProof/>
          <w:sz w:val="24"/>
          <w:szCs w:val="24"/>
          <w:lang w:val="en-GB"/>
        </w:rPr>
        <w:t>Commodities</w:t>
      </w:r>
      <w:r w:rsidRPr="00654297">
        <w:rPr>
          <w:rFonts w:ascii="Tahoma" w:hAnsi="Tahoma" w:cs="Tahoma"/>
          <w:noProof/>
          <w:sz w:val="24"/>
          <w:szCs w:val="24"/>
          <w:lang w:val="en-GB"/>
        </w:rPr>
        <w:t>. Retrieved from Trading Economics: https://tradingeconomics.com/commodities</w:t>
      </w:r>
    </w:p>
    <w:p w14:paraId="29D25EA4"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VFEX. (2024). </w:t>
      </w:r>
      <w:r w:rsidRPr="00654297">
        <w:rPr>
          <w:rFonts w:ascii="Tahoma" w:hAnsi="Tahoma" w:cs="Tahoma"/>
          <w:i/>
          <w:iCs/>
          <w:noProof/>
          <w:sz w:val="24"/>
          <w:szCs w:val="24"/>
          <w:lang w:val="en-GB"/>
        </w:rPr>
        <w:t xml:space="preserve">VFEX Main Dashboard </w:t>
      </w:r>
      <w:r w:rsidRPr="00654297">
        <w:rPr>
          <w:rFonts w:ascii="Tahoma" w:hAnsi="Tahoma" w:cs="Tahoma"/>
          <w:noProof/>
          <w:sz w:val="24"/>
          <w:szCs w:val="24"/>
          <w:lang w:val="en-GB"/>
        </w:rPr>
        <w:t>. Retrieved from Victoria Falls Stock Exchange: https://www.vfex.exchange/</w:t>
      </w:r>
    </w:p>
    <w:p w14:paraId="06857D78"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ZimStat. (2024). </w:t>
      </w:r>
      <w:r w:rsidRPr="00654297">
        <w:rPr>
          <w:rFonts w:ascii="Tahoma" w:hAnsi="Tahoma" w:cs="Tahoma"/>
          <w:i/>
          <w:iCs/>
          <w:noProof/>
          <w:sz w:val="24"/>
          <w:szCs w:val="24"/>
          <w:lang w:val="en-GB"/>
        </w:rPr>
        <w:t>Inflation Rates</w:t>
      </w:r>
      <w:r w:rsidRPr="00654297">
        <w:rPr>
          <w:rFonts w:ascii="Tahoma" w:hAnsi="Tahoma" w:cs="Tahoma"/>
          <w:noProof/>
          <w:sz w:val="24"/>
          <w:szCs w:val="24"/>
          <w:lang w:val="en-GB"/>
        </w:rPr>
        <w:t>. Retrieved from Zimbabwe National Statistical Agency: https://www.zimstat.co.zw/</w:t>
      </w:r>
    </w:p>
    <w:p w14:paraId="4A2B076F"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ZimStat. (2024). </w:t>
      </w:r>
      <w:r w:rsidRPr="00654297">
        <w:rPr>
          <w:rFonts w:ascii="Tahoma" w:hAnsi="Tahoma" w:cs="Tahoma"/>
          <w:i/>
          <w:iCs/>
          <w:noProof/>
          <w:sz w:val="24"/>
          <w:szCs w:val="24"/>
          <w:lang w:val="en-GB"/>
        </w:rPr>
        <w:t xml:space="preserve">Merchandise Trade Statisitics </w:t>
      </w:r>
      <w:r w:rsidRPr="00654297">
        <w:rPr>
          <w:rFonts w:ascii="Tahoma" w:hAnsi="Tahoma" w:cs="Tahoma"/>
          <w:noProof/>
          <w:sz w:val="24"/>
          <w:szCs w:val="24"/>
          <w:lang w:val="en-GB"/>
        </w:rPr>
        <w:t>. Retrieved from Zimbabwe National Statistical Agency: https://www.zimstat.co.zw/</w:t>
      </w:r>
    </w:p>
    <w:p w14:paraId="6FC918EB" w14:textId="77777777" w:rsidR="00702E44" w:rsidRPr="00654297" w:rsidRDefault="00702E44" w:rsidP="00654297">
      <w:pPr>
        <w:pStyle w:val="Bibliography"/>
        <w:ind w:left="720" w:hanging="720"/>
        <w:jc w:val="both"/>
        <w:rPr>
          <w:rFonts w:ascii="Tahoma" w:hAnsi="Tahoma" w:cs="Tahoma"/>
          <w:noProof/>
          <w:sz w:val="24"/>
          <w:szCs w:val="24"/>
          <w:lang w:val="en-GB"/>
        </w:rPr>
      </w:pPr>
      <w:r w:rsidRPr="00654297">
        <w:rPr>
          <w:rFonts w:ascii="Tahoma" w:hAnsi="Tahoma" w:cs="Tahoma"/>
          <w:noProof/>
          <w:sz w:val="24"/>
          <w:szCs w:val="24"/>
          <w:lang w:val="en-GB"/>
        </w:rPr>
        <w:t xml:space="preserve">ZSE. (2024). </w:t>
      </w:r>
      <w:r w:rsidRPr="00654297">
        <w:rPr>
          <w:rFonts w:ascii="Tahoma" w:hAnsi="Tahoma" w:cs="Tahoma"/>
          <w:i/>
          <w:iCs/>
          <w:noProof/>
          <w:sz w:val="24"/>
          <w:szCs w:val="24"/>
          <w:lang w:val="en-GB"/>
        </w:rPr>
        <w:t>ZSE Main Dashboard</w:t>
      </w:r>
      <w:r w:rsidRPr="00654297">
        <w:rPr>
          <w:rFonts w:ascii="Tahoma" w:hAnsi="Tahoma" w:cs="Tahoma"/>
          <w:noProof/>
          <w:sz w:val="24"/>
          <w:szCs w:val="24"/>
          <w:lang w:val="en-GB"/>
        </w:rPr>
        <w:t>. Retrieved from Zimbabwe Stock Exchange: https://www.zse.co.zw/</w:t>
      </w:r>
    </w:p>
    <w:p w14:paraId="10CDE948" w14:textId="77777777" w:rsidR="00702E44" w:rsidRDefault="00702E44" w:rsidP="00654297">
      <w:pPr>
        <w:jc w:val="both"/>
      </w:pPr>
    </w:p>
    <w:p w14:paraId="467B3703" w14:textId="77777777" w:rsidR="00A74A5F" w:rsidRPr="00796E2E" w:rsidRDefault="00A74A5F" w:rsidP="00595E97">
      <w:pPr>
        <w:pStyle w:val="ListParagraph"/>
        <w:ind w:hanging="720"/>
        <w:jc w:val="both"/>
        <w:rPr>
          <w:rFonts w:ascii="Tahoma" w:hAnsi="Tahoma" w:cs="Tahoma"/>
          <w:sz w:val="24"/>
          <w:szCs w:val="24"/>
        </w:rPr>
      </w:pPr>
    </w:p>
    <w:p w14:paraId="7FFA4F58" w14:textId="77777777" w:rsidR="005D1A74" w:rsidRPr="00796E2E" w:rsidRDefault="005D1A74" w:rsidP="00595E97">
      <w:pPr>
        <w:pStyle w:val="ListParagraph"/>
        <w:ind w:hanging="720"/>
        <w:jc w:val="both"/>
        <w:rPr>
          <w:rFonts w:ascii="Tahoma" w:hAnsi="Tahoma" w:cs="Tahoma"/>
          <w:sz w:val="24"/>
          <w:szCs w:val="24"/>
        </w:rPr>
      </w:pPr>
    </w:p>
    <w:p w14:paraId="40C2DA54" w14:textId="77777777" w:rsidR="005D1A74" w:rsidRPr="00796E2E" w:rsidRDefault="005D1A74" w:rsidP="00595E97">
      <w:pPr>
        <w:pStyle w:val="ListParagraph"/>
        <w:ind w:hanging="720"/>
        <w:jc w:val="both"/>
        <w:rPr>
          <w:rFonts w:ascii="Tahoma" w:hAnsi="Tahoma" w:cs="Tahoma"/>
          <w:sz w:val="24"/>
          <w:szCs w:val="24"/>
        </w:rPr>
      </w:pPr>
    </w:p>
    <w:p w14:paraId="0E3EAFFF" w14:textId="77777777" w:rsidR="005D1A74" w:rsidRPr="00796E2E" w:rsidRDefault="005D1A74" w:rsidP="00595E97">
      <w:pPr>
        <w:pStyle w:val="ListParagraph"/>
        <w:ind w:hanging="720"/>
        <w:jc w:val="both"/>
        <w:rPr>
          <w:rFonts w:ascii="Tahoma" w:hAnsi="Tahoma" w:cs="Tahoma"/>
          <w:sz w:val="24"/>
          <w:szCs w:val="24"/>
        </w:rPr>
      </w:pPr>
    </w:p>
    <w:p w14:paraId="15F27732" w14:textId="77777777" w:rsidR="00EF3AD6" w:rsidRPr="00863A17" w:rsidRDefault="00FC703F" w:rsidP="00FC703F">
      <w:pPr>
        <w:ind w:left="5760"/>
        <w:rPr>
          <w:rFonts w:ascii="Tahoma" w:hAnsi="Tahoma" w:cs="Tahoma"/>
          <w:b/>
          <w:iCs/>
          <w:sz w:val="24"/>
          <w:szCs w:val="24"/>
          <w:lang w:val="en-US"/>
        </w:rPr>
      </w:pPr>
      <w:r w:rsidRPr="00796E2E">
        <w:rPr>
          <w:rFonts w:ascii="Tahoma" w:hAnsi="Tahoma" w:cs="Tahoma"/>
          <w:b/>
          <w:iCs/>
          <w:sz w:val="24"/>
          <w:szCs w:val="24"/>
        </w:rPr>
        <w:t xml:space="preserve">      NECF Secretariat, 202</w:t>
      </w:r>
      <w:r w:rsidR="0066487F" w:rsidRPr="00796E2E">
        <w:rPr>
          <w:rFonts w:ascii="Tahoma" w:hAnsi="Tahoma" w:cs="Tahoma"/>
          <w:b/>
          <w:iCs/>
          <w:sz w:val="24"/>
          <w:szCs w:val="24"/>
        </w:rPr>
        <w:t>4</w:t>
      </w:r>
    </w:p>
    <w:sectPr w:rsidR="00EF3AD6" w:rsidRPr="00863A17" w:rsidSect="00EF15A0">
      <w:head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EB320" w14:textId="77777777" w:rsidR="00607A3A" w:rsidRPr="00796E2E" w:rsidRDefault="00607A3A" w:rsidP="00654F03">
      <w:pPr>
        <w:spacing w:after="0" w:line="240" w:lineRule="auto"/>
      </w:pPr>
      <w:r w:rsidRPr="00796E2E">
        <w:separator/>
      </w:r>
    </w:p>
  </w:endnote>
  <w:endnote w:type="continuationSeparator" w:id="0">
    <w:p w14:paraId="010EE4B8" w14:textId="77777777" w:rsidR="00607A3A" w:rsidRPr="00796E2E" w:rsidRDefault="00607A3A" w:rsidP="00654F03">
      <w:pPr>
        <w:spacing w:after="0" w:line="240" w:lineRule="auto"/>
      </w:pPr>
      <w:r w:rsidRPr="00796E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0569" w14:textId="77777777" w:rsidR="00022BFE" w:rsidRPr="00796E2E" w:rsidRDefault="00022BFE" w:rsidP="00B357AC">
    <w:pPr>
      <w:pStyle w:val="Footer"/>
      <w:jc w:val="center"/>
    </w:pPr>
    <w:r w:rsidRPr="00796E2E">
      <w:t xml:space="preserve">Page | </w:t>
    </w:r>
    <w:r w:rsidRPr="00796E2E">
      <w:fldChar w:fldCharType="begin"/>
    </w:r>
    <w:r w:rsidRPr="00796E2E">
      <w:instrText xml:space="preserve"> PAGE   \* MERGEFORMAT </w:instrText>
    </w:r>
    <w:r w:rsidRPr="00796E2E">
      <w:fldChar w:fldCharType="separate"/>
    </w:r>
    <w:r w:rsidR="000313AF" w:rsidRPr="00796E2E">
      <w:t>3</w:t>
    </w:r>
    <w:r w:rsidRPr="00796E2E">
      <w:fldChar w:fldCharType="end"/>
    </w:r>
    <w:r w:rsidRPr="00796E2E">
      <w:t xml:space="preserve"> </w:t>
    </w:r>
  </w:p>
  <w:p w14:paraId="67CD62EF" w14:textId="77777777" w:rsidR="00022BFE" w:rsidRPr="00796E2E"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1517B" w14:textId="77777777" w:rsidR="00607A3A" w:rsidRPr="00796E2E" w:rsidRDefault="00607A3A" w:rsidP="00654F03">
      <w:pPr>
        <w:spacing w:after="0" w:line="240" w:lineRule="auto"/>
      </w:pPr>
      <w:r w:rsidRPr="00796E2E">
        <w:separator/>
      </w:r>
    </w:p>
  </w:footnote>
  <w:footnote w:type="continuationSeparator" w:id="0">
    <w:p w14:paraId="0993FE60" w14:textId="77777777" w:rsidR="00607A3A" w:rsidRPr="00796E2E" w:rsidRDefault="00607A3A" w:rsidP="00654F03">
      <w:pPr>
        <w:spacing w:after="0" w:line="240" w:lineRule="auto"/>
      </w:pPr>
      <w:r w:rsidRPr="00796E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C1EA2" w14:textId="77777777" w:rsidR="00022BFE" w:rsidRPr="00796E2E"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772240702">
    <w:abstractNumId w:val="4"/>
  </w:num>
  <w:num w:numId="2" w16cid:durableId="218635591">
    <w:abstractNumId w:val="5"/>
  </w:num>
  <w:num w:numId="3" w16cid:durableId="1967856559">
    <w:abstractNumId w:val="1"/>
  </w:num>
  <w:num w:numId="4" w16cid:durableId="1109590475">
    <w:abstractNumId w:val="2"/>
  </w:num>
  <w:num w:numId="5" w16cid:durableId="2023435418">
    <w:abstractNumId w:val="3"/>
  </w:num>
  <w:num w:numId="6" w16cid:durableId="129436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4DDD"/>
    <w:rsid w:val="000123EE"/>
    <w:rsid w:val="000129B7"/>
    <w:rsid w:val="00013442"/>
    <w:rsid w:val="0001510C"/>
    <w:rsid w:val="00022BFE"/>
    <w:rsid w:val="00026A42"/>
    <w:rsid w:val="0003098D"/>
    <w:rsid w:val="000312F5"/>
    <w:rsid w:val="000313AF"/>
    <w:rsid w:val="00031724"/>
    <w:rsid w:val="00031E9A"/>
    <w:rsid w:val="0003407B"/>
    <w:rsid w:val="000346FD"/>
    <w:rsid w:val="0003672E"/>
    <w:rsid w:val="000376E5"/>
    <w:rsid w:val="0004125F"/>
    <w:rsid w:val="00041EA2"/>
    <w:rsid w:val="000515F8"/>
    <w:rsid w:val="00056CEF"/>
    <w:rsid w:val="0006371A"/>
    <w:rsid w:val="00066B05"/>
    <w:rsid w:val="0006717B"/>
    <w:rsid w:val="000732CC"/>
    <w:rsid w:val="0007507E"/>
    <w:rsid w:val="00086539"/>
    <w:rsid w:val="00086A1B"/>
    <w:rsid w:val="00090D37"/>
    <w:rsid w:val="00096221"/>
    <w:rsid w:val="000A0879"/>
    <w:rsid w:val="000A5880"/>
    <w:rsid w:val="000B0C38"/>
    <w:rsid w:val="000B4023"/>
    <w:rsid w:val="000B622D"/>
    <w:rsid w:val="000B63CE"/>
    <w:rsid w:val="000B6AA5"/>
    <w:rsid w:val="000C29DA"/>
    <w:rsid w:val="000C2D96"/>
    <w:rsid w:val="000C447C"/>
    <w:rsid w:val="000D22EE"/>
    <w:rsid w:val="000D4C34"/>
    <w:rsid w:val="000D5212"/>
    <w:rsid w:val="000E0195"/>
    <w:rsid w:val="000E19AC"/>
    <w:rsid w:val="000E455D"/>
    <w:rsid w:val="000F316D"/>
    <w:rsid w:val="000F32A6"/>
    <w:rsid w:val="000F38C3"/>
    <w:rsid w:val="000F54F6"/>
    <w:rsid w:val="000F7BEA"/>
    <w:rsid w:val="001016F9"/>
    <w:rsid w:val="00101BC7"/>
    <w:rsid w:val="001029E1"/>
    <w:rsid w:val="00103E4D"/>
    <w:rsid w:val="00106B69"/>
    <w:rsid w:val="00111B0D"/>
    <w:rsid w:val="0011335B"/>
    <w:rsid w:val="00115C8C"/>
    <w:rsid w:val="00117473"/>
    <w:rsid w:val="001217A1"/>
    <w:rsid w:val="001258FE"/>
    <w:rsid w:val="0013108A"/>
    <w:rsid w:val="00131F51"/>
    <w:rsid w:val="00132EAF"/>
    <w:rsid w:val="001354A1"/>
    <w:rsid w:val="00137BB3"/>
    <w:rsid w:val="00141D72"/>
    <w:rsid w:val="00145C78"/>
    <w:rsid w:val="00146D0A"/>
    <w:rsid w:val="00146D2D"/>
    <w:rsid w:val="00160959"/>
    <w:rsid w:val="00161D6E"/>
    <w:rsid w:val="00165A7C"/>
    <w:rsid w:val="00170788"/>
    <w:rsid w:val="00171A37"/>
    <w:rsid w:val="00172873"/>
    <w:rsid w:val="00174CBF"/>
    <w:rsid w:val="00177FD9"/>
    <w:rsid w:val="00181085"/>
    <w:rsid w:val="00184FA3"/>
    <w:rsid w:val="0018530E"/>
    <w:rsid w:val="00190FD1"/>
    <w:rsid w:val="001946C3"/>
    <w:rsid w:val="001A0156"/>
    <w:rsid w:val="001A1425"/>
    <w:rsid w:val="001A488A"/>
    <w:rsid w:val="001B5A7B"/>
    <w:rsid w:val="001B5C7B"/>
    <w:rsid w:val="001C160D"/>
    <w:rsid w:val="001C6200"/>
    <w:rsid w:val="001C6748"/>
    <w:rsid w:val="001F1A94"/>
    <w:rsid w:val="001F2D81"/>
    <w:rsid w:val="002019B5"/>
    <w:rsid w:val="00211AC2"/>
    <w:rsid w:val="002120A6"/>
    <w:rsid w:val="00223152"/>
    <w:rsid w:val="0023756F"/>
    <w:rsid w:val="00243665"/>
    <w:rsid w:val="00243C51"/>
    <w:rsid w:val="002448A6"/>
    <w:rsid w:val="00244E77"/>
    <w:rsid w:val="00245AD4"/>
    <w:rsid w:val="002525BF"/>
    <w:rsid w:val="00254DF0"/>
    <w:rsid w:val="0025517A"/>
    <w:rsid w:val="002569B2"/>
    <w:rsid w:val="00264650"/>
    <w:rsid w:val="00265AEC"/>
    <w:rsid w:val="00280519"/>
    <w:rsid w:val="00281EE3"/>
    <w:rsid w:val="00286562"/>
    <w:rsid w:val="00286DD4"/>
    <w:rsid w:val="00287F5F"/>
    <w:rsid w:val="00296FDF"/>
    <w:rsid w:val="002A3CAC"/>
    <w:rsid w:val="002B2FE8"/>
    <w:rsid w:val="002B6209"/>
    <w:rsid w:val="002B7529"/>
    <w:rsid w:val="002C6020"/>
    <w:rsid w:val="002D3BAB"/>
    <w:rsid w:val="002E1398"/>
    <w:rsid w:val="002E3ED2"/>
    <w:rsid w:val="002E6010"/>
    <w:rsid w:val="002F3502"/>
    <w:rsid w:val="00300BB3"/>
    <w:rsid w:val="003015C7"/>
    <w:rsid w:val="00307F4A"/>
    <w:rsid w:val="0031015F"/>
    <w:rsid w:val="00313C3E"/>
    <w:rsid w:val="0031428C"/>
    <w:rsid w:val="00314D22"/>
    <w:rsid w:val="00324047"/>
    <w:rsid w:val="00325ECA"/>
    <w:rsid w:val="003270C4"/>
    <w:rsid w:val="00331834"/>
    <w:rsid w:val="00332F5E"/>
    <w:rsid w:val="00335FD6"/>
    <w:rsid w:val="00352C0D"/>
    <w:rsid w:val="00357791"/>
    <w:rsid w:val="00360073"/>
    <w:rsid w:val="00362187"/>
    <w:rsid w:val="00364947"/>
    <w:rsid w:val="00372F9E"/>
    <w:rsid w:val="003756E7"/>
    <w:rsid w:val="00377FEB"/>
    <w:rsid w:val="00382F7E"/>
    <w:rsid w:val="00385A53"/>
    <w:rsid w:val="00386A89"/>
    <w:rsid w:val="003944CA"/>
    <w:rsid w:val="00395F28"/>
    <w:rsid w:val="003A5E3C"/>
    <w:rsid w:val="003B2F54"/>
    <w:rsid w:val="003B500E"/>
    <w:rsid w:val="003C1636"/>
    <w:rsid w:val="003C1D2F"/>
    <w:rsid w:val="003C3A00"/>
    <w:rsid w:val="003C5DC8"/>
    <w:rsid w:val="003D0C8C"/>
    <w:rsid w:val="003D3E43"/>
    <w:rsid w:val="003D7035"/>
    <w:rsid w:val="003E051C"/>
    <w:rsid w:val="003E2138"/>
    <w:rsid w:val="003E301F"/>
    <w:rsid w:val="003F123A"/>
    <w:rsid w:val="003F1F46"/>
    <w:rsid w:val="003F3FB4"/>
    <w:rsid w:val="0040072A"/>
    <w:rsid w:val="00404786"/>
    <w:rsid w:val="004052E4"/>
    <w:rsid w:val="00405F3C"/>
    <w:rsid w:val="0041581E"/>
    <w:rsid w:val="00417DAD"/>
    <w:rsid w:val="00427C53"/>
    <w:rsid w:val="00427CDA"/>
    <w:rsid w:val="00431F13"/>
    <w:rsid w:val="00442387"/>
    <w:rsid w:val="00445ADE"/>
    <w:rsid w:val="004542F6"/>
    <w:rsid w:val="00455BB9"/>
    <w:rsid w:val="00460658"/>
    <w:rsid w:val="00460D78"/>
    <w:rsid w:val="004624DA"/>
    <w:rsid w:val="00465811"/>
    <w:rsid w:val="00474E3B"/>
    <w:rsid w:val="004761DA"/>
    <w:rsid w:val="00476766"/>
    <w:rsid w:val="0048527C"/>
    <w:rsid w:val="004867F2"/>
    <w:rsid w:val="00491236"/>
    <w:rsid w:val="00492502"/>
    <w:rsid w:val="00494824"/>
    <w:rsid w:val="00495C20"/>
    <w:rsid w:val="00496A39"/>
    <w:rsid w:val="004A5C03"/>
    <w:rsid w:val="004B15EE"/>
    <w:rsid w:val="004B3C36"/>
    <w:rsid w:val="004C677E"/>
    <w:rsid w:val="004C7E36"/>
    <w:rsid w:val="004D2836"/>
    <w:rsid w:val="004D4E48"/>
    <w:rsid w:val="004E5DF5"/>
    <w:rsid w:val="004E71C0"/>
    <w:rsid w:val="004F153F"/>
    <w:rsid w:val="004F4308"/>
    <w:rsid w:val="004F680D"/>
    <w:rsid w:val="0051154E"/>
    <w:rsid w:val="005135DD"/>
    <w:rsid w:val="00516FE0"/>
    <w:rsid w:val="00530EE9"/>
    <w:rsid w:val="00543B7F"/>
    <w:rsid w:val="00550A4C"/>
    <w:rsid w:val="0055589A"/>
    <w:rsid w:val="00555C23"/>
    <w:rsid w:val="00560C80"/>
    <w:rsid w:val="00562318"/>
    <w:rsid w:val="00562A5D"/>
    <w:rsid w:val="005632D6"/>
    <w:rsid w:val="005645F7"/>
    <w:rsid w:val="00564B53"/>
    <w:rsid w:val="00567040"/>
    <w:rsid w:val="0056797E"/>
    <w:rsid w:val="005708CC"/>
    <w:rsid w:val="00572287"/>
    <w:rsid w:val="0057438A"/>
    <w:rsid w:val="0057611D"/>
    <w:rsid w:val="00577520"/>
    <w:rsid w:val="00595E97"/>
    <w:rsid w:val="00596876"/>
    <w:rsid w:val="00597BF2"/>
    <w:rsid w:val="005A041F"/>
    <w:rsid w:val="005A1CCE"/>
    <w:rsid w:val="005A42D0"/>
    <w:rsid w:val="005A44FC"/>
    <w:rsid w:val="005A77BC"/>
    <w:rsid w:val="005A7E05"/>
    <w:rsid w:val="005B491C"/>
    <w:rsid w:val="005B67F0"/>
    <w:rsid w:val="005C07A4"/>
    <w:rsid w:val="005C0F8C"/>
    <w:rsid w:val="005C2848"/>
    <w:rsid w:val="005C6375"/>
    <w:rsid w:val="005D1A74"/>
    <w:rsid w:val="005D76CA"/>
    <w:rsid w:val="005E45D1"/>
    <w:rsid w:val="005F16B4"/>
    <w:rsid w:val="005F2050"/>
    <w:rsid w:val="005F30E0"/>
    <w:rsid w:val="005F4E8D"/>
    <w:rsid w:val="00601473"/>
    <w:rsid w:val="006046B2"/>
    <w:rsid w:val="00607A3A"/>
    <w:rsid w:val="00610CF9"/>
    <w:rsid w:val="0062024E"/>
    <w:rsid w:val="00621AD9"/>
    <w:rsid w:val="00624B94"/>
    <w:rsid w:val="006271AB"/>
    <w:rsid w:val="0063529F"/>
    <w:rsid w:val="0063764B"/>
    <w:rsid w:val="00637AE0"/>
    <w:rsid w:val="00642C66"/>
    <w:rsid w:val="00647E48"/>
    <w:rsid w:val="006503EF"/>
    <w:rsid w:val="00653B58"/>
    <w:rsid w:val="00654297"/>
    <w:rsid w:val="00654F03"/>
    <w:rsid w:val="00656EBE"/>
    <w:rsid w:val="0065787E"/>
    <w:rsid w:val="00660AFF"/>
    <w:rsid w:val="0066487F"/>
    <w:rsid w:val="0066679D"/>
    <w:rsid w:val="006671C9"/>
    <w:rsid w:val="00670A4D"/>
    <w:rsid w:val="00670FF1"/>
    <w:rsid w:val="0067190D"/>
    <w:rsid w:val="006744E8"/>
    <w:rsid w:val="00682520"/>
    <w:rsid w:val="00683206"/>
    <w:rsid w:val="0068792E"/>
    <w:rsid w:val="00694B57"/>
    <w:rsid w:val="00697921"/>
    <w:rsid w:val="006A397F"/>
    <w:rsid w:val="006A3BF9"/>
    <w:rsid w:val="006A628E"/>
    <w:rsid w:val="006A6773"/>
    <w:rsid w:val="006B3019"/>
    <w:rsid w:val="006B3D94"/>
    <w:rsid w:val="006B5677"/>
    <w:rsid w:val="006B5C5F"/>
    <w:rsid w:val="006B6F31"/>
    <w:rsid w:val="006C744B"/>
    <w:rsid w:val="006D57D8"/>
    <w:rsid w:val="006E5F38"/>
    <w:rsid w:val="006F1347"/>
    <w:rsid w:val="006F52AC"/>
    <w:rsid w:val="00700AAA"/>
    <w:rsid w:val="00702E44"/>
    <w:rsid w:val="00711F6D"/>
    <w:rsid w:val="0071392A"/>
    <w:rsid w:val="00714516"/>
    <w:rsid w:val="00715890"/>
    <w:rsid w:val="00717618"/>
    <w:rsid w:val="007209A1"/>
    <w:rsid w:val="00721162"/>
    <w:rsid w:val="00721CC2"/>
    <w:rsid w:val="00723630"/>
    <w:rsid w:val="007245DF"/>
    <w:rsid w:val="0073192D"/>
    <w:rsid w:val="00731D17"/>
    <w:rsid w:val="00732393"/>
    <w:rsid w:val="00732CDB"/>
    <w:rsid w:val="007353D0"/>
    <w:rsid w:val="0074450F"/>
    <w:rsid w:val="00747DDF"/>
    <w:rsid w:val="00750E65"/>
    <w:rsid w:val="00761C54"/>
    <w:rsid w:val="007625FE"/>
    <w:rsid w:val="0076325F"/>
    <w:rsid w:val="00763A9E"/>
    <w:rsid w:val="0076540F"/>
    <w:rsid w:val="007723FC"/>
    <w:rsid w:val="007746E2"/>
    <w:rsid w:val="0077695D"/>
    <w:rsid w:val="00781066"/>
    <w:rsid w:val="007841AD"/>
    <w:rsid w:val="00793F8C"/>
    <w:rsid w:val="00796E2E"/>
    <w:rsid w:val="007A3D03"/>
    <w:rsid w:val="007A3E1D"/>
    <w:rsid w:val="007B3539"/>
    <w:rsid w:val="007B3F1B"/>
    <w:rsid w:val="007B43A5"/>
    <w:rsid w:val="007B5625"/>
    <w:rsid w:val="007C0100"/>
    <w:rsid w:val="007C0EE4"/>
    <w:rsid w:val="007C3AF3"/>
    <w:rsid w:val="007D2866"/>
    <w:rsid w:val="007D2FF3"/>
    <w:rsid w:val="007E1E9C"/>
    <w:rsid w:val="007E39CC"/>
    <w:rsid w:val="007F23E2"/>
    <w:rsid w:val="007F2795"/>
    <w:rsid w:val="007F2AD2"/>
    <w:rsid w:val="007F7CE4"/>
    <w:rsid w:val="0080107D"/>
    <w:rsid w:val="008012AA"/>
    <w:rsid w:val="00804E08"/>
    <w:rsid w:val="00815F2D"/>
    <w:rsid w:val="008174D1"/>
    <w:rsid w:val="00817BA6"/>
    <w:rsid w:val="00823231"/>
    <w:rsid w:val="008237EF"/>
    <w:rsid w:val="00823AEF"/>
    <w:rsid w:val="00825361"/>
    <w:rsid w:val="008256D2"/>
    <w:rsid w:val="00826D84"/>
    <w:rsid w:val="008372AF"/>
    <w:rsid w:val="00840D04"/>
    <w:rsid w:val="008474B3"/>
    <w:rsid w:val="00851D39"/>
    <w:rsid w:val="008522A9"/>
    <w:rsid w:val="00853E84"/>
    <w:rsid w:val="0085444B"/>
    <w:rsid w:val="00857FD6"/>
    <w:rsid w:val="00860F23"/>
    <w:rsid w:val="00863A17"/>
    <w:rsid w:val="00867523"/>
    <w:rsid w:val="00872EF1"/>
    <w:rsid w:val="00874D72"/>
    <w:rsid w:val="008767BC"/>
    <w:rsid w:val="008865D2"/>
    <w:rsid w:val="008904B8"/>
    <w:rsid w:val="00891F8B"/>
    <w:rsid w:val="008A3AD2"/>
    <w:rsid w:val="008A6BBF"/>
    <w:rsid w:val="008A7422"/>
    <w:rsid w:val="008B17C7"/>
    <w:rsid w:val="008B2E08"/>
    <w:rsid w:val="008C157D"/>
    <w:rsid w:val="008D0614"/>
    <w:rsid w:val="008E1069"/>
    <w:rsid w:val="008E582C"/>
    <w:rsid w:val="00902FBD"/>
    <w:rsid w:val="0090418A"/>
    <w:rsid w:val="009044CB"/>
    <w:rsid w:val="00906D64"/>
    <w:rsid w:val="0091755A"/>
    <w:rsid w:val="009241BD"/>
    <w:rsid w:val="009271BB"/>
    <w:rsid w:val="00930242"/>
    <w:rsid w:val="0093090F"/>
    <w:rsid w:val="009379B9"/>
    <w:rsid w:val="00943A82"/>
    <w:rsid w:val="0094561A"/>
    <w:rsid w:val="00945E19"/>
    <w:rsid w:val="00963BCE"/>
    <w:rsid w:val="0096751E"/>
    <w:rsid w:val="00972E0C"/>
    <w:rsid w:val="009744EB"/>
    <w:rsid w:val="00974680"/>
    <w:rsid w:val="00975533"/>
    <w:rsid w:val="009766D1"/>
    <w:rsid w:val="00976EA8"/>
    <w:rsid w:val="00977371"/>
    <w:rsid w:val="00982CFF"/>
    <w:rsid w:val="00984949"/>
    <w:rsid w:val="00990B3E"/>
    <w:rsid w:val="0099115D"/>
    <w:rsid w:val="009916D5"/>
    <w:rsid w:val="00997574"/>
    <w:rsid w:val="009A1C8E"/>
    <w:rsid w:val="009B052B"/>
    <w:rsid w:val="009C3F8A"/>
    <w:rsid w:val="009D2297"/>
    <w:rsid w:val="009D2B26"/>
    <w:rsid w:val="009D473A"/>
    <w:rsid w:val="009D74FD"/>
    <w:rsid w:val="009E0AFC"/>
    <w:rsid w:val="009E0D68"/>
    <w:rsid w:val="009E1523"/>
    <w:rsid w:val="009E206D"/>
    <w:rsid w:val="009E324E"/>
    <w:rsid w:val="009E4A5D"/>
    <w:rsid w:val="009E5E72"/>
    <w:rsid w:val="009E62AF"/>
    <w:rsid w:val="009F03CB"/>
    <w:rsid w:val="009F0698"/>
    <w:rsid w:val="009F4C6F"/>
    <w:rsid w:val="009F5CE5"/>
    <w:rsid w:val="009F69E5"/>
    <w:rsid w:val="009F6F2D"/>
    <w:rsid w:val="009F7A4B"/>
    <w:rsid w:val="00A02DA1"/>
    <w:rsid w:val="00A03033"/>
    <w:rsid w:val="00A054C3"/>
    <w:rsid w:val="00A12048"/>
    <w:rsid w:val="00A15789"/>
    <w:rsid w:val="00A16BE8"/>
    <w:rsid w:val="00A21CB5"/>
    <w:rsid w:val="00A23DC9"/>
    <w:rsid w:val="00A31AE0"/>
    <w:rsid w:val="00A43157"/>
    <w:rsid w:val="00A458D3"/>
    <w:rsid w:val="00A45E2B"/>
    <w:rsid w:val="00A45FE0"/>
    <w:rsid w:val="00A4641E"/>
    <w:rsid w:val="00A521E9"/>
    <w:rsid w:val="00A54384"/>
    <w:rsid w:val="00A571B2"/>
    <w:rsid w:val="00A5720C"/>
    <w:rsid w:val="00A5731E"/>
    <w:rsid w:val="00A63272"/>
    <w:rsid w:val="00A64F64"/>
    <w:rsid w:val="00A6586D"/>
    <w:rsid w:val="00A65D00"/>
    <w:rsid w:val="00A74A5F"/>
    <w:rsid w:val="00A758E2"/>
    <w:rsid w:val="00A76C61"/>
    <w:rsid w:val="00A7764C"/>
    <w:rsid w:val="00A8286A"/>
    <w:rsid w:val="00A90DAA"/>
    <w:rsid w:val="00A913CF"/>
    <w:rsid w:val="00A92D41"/>
    <w:rsid w:val="00A937B8"/>
    <w:rsid w:val="00AA284A"/>
    <w:rsid w:val="00AA3A3B"/>
    <w:rsid w:val="00AA4A6E"/>
    <w:rsid w:val="00AB0BD6"/>
    <w:rsid w:val="00AB4D3A"/>
    <w:rsid w:val="00AB665D"/>
    <w:rsid w:val="00AC0D70"/>
    <w:rsid w:val="00AC3249"/>
    <w:rsid w:val="00AC3BAD"/>
    <w:rsid w:val="00AC4BB6"/>
    <w:rsid w:val="00AC77F7"/>
    <w:rsid w:val="00AE068D"/>
    <w:rsid w:val="00AE4A62"/>
    <w:rsid w:val="00AE4C1F"/>
    <w:rsid w:val="00AF6FB2"/>
    <w:rsid w:val="00B00382"/>
    <w:rsid w:val="00B02A7C"/>
    <w:rsid w:val="00B1678A"/>
    <w:rsid w:val="00B17B93"/>
    <w:rsid w:val="00B20E1F"/>
    <w:rsid w:val="00B268D1"/>
    <w:rsid w:val="00B30DA8"/>
    <w:rsid w:val="00B357AC"/>
    <w:rsid w:val="00B37BF8"/>
    <w:rsid w:val="00B37DC1"/>
    <w:rsid w:val="00B42282"/>
    <w:rsid w:val="00B459DB"/>
    <w:rsid w:val="00B52354"/>
    <w:rsid w:val="00B533D2"/>
    <w:rsid w:val="00B57B19"/>
    <w:rsid w:val="00B65977"/>
    <w:rsid w:val="00B66407"/>
    <w:rsid w:val="00B673FB"/>
    <w:rsid w:val="00B74727"/>
    <w:rsid w:val="00B80293"/>
    <w:rsid w:val="00B8178B"/>
    <w:rsid w:val="00B83700"/>
    <w:rsid w:val="00B860C5"/>
    <w:rsid w:val="00B90E60"/>
    <w:rsid w:val="00B90F27"/>
    <w:rsid w:val="00B93EEE"/>
    <w:rsid w:val="00B968F0"/>
    <w:rsid w:val="00B97DEF"/>
    <w:rsid w:val="00BA3693"/>
    <w:rsid w:val="00BA580D"/>
    <w:rsid w:val="00BA6671"/>
    <w:rsid w:val="00BA6DBC"/>
    <w:rsid w:val="00BB097C"/>
    <w:rsid w:val="00BB6E27"/>
    <w:rsid w:val="00BC5A90"/>
    <w:rsid w:val="00BC5E57"/>
    <w:rsid w:val="00BD0502"/>
    <w:rsid w:val="00BD45F4"/>
    <w:rsid w:val="00BE1F73"/>
    <w:rsid w:val="00BE64E8"/>
    <w:rsid w:val="00BF02CC"/>
    <w:rsid w:val="00BF3E47"/>
    <w:rsid w:val="00BF7149"/>
    <w:rsid w:val="00C03AF8"/>
    <w:rsid w:val="00C06295"/>
    <w:rsid w:val="00C114EA"/>
    <w:rsid w:val="00C15AC0"/>
    <w:rsid w:val="00C15C2B"/>
    <w:rsid w:val="00C26C2E"/>
    <w:rsid w:val="00C26D0C"/>
    <w:rsid w:val="00C341CF"/>
    <w:rsid w:val="00C3466F"/>
    <w:rsid w:val="00C35A81"/>
    <w:rsid w:val="00C43994"/>
    <w:rsid w:val="00C505A0"/>
    <w:rsid w:val="00C52811"/>
    <w:rsid w:val="00C52828"/>
    <w:rsid w:val="00C52C3C"/>
    <w:rsid w:val="00C5355A"/>
    <w:rsid w:val="00C539D8"/>
    <w:rsid w:val="00C56F60"/>
    <w:rsid w:val="00C61E56"/>
    <w:rsid w:val="00C629A1"/>
    <w:rsid w:val="00C63687"/>
    <w:rsid w:val="00C6411B"/>
    <w:rsid w:val="00C64199"/>
    <w:rsid w:val="00C65CC6"/>
    <w:rsid w:val="00C66097"/>
    <w:rsid w:val="00C67132"/>
    <w:rsid w:val="00C67198"/>
    <w:rsid w:val="00C73F3A"/>
    <w:rsid w:val="00C74887"/>
    <w:rsid w:val="00C766D0"/>
    <w:rsid w:val="00C82267"/>
    <w:rsid w:val="00C840CA"/>
    <w:rsid w:val="00C928EA"/>
    <w:rsid w:val="00C93843"/>
    <w:rsid w:val="00C94F65"/>
    <w:rsid w:val="00CA0358"/>
    <w:rsid w:val="00CA25D7"/>
    <w:rsid w:val="00CB0647"/>
    <w:rsid w:val="00CB6A80"/>
    <w:rsid w:val="00CB73B4"/>
    <w:rsid w:val="00CB78E8"/>
    <w:rsid w:val="00CC0909"/>
    <w:rsid w:val="00CC0A83"/>
    <w:rsid w:val="00CC1429"/>
    <w:rsid w:val="00CC34C5"/>
    <w:rsid w:val="00CC5C99"/>
    <w:rsid w:val="00CD41A9"/>
    <w:rsid w:val="00CD54F7"/>
    <w:rsid w:val="00CE68CE"/>
    <w:rsid w:val="00CF1F80"/>
    <w:rsid w:val="00D0095B"/>
    <w:rsid w:val="00D01B59"/>
    <w:rsid w:val="00D02F71"/>
    <w:rsid w:val="00D0597C"/>
    <w:rsid w:val="00D15639"/>
    <w:rsid w:val="00D23E29"/>
    <w:rsid w:val="00D24E19"/>
    <w:rsid w:val="00D2512D"/>
    <w:rsid w:val="00D30418"/>
    <w:rsid w:val="00D31BED"/>
    <w:rsid w:val="00D37A58"/>
    <w:rsid w:val="00D37B9E"/>
    <w:rsid w:val="00D4107C"/>
    <w:rsid w:val="00D46304"/>
    <w:rsid w:val="00D46F37"/>
    <w:rsid w:val="00D478BF"/>
    <w:rsid w:val="00D51BD2"/>
    <w:rsid w:val="00D5422A"/>
    <w:rsid w:val="00D5747C"/>
    <w:rsid w:val="00D63077"/>
    <w:rsid w:val="00D66089"/>
    <w:rsid w:val="00D66735"/>
    <w:rsid w:val="00D67263"/>
    <w:rsid w:val="00D70A94"/>
    <w:rsid w:val="00D724A7"/>
    <w:rsid w:val="00D746AA"/>
    <w:rsid w:val="00D81672"/>
    <w:rsid w:val="00D849E0"/>
    <w:rsid w:val="00D861FB"/>
    <w:rsid w:val="00D91A7C"/>
    <w:rsid w:val="00D93647"/>
    <w:rsid w:val="00D93B0D"/>
    <w:rsid w:val="00D93E18"/>
    <w:rsid w:val="00D97A60"/>
    <w:rsid w:val="00DA458A"/>
    <w:rsid w:val="00DA5ADC"/>
    <w:rsid w:val="00DB2373"/>
    <w:rsid w:val="00DB2E84"/>
    <w:rsid w:val="00DB40B1"/>
    <w:rsid w:val="00DB437E"/>
    <w:rsid w:val="00DB4775"/>
    <w:rsid w:val="00DB67ED"/>
    <w:rsid w:val="00DC04A4"/>
    <w:rsid w:val="00DC25EA"/>
    <w:rsid w:val="00DC4765"/>
    <w:rsid w:val="00DC5CBE"/>
    <w:rsid w:val="00DC7FB3"/>
    <w:rsid w:val="00DD0C13"/>
    <w:rsid w:val="00DD3406"/>
    <w:rsid w:val="00DE5B29"/>
    <w:rsid w:val="00DF45B9"/>
    <w:rsid w:val="00E0023D"/>
    <w:rsid w:val="00E01071"/>
    <w:rsid w:val="00E01DCE"/>
    <w:rsid w:val="00E05443"/>
    <w:rsid w:val="00E05AFB"/>
    <w:rsid w:val="00E103FD"/>
    <w:rsid w:val="00E12C8C"/>
    <w:rsid w:val="00E176F5"/>
    <w:rsid w:val="00E220C4"/>
    <w:rsid w:val="00E22B52"/>
    <w:rsid w:val="00E24D4D"/>
    <w:rsid w:val="00E25542"/>
    <w:rsid w:val="00E26D00"/>
    <w:rsid w:val="00E31148"/>
    <w:rsid w:val="00E32789"/>
    <w:rsid w:val="00E36073"/>
    <w:rsid w:val="00E36299"/>
    <w:rsid w:val="00E36CF6"/>
    <w:rsid w:val="00E44341"/>
    <w:rsid w:val="00E53413"/>
    <w:rsid w:val="00E5407F"/>
    <w:rsid w:val="00E54A43"/>
    <w:rsid w:val="00E56335"/>
    <w:rsid w:val="00E57953"/>
    <w:rsid w:val="00E57C56"/>
    <w:rsid w:val="00E62FD6"/>
    <w:rsid w:val="00E65B67"/>
    <w:rsid w:val="00E65FAE"/>
    <w:rsid w:val="00E65FDE"/>
    <w:rsid w:val="00E709C2"/>
    <w:rsid w:val="00E71E67"/>
    <w:rsid w:val="00E724A6"/>
    <w:rsid w:val="00E76009"/>
    <w:rsid w:val="00E76846"/>
    <w:rsid w:val="00E80DFA"/>
    <w:rsid w:val="00E821BC"/>
    <w:rsid w:val="00E861B5"/>
    <w:rsid w:val="00E943B5"/>
    <w:rsid w:val="00EB1B60"/>
    <w:rsid w:val="00EB1E82"/>
    <w:rsid w:val="00EB3B35"/>
    <w:rsid w:val="00EC05CD"/>
    <w:rsid w:val="00EC074A"/>
    <w:rsid w:val="00EC6C43"/>
    <w:rsid w:val="00EE2480"/>
    <w:rsid w:val="00EE339B"/>
    <w:rsid w:val="00EE6387"/>
    <w:rsid w:val="00EF0A5F"/>
    <w:rsid w:val="00EF15A0"/>
    <w:rsid w:val="00EF25BB"/>
    <w:rsid w:val="00EF37FE"/>
    <w:rsid w:val="00EF38D0"/>
    <w:rsid w:val="00EF3AD6"/>
    <w:rsid w:val="00F00CB6"/>
    <w:rsid w:val="00F06BF0"/>
    <w:rsid w:val="00F226F3"/>
    <w:rsid w:val="00F22A6E"/>
    <w:rsid w:val="00F335FD"/>
    <w:rsid w:val="00F340C5"/>
    <w:rsid w:val="00F46929"/>
    <w:rsid w:val="00F471BC"/>
    <w:rsid w:val="00F50599"/>
    <w:rsid w:val="00F50A35"/>
    <w:rsid w:val="00F5173C"/>
    <w:rsid w:val="00F51CA1"/>
    <w:rsid w:val="00F5598A"/>
    <w:rsid w:val="00F6081E"/>
    <w:rsid w:val="00F6183C"/>
    <w:rsid w:val="00F64E19"/>
    <w:rsid w:val="00F65CAE"/>
    <w:rsid w:val="00F67469"/>
    <w:rsid w:val="00F71C25"/>
    <w:rsid w:val="00F80F39"/>
    <w:rsid w:val="00F80F54"/>
    <w:rsid w:val="00F84DF8"/>
    <w:rsid w:val="00F84E23"/>
    <w:rsid w:val="00F84FC8"/>
    <w:rsid w:val="00F863CE"/>
    <w:rsid w:val="00F92F3E"/>
    <w:rsid w:val="00F94586"/>
    <w:rsid w:val="00F94945"/>
    <w:rsid w:val="00F95202"/>
    <w:rsid w:val="00F97C36"/>
    <w:rsid w:val="00FA366A"/>
    <w:rsid w:val="00FA3C4E"/>
    <w:rsid w:val="00FA7297"/>
    <w:rsid w:val="00FB01E1"/>
    <w:rsid w:val="00FB61D2"/>
    <w:rsid w:val="00FC1C6C"/>
    <w:rsid w:val="00FC270B"/>
    <w:rsid w:val="00FC4690"/>
    <w:rsid w:val="00FC703F"/>
    <w:rsid w:val="00FC71BF"/>
    <w:rsid w:val="00FD5EE2"/>
    <w:rsid w:val="00FE31EE"/>
    <w:rsid w:val="00FE4782"/>
    <w:rsid w:val="00FE6C9F"/>
    <w:rsid w:val="00FE7889"/>
    <w:rsid w:val="00FF0FB8"/>
    <w:rsid w:val="00FF16B2"/>
    <w:rsid w:val="00FF2011"/>
    <w:rsid w:val="00FF783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AED78"/>
  <w15:chartTrackingRefBased/>
  <w15:docId w15:val="{08FDDCF7-EA74-4FFE-946E-77E3F3F0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77"/>
    <w:pPr>
      <w:spacing w:after="160" w:line="259" w:lineRule="auto"/>
    </w:pPr>
    <w:rPr>
      <w:kern w:val="2"/>
      <w:sz w:val="22"/>
      <w:szCs w:val="22"/>
      <w:lang w:val="en-GB"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DA458A"/>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702E44"/>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84514022">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943153777">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336153313">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45183842">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conomics\Downloads\MEB%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Data.xlsx]World Outlook'!$B$18</c:f>
              <c:strCache>
                <c:ptCount val="1"/>
                <c:pt idx="0">
                  <c:v>WEO Jan 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Data.xlsx]World Outlook'!$A$19:$A$21</c:f>
              <c:numCache>
                <c:formatCode>General</c:formatCode>
                <c:ptCount val="3"/>
                <c:pt idx="0">
                  <c:v>2023</c:v>
                </c:pt>
                <c:pt idx="1">
                  <c:v>2024</c:v>
                </c:pt>
                <c:pt idx="2">
                  <c:v>2025</c:v>
                </c:pt>
              </c:numCache>
            </c:numRef>
          </c:cat>
          <c:val>
            <c:numRef>
              <c:f>'[MEB Data.xlsx]World Outlook'!$B$19:$B$21</c:f>
              <c:numCache>
                <c:formatCode>General</c:formatCode>
                <c:ptCount val="3"/>
                <c:pt idx="0">
                  <c:v>6.9</c:v>
                </c:pt>
                <c:pt idx="1">
                  <c:v>5.8</c:v>
                </c:pt>
                <c:pt idx="2">
                  <c:v>4.5999999999999996</c:v>
                </c:pt>
              </c:numCache>
            </c:numRef>
          </c:val>
          <c:extLst>
            <c:ext xmlns:c16="http://schemas.microsoft.com/office/drawing/2014/chart" uri="{C3380CC4-5D6E-409C-BE32-E72D297353CC}">
              <c16:uniqueId val="{00000000-55C1-46AE-B4B1-78EC085C0B61}"/>
            </c:ext>
          </c:extLst>
        </c:ser>
        <c:ser>
          <c:idx val="1"/>
          <c:order val="1"/>
          <c:tx>
            <c:strRef>
              <c:f>'[MEB Data.xlsx]World Outlook'!$C$18</c:f>
              <c:strCache>
                <c:ptCount val="1"/>
                <c:pt idx="0">
                  <c:v>WEO Apr 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Data.xlsx]World Outlook'!$A$19:$A$21</c:f>
              <c:numCache>
                <c:formatCode>General</c:formatCode>
                <c:ptCount val="3"/>
                <c:pt idx="0">
                  <c:v>2023</c:v>
                </c:pt>
                <c:pt idx="1">
                  <c:v>2024</c:v>
                </c:pt>
                <c:pt idx="2">
                  <c:v>2025</c:v>
                </c:pt>
              </c:numCache>
            </c:numRef>
          </c:cat>
          <c:val>
            <c:numRef>
              <c:f>'[MEB Data.xlsx]World Outlook'!$C$19:$C$21</c:f>
              <c:numCache>
                <c:formatCode>General</c:formatCode>
                <c:ptCount val="3"/>
                <c:pt idx="0">
                  <c:v>6.8</c:v>
                </c:pt>
                <c:pt idx="1">
                  <c:v>5.9</c:v>
                </c:pt>
                <c:pt idx="2">
                  <c:v>4.5</c:v>
                </c:pt>
              </c:numCache>
            </c:numRef>
          </c:val>
          <c:extLst>
            <c:ext xmlns:c16="http://schemas.microsoft.com/office/drawing/2014/chart" uri="{C3380CC4-5D6E-409C-BE32-E72D297353CC}">
              <c16:uniqueId val="{00000001-55C1-46AE-B4B1-78EC085C0B61}"/>
            </c:ext>
          </c:extLst>
        </c:ser>
        <c:dLbls>
          <c:dLblPos val="outEnd"/>
          <c:showLegendKey val="0"/>
          <c:showVal val="1"/>
          <c:showCatName val="0"/>
          <c:showSerName val="0"/>
          <c:showPercent val="0"/>
          <c:showBubbleSize val="0"/>
        </c:dLbls>
        <c:gapWidth val="219"/>
        <c:overlap val="-27"/>
        <c:axId val="1808249791"/>
        <c:axId val="1808245471"/>
      </c:barChart>
      <c:catAx>
        <c:axId val="1808249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245471"/>
        <c:crosses val="autoZero"/>
        <c:auto val="1"/>
        <c:lblAlgn val="ctr"/>
        <c:lblOffset val="100"/>
        <c:noMultiLvlLbl val="0"/>
      </c:catAx>
      <c:valAx>
        <c:axId val="180824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249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'Merchandise Trade'!$B$3</c:f>
              <c:strCache>
                <c:ptCount val="1"/>
                <c:pt idx="0">
                  <c:v>Exports </c:v>
                </c:pt>
              </c:strCache>
            </c:strRef>
          </c:tx>
          <c:spPr>
            <a:noFill/>
            <a:ln w="25373" cap="flat" cmpd="sng" algn="ctr">
              <a:solidFill>
                <a:schemeClr val="accent1"/>
              </a:solidFill>
              <a:miter lim="800000"/>
            </a:ln>
            <a:effectLst/>
          </c:spPr>
          <c:invertIfNegative val="0"/>
          <c:cat>
            <c:numRef>
              <c:f>'Merchandise Trade'!$A$28:$A$42</c:f>
              <c:numCache>
                <c:formatCode>mmm\-yy</c:formatCode>
                <c:ptCount val="15"/>
                <c:pt idx="0">
                  <c:v>44927</c:v>
                </c:pt>
                <c:pt idx="1">
                  <c:v>44958</c:v>
                </c:pt>
                <c:pt idx="2">
                  <c:v>44986</c:v>
                </c:pt>
                <c:pt idx="3">
                  <c:v>45017</c:v>
                </c:pt>
                <c:pt idx="4">
                  <c:v>45047</c:v>
                </c:pt>
                <c:pt idx="5">
                  <c:v>45078</c:v>
                </c:pt>
                <c:pt idx="6">
                  <c:v>45108</c:v>
                </c:pt>
                <c:pt idx="7">
                  <c:v>45139</c:v>
                </c:pt>
                <c:pt idx="8">
                  <c:v>45170</c:v>
                </c:pt>
                <c:pt idx="9">
                  <c:v>45200</c:v>
                </c:pt>
                <c:pt idx="10">
                  <c:v>45231</c:v>
                </c:pt>
                <c:pt idx="11">
                  <c:v>45261</c:v>
                </c:pt>
                <c:pt idx="12">
                  <c:v>45292</c:v>
                </c:pt>
                <c:pt idx="13">
                  <c:v>45323</c:v>
                </c:pt>
                <c:pt idx="14">
                  <c:v>45352</c:v>
                </c:pt>
              </c:numCache>
            </c:numRef>
          </c:cat>
          <c:val>
            <c:numRef>
              <c:f>'Merchandise Trade'!$B$28:$B$42</c:f>
              <c:numCache>
                <c:formatCode>0.00</c:formatCode>
                <c:ptCount val="15"/>
                <c:pt idx="0">
                  <c:v>427.6</c:v>
                </c:pt>
                <c:pt idx="1">
                  <c:v>435.7</c:v>
                </c:pt>
                <c:pt idx="2">
                  <c:v>515.29999999999995</c:v>
                </c:pt>
                <c:pt idx="3">
                  <c:v>555.5</c:v>
                </c:pt>
                <c:pt idx="4">
                  <c:v>654.20000000000005</c:v>
                </c:pt>
                <c:pt idx="5">
                  <c:v>641.29999999999995</c:v>
                </c:pt>
                <c:pt idx="6">
                  <c:v>603.20000000000005</c:v>
                </c:pt>
                <c:pt idx="7">
                  <c:v>649.79999999999995</c:v>
                </c:pt>
                <c:pt idx="8">
                  <c:v>678.1</c:v>
                </c:pt>
                <c:pt idx="9">
                  <c:v>831.9</c:v>
                </c:pt>
                <c:pt idx="10">
                  <c:v>681.4</c:v>
                </c:pt>
                <c:pt idx="11">
                  <c:v>550.9</c:v>
                </c:pt>
                <c:pt idx="12">
                  <c:v>539.9</c:v>
                </c:pt>
                <c:pt idx="13">
                  <c:v>644</c:v>
                </c:pt>
                <c:pt idx="14">
                  <c:v>534.70000000000005</c:v>
                </c:pt>
              </c:numCache>
            </c:numRef>
          </c:val>
          <c:extLst>
            <c:ext xmlns:c16="http://schemas.microsoft.com/office/drawing/2014/chart" uri="{C3380CC4-5D6E-409C-BE32-E72D297353CC}">
              <c16:uniqueId val="{00000000-CFDD-415D-A8DF-64C93F03F238}"/>
            </c:ext>
          </c:extLst>
        </c:ser>
        <c:ser>
          <c:idx val="1"/>
          <c:order val="1"/>
          <c:tx>
            <c:strRef>
              <c:f>'Merchandise Trade'!$C$3</c:f>
              <c:strCache>
                <c:ptCount val="1"/>
                <c:pt idx="0">
                  <c:v>Imports </c:v>
                </c:pt>
              </c:strCache>
            </c:strRef>
          </c:tx>
          <c:spPr>
            <a:noFill/>
            <a:ln w="25373" cap="flat" cmpd="sng" algn="ctr">
              <a:solidFill>
                <a:schemeClr val="accent2"/>
              </a:solidFill>
              <a:miter lim="800000"/>
            </a:ln>
            <a:effectLst/>
          </c:spPr>
          <c:invertIfNegative val="0"/>
          <c:cat>
            <c:numRef>
              <c:f>'Merchandise Trade'!$A$28:$A$42</c:f>
              <c:numCache>
                <c:formatCode>mmm\-yy</c:formatCode>
                <c:ptCount val="15"/>
                <c:pt idx="0">
                  <c:v>44927</c:v>
                </c:pt>
                <c:pt idx="1">
                  <c:v>44958</c:v>
                </c:pt>
                <c:pt idx="2">
                  <c:v>44986</c:v>
                </c:pt>
                <c:pt idx="3">
                  <c:v>45017</c:v>
                </c:pt>
                <c:pt idx="4">
                  <c:v>45047</c:v>
                </c:pt>
                <c:pt idx="5">
                  <c:v>45078</c:v>
                </c:pt>
                <c:pt idx="6">
                  <c:v>45108</c:v>
                </c:pt>
                <c:pt idx="7">
                  <c:v>45139</c:v>
                </c:pt>
                <c:pt idx="8">
                  <c:v>45170</c:v>
                </c:pt>
                <c:pt idx="9">
                  <c:v>45200</c:v>
                </c:pt>
                <c:pt idx="10">
                  <c:v>45231</c:v>
                </c:pt>
                <c:pt idx="11">
                  <c:v>45261</c:v>
                </c:pt>
                <c:pt idx="12">
                  <c:v>45292</c:v>
                </c:pt>
                <c:pt idx="13">
                  <c:v>45323</c:v>
                </c:pt>
                <c:pt idx="14">
                  <c:v>45352</c:v>
                </c:pt>
              </c:numCache>
            </c:numRef>
          </c:cat>
          <c:val>
            <c:numRef>
              <c:f>'Merchandise Trade'!$C$28:$C$42</c:f>
              <c:numCache>
                <c:formatCode>0.00</c:formatCode>
                <c:ptCount val="15"/>
                <c:pt idx="0">
                  <c:v>634.9</c:v>
                </c:pt>
                <c:pt idx="1">
                  <c:v>621.4</c:v>
                </c:pt>
                <c:pt idx="2">
                  <c:v>744.5</c:v>
                </c:pt>
                <c:pt idx="3">
                  <c:v>708.5</c:v>
                </c:pt>
                <c:pt idx="4">
                  <c:v>850.3</c:v>
                </c:pt>
                <c:pt idx="5">
                  <c:v>726.4</c:v>
                </c:pt>
                <c:pt idx="6">
                  <c:v>782.9</c:v>
                </c:pt>
                <c:pt idx="7">
                  <c:v>820.2</c:v>
                </c:pt>
                <c:pt idx="8">
                  <c:v>772.7</c:v>
                </c:pt>
                <c:pt idx="9">
                  <c:v>901.5</c:v>
                </c:pt>
                <c:pt idx="10">
                  <c:v>827.3</c:v>
                </c:pt>
                <c:pt idx="11">
                  <c:v>819.4</c:v>
                </c:pt>
                <c:pt idx="12">
                  <c:v>686.9</c:v>
                </c:pt>
                <c:pt idx="13">
                  <c:v>725.4</c:v>
                </c:pt>
                <c:pt idx="14">
                  <c:v>719</c:v>
                </c:pt>
              </c:numCache>
            </c:numRef>
          </c:val>
          <c:extLst>
            <c:ext xmlns:c16="http://schemas.microsoft.com/office/drawing/2014/chart" uri="{C3380CC4-5D6E-409C-BE32-E72D297353CC}">
              <c16:uniqueId val="{00000001-CFDD-415D-A8DF-64C93F03F238}"/>
            </c:ext>
          </c:extLst>
        </c:ser>
        <c:ser>
          <c:idx val="2"/>
          <c:order val="2"/>
          <c:tx>
            <c:strRef>
              <c:f>'Merchandise Trade'!$D$3</c:f>
              <c:strCache>
                <c:ptCount val="1"/>
                <c:pt idx="0">
                  <c:v>Trade Balance</c:v>
                </c:pt>
              </c:strCache>
            </c:strRef>
          </c:tx>
          <c:spPr>
            <a:noFill/>
            <a:ln w="25373" cap="flat" cmpd="sng" algn="ctr">
              <a:solidFill>
                <a:schemeClr val="accent3"/>
              </a:solidFill>
              <a:miter lim="800000"/>
            </a:ln>
            <a:effectLst/>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DD-415D-A8DF-64C93F03F238}"/>
                </c:ext>
              </c:extLst>
            </c:dLbl>
            <c:dLbl>
              <c:idx val="13"/>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FDD-415D-A8DF-64C93F03F238}"/>
                </c:ext>
              </c:extLst>
            </c:dLbl>
            <c:dLbl>
              <c:idx val="14"/>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FDD-415D-A8DF-64C93F03F238}"/>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'Merchandise Trade'!$A$28:$A$42</c:f>
              <c:numCache>
                <c:formatCode>mmm\-yy</c:formatCode>
                <c:ptCount val="15"/>
                <c:pt idx="0">
                  <c:v>44927</c:v>
                </c:pt>
                <c:pt idx="1">
                  <c:v>44958</c:v>
                </c:pt>
                <c:pt idx="2">
                  <c:v>44986</c:v>
                </c:pt>
                <c:pt idx="3">
                  <c:v>45017</c:v>
                </c:pt>
                <c:pt idx="4">
                  <c:v>45047</c:v>
                </c:pt>
                <c:pt idx="5">
                  <c:v>45078</c:v>
                </c:pt>
                <c:pt idx="6">
                  <c:v>45108</c:v>
                </c:pt>
                <c:pt idx="7">
                  <c:v>45139</c:v>
                </c:pt>
                <c:pt idx="8">
                  <c:v>45170</c:v>
                </c:pt>
                <c:pt idx="9">
                  <c:v>45200</c:v>
                </c:pt>
                <c:pt idx="10">
                  <c:v>45231</c:v>
                </c:pt>
                <c:pt idx="11">
                  <c:v>45261</c:v>
                </c:pt>
                <c:pt idx="12">
                  <c:v>45292</c:v>
                </c:pt>
                <c:pt idx="13">
                  <c:v>45323</c:v>
                </c:pt>
                <c:pt idx="14">
                  <c:v>45352</c:v>
                </c:pt>
              </c:numCache>
            </c:numRef>
          </c:cat>
          <c:val>
            <c:numRef>
              <c:f>'Merchandise Trade'!$D$28:$D$42</c:f>
              <c:numCache>
                <c:formatCode>0.00</c:formatCode>
                <c:ptCount val="15"/>
                <c:pt idx="0">
                  <c:v>-207.29999999999995</c:v>
                </c:pt>
                <c:pt idx="1">
                  <c:v>-185.7</c:v>
                </c:pt>
                <c:pt idx="2">
                  <c:v>-229.20000000000005</c:v>
                </c:pt>
                <c:pt idx="3">
                  <c:v>-153</c:v>
                </c:pt>
                <c:pt idx="4">
                  <c:v>-196.09999999999991</c:v>
                </c:pt>
                <c:pt idx="5">
                  <c:v>-85.100000000000023</c:v>
                </c:pt>
                <c:pt idx="6">
                  <c:v>-179.69999999999993</c:v>
                </c:pt>
                <c:pt idx="7">
                  <c:v>-170.40000000000009</c:v>
                </c:pt>
                <c:pt idx="8">
                  <c:v>-94.600000000000023</c:v>
                </c:pt>
                <c:pt idx="9">
                  <c:v>-69.600000000000023</c:v>
                </c:pt>
                <c:pt idx="10">
                  <c:v>-145.89999999999998</c:v>
                </c:pt>
                <c:pt idx="11">
                  <c:v>-268.5</c:v>
                </c:pt>
                <c:pt idx="12">
                  <c:v>-147</c:v>
                </c:pt>
                <c:pt idx="13">
                  <c:v>-81.399999999999977</c:v>
                </c:pt>
                <c:pt idx="14">
                  <c:v>-184.29999999999995</c:v>
                </c:pt>
              </c:numCache>
            </c:numRef>
          </c:val>
          <c:extLst>
            <c:ext xmlns:c16="http://schemas.microsoft.com/office/drawing/2014/chart" uri="{C3380CC4-5D6E-409C-BE32-E72D297353CC}">
              <c16:uniqueId val="{00000005-CFDD-415D-A8DF-64C93F03F238}"/>
            </c:ext>
          </c:extLst>
        </c:ser>
        <c:dLbls>
          <c:showLegendKey val="0"/>
          <c:showVal val="0"/>
          <c:showCatName val="0"/>
          <c:showSerName val="0"/>
          <c:showPercent val="0"/>
          <c:showBubbleSize val="0"/>
        </c:dLbls>
        <c:gapWidth val="164"/>
        <c:overlap val="-35"/>
        <c:axId val="2125969296"/>
        <c:axId val="1"/>
      </c:barChart>
      <c:dateAx>
        <c:axId val="2125969296"/>
        <c:scaling>
          <c:orientation val="minMax"/>
        </c:scaling>
        <c:delete val="0"/>
        <c:axPos val="b"/>
        <c:numFmt formatCode="mmm\-yy" sourceLinked="0"/>
        <c:majorTickMark val="out"/>
        <c:minorTickMark val="none"/>
        <c:tickLblPos val="low"/>
        <c:spPr>
          <a:noFill/>
          <a:ln>
            <a:noFill/>
          </a:ln>
          <a:effectLst/>
        </c:spPr>
        <c:txPr>
          <a:bodyPr rot="-60000000" spcFirstLastPara="1" vertOverflow="ellipsis" vert="horz" wrap="square" anchor="ctr" anchorCtr="1"/>
          <a:lstStyle/>
          <a:p>
            <a:pPr>
              <a:defRPr sz="899" b="0" i="0" u="none" strike="noStrike" kern="1200" baseline="0">
                <a:solidFill>
                  <a:schemeClr val="tx1">
                    <a:lumMod val="50000"/>
                    <a:lumOff val="50000"/>
                  </a:schemeClr>
                </a:solidFill>
                <a:latin typeface="+mn-lt"/>
                <a:ea typeface="+mn-ea"/>
                <a:cs typeface="+mn-cs"/>
              </a:defRPr>
            </a:pPr>
            <a:endParaRPr lang="en-US"/>
          </a:p>
        </c:txPr>
        <c:crossAx val="1"/>
        <c:crosses val="autoZero"/>
        <c:auto val="1"/>
        <c:lblOffset val="100"/>
        <c:baseTimeUnit val="months"/>
      </c:dateAx>
      <c:valAx>
        <c:axId val="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baseline="0">
                <a:solidFill>
                  <a:schemeClr val="tx1">
                    <a:lumMod val="50000"/>
                    <a:lumOff val="50000"/>
                  </a:schemeClr>
                </a:solidFill>
                <a:latin typeface="+mn-lt"/>
                <a:ea typeface="+mn-ea"/>
                <a:cs typeface="+mn-cs"/>
              </a:defRPr>
            </a:pPr>
            <a:endParaRPr lang="en-US"/>
          </a:p>
        </c:txPr>
        <c:crossAx val="2125969296"/>
        <c:crosses val="autoZero"/>
        <c:crossBetween val="between"/>
      </c:valAx>
      <c:spPr>
        <a:noFill/>
        <a:ln w="25373">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Sheet3!$B$74</c:f>
              <c:strCache>
                <c:ptCount val="1"/>
                <c:pt idx="0">
                  <c:v>Official rate</c:v>
                </c:pt>
              </c:strCache>
            </c:strRef>
          </c:tx>
          <c:spPr>
            <a:ln w="22217" cap="rnd">
              <a:solidFill>
                <a:schemeClr val="accent1"/>
              </a:solidFill>
              <a:round/>
            </a:ln>
            <a:effectLst/>
          </c:spPr>
          <c:marker>
            <c:symbol val="none"/>
          </c:marker>
          <c:cat>
            <c:numRef>
              <c:f>Sheet3!$A$75:$A$94</c:f>
              <c:numCache>
                <c:formatCode>d\-mmm\-yy</c:formatCode>
                <c:ptCount val="20"/>
                <c:pt idx="0">
                  <c:v>45384</c:v>
                </c:pt>
                <c:pt idx="1">
                  <c:v>45385</c:v>
                </c:pt>
                <c:pt idx="2">
                  <c:v>45386</c:v>
                </c:pt>
                <c:pt idx="3">
                  <c:v>45387</c:v>
                </c:pt>
                <c:pt idx="4">
                  <c:v>45390</c:v>
                </c:pt>
                <c:pt idx="5">
                  <c:v>45391</c:v>
                </c:pt>
                <c:pt idx="6">
                  <c:v>45392</c:v>
                </c:pt>
                <c:pt idx="7">
                  <c:v>45393</c:v>
                </c:pt>
                <c:pt idx="8">
                  <c:v>45394</c:v>
                </c:pt>
                <c:pt idx="9">
                  <c:v>45397</c:v>
                </c:pt>
                <c:pt idx="10">
                  <c:v>45398</c:v>
                </c:pt>
                <c:pt idx="11">
                  <c:v>45399</c:v>
                </c:pt>
                <c:pt idx="12">
                  <c:v>45401</c:v>
                </c:pt>
                <c:pt idx="13">
                  <c:v>45404</c:v>
                </c:pt>
                <c:pt idx="14">
                  <c:v>45405</c:v>
                </c:pt>
                <c:pt idx="15">
                  <c:v>45406</c:v>
                </c:pt>
                <c:pt idx="16">
                  <c:v>45407</c:v>
                </c:pt>
                <c:pt idx="17">
                  <c:v>45408</c:v>
                </c:pt>
                <c:pt idx="18">
                  <c:v>45411</c:v>
                </c:pt>
                <c:pt idx="19" formatCode="[$-3009]dd\-mmm\-yy;@">
                  <c:v>45412</c:v>
                </c:pt>
              </c:numCache>
            </c:numRef>
          </c:cat>
          <c:val>
            <c:numRef>
              <c:f>Sheet3!$B$75:$B$94</c:f>
              <c:numCache>
                <c:formatCode>General</c:formatCode>
                <c:ptCount val="20"/>
                <c:pt idx="0">
                  <c:v>8.9835967090725735</c:v>
                </c:pt>
                <c:pt idx="1">
                  <c:v>9.1700557028262661</c:v>
                </c:pt>
                <c:pt idx="2">
                  <c:v>10.570482768766556</c:v>
                </c:pt>
                <c:pt idx="3">
                  <c:v>13.5616</c:v>
                </c:pt>
                <c:pt idx="4">
                  <c:v>13.5616</c:v>
                </c:pt>
                <c:pt idx="5">
                  <c:v>13.534800000000001</c:v>
                </c:pt>
                <c:pt idx="6">
                  <c:v>13.501200000000001</c:v>
                </c:pt>
                <c:pt idx="7">
                  <c:v>13.4542</c:v>
                </c:pt>
                <c:pt idx="8">
                  <c:v>13.4178</c:v>
                </c:pt>
                <c:pt idx="9">
                  <c:v>13.402699999999999</c:v>
                </c:pt>
                <c:pt idx="10">
                  <c:v>13.362</c:v>
                </c:pt>
                <c:pt idx="11">
                  <c:v>13.3437</c:v>
                </c:pt>
                <c:pt idx="12">
                  <c:v>13.312900000000001</c:v>
                </c:pt>
                <c:pt idx="13">
                  <c:v>13.2889</c:v>
                </c:pt>
                <c:pt idx="14">
                  <c:v>13.2536</c:v>
                </c:pt>
                <c:pt idx="15">
                  <c:v>13.2517</c:v>
                </c:pt>
                <c:pt idx="16">
                  <c:v>13.3811</c:v>
                </c:pt>
                <c:pt idx="17">
                  <c:v>13.421799999999999</c:v>
                </c:pt>
                <c:pt idx="18">
                  <c:v>13.4407</c:v>
                </c:pt>
                <c:pt idx="19">
                  <c:v>13.430099999999999</c:v>
                </c:pt>
              </c:numCache>
            </c:numRef>
          </c:val>
          <c:smooth val="0"/>
          <c:extLst>
            <c:ext xmlns:c16="http://schemas.microsoft.com/office/drawing/2014/chart" uri="{C3380CC4-5D6E-409C-BE32-E72D297353CC}">
              <c16:uniqueId val="{00000000-BB6F-4F2A-86B1-52A40A4CDC3E}"/>
            </c:ext>
          </c:extLst>
        </c:ser>
        <c:ser>
          <c:idx val="1"/>
          <c:order val="1"/>
          <c:tx>
            <c:strRef>
              <c:f>Sheet3!$C$74</c:f>
              <c:strCache>
                <c:ptCount val="1"/>
                <c:pt idx="0">
                  <c:v>Parrallel market rate</c:v>
                </c:pt>
              </c:strCache>
            </c:strRef>
          </c:tx>
          <c:spPr>
            <a:ln w="22217" cap="rnd">
              <a:solidFill>
                <a:schemeClr val="accent2"/>
              </a:solidFill>
              <a:round/>
            </a:ln>
            <a:effectLst/>
          </c:spPr>
          <c:marker>
            <c:symbol val="none"/>
          </c:marker>
          <c:cat>
            <c:numRef>
              <c:f>Sheet3!$A$75:$A$94</c:f>
              <c:numCache>
                <c:formatCode>d\-mmm\-yy</c:formatCode>
                <c:ptCount val="20"/>
                <c:pt idx="0">
                  <c:v>45384</c:v>
                </c:pt>
                <c:pt idx="1">
                  <c:v>45385</c:v>
                </c:pt>
                <c:pt idx="2">
                  <c:v>45386</c:v>
                </c:pt>
                <c:pt idx="3">
                  <c:v>45387</c:v>
                </c:pt>
                <c:pt idx="4">
                  <c:v>45390</c:v>
                </c:pt>
                <c:pt idx="5">
                  <c:v>45391</c:v>
                </c:pt>
                <c:pt idx="6">
                  <c:v>45392</c:v>
                </c:pt>
                <c:pt idx="7">
                  <c:v>45393</c:v>
                </c:pt>
                <c:pt idx="8">
                  <c:v>45394</c:v>
                </c:pt>
                <c:pt idx="9">
                  <c:v>45397</c:v>
                </c:pt>
                <c:pt idx="10">
                  <c:v>45398</c:v>
                </c:pt>
                <c:pt idx="11">
                  <c:v>45399</c:v>
                </c:pt>
                <c:pt idx="12">
                  <c:v>45401</c:v>
                </c:pt>
                <c:pt idx="13">
                  <c:v>45404</c:v>
                </c:pt>
                <c:pt idx="14">
                  <c:v>45405</c:v>
                </c:pt>
                <c:pt idx="15">
                  <c:v>45406</c:v>
                </c:pt>
                <c:pt idx="16">
                  <c:v>45407</c:v>
                </c:pt>
                <c:pt idx="17">
                  <c:v>45408</c:v>
                </c:pt>
                <c:pt idx="18">
                  <c:v>45411</c:v>
                </c:pt>
                <c:pt idx="19" formatCode="[$-3009]dd\-mmm\-yy;@">
                  <c:v>45412</c:v>
                </c:pt>
              </c:numCache>
            </c:numRef>
          </c:cat>
          <c:val>
            <c:numRef>
              <c:f>Sheet3!$C$75:$C$94</c:f>
              <c:numCache>
                <c:formatCode>General</c:formatCode>
                <c:ptCount val="20"/>
                <c:pt idx="0">
                  <c:v>14</c:v>
                </c:pt>
                <c:pt idx="1">
                  <c:v>16</c:v>
                </c:pt>
                <c:pt idx="2">
                  <c:v>16</c:v>
                </c:pt>
                <c:pt idx="3">
                  <c:v>20</c:v>
                </c:pt>
                <c:pt idx="4">
                  <c:v>20</c:v>
                </c:pt>
                <c:pt idx="5">
                  <c:v>20</c:v>
                </c:pt>
                <c:pt idx="6">
                  <c:v>20</c:v>
                </c:pt>
                <c:pt idx="7">
                  <c:v>20</c:v>
                </c:pt>
                <c:pt idx="8">
                  <c:v>21</c:v>
                </c:pt>
                <c:pt idx="9">
                  <c:v>21</c:v>
                </c:pt>
                <c:pt idx="10">
                  <c:v>21</c:v>
                </c:pt>
                <c:pt idx="11">
                  <c:v>21</c:v>
                </c:pt>
                <c:pt idx="12">
                  <c:v>21</c:v>
                </c:pt>
                <c:pt idx="13">
                  <c:v>21</c:v>
                </c:pt>
                <c:pt idx="14">
                  <c:v>21</c:v>
                </c:pt>
                <c:pt idx="15">
                  <c:v>21</c:v>
                </c:pt>
                <c:pt idx="16">
                  <c:v>21</c:v>
                </c:pt>
                <c:pt idx="17">
                  <c:v>21</c:v>
                </c:pt>
                <c:pt idx="18">
                  <c:v>21</c:v>
                </c:pt>
                <c:pt idx="19">
                  <c:v>21</c:v>
                </c:pt>
              </c:numCache>
            </c:numRef>
          </c:val>
          <c:smooth val="0"/>
          <c:extLst>
            <c:ext xmlns:c16="http://schemas.microsoft.com/office/drawing/2014/chart" uri="{C3380CC4-5D6E-409C-BE32-E72D297353CC}">
              <c16:uniqueId val="{00000001-BB6F-4F2A-86B1-52A40A4CDC3E}"/>
            </c:ext>
          </c:extLst>
        </c:ser>
        <c:dLbls>
          <c:showLegendKey val="0"/>
          <c:showVal val="0"/>
          <c:showCatName val="0"/>
          <c:showSerName val="0"/>
          <c:showPercent val="0"/>
          <c:showBubbleSize val="0"/>
        </c:dLbls>
        <c:marker val="1"/>
        <c:smooth val="0"/>
        <c:axId val="2133412928"/>
        <c:axId val="1"/>
      </c:lineChart>
      <c:lineChart>
        <c:grouping val="standard"/>
        <c:varyColors val="0"/>
        <c:ser>
          <c:idx val="2"/>
          <c:order val="2"/>
          <c:tx>
            <c:strRef>
              <c:f>Sheet3!$D$74</c:f>
              <c:strCache>
                <c:ptCount val="1"/>
                <c:pt idx="0">
                  <c:v>Exchange rate Premium(%)</c:v>
                </c:pt>
              </c:strCache>
            </c:strRef>
          </c:tx>
          <c:spPr>
            <a:ln w="22217" cap="rnd">
              <a:solidFill>
                <a:schemeClr val="accent3"/>
              </a:solidFill>
              <a:round/>
            </a:ln>
            <a:effectLst/>
          </c:spPr>
          <c:marker>
            <c:symbol val="circle"/>
            <c:size val="5"/>
            <c:spPr>
              <a:solidFill>
                <a:schemeClr val="lt1"/>
              </a:solidFill>
              <a:ln w="15869">
                <a:solidFill>
                  <a:schemeClr val="accent3"/>
                </a:solidFill>
                <a:round/>
              </a:ln>
              <a:effectLst/>
            </c:spPr>
          </c:marker>
          <c:cat>
            <c:numRef>
              <c:f>Sheet3!$A$75:$A$94</c:f>
              <c:numCache>
                <c:formatCode>d\-mmm\-yy</c:formatCode>
                <c:ptCount val="20"/>
                <c:pt idx="0">
                  <c:v>45384</c:v>
                </c:pt>
                <c:pt idx="1">
                  <c:v>45385</c:v>
                </c:pt>
                <c:pt idx="2">
                  <c:v>45386</c:v>
                </c:pt>
                <c:pt idx="3">
                  <c:v>45387</c:v>
                </c:pt>
                <c:pt idx="4">
                  <c:v>45390</c:v>
                </c:pt>
                <c:pt idx="5">
                  <c:v>45391</c:v>
                </c:pt>
                <c:pt idx="6">
                  <c:v>45392</c:v>
                </c:pt>
                <c:pt idx="7">
                  <c:v>45393</c:v>
                </c:pt>
                <c:pt idx="8">
                  <c:v>45394</c:v>
                </c:pt>
                <c:pt idx="9">
                  <c:v>45397</c:v>
                </c:pt>
                <c:pt idx="10">
                  <c:v>45398</c:v>
                </c:pt>
                <c:pt idx="11">
                  <c:v>45399</c:v>
                </c:pt>
                <c:pt idx="12">
                  <c:v>45401</c:v>
                </c:pt>
                <c:pt idx="13">
                  <c:v>45404</c:v>
                </c:pt>
                <c:pt idx="14">
                  <c:v>45405</c:v>
                </c:pt>
                <c:pt idx="15">
                  <c:v>45406</c:v>
                </c:pt>
                <c:pt idx="16">
                  <c:v>45407</c:v>
                </c:pt>
                <c:pt idx="17">
                  <c:v>45408</c:v>
                </c:pt>
                <c:pt idx="18">
                  <c:v>45411</c:v>
                </c:pt>
                <c:pt idx="19" formatCode="[$-3009]dd\-mmm\-yy;@">
                  <c:v>45412</c:v>
                </c:pt>
              </c:numCache>
            </c:numRef>
          </c:cat>
          <c:val>
            <c:numRef>
              <c:f>Sheet3!$D$75:$D$94</c:f>
              <c:numCache>
                <c:formatCode>0.00</c:formatCode>
                <c:ptCount val="20"/>
                <c:pt idx="0">
                  <c:v>55.839586897988639</c:v>
                </c:pt>
                <c:pt idx="1">
                  <c:v>74.480946665009938</c:v>
                </c:pt>
                <c:pt idx="2">
                  <c:v>51.36489363831582</c:v>
                </c:pt>
                <c:pt idx="3">
                  <c:v>47.475224162340723</c:v>
                </c:pt>
                <c:pt idx="4">
                  <c:v>47.475224162340723</c:v>
                </c:pt>
                <c:pt idx="5">
                  <c:v>47.767237048201665</c:v>
                </c:pt>
                <c:pt idx="6">
                  <c:v>48.134980594317533</c:v>
                </c:pt>
                <c:pt idx="7">
                  <c:v>48.652465401138677</c:v>
                </c:pt>
                <c:pt idx="8">
                  <c:v>56.508518535080263</c:v>
                </c:pt>
                <c:pt idx="9">
                  <c:v>56.684847083050435</c:v>
                </c:pt>
                <c:pt idx="10">
                  <c:v>57.162101481814098</c:v>
                </c:pt>
                <c:pt idx="11">
                  <c:v>57.377638885766316</c:v>
                </c:pt>
                <c:pt idx="12">
                  <c:v>57.741739215347508</c:v>
                </c:pt>
                <c:pt idx="13">
                  <c:v>58.026623723558757</c:v>
                </c:pt>
                <c:pt idx="14">
                  <c:v>58.447516146556403</c:v>
                </c:pt>
                <c:pt idx="15">
                  <c:v>58.470234007712222</c:v>
                </c:pt>
                <c:pt idx="16">
                  <c:v>56.937770437407984</c:v>
                </c:pt>
                <c:pt idx="17">
                  <c:v>56.461875456347144</c:v>
                </c:pt>
                <c:pt idx="18">
                  <c:v>56.241862402999843</c:v>
                </c:pt>
                <c:pt idx="19">
                  <c:v>56.365179708267256</c:v>
                </c:pt>
              </c:numCache>
            </c:numRef>
          </c:val>
          <c:smooth val="0"/>
          <c:extLst>
            <c:ext xmlns:c16="http://schemas.microsoft.com/office/drawing/2014/chart" uri="{C3380CC4-5D6E-409C-BE32-E72D297353CC}">
              <c16:uniqueId val="{00000002-BB6F-4F2A-86B1-52A40A4CDC3E}"/>
            </c:ext>
          </c:extLst>
        </c:ser>
        <c:dLbls>
          <c:showLegendKey val="0"/>
          <c:showVal val="0"/>
          <c:showCatName val="0"/>
          <c:showSerName val="0"/>
          <c:showPercent val="0"/>
          <c:showBubbleSize val="0"/>
        </c:dLbls>
        <c:marker val="1"/>
        <c:smooth val="0"/>
        <c:axId val="3"/>
        <c:axId val="4"/>
      </c:lineChart>
      <c:dateAx>
        <c:axId val="2133412928"/>
        <c:scaling>
          <c:orientation val="minMax"/>
        </c:scaling>
        <c:delete val="0"/>
        <c:axPos val="b"/>
        <c:numFmt formatCode="d\-mmm\-yy" sourceLinked="0"/>
        <c:majorTickMark val="out"/>
        <c:minorTickMark val="none"/>
        <c:tickLblPos val="nextTo"/>
        <c:spPr>
          <a:noFill/>
          <a:ln w="9522"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
        <c:crosses val="autoZero"/>
        <c:auto val="1"/>
        <c:lblOffset val="100"/>
        <c:baseTimeUnit val="days"/>
      </c:dateAx>
      <c:valAx>
        <c:axId val="1"/>
        <c:scaling>
          <c:orientation val="minMax"/>
        </c:scaling>
        <c:delete val="0"/>
        <c:axPos val="l"/>
        <c:majorGridlines>
          <c:spPr>
            <a:ln w="9522"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33412928"/>
        <c:crosses val="autoZero"/>
        <c:crossBetween val="between"/>
      </c:valAx>
      <c:dateAx>
        <c:axId val="3"/>
        <c:scaling>
          <c:orientation val="minMax"/>
        </c:scaling>
        <c:delete val="1"/>
        <c:axPos val="b"/>
        <c:numFmt formatCode="d\-mmm\-yy" sourceLinked="1"/>
        <c:majorTickMark val="out"/>
        <c:minorTickMark val="none"/>
        <c:tickLblPos val="nextTo"/>
        <c:crossAx val="4"/>
        <c:crosses val="autoZero"/>
        <c:auto val="1"/>
        <c:lblOffset val="100"/>
        <c:baseTimeUnit val="days"/>
      </c:dateAx>
      <c:valAx>
        <c:axId val="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2"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spPr>
            <a:ln w="22191"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'Inflation '!$B$24:$B$36</c:f>
              <c:numCache>
                <c:formatCode>mmm\-yy</c:formatCode>
                <c:ptCount val="13"/>
                <c:pt idx="0">
                  <c:v>45017</c:v>
                </c:pt>
                <c:pt idx="1">
                  <c:v>45047</c:v>
                </c:pt>
                <c:pt idx="2">
                  <c:v>45078</c:v>
                </c:pt>
                <c:pt idx="3">
                  <c:v>45108</c:v>
                </c:pt>
                <c:pt idx="4">
                  <c:v>45139</c:v>
                </c:pt>
                <c:pt idx="5">
                  <c:v>45170</c:v>
                </c:pt>
                <c:pt idx="6">
                  <c:v>45200</c:v>
                </c:pt>
                <c:pt idx="7">
                  <c:v>45231</c:v>
                </c:pt>
                <c:pt idx="8">
                  <c:v>45261</c:v>
                </c:pt>
                <c:pt idx="9">
                  <c:v>45292</c:v>
                </c:pt>
                <c:pt idx="10">
                  <c:v>45323</c:v>
                </c:pt>
                <c:pt idx="11">
                  <c:v>45352</c:v>
                </c:pt>
                <c:pt idx="12">
                  <c:v>45383</c:v>
                </c:pt>
              </c:numCache>
            </c:numRef>
          </c:cat>
          <c:val>
            <c:numRef>
              <c:f>'Inflation '!$C$24:$C$36</c:f>
              <c:numCache>
                <c:formatCode>#,##0.0</c:formatCode>
                <c:ptCount val="13"/>
                <c:pt idx="0">
                  <c:v>1.5395892953224717</c:v>
                </c:pt>
                <c:pt idx="1">
                  <c:v>2.6441353851653275</c:v>
                </c:pt>
                <c:pt idx="2">
                  <c:v>12.103556447084429</c:v>
                </c:pt>
                <c:pt idx="3">
                  <c:v>1.0262104235433611</c:v>
                </c:pt>
                <c:pt idx="4">
                  <c:v>-1.3412743186660521</c:v>
                </c:pt>
                <c:pt idx="5">
                  <c:v>0.9549029123539583</c:v>
                </c:pt>
                <c:pt idx="6">
                  <c:v>2.4574345383066714</c:v>
                </c:pt>
                <c:pt idx="7">
                  <c:v>4.5416295575921168</c:v>
                </c:pt>
                <c:pt idx="8">
                  <c:v>4.7022767338570759</c:v>
                </c:pt>
                <c:pt idx="9">
                  <c:v>6.5816182040896223</c:v>
                </c:pt>
                <c:pt idx="10">
                  <c:v>5.3893275634551543</c:v>
                </c:pt>
                <c:pt idx="11">
                  <c:v>4.887508641983402</c:v>
                </c:pt>
                <c:pt idx="12">
                  <c:v>2.9389895786218005</c:v>
                </c:pt>
              </c:numCache>
            </c:numRef>
          </c:val>
          <c:smooth val="0"/>
          <c:extLst>
            <c:ext xmlns:c16="http://schemas.microsoft.com/office/drawing/2014/chart" uri="{C3380CC4-5D6E-409C-BE32-E72D297353CC}">
              <c16:uniqueId val="{00000000-898A-4659-99E5-49B3CE4B2280}"/>
            </c:ext>
          </c:extLst>
        </c:ser>
        <c:dLbls>
          <c:showLegendKey val="0"/>
          <c:showVal val="0"/>
          <c:showCatName val="0"/>
          <c:showSerName val="0"/>
          <c:showPercent val="0"/>
          <c:showBubbleSize val="0"/>
        </c:dLbls>
        <c:dropLines>
          <c:spPr>
            <a:ln w="9510" cap="flat" cmpd="sng" algn="ctr">
              <a:solidFill>
                <a:schemeClr val="dk1">
                  <a:lumMod val="35000"/>
                  <a:lumOff val="65000"/>
                  <a:alpha val="33000"/>
                </a:schemeClr>
              </a:solidFill>
              <a:round/>
            </a:ln>
            <a:effectLst/>
          </c:spPr>
        </c:dropLines>
        <c:smooth val="0"/>
        <c:axId val="2132116992"/>
        <c:axId val="1"/>
      </c:lineChart>
      <c:dateAx>
        <c:axId val="2132116992"/>
        <c:scaling>
          <c:orientation val="minMax"/>
        </c:scaling>
        <c:delete val="0"/>
        <c:axPos val="b"/>
        <c:numFmt formatCode="mmm\-yy" sourceLinked="0"/>
        <c:majorTickMark val="out"/>
        <c:minorTickMark val="none"/>
        <c:tickLblPos val="low"/>
        <c:spPr>
          <a:noFill/>
          <a:ln w="9510" cap="flat" cmpd="sng" algn="ctr">
            <a:solidFill>
              <a:schemeClr val="dk1">
                <a:lumMod val="15000"/>
                <a:lumOff val="85000"/>
              </a:schemeClr>
            </a:solidFill>
            <a:round/>
          </a:ln>
          <a:effectLst/>
        </c:spPr>
        <c:txPr>
          <a:bodyPr rot="-60000000" spcFirstLastPara="1" vertOverflow="ellipsis" vert="horz" wrap="square" anchor="ctr" anchorCtr="1"/>
          <a:lstStyle/>
          <a:p>
            <a:pPr>
              <a:defRPr sz="899" b="0" i="0" u="none" strike="noStrike" kern="1200" spc="20" baseline="0">
                <a:solidFill>
                  <a:schemeClr val="dk1">
                    <a:lumMod val="65000"/>
                    <a:lumOff val="35000"/>
                  </a:schemeClr>
                </a:solidFill>
                <a:latin typeface="+mn-lt"/>
                <a:ea typeface="+mn-ea"/>
                <a:cs typeface="+mn-cs"/>
              </a:defRPr>
            </a:pPr>
            <a:endParaRPr lang="en-US"/>
          </a:p>
        </c:txPr>
        <c:crossAx val="1"/>
        <c:crosses val="autoZero"/>
        <c:auto val="1"/>
        <c:lblOffset val="100"/>
        <c:baseTimeUnit val="months"/>
      </c:dateAx>
      <c:valAx>
        <c:axId val="1"/>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spc="20" baseline="0">
                <a:solidFill>
                  <a:schemeClr val="dk1">
                    <a:lumMod val="65000"/>
                    <a:lumOff val="35000"/>
                  </a:schemeClr>
                </a:solidFill>
                <a:latin typeface="+mn-lt"/>
                <a:ea typeface="+mn-ea"/>
                <a:cs typeface="+mn-cs"/>
              </a:defRPr>
            </a:pPr>
            <a:endParaRPr lang="en-US"/>
          </a:p>
        </c:txPr>
        <c:crossAx val="213211699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10"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Report</b:SourceType>
    <b:Guid>{56C5D576-E584-4725-B1A4-0EF7CA3C212F}</b:Guid>
    <b:Title>2024 Monetary Policy Statement</b:Title>
    <b:Year>2024</b:Year>
    <b:Author>
      <b:Author>
        <b:Corporate>RBZ</b:Corporate>
      </b:Author>
    </b:Author>
    <b:Publisher>Reserve Bank of Zimbabwe</b:Publisher>
    <b:RefOrder>1</b:RefOrder>
  </b:Source>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2</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3</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4</b:RefOrder>
  </b:Source>
  <b:Source>
    <b:Tag>MOF23</b:Tag>
    <b:SourceType>Report</b:SourceType>
    <b:Guid>{A775AA6F-D4F1-4026-98F2-D38225DCFAD6}</b:Guid>
    <b:Author>
      <b:Author>
        <b:Corporate>MOFEDIP</b:Corporate>
      </b:Author>
    </b:Author>
    <b:Title>The 2024 National Budget Statement</b:Title>
    <b:Year>2023</b:Year>
    <b:Publisher>Ministry of Finance, Economic Development and Investment Promotion</b:Publisher>
    <b:RefOrder>5</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6</b:RefOrder>
  </b:Source>
  <b:Source>
    <b:Tag>IMF24</b:Tag>
    <b:SourceType>Report</b:SourceType>
    <b:Guid>{EF5DE5B4-9289-41E8-B2C8-82F56535D7FD}</b:Guid>
    <b:Title>World Economic Outlook Update, January 2024</b:Title>
    <b:Year>2024</b:Year>
    <b:Author>
      <b:Author>
        <b:Corporate>IMF</b:Corporate>
      </b:Author>
    </b:Author>
    <b:Publisher>International Monetary Fund</b:Publisher>
    <b:RefOrder>7</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8</b:RefOrder>
  </b:Source>
  <b:Source>
    <b:Tag>IMF241</b:Tag>
    <b:SourceType>Report</b:SourceType>
    <b:Guid>{9F0F1363-360A-41C4-B833-3A81055EC6AA}</b:Guid>
    <b:Author>
      <b:Author>
        <b:Corporate>IMF</b:Corporate>
      </b:Author>
    </b:Author>
    <b:Title>World Economic Outlook Update, April 2024</b:Title>
    <b:Year>2024</b:Year>
    <b:Publisher>International Monetary Fund</b:Publisher>
    <b:RefOrder>9</b:RefOrder>
  </b:Source>
  <b:Source>
    <b:Tag>Zim241</b:Tag>
    <b:SourceType>InternetSite</b:SourceType>
    <b:Guid>{CA259492-5A5A-42A7-8B52-14C843491008}</b:Guid>
    <b:Title>Merchandise Trade Statisitics </b:Title>
    <b:Year>2024</b:Year>
    <b:Author>
      <b:Author>
        <b:Corporate>ZimStat</b:Corporate>
      </b:Author>
    </b:Author>
    <b:InternetSiteTitle>Zimbabwe National Statistical Agency</b:InternetSiteTitle>
    <b:URL>https://www.zimstat.co.zw/</b:URL>
    <b:RefOrder>10</b:RefOrder>
  </b:Source>
</b:Sources>
</file>

<file path=customXml/itemProps1.xml><?xml version="1.0" encoding="utf-8"?>
<ds:datastoreItem xmlns:ds="http://schemas.openxmlformats.org/officeDocument/2006/customXml" ds:itemID="{DDDC40E2-B9B3-4C80-B2BB-D70C7F99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22238</CharactersWithSpaces>
  <SharedDoc>false</SharedDoc>
  <HLinks>
    <vt:vector size="156" baseType="variant">
      <vt:variant>
        <vt:i4>1310768</vt:i4>
      </vt:variant>
      <vt:variant>
        <vt:i4>155</vt:i4>
      </vt:variant>
      <vt:variant>
        <vt:i4>0</vt:i4>
      </vt:variant>
      <vt:variant>
        <vt:i4>5</vt:i4>
      </vt:variant>
      <vt:variant>
        <vt:lpwstr/>
      </vt:variant>
      <vt:variant>
        <vt:lpwstr>_Toc168306907</vt:lpwstr>
      </vt:variant>
      <vt:variant>
        <vt:i4>1310768</vt:i4>
      </vt:variant>
      <vt:variant>
        <vt:i4>149</vt:i4>
      </vt:variant>
      <vt:variant>
        <vt:i4>0</vt:i4>
      </vt:variant>
      <vt:variant>
        <vt:i4>5</vt:i4>
      </vt:variant>
      <vt:variant>
        <vt:lpwstr/>
      </vt:variant>
      <vt:variant>
        <vt:lpwstr>_Toc168306906</vt:lpwstr>
      </vt:variant>
      <vt:variant>
        <vt:i4>1310768</vt:i4>
      </vt:variant>
      <vt:variant>
        <vt:i4>143</vt:i4>
      </vt:variant>
      <vt:variant>
        <vt:i4>0</vt:i4>
      </vt:variant>
      <vt:variant>
        <vt:i4>5</vt:i4>
      </vt:variant>
      <vt:variant>
        <vt:lpwstr/>
      </vt:variant>
      <vt:variant>
        <vt:lpwstr>_Toc168306905</vt:lpwstr>
      </vt:variant>
      <vt:variant>
        <vt:i4>1310768</vt:i4>
      </vt:variant>
      <vt:variant>
        <vt:i4>137</vt:i4>
      </vt:variant>
      <vt:variant>
        <vt:i4>0</vt:i4>
      </vt:variant>
      <vt:variant>
        <vt:i4>5</vt:i4>
      </vt:variant>
      <vt:variant>
        <vt:lpwstr/>
      </vt:variant>
      <vt:variant>
        <vt:lpwstr>_Toc168306904</vt:lpwstr>
      </vt:variant>
      <vt:variant>
        <vt:i4>1310768</vt:i4>
      </vt:variant>
      <vt:variant>
        <vt:i4>131</vt:i4>
      </vt:variant>
      <vt:variant>
        <vt:i4>0</vt:i4>
      </vt:variant>
      <vt:variant>
        <vt:i4>5</vt:i4>
      </vt:variant>
      <vt:variant>
        <vt:lpwstr/>
      </vt:variant>
      <vt:variant>
        <vt:lpwstr>_Toc168306903</vt:lpwstr>
      </vt:variant>
      <vt:variant>
        <vt:i4>1310768</vt:i4>
      </vt:variant>
      <vt:variant>
        <vt:i4>125</vt:i4>
      </vt:variant>
      <vt:variant>
        <vt:i4>0</vt:i4>
      </vt:variant>
      <vt:variant>
        <vt:i4>5</vt:i4>
      </vt:variant>
      <vt:variant>
        <vt:lpwstr/>
      </vt:variant>
      <vt:variant>
        <vt:lpwstr>_Toc168306902</vt:lpwstr>
      </vt:variant>
      <vt:variant>
        <vt:i4>1310768</vt:i4>
      </vt:variant>
      <vt:variant>
        <vt:i4>119</vt:i4>
      </vt:variant>
      <vt:variant>
        <vt:i4>0</vt:i4>
      </vt:variant>
      <vt:variant>
        <vt:i4>5</vt:i4>
      </vt:variant>
      <vt:variant>
        <vt:lpwstr/>
      </vt:variant>
      <vt:variant>
        <vt:lpwstr>_Toc168306901</vt:lpwstr>
      </vt:variant>
      <vt:variant>
        <vt:i4>1900601</vt:i4>
      </vt:variant>
      <vt:variant>
        <vt:i4>110</vt:i4>
      </vt:variant>
      <vt:variant>
        <vt:i4>0</vt:i4>
      </vt:variant>
      <vt:variant>
        <vt:i4>5</vt:i4>
      </vt:variant>
      <vt:variant>
        <vt:lpwstr/>
      </vt:variant>
      <vt:variant>
        <vt:lpwstr>_Toc168317181</vt:lpwstr>
      </vt:variant>
      <vt:variant>
        <vt:i4>1900601</vt:i4>
      </vt:variant>
      <vt:variant>
        <vt:i4>104</vt:i4>
      </vt:variant>
      <vt:variant>
        <vt:i4>0</vt:i4>
      </vt:variant>
      <vt:variant>
        <vt:i4>5</vt:i4>
      </vt:variant>
      <vt:variant>
        <vt:lpwstr/>
      </vt:variant>
      <vt:variant>
        <vt:lpwstr>_Toc168317180</vt:lpwstr>
      </vt:variant>
      <vt:variant>
        <vt:i4>1179705</vt:i4>
      </vt:variant>
      <vt:variant>
        <vt:i4>98</vt:i4>
      </vt:variant>
      <vt:variant>
        <vt:i4>0</vt:i4>
      </vt:variant>
      <vt:variant>
        <vt:i4>5</vt:i4>
      </vt:variant>
      <vt:variant>
        <vt:lpwstr/>
      </vt:variant>
      <vt:variant>
        <vt:lpwstr>_Toc168317179</vt:lpwstr>
      </vt:variant>
      <vt:variant>
        <vt:i4>1179705</vt:i4>
      </vt:variant>
      <vt:variant>
        <vt:i4>92</vt:i4>
      </vt:variant>
      <vt:variant>
        <vt:i4>0</vt:i4>
      </vt:variant>
      <vt:variant>
        <vt:i4>5</vt:i4>
      </vt:variant>
      <vt:variant>
        <vt:lpwstr/>
      </vt:variant>
      <vt:variant>
        <vt:lpwstr>_Toc168317178</vt:lpwstr>
      </vt:variant>
      <vt:variant>
        <vt:i4>1179705</vt:i4>
      </vt:variant>
      <vt:variant>
        <vt:i4>86</vt:i4>
      </vt:variant>
      <vt:variant>
        <vt:i4>0</vt:i4>
      </vt:variant>
      <vt:variant>
        <vt:i4>5</vt:i4>
      </vt:variant>
      <vt:variant>
        <vt:lpwstr/>
      </vt:variant>
      <vt:variant>
        <vt:lpwstr>_Toc168317177</vt:lpwstr>
      </vt:variant>
      <vt:variant>
        <vt:i4>1179705</vt:i4>
      </vt:variant>
      <vt:variant>
        <vt:i4>80</vt:i4>
      </vt:variant>
      <vt:variant>
        <vt:i4>0</vt:i4>
      </vt:variant>
      <vt:variant>
        <vt:i4>5</vt:i4>
      </vt:variant>
      <vt:variant>
        <vt:lpwstr/>
      </vt:variant>
      <vt:variant>
        <vt:lpwstr>_Toc168317176</vt:lpwstr>
      </vt:variant>
      <vt:variant>
        <vt:i4>1179705</vt:i4>
      </vt:variant>
      <vt:variant>
        <vt:i4>74</vt:i4>
      </vt:variant>
      <vt:variant>
        <vt:i4>0</vt:i4>
      </vt:variant>
      <vt:variant>
        <vt:i4>5</vt:i4>
      </vt:variant>
      <vt:variant>
        <vt:lpwstr/>
      </vt:variant>
      <vt:variant>
        <vt:lpwstr>_Toc168317175</vt:lpwstr>
      </vt:variant>
      <vt:variant>
        <vt:i4>1179705</vt:i4>
      </vt:variant>
      <vt:variant>
        <vt:i4>68</vt:i4>
      </vt:variant>
      <vt:variant>
        <vt:i4>0</vt:i4>
      </vt:variant>
      <vt:variant>
        <vt:i4>5</vt:i4>
      </vt:variant>
      <vt:variant>
        <vt:lpwstr/>
      </vt:variant>
      <vt:variant>
        <vt:lpwstr>_Toc168317174</vt:lpwstr>
      </vt:variant>
      <vt:variant>
        <vt:i4>1179705</vt:i4>
      </vt:variant>
      <vt:variant>
        <vt:i4>62</vt:i4>
      </vt:variant>
      <vt:variant>
        <vt:i4>0</vt:i4>
      </vt:variant>
      <vt:variant>
        <vt:i4>5</vt:i4>
      </vt:variant>
      <vt:variant>
        <vt:lpwstr/>
      </vt:variant>
      <vt:variant>
        <vt:lpwstr>_Toc168317173</vt:lpwstr>
      </vt:variant>
      <vt:variant>
        <vt:i4>1179705</vt:i4>
      </vt:variant>
      <vt:variant>
        <vt:i4>56</vt:i4>
      </vt:variant>
      <vt:variant>
        <vt:i4>0</vt:i4>
      </vt:variant>
      <vt:variant>
        <vt:i4>5</vt:i4>
      </vt:variant>
      <vt:variant>
        <vt:lpwstr/>
      </vt:variant>
      <vt:variant>
        <vt:lpwstr>_Toc168317172</vt:lpwstr>
      </vt:variant>
      <vt:variant>
        <vt:i4>1179705</vt:i4>
      </vt:variant>
      <vt:variant>
        <vt:i4>50</vt:i4>
      </vt:variant>
      <vt:variant>
        <vt:i4>0</vt:i4>
      </vt:variant>
      <vt:variant>
        <vt:i4>5</vt:i4>
      </vt:variant>
      <vt:variant>
        <vt:lpwstr/>
      </vt:variant>
      <vt:variant>
        <vt:lpwstr>_Toc168317171</vt:lpwstr>
      </vt:variant>
      <vt:variant>
        <vt:i4>1179705</vt:i4>
      </vt:variant>
      <vt:variant>
        <vt:i4>44</vt:i4>
      </vt:variant>
      <vt:variant>
        <vt:i4>0</vt:i4>
      </vt:variant>
      <vt:variant>
        <vt:i4>5</vt:i4>
      </vt:variant>
      <vt:variant>
        <vt:lpwstr/>
      </vt:variant>
      <vt:variant>
        <vt:lpwstr>_Toc168317170</vt:lpwstr>
      </vt:variant>
      <vt:variant>
        <vt:i4>1245241</vt:i4>
      </vt:variant>
      <vt:variant>
        <vt:i4>38</vt:i4>
      </vt:variant>
      <vt:variant>
        <vt:i4>0</vt:i4>
      </vt:variant>
      <vt:variant>
        <vt:i4>5</vt:i4>
      </vt:variant>
      <vt:variant>
        <vt:lpwstr/>
      </vt:variant>
      <vt:variant>
        <vt:lpwstr>_Toc168317169</vt:lpwstr>
      </vt:variant>
      <vt:variant>
        <vt:i4>1245241</vt:i4>
      </vt:variant>
      <vt:variant>
        <vt:i4>32</vt:i4>
      </vt:variant>
      <vt:variant>
        <vt:i4>0</vt:i4>
      </vt:variant>
      <vt:variant>
        <vt:i4>5</vt:i4>
      </vt:variant>
      <vt:variant>
        <vt:lpwstr/>
      </vt:variant>
      <vt:variant>
        <vt:lpwstr>_Toc168317168</vt:lpwstr>
      </vt:variant>
      <vt:variant>
        <vt:i4>1245241</vt:i4>
      </vt:variant>
      <vt:variant>
        <vt:i4>26</vt:i4>
      </vt:variant>
      <vt:variant>
        <vt:i4>0</vt:i4>
      </vt:variant>
      <vt:variant>
        <vt:i4>5</vt:i4>
      </vt:variant>
      <vt:variant>
        <vt:lpwstr/>
      </vt:variant>
      <vt:variant>
        <vt:lpwstr>_Toc168317167</vt:lpwstr>
      </vt:variant>
      <vt:variant>
        <vt:i4>1245241</vt:i4>
      </vt:variant>
      <vt:variant>
        <vt:i4>20</vt:i4>
      </vt:variant>
      <vt:variant>
        <vt:i4>0</vt:i4>
      </vt:variant>
      <vt:variant>
        <vt:i4>5</vt:i4>
      </vt:variant>
      <vt:variant>
        <vt:lpwstr/>
      </vt:variant>
      <vt:variant>
        <vt:lpwstr>_Toc168317166</vt:lpwstr>
      </vt:variant>
      <vt:variant>
        <vt:i4>1245241</vt:i4>
      </vt:variant>
      <vt:variant>
        <vt:i4>14</vt:i4>
      </vt:variant>
      <vt:variant>
        <vt:i4>0</vt:i4>
      </vt:variant>
      <vt:variant>
        <vt:i4>5</vt:i4>
      </vt:variant>
      <vt:variant>
        <vt:lpwstr/>
      </vt:variant>
      <vt:variant>
        <vt:lpwstr>_Toc168317165</vt:lpwstr>
      </vt:variant>
      <vt:variant>
        <vt:i4>1245241</vt:i4>
      </vt:variant>
      <vt:variant>
        <vt:i4>8</vt:i4>
      </vt:variant>
      <vt:variant>
        <vt:i4>0</vt:i4>
      </vt:variant>
      <vt:variant>
        <vt:i4>5</vt:i4>
      </vt:variant>
      <vt:variant>
        <vt:lpwstr/>
      </vt:variant>
      <vt:variant>
        <vt:lpwstr>_Toc168317164</vt:lpwstr>
      </vt:variant>
      <vt:variant>
        <vt:i4>1245241</vt:i4>
      </vt:variant>
      <vt:variant>
        <vt:i4>2</vt:i4>
      </vt:variant>
      <vt:variant>
        <vt:i4>0</vt:i4>
      </vt:variant>
      <vt:variant>
        <vt:i4>5</vt:i4>
      </vt:variant>
      <vt:variant>
        <vt:lpwstr/>
      </vt:variant>
      <vt:variant>
        <vt:lpwstr>_Toc168317163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15</cp:revision>
  <dcterms:created xsi:type="dcterms:W3CDTF">2024-06-04T08:26:00Z</dcterms:created>
  <dcterms:modified xsi:type="dcterms:W3CDTF">2024-06-04T09:00:00Z</dcterms:modified>
</cp:coreProperties>
</file>