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637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2156EEC"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4D3166" w14:textId="405219EE" w:rsidR="00B357AC" w:rsidRPr="00863A17" w:rsidRDefault="00664692"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4AB23E5F" wp14:editId="2BA3A733">
            <wp:extent cx="3133725" cy="1895475"/>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7B6CCB7A"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17C6F4B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6A6F1D0"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D97908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A906E54"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61E5337A"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0F4BA8B"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7A53D90" w14:textId="5F1B83EC" w:rsidR="00B357AC" w:rsidRPr="007E39CC" w:rsidRDefault="002E4030"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DECEMBER</w:t>
      </w:r>
      <w:r w:rsidR="00B357AC" w:rsidRPr="007E39CC">
        <w:rPr>
          <w:rFonts w:ascii="Tahoma" w:hAnsi="Tahoma" w:cs="Tahoma"/>
          <w:b/>
          <w:sz w:val="32"/>
          <w:szCs w:val="32"/>
          <w:lang w:val="en-US"/>
        </w:rPr>
        <w:t xml:space="preserve"> 202</w:t>
      </w:r>
      <w:r w:rsidR="00DB67ED" w:rsidRPr="007E39CC">
        <w:rPr>
          <w:rFonts w:ascii="Tahoma" w:hAnsi="Tahoma" w:cs="Tahoma"/>
          <w:b/>
          <w:sz w:val="32"/>
          <w:szCs w:val="32"/>
          <w:lang w:val="en-US"/>
        </w:rPr>
        <w:t>4</w:t>
      </w:r>
    </w:p>
    <w:p w14:paraId="593799B3"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4510407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8515C8"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BA14E4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6440115"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09EA6AEF" w14:textId="77777777" w:rsidR="007E39CC" w:rsidRDefault="007E39CC" w:rsidP="007E39CC">
      <w:pPr>
        <w:pStyle w:val="Heading1"/>
        <w:spacing w:before="0" w:after="240"/>
        <w:rPr>
          <w:rFonts w:cs="Tahoma"/>
          <w:bCs/>
          <w:color w:val="000000"/>
          <w:szCs w:val="24"/>
          <w:lang w:val="en-US"/>
        </w:rPr>
      </w:pPr>
      <w:bookmarkStart w:id="0" w:name="_Toc166607888"/>
      <w:bookmarkStart w:id="1" w:name="_Toc188955349"/>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2706B5E9" w14:textId="07BC64B0" w:rsidR="00F4230A" w:rsidRDefault="00F4230A" w:rsidP="00EA59F9">
      <w:pPr>
        <w:jc w:val="both"/>
        <w:rPr>
          <w:rFonts w:ascii="Tahoma" w:hAnsi="Tahoma" w:cs="Tahoma"/>
          <w:sz w:val="24"/>
          <w:szCs w:val="24"/>
          <w:lang w:val="en-US"/>
        </w:rPr>
      </w:pPr>
      <w:r w:rsidRPr="00F4230A">
        <w:rPr>
          <w:rFonts w:ascii="Tahoma" w:hAnsi="Tahoma" w:cs="Tahoma"/>
          <w:sz w:val="24"/>
          <w:szCs w:val="24"/>
          <w:lang w:val="en-US"/>
        </w:rPr>
        <w:t xml:space="preserve">This bulletin focuses on economic developments for the month ending </w:t>
      </w:r>
      <w:r w:rsidR="00FD77E9">
        <w:rPr>
          <w:rFonts w:ascii="Tahoma" w:hAnsi="Tahoma" w:cs="Tahoma"/>
          <w:sz w:val="24"/>
          <w:szCs w:val="24"/>
          <w:lang w:val="en-US"/>
        </w:rPr>
        <w:t>31</w:t>
      </w:r>
      <w:r w:rsidRPr="00F4230A">
        <w:rPr>
          <w:rFonts w:ascii="Tahoma" w:hAnsi="Tahoma" w:cs="Tahoma"/>
          <w:sz w:val="24"/>
          <w:szCs w:val="24"/>
          <w:lang w:val="en-US"/>
        </w:rPr>
        <w:t xml:space="preserve"> </w:t>
      </w:r>
      <w:r w:rsidR="00FD77E9">
        <w:rPr>
          <w:rFonts w:ascii="Tahoma" w:hAnsi="Tahoma" w:cs="Tahoma"/>
          <w:sz w:val="24"/>
          <w:szCs w:val="24"/>
          <w:lang w:val="en-US"/>
        </w:rPr>
        <w:t>December</w:t>
      </w:r>
      <w:r w:rsidRPr="00F4230A">
        <w:rPr>
          <w:rFonts w:ascii="Tahoma" w:hAnsi="Tahoma" w:cs="Tahoma"/>
          <w:sz w:val="24"/>
          <w:szCs w:val="24"/>
          <w:lang w:val="en-US"/>
        </w:rPr>
        <w:t xml:space="preserve"> 2024 that </w:t>
      </w:r>
      <w:r w:rsidR="00E05A07" w:rsidRPr="00F4230A">
        <w:rPr>
          <w:rFonts w:ascii="Tahoma" w:hAnsi="Tahoma" w:cs="Tahoma"/>
          <w:sz w:val="24"/>
          <w:szCs w:val="24"/>
          <w:lang w:val="en-US"/>
        </w:rPr>
        <w:t>include</w:t>
      </w:r>
      <w:r w:rsidR="00E05A07">
        <w:rPr>
          <w:rFonts w:ascii="Tahoma" w:hAnsi="Tahoma" w:cs="Tahoma"/>
          <w:sz w:val="24"/>
          <w:szCs w:val="24"/>
          <w:lang w:val="en-US"/>
        </w:rPr>
        <w:t>,</w:t>
      </w:r>
      <w:r w:rsidRPr="00F4230A">
        <w:rPr>
          <w:rFonts w:ascii="Tahoma" w:hAnsi="Tahoma" w:cs="Tahoma"/>
          <w:sz w:val="24"/>
          <w:szCs w:val="24"/>
          <w:lang w:val="en-US"/>
        </w:rPr>
        <w:t xml:space="preserve"> </w:t>
      </w:r>
      <w:r w:rsidR="00E05A07">
        <w:rPr>
          <w:rFonts w:ascii="Tahoma" w:hAnsi="Tahoma" w:cs="Tahoma"/>
          <w:sz w:val="24"/>
          <w:szCs w:val="24"/>
          <w:lang w:val="en-US"/>
        </w:rPr>
        <w:t>w</w:t>
      </w:r>
      <w:r w:rsidRPr="00F4230A">
        <w:rPr>
          <w:rFonts w:ascii="Tahoma" w:hAnsi="Tahoma" w:cs="Tahoma"/>
          <w:sz w:val="24"/>
          <w:szCs w:val="24"/>
          <w:lang w:val="en-US"/>
        </w:rPr>
        <w:t>orld economic developments, international commodity prices, Zimbabwe Gross Domestic Product (GDP) growth updates, merchandise trade developments, exchange rate developments, inflation developments, monetary developments and stock market developments.</w:t>
      </w:r>
    </w:p>
    <w:p w14:paraId="542F4934"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World Economic Developments</w:t>
      </w:r>
    </w:p>
    <w:p w14:paraId="35183CC3" w14:textId="77777777"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Global economic growth in 2024 is forecasted at 3.1%, with a slight uptick to 3.2% in 2025 before declining to 3% in 2026, driven by post-election policy adjustments in the United States. The global growth outlook for 2024 was revised downward by KPMG International, largely due to geopolitical tensions and election-related uncertainties. Global inflation is projected to moderate, falling to 4.5% in 2024 and further to 3.2% by 2026, attributed to higher interest rates, slower growth, and a drop in energy prices. Inflation in major advanced economies is expected to approach central bank targets by 2025.</w:t>
      </w:r>
    </w:p>
    <w:p w14:paraId="7DDFDBC1"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International Commodity Prices</w:t>
      </w:r>
    </w:p>
    <w:p w14:paraId="0FFE6FEE" w14:textId="1F336272"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Commodity prices exhibited mixed trends in December 2024. Crude oil, natural gas, soybeans, corn, and wheat prices rose, driven by OPEC+ production cuts and El Niño drought effects, while prices of aluminum, copper, nickel, gold, and cotton declined. Y</w:t>
      </w:r>
      <w:r>
        <w:rPr>
          <w:rFonts w:ascii="Tahoma" w:hAnsi="Tahoma" w:cs="Tahoma"/>
          <w:sz w:val="24"/>
          <w:szCs w:val="24"/>
          <w:lang w:val="en-GB"/>
        </w:rPr>
        <w:t>tD</w:t>
      </w:r>
      <w:r w:rsidRPr="007B6F4C">
        <w:rPr>
          <w:rFonts w:ascii="Tahoma" w:hAnsi="Tahoma" w:cs="Tahoma"/>
          <w:sz w:val="24"/>
          <w:szCs w:val="24"/>
          <w:lang w:val="en-GB"/>
        </w:rPr>
        <w:t>, natural gas, aluminum, and gold prices increased, while other commodities, including crude oil and wheat, fell.</w:t>
      </w:r>
    </w:p>
    <w:p w14:paraId="2F18B7D5"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Zimbabwe Gross Domestic Product (GDP) Growth Updates</w:t>
      </w:r>
    </w:p>
    <w:p w14:paraId="62512CF6" w14:textId="47F099B8"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Zimbabwe's GDP growth is projected at 2% in 2024, accelerating to 6% in 2025, fuelled by improved agricultural output, enhanced electricity generation due to La Niña effects, expansions in mining and information technology, and a stable macroeconomic environment.</w:t>
      </w:r>
    </w:p>
    <w:p w14:paraId="5F36B740"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Merchandise Trade Developments</w:t>
      </w:r>
    </w:p>
    <w:p w14:paraId="512102F1" w14:textId="0AD53892"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 xml:space="preserve">Zimbabwe's merchandise trade volume reached USD 1.53 billion in October 2024, a 12.8% increase from September 2024 but 11.5% lower </w:t>
      </w:r>
      <w:r>
        <w:rPr>
          <w:rFonts w:ascii="Tahoma" w:hAnsi="Tahoma" w:cs="Tahoma"/>
          <w:sz w:val="24"/>
          <w:szCs w:val="24"/>
          <w:lang w:val="en-GB"/>
        </w:rPr>
        <w:t>YoY</w:t>
      </w:r>
      <w:r w:rsidRPr="007B6F4C">
        <w:rPr>
          <w:rFonts w:ascii="Tahoma" w:hAnsi="Tahoma" w:cs="Tahoma"/>
          <w:sz w:val="24"/>
          <w:szCs w:val="24"/>
          <w:lang w:val="en-GB"/>
        </w:rPr>
        <w:t xml:space="preserve">. Exports rose by 21.4% </w:t>
      </w:r>
      <w:r>
        <w:rPr>
          <w:rFonts w:ascii="Tahoma" w:hAnsi="Tahoma" w:cs="Tahoma"/>
          <w:sz w:val="24"/>
          <w:szCs w:val="24"/>
          <w:lang w:val="en-GB"/>
        </w:rPr>
        <w:t>MoM</w:t>
      </w:r>
      <w:r w:rsidRPr="007B6F4C">
        <w:rPr>
          <w:rFonts w:ascii="Tahoma" w:hAnsi="Tahoma" w:cs="Tahoma"/>
          <w:sz w:val="24"/>
          <w:szCs w:val="24"/>
          <w:lang w:val="en-GB"/>
        </w:rPr>
        <w:t xml:space="preserve"> to USD 698.1 million, driven by shipments of gold and tobacco. Imports grew by 6.5% to USD 835.8 million, dominated by diesel, maize, and crude soya bean oil. The trade deficit narrowed to USD 137.7 million in October 2024, compared to USD 209.5 million in September.</w:t>
      </w:r>
    </w:p>
    <w:p w14:paraId="7A7AB894"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Exchange Rate Developments</w:t>
      </w:r>
    </w:p>
    <w:p w14:paraId="51080E95" w14:textId="232BEF3E"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 xml:space="preserve">The Zimbabwean </w:t>
      </w:r>
      <w:r>
        <w:rPr>
          <w:rFonts w:ascii="Tahoma" w:hAnsi="Tahoma" w:cs="Tahoma"/>
          <w:sz w:val="24"/>
          <w:szCs w:val="24"/>
          <w:lang w:val="en-GB"/>
        </w:rPr>
        <w:t>Gold</w:t>
      </w:r>
      <w:r w:rsidRPr="007B6F4C">
        <w:rPr>
          <w:rFonts w:ascii="Tahoma" w:hAnsi="Tahoma" w:cs="Tahoma"/>
          <w:sz w:val="24"/>
          <w:szCs w:val="24"/>
          <w:lang w:val="en-GB"/>
        </w:rPr>
        <w:t xml:space="preserve"> (ZWG) lost value against the USD and GBP in December 2024, while strengthening against the EUR and ZAR due to improved fiscal discipline. The parallel market exchange rate remained higher than the official rate, though </w:t>
      </w:r>
      <w:r w:rsidRPr="007B6F4C">
        <w:rPr>
          <w:rFonts w:ascii="Tahoma" w:hAnsi="Tahoma" w:cs="Tahoma"/>
          <w:sz w:val="24"/>
          <w:szCs w:val="24"/>
          <w:lang w:val="en-GB"/>
        </w:rPr>
        <w:lastRenderedPageBreak/>
        <w:t>convergence trends were observed as the official rate moved closer to market expectations.</w:t>
      </w:r>
    </w:p>
    <w:p w14:paraId="3D245E0B"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Inflation Developments</w:t>
      </w:r>
    </w:p>
    <w:p w14:paraId="3738A5C3" w14:textId="2AFCA2F5"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 xml:space="preserve">Zimbabwe's </w:t>
      </w:r>
      <w:r>
        <w:rPr>
          <w:rFonts w:ascii="Tahoma" w:hAnsi="Tahoma" w:cs="Tahoma"/>
          <w:sz w:val="24"/>
          <w:szCs w:val="24"/>
          <w:lang w:val="en-GB"/>
        </w:rPr>
        <w:t>MoM</w:t>
      </w:r>
      <w:r w:rsidRPr="007B6F4C">
        <w:rPr>
          <w:rFonts w:ascii="Tahoma" w:hAnsi="Tahoma" w:cs="Tahoma"/>
          <w:sz w:val="24"/>
          <w:szCs w:val="24"/>
          <w:lang w:val="en-GB"/>
        </w:rPr>
        <w:t xml:space="preserve"> inflation rate declined from 11.7% in November 2024 to 3.67% in December 2024, driven by fiscal and monetary stability. Food, non-alcoholic drinks, and housing-related costs remained key inflation drivers, while furniture and equipment prices exerted downward pressure on inflation.</w:t>
      </w:r>
    </w:p>
    <w:p w14:paraId="133BF48C"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Monetary Developments</w:t>
      </w:r>
    </w:p>
    <w:p w14:paraId="7E215601" w14:textId="77777777"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Broad money supply increased by 16.76% in October 2024, reflecting growth in foreign currency deposits. Interest rates for local and foreign currencies were raised, promoting savings while discouraging borrowing and inflation.</w:t>
      </w:r>
    </w:p>
    <w:p w14:paraId="5FED5893" w14:textId="77777777" w:rsidR="007B6F4C" w:rsidRPr="007B6F4C" w:rsidRDefault="007B6F4C" w:rsidP="007B6F4C">
      <w:pPr>
        <w:jc w:val="both"/>
        <w:rPr>
          <w:rFonts w:ascii="Tahoma" w:hAnsi="Tahoma" w:cs="Tahoma"/>
          <w:b/>
          <w:bCs/>
          <w:sz w:val="24"/>
          <w:szCs w:val="24"/>
          <w:lang w:val="en-GB"/>
        </w:rPr>
      </w:pPr>
      <w:r w:rsidRPr="007B6F4C">
        <w:rPr>
          <w:rFonts w:ascii="Tahoma" w:hAnsi="Tahoma" w:cs="Tahoma"/>
          <w:b/>
          <w:bCs/>
          <w:sz w:val="24"/>
          <w:szCs w:val="24"/>
          <w:lang w:val="en-GB"/>
        </w:rPr>
        <w:t>Stock Market Developments</w:t>
      </w:r>
    </w:p>
    <w:p w14:paraId="2F6BF51E" w14:textId="77777777" w:rsidR="007B6F4C" w:rsidRPr="007B6F4C" w:rsidRDefault="007B6F4C" w:rsidP="007B6F4C">
      <w:pPr>
        <w:jc w:val="both"/>
        <w:rPr>
          <w:rFonts w:ascii="Tahoma" w:hAnsi="Tahoma" w:cs="Tahoma"/>
          <w:sz w:val="24"/>
          <w:szCs w:val="24"/>
          <w:lang w:val="en-GB"/>
        </w:rPr>
      </w:pPr>
      <w:r w:rsidRPr="007B6F4C">
        <w:rPr>
          <w:rFonts w:ascii="Tahoma" w:hAnsi="Tahoma" w:cs="Tahoma"/>
          <w:sz w:val="24"/>
          <w:szCs w:val="24"/>
          <w:lang w:val="en-GB"/>
        </w:rPr>
        <w:t>The Zimbabwe Stock Exchange (ZSE) experienced bearish trends in December 2024, with declines in major indices and market capitalization. Conversely, the Victoria Falls Stock Exchange (VFEX) saw significant gains, driven by increased investor confidence, tax incentives, and dollar-based trading opportunities, positioning it as a potential financial hub in Africa.</w:t>
      </w:r>
    </w:p>
    <w:p w14:paraId="275AA547" w14:textId="77777777" w:rsidR="001000B2" w:rsidRDefault="001000B2" w:rsidP="00EA59F9">
      <w:pPr>
        <w:jc w:val="both"/>
        <w:rPr>
          <w:rFonts w:ascii="Tahoma" w:hAnsi="Tahoma" w:cs="Tahoma"/>
          <w:sz w:val="24"/>
          <w:szCs w:val="24"/>
        </w:rPr>
      </w:pPr>
    </w:p>
    <w:p w14:paraId="59526FE3" w14:textId="77777777" w:rsidR="001000B2" w:rsidRDefault="001000B2" w:rsidP="00EA59F9">
      <w:pPr>
        <w:jc w:val="both"/>
        <w:rPr>
          <w:rFonts w:ascii="Tahoma" w:hAnsi="Tahoma" w:cs="Tahoma"/>
          <w:sz w:val="24"/>
          <w:szCs w:val="24"/>
        </w:rPr>
      </w:pPr>
    </w:p>
    <w:p w14:paraId="42CA2073" w14:textId="77777777" w:rsidR="001000B2" w:rsidRDefault="001000B2" w:rsidP="00EA59F9">
      <w:pPr>
        <w:jc w:val="both"/>
        <w:rPr>
          <w:rFonts w:ascii="Tahoma" w:hAnsi="Tahoma" w:cs="Tahoma"/>
          <w:sz w:val="24"/>
          <w:szCs w:val="24"/>
        </w:rPr>
      </w:pPr>
    </w:p>
    <w:p w14:paraId="080FF89D" w14:textId="77777777" w:rsidR="001000B2" w:rsidRDefault="001000B2" w:rsidP="00EA59F9">
      <w:pPr>
        <w:jc w:val="both"/>
        <w:rPr>
          <w:rFonts w:ascii="Tahoma" w:hAnsi="Tahoma" w:cs="Tahoma"/>
          <w:sz w:val="24"/>
          <w:szCs w:val="24"/>
        </w:rPr>
      </w:pPr>
    </w:p>
    <w:p w14:paraId="19BBE1F7" w14:textId="77777777" w:rsidR="00463A60" w:rsidRDefault="00463A60" w:rsidP="00EA59F9">
      <w:pPr>
        <w:jc w:val="both"/>
        <w:rPr>
          <w:rFonts w:ascii="Tahoma" w:hAnsi="Tahoma" w:cs="Tahoma"/>
          <w:sz w:val="24"/>
          <w:szCs w:val="24"/>
        </w:rPr>
      </w:pPr>
    </w:p>
    <w:p w14:paraId="1E465840" w14:textId="77777777" w:rsidR="007B6F4C" w:rsidRDefault="007B6F4C" w:rsidP="00EA59F9">
      <w:pPr>
        <w:jc w:val="both"/>
        <w:rPr>
          <w:rFonts w:ascii="Tahoma" w:hAnsi="Tahoma" w:cs="Tahoma"/>
          <w:sz w:val="24"/>
          <w:szCs w:val="24"/>
        </w:rPr>
      </w:pPr>
    </w:p>
    <w:p w14:paraId="603507F3" w14:textId="77777777" w:rsidR="007B6F4C" w:rsidRDefault="007B6F4C" w:rsidP="00EA59F9">
      <w:pPr>
        <w:jc w:val="both"/>
        <w:rPr>
          <w:rFonts w:ascii="Tahoma" w:hAnsi="Tahoma" w:cs="Tahoma"/>
          <w:sz w:val="24"/>
          <w:szCs w:val="24"/>
        </w:rPr>
      </w:pPr>
    </w:p>
    <w:p w14:paraId="1CB0CEB0" w14:textId="77777777" w:rsidR="007B6F4C" w:rsidRDefault="007B6F4C" w:rsidP="00EA59F9">
      <w:pPr>
        <w:jc w:val="both"/>
        <w:rPr>
          <w:rFonts w:ascii="Tahoma" w:hAnsi="Tahoma" w:cs="Tahoma"/>
          <w:sz w:val="24"/>
          <w:szCs w:val="24"/>
        </w:rPr>
      </w:pPr>
    </w:p>
    <w:p w14:paraId="1EE7F5B0" w14:textId="77777777" w:rsidR="007B6F4C" w:rsidRDefault="007B6F4C" w:rsidP="00EA59F9">
      <w:pPr>
        <w:jc w:val="both"/>
        <w:rPr>
          <w:rFonts w:ascii="Tahoma" w:hAnsi="Tahoma" w:cs="Tahoma"/>
          <w:sz w:val="24"/>
          <w:szCs w:val="24"/>
        </w:rPr>
      </w:pPr>
    </w:p>
    <w:p w14:paraId="5FFA5D15" w14:textId="77777777" w:rsidR="007B6F4C" w:rsidRDefault="007B6F4C" w:rsidP="00EA59F9">
      <w:pPr>
        <w:jc w:val="both"/>
        <w:rPr>
          <w:rFonts w:ascii="Tahoma" w:hAnsi="Tahoma" w:cs="Tahoma"/>
          <w:sz w:val="24"/>
          <w:szCs w:val="24"/>
        </w:rPr>
      </w:pPr>
    </w:p>
    <w:p w14:paraId="292DA18D" w14:textId="77777777" w:rsidR="00463A60" w:rsidRDefault="00463A60" w:rsidP="00EA59F9">
      <w:pPr>
        <w:jc w:val="both"/>
        <w:rPr>
          <w:rFonts w:ascii="Tahoma" w:hAnsi="Tahoma" w:cs="Tahoma"/>
          <w:sz w:val="24"/>
          <w:szCs w:val="24"/>
        </w:rPr>
      </w:pPr>
    </w:p>
    <w:p w14:paraId="7E36C0E1" w14:textId="77777777" w:rsidR="001000B2" w:rsidRDefault="001000B2" w:rsidP="00EA59F9">
      <w:pPr>
        <w:jc w:val="both"/>
        <w:rPr>
          <w:rFonts w:ascii="Tahoma" w:hAnsi="Tahoma" w:cs="Tahoma"/>
          <w:sz w:val="24"/>
          <w:szCs w:val="24"/>
        </w:rPr>
      </w:pPr>
    </w:p>
    <w:p w14:paraId="2F0A6A8F" w14:textId="77777777" w:rsidR="001000B2" w:rsidRDefault="001000B2" w:rsidP="00EA59F9">
      <w:pPr>
        <w:jc w:val="both"/>
        <w:rPr>
          <w:rFonts w:ascii="Tahoma" w:hAnsi="Tahoma" w:cs="Tahoma"/>
          <w:sz w:val="24"/>
          <w:szCs w:val="24"/>
        </w:rPr>
      </w:pPr>
    </w:p>
    <w:p w14:paraId="3F0EA4CB" w14:textId="77777777" w:rsidR="001000B2" w:rsidRDefault="001000B2" w:rsidP="00EA59F9">
      <w:pPr>
        <w:jc w:val="both"/>
        <w:rPr>
          <w:rFonts w:ascii="Tahoma" w:hAnsi="Tahoma" w:cs="Tahoma"/>
          <w:sz w:val="24"/>
          <w:szCs w:val="24"/>
        </w:rPr>
      </w:pPr>
    </w:p>
    <w:p w14:paraId="12AC4CAD" w14:textId="77777777" w:rsidR="001000B2" w:rsidRDefault="001000B2" w:rsidP="00EA59F9">
      <w:pPr>
        <w:jc w:val="both"/>
        <w:rPr>
          <w:rFonts w:ascii="Tahoma" w:hAnsi="Tahoma" w:cs="Tahoma"/>
          <w:sz w:val="24"/>
          <w:szCs w:val="24"/>
        </w:rPr>
      </w:pPr>
    </w:p>
    <w:p w14:paraId="0EE56824" w14:textId="77777777" w:rsidR="001000B2" w:rsidRPr="00EA59F9" w:rsidRDefault="001000B2" w:rsidP="00EA59F9">
      <w:pPr>
        <w:rPr>
          <w:lang w:val="en-US"/>
        </w:rPr>
      </w:pPr>
    </w:p>
    <w:p w14:paraId="4B5AB6B3" w14:textId="7379471A" w:rsidR="00D46F37" w:rsidRPr="00F05BD5" w:rsidRDefault="00D46F37" w:rsidP="00F05BD5">
      <w:pPr>
        <w:spacing w:line="360" w:lineRule="auto"/>
        <w:rPr>
          <w:rFonts w:ascii="Tahoma" w:hAnsi="Tahoma" w:cs="Tahoma"/>
          <w:b/>
          <w:bCs/>
          <w:sz w:val="24"/>
          <w:szCs w:val="24"/>
        </w:rPr>
      </w:pPr>
      <w:r w:rsidRPr="00F05BD5">
        <w:rPr>
          <w:rFonts w:ascii="Tahoma" w:hAnsi="Tahoma" w:cs="Tahoma"/>
          <w:b/>
          <w:bCs/>
          <w:sz w:val="24"/>
          <w:szCs w:val="24"/>
        </w:rPr>
        <w:lastRenderedPageBreak/>
        <w:t>Table of Contents</w:t>
      </w:r>
    </w:p>
    <w:p w14:paraId="1C34EDEF" w14:textId="4FF018F5" w:rsidR="00797969" w:rsidRPr="00797969" w:rsidRDefault="00D46F37">
      <w:pPr>
        <w:pStyle w:val="TOC1"/>
        <w:tabs>
          <w:tab w:val="right" w:leader="dot" w:pos="9016"/>
        </w:tabs>
        <w:rPr>
          <w:rFonts w:ascii="Tahoma" w:eastAsiaTheme="minorEastAsia" w:hAnsi="Tahoma" w:cs="Tahoma"/>
          <w:noProof/>
          <w:sz w:val="24"/>
          <w:szCs w:val="24"/>
          <w:lang w:val="en-GB" w:eastAsia="en-GB"/>
          <w14:ligatures w14:val="standardContextual"/>
        </w:rPr>
      </w:pPr>
      <w:r w:rsidRPr="00F05BD5">
        <w:rPr>
          <w:rFonts w:ascii="Tahoma" w:hAnsi="Tahoma" w:cs="Tahoma"/>
          <w:sz w:val="24"/>
          <w:szCs w:val="24"/>
        </w:rPr>
        <w:fldChar w:fldCharType="begin"/>
      </w:r>
      <w:r w:rsidRPr="00F05BD5">
        <w:rPr>
          <w:rFonts w:ascii="Tahoma" w:hAnsi="Tahoma" w:cs="Tahoma"/>
          <w:sz w:val="24"/>
          <w:szCs w:val="24"/>
        </w:rPr>
        <w:instrText xml:space="preserve"> TOC \o "1-3" \h \z \u </w:instrText>
      </w:r>
      <w:r w:rsidRPr="00F05BD5">
        <w:rPr>
          <w:rFonts w:ascii="Tahoma" w:hAnsi="Tahoma" w:cs="Tahoma"/>
          <w:sz w:val="24"/>
          <w:szCs w:val="24"/>
        </w:rPr>
        <w:fldChar w:fldCharType="separate"/>
      </w:r>
      <w:hyperlink w:anchor="_Toc188955349" w:history="1">
        <w:r w:rsidR="00797969" w:rsidRPr="00797969">
          <w:rPr>
            <w:rStyle w:val="Hyperlink"/>
            <w:rFonts w:ascii="Tahoma" w:hAnsi="Tahoma" w:cs="Tahoma"/>
            <w:noProof/>
            <w:sz w:val="24"/>
            <w:szCs w:val="24"/>
            <w:lang w:val="en-US"/>
          </w:rPr>
          <w:t>Executive Summary</w:t>
        </w:r>
        <w:r w:rsidR="00797969" w:rsidRPr="00797969">
          <w:rPr>
            <w:rFonts w:ascii="Tahoma" w:hAnsi="Tahoma" w:cs="Tahoma"/>
            <w:noProof/>
            <w:webHidden/>
            <w:sz w:val="24"/>
            <w:szCs w:val="24"/>
          </w:rPr>
          <w:tab/>
        </w:r>
        <w:r w:rsidR="00797969" w:rsidRPr="00797969">
          <w:rPr>
            <w:rFonts w:ascii="Tahoma" w:hAnsi="Tahoma" w:cs="Tahoma"/>
            <w:noProof/>
            <w:webHidden/>
            <w:sz w:val="24"/>
            <w:szCs w:val="24"/>
          </w:rPr>
          <w:fldChar w:fldCharType="begin"/>
        </w:r>
        <w:r w:rsidR="00797969" w:rsidRPr="00797969">
          <w:rPr>
            <w:rFonts w:ascii="Tahoma" w:hAnsi="Tahoma" w:cs="Tahoma"/>
            <w:noProof/>
            <w:webHidden/>
            <w:sz w:val="24"/>
            <w:szCs w:val="24"/>
          </w:rPr>
          <w:instrText xml:space="preserve"> PAGEREF _Toc188955349 \h </w:instrText>
        </w:r>
        <w:r w:rsidR="00797969" w:rsidRPr="00797969">
          <w:rPr>
            <w:rFonts w:ascii="Tahoma" w:hAnsi="Tahoma" w:cs="Tahoma"/>
            <w:noProof/>
            <w:webHidden/>
            <w:sz w:val="24"/>
            <w:szCs w:val="24"/>
          </w:rPr>
        </w:r>
        <w:r w:rsidR="00797969" w:rsidRPr="00797969">
          <w:rPr>
            <w:rFonts w:ascii="Tahoma" w:hAnsi="Tahoma" w:cs="Tahoma"/>
            <w:noProof/>
            <w:webHidden/>
            <w:sz w:val="24"/>
            <w:szCs w:val="24"/>
          </w:rPr>
          <w:fldChar w:fldCharType="separate"/>
        </w:r>
        <w:r w:rsidR="00797969" w:rsidRPr="00797969">
          <w:rPr>
            <w:rFonts w:ascii="Tahoma" w:hAnsi="Tahoma" w:cs="Tahoma"/>
            <w:noProof/>
            <w:webHidden/>
            <w:sz w:val="24"/>
            <w:szCs w:val="24"/>
          </w:rPr>
          <w:t>i</w:t>
        </w:r>
        <w:r w:rsidR="00797969" w:rsidRPr="00797969">
          <w:rPr>
            <w:rFonts w:ascii="Tahoma" w:hAnsi="Tahoma" w:cs="Tahoma"/>
            <w:noProof/>
            <w:webHidden/>
            <w:sz w:val="24"/>
            <w:szCs w:val="24"/>
          </w:rPr>
          <w:fldChar w:fldCharType="end"/>
        </w:r>
      </w:hyperlink>
    </w:p>
    <w:p w14:paraId="3598B8CD" w14:textId="6118445A" w:rsidR="00797969" w:rsidRPr="00797969" w:rsidRDefault="00797969">
      <w:pPr>
        <w:pStyle w:val="TOC1"/>
        <w:tabs>
          <w:tab w:val="right" w:leader="dot" w:pos="9016"/>
        </w:tabs>
        <w:rPr>
          <w:rFonts w:ascii="Tahoma" w:eastAsiaTheme="minorEastAsia" w:hAnsi="Tahoma" w:cs="Tahoma"/>
          <w:noProof/>
          <w:sz w:val="24"/>
          <w:szCs w:val="24"/>
          <w:lang w:val="en-GB" w:eastAsia="en-GB"/>
          <w14:ligatures w14:val="standardContextual"/>
        </w:rPr>
      </w:pPr>
      <w:hyperlink w:anchor="_Toc188955350" w:history="1">
        <w:r w:rsidRPr="00797969">
          <w:rPr>
            <w:rStyle w:val="Hyperlink"/>
            <w:rFonts w:ascii="Tahoma" w:hAnsi="Tahoma" w:cs="Tahoma"/>
            <w:noProof/>
            <w:sz w:val="24"/>
            <w:szCs w:val="24"/>
            <w:lang w:val="en-US"/>
          </w:rPr>
          <w:t>List of Tables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_Toc188955350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iv</w:t>
        </w:r>
        <w:r w:rsidRPr="00797969">
          <w:rPr>
            <w:rFonts w:ascii="Tahoma" w:hAnsi="Tahoma" w:cs="Tahoma"/>
            <w:noProof/>
            <w:webHidden/>
            <w:sz w:val="24"/>
            <w:szCs w:val="24"/>
          </w:rPr>
          <w:fldChar w:fldCharType="end"/>
        </w:r>
      </w:hyperlink>
    </w:p>
    <w:p w14:paraId="3EF6552F" w14:textId="52018FDB" w:rsidR="00797969" w:rsidRPr="00797969" w:rsidRDefault="00797969">
      <w:pPr>
        <w:pStyle w:val="TOC1"/>
        <w:tabs>
          <w:tab w:val="right" w:leader="dot" w:pos="9016"/>
        </w:tabs>
        <w:rPr>
          <w:rFonts w:ascii="Tahoma" w:eastAsiaTheme="minorEastAsia" w:hAnsi="Tahoma" w:cs="Tahoma"/>
          <w:noProof/>
          <w:sz w:val="24"/>
          <w:szCs w:val="24"/>
          <w:lang w:val="en-GB" w:eastAsia="en-GB"/>
          <w14:ligatures w14:val="standardContextual"/>
        </w:rPr>
      </w:pPr>
      <w:hyperlink w:anchor="_Toc188955351" w:history="1">
        <w:r w:rsidRPr="00797969">
          <w:rPr>
            <w:rStyle w:val="Hyperlink"/>
            <w:rFonts w:ascii="Tahoma" w:hAnsi="Tahoma" w:cs="Tahoma"/>
            <w:noProof/>
            <w:sz w:val="24"/>
            <w:szCs w:val="24"/>
            <w:lang w:val="en-US"/>
          </w:rPr>
          <w:t>List of Figures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_Toc188955351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v</w:t>
        </w:r>
        <w:r w:rsidRPr="00797969">
          <w:rPr>
            <w:rFonts w:ascii="Tahoma" w:hAnsi="Tahoma" w:cs="Tahoma"/>
            <w:noProof/>
            <w:webHidden/>
            <w:sz w:val="24"/>
            <w:szCs w:val="24"/>
          </w:rPr>
          <w:fldChar w:fldCharType="end"/>
        </w:r>
      </w:hyperlink>
    </w:p>
    <w:p w14:paraId="0B2EB535" w14:textId="30853565"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52" w:history="1">
        <w:r w:rsidRPr="00797969">
          <w:rPr>
            <w:rStyle w:val="Hyperlink"/>
            <w:rFonts w:ascii="Tahoma" w:hAnsi="Tahoma" w:cs="Tahoma"/>
            <w:noProof/>
            <w:sz w:val="24"/>
            <w:szCs w:val="24"/>
            <w:lang w:val="en-US"/>
          </w:rPr>
          <w:t>1.0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World Economic Developments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_Toc188955352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1</w:t>
        </w:r>
        <w:r w:rsidRPr="00797969">
          <w:rPr>
            <w:rFonts w:ascii="Tahoma" w:hAnsi="Tahoma" w:cs="Tahoma"/>
            <w:noProof/>
            <w:webHidden/>
            <w:sz w:val="24"/>
            <w:szCs w:val="24"/>
          </w:rPr>
          <w:fldChar w:fldCharType="end"/>
        </w:r>
      </w:hyperlink>
    </w:p>
    <w:p w14:paraId="19EA7086" w14:textId="5BF7A4E1" w:rsidR="00797969" w:rsidRPr="00797969" w:rsidRDefault="00797969">
      <w:pPr>
        <w:pStyle w:val="TOC2"/>
        <w:rPr>
          <w:rFonts w:eastAsiaTheme="minorEastAsia"/>
          <w:b w:val="0"/>
          <w:lang w:val="en-GB" w:eastAsia="en-GB"/>
          <w14:ligatures w14:val="standardContextual"/>
        </w:rPr>
      </w:pPr>
      <w:hyperlink w:anchor="_Toc188955353" w:history="1">
        <w:r w:rsidRPr="00797969">
          <w:rPr>
            <w:rStyle w:val="Hyperlink"/>
            <w:b w:val="0"/>
          </w:rPr>
          <w:t xml:space="preserve">1.1 </w:t>
        </w:r>
        <w:r w:rsidRPr="00797969">
          <w:rPr>
            <w:rFonts w:eastAsiaTheme="minorEastAsia"/>
            <w:b w:val="0"/>
            <w:lang w:val="en-GB" w:eastAsia="en-GB"/>
            <w14:ligatures w14:val="standardContextual"/>
          </w:rPr>
          <w:tab/>
        </w:r>
        <w:r w:rsidRPr="00797969">
          <w:rPr>
            <w:rStyle w:val="Hyperlink"/>
            <w:b w:val="0"/>
          </w:rPr>
          <w:t>World Output</w:t>
        </w:r>
        <w:r w:rsidRPr="00797969">
          <w:rPr>
            <w:b w:val="0"/>
            <w:webHidden/>
          </w:rPr>
          <w:tab/>
        </w:r>
        <w:r w:rsidRPr="00797969">
          <w:rPr>
            <w:b w:val="0"/>
            <w:webHidden/>
          </w:rPr>
          <w:fldChar w:fldCharType="begin"/>
        </w:r>
        <w:r w:rsidRPr="00797969">
          <w:rPr>
            <w:b w:val="0"/>
            <w:webHidden/>
          </w:rPr>
          <w:instrText xml:space="preserve"> PAGEREF _Toc188955353 \h </w:instrText>
        </w:r>
        <w:r w:rsidRPr="00797969">
          <w:rPr>
            <w:b w:val="0"/>
            <w:webHidden/>
          </w:rPr>
        </w:r>
        <w:r w:rsidRPr="00797969">
          <w:rPr>
            <w:b w:val="0"/>
            <w:webHidden/>
          </w:rPr>
          <w:fldChar w:fldCharType="separate"/>
        </w:r>
        <w:r w:rsidRPr="00797969">
          <w:rPr>
            <w:b w:val="0"/>
            <w:webHidden/>
          </w:rPr>
          <w:t>1</w:t>
        </w:r>
        <w:r w:rsidRPr="00797969">
          <w:rPr>
            <w:b w:val="0"/>
            <w:webHidden/>
          </w:rPr>
          <w:fldChar w:fldCharType="end"/>
        </w:r>
      </w:hyperlink>
    </w:p>
    <w:p w14:paraId="51EB75FB" w14:textId="2AC29BA3" w:rsidR="00797969" w:rsidRPr="00797969" w:rsidRDefault="00797969">
      <w:pPr>
        <w:pStyle w:val="TOC2"/>
        <w:rPr>
          <w:rFonts w:eastAsiaTheme="minorEastAsia"/>
          <w:b w:val="0"/>
          <w:lang w:val="en-GB" w:eastAsia="en-GB"/>
          <w14:ligatures w14:val="standardContextual"/>
        </w:rPr>
      </w:pPr>
      <w:hyperlink w:anchor="_Toc188955354" w:history="1">
        <w:r w:rsidRPr="00797969">
          <w:rPr>
            <w:rStyle w:val="Hyperlink"/>
            <w:b w:val="0"/>
          </w:rPr>
          <w:t>1.2</w:t>
        </w:r>
        <w:r w:rsidRPr="00797969">
          <w:rPr>
            <w:rFonts w:eastAsiaTheme="minorEastAsia"/>
            <w:b w:val="0"/>
            <w:lang w:val="en-GB" w:eastAsia="en-GB"/>
            <w14:ligatures w14:val="standardContextual"/>
          </w:rPr>
          <w:tab/>
        </w:r>
        <w:r w:rsidRPr="00797969">
          <w:rPr>
            <w:rStyle w:val="Hyperlink"/>
            <w:b w:val="0"/>
          </w:rPr>
          <w:t>Global Inflation Developments</w:t>
        </w:r>
        <w:r w:rsidRPr="00797969">
          <w:rPr>
            <w:b w:val="0"/>
            <w:webHidden/>
          </w:rPr>
          <w:tab/>
        </w:r>
        <w:r w:rsidRPr="00797969">
          <w:rPr>
            <w:b w:val="0"/>
            <w:webHidden/>
          </w:rPr>
          <w:fldChar w:fldCharType="begin"/>
        </w:r>
        <w:r w:rsidRPr="00797969">
          <w:rPr>
            <w:b w:val="0"/>
            <w:webHidden/>
          </w:rPr>
          <w:instrText xml:space="preserve"> PAGEREF _Toc188955354 \h </w:instrText>
        </w:r>
        <w:r w:rsidRPr="00797969">
          <w:rPr>
            <w:b w:val="0"/>
            <w:webHidden/>
          </w:rPr>
        </w:r>
        <w:r w:rsidRPr="00797969">
          <w:rPr>
            <w:b w:val="0"/>
            <w:webHidden/>
          </w:rPr>
          <w:fldChar w:fldCharType="separate"/>
        </w:r>
        <w:r w:rsidRPr="00797969">
          <w:rPr>
            <w:b w:val="0"/>
            <w:webHidden/>
          </w:rPr>
          <w:t>1</w:t>
        </w:r>
        <w:r w:rsidRPr="00797969">
          <w:rPr>
            <w:b w:val="0"/>
            <w:webHidden/>
          </w:rPr>
          <w:fldChar w:fldCharType="end"/>
        </w:r>
      </w:hyperlink>
    </w:p>
    <w:p w14:paraId="511A0BF4" w14:textId="03A89230"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55" w:history="1">
        <w:r w:rsidRPr="00797969">
          <w:rPr>
            <w:rStyle w:val="Hyperlink"/>
            <w:rFonts w:ascii="Tahoma" w:hAnsi="Tahoma" w:cs="Tahoma"/>
            <w:noProof/>
            <w:sz w:val="24"/>
            <w:szCs w:val="24"/>
            <w:lang w:val="en-US"/>
          </w:rPr>
          <w:t>2.0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International Commodity Prices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_Toc188955355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2</w:t>
        </w:r>
        <w:r w:rsidRPr="00797969">
          <w:rPr>
            <w:rFonts w:ascii="Tahoma" w:hAnsi="Tahoma" w:cs="Tahoma"/>
            <w:noProof/>
            <w:webHidden/>
            <w:sz w:val="24"/>
            <w:szCs w:val="24"/>
          </w:rPr>
          <w:fldChar w:fldCharType="end"/>
        </w:r>
      </w:hyperlink>
    </w:p>
    <w:p w14:paraId="6F496D73" w14:textId="4B0C7732"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56" w:history="1">
        <w:r w:rsidRPr="00797969">
          <w:rPr>
            <w:rStyle w:val="Hyperlink"/>
            <w:rFonts w:ascii="Tahoma" w:hAnsi="Tahoma" w:cs="Tahoma"/>
            <w:noProof/>
            <w:sz w:val="24"/>
            <w:szCs w:val="24"/>
            <w:lang w:val="en-US"/>
          </w:rPr>
          <w:t>3.0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Zimbabwe GDP Growth Update</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_Toc188955356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3</w:t>
        </w:r>
        <w:r w:rsidRPr="00797969">
          <w:rPr>
            <w:rFonts w:ascii="Tahoma" w:hAnsi="Tahoma" w:cs="Tahoma"/>
            <w:noProof/>
            <w:webHidden/>
            <w:sz w:val="24"/>
            <w:szCs w:val="24"/>
          </w:rPr>
          <w:fldChar w:fldCharType="end"/>
        </w:r>
      </w:hyperlink>
    </w:p>
    <w:p w14:paraId="6EF8BE80" w14:textId="0A5F7598"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57" w:history="1">
        <w:r w:rsidRPr="00797969">
          <w:rPr>
            <w:rStyle w:val="Hyperlink"/>
            <w:rFonts w:ascii="Tahoma" w:hAnsi="Tahoma" w:cs="Tahoma"/>
            <w:noProof/>
            <w:sz w:val="24"/>
            <w:szCs w:val="24"/>
            <w:lang w:val="en-US"/>
          </w:rPr>
          <w:t>4.0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Merchandise Trade Developments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_Toc188955357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3</w:t>
        </w:r>
        <w:r w:rsidRPr="00797969">
          <w:rPr>
            <w:rFonts w:ascii="Tahoma" w:hAnsi="Tahoma" w:cs="Tahoma"/>
            <w:noProof/>
            <w:webHidden/>
            <w:sz w:val="24"/>
            <w:szCs w:val="24"/>
          </w:rPr>
          <w:fldChar w:fldCharType="end"/>
        </w:r>
      </w:hyperlink>
    </w:p>
    <w:p w14:paraId="57B119BA" w14:textId="7F41A833"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58" w:history="1">
        <w:r w:rsidRPr="00797969">
          <w:rPr>
            <w:rStyle w:val="Hyperlink"/>
            <w:rFonts w:ascii="Tahoma" w:hAnsi="Tahoma" w:cs="Tahoma"/>
            <w:noProof/>
            <w:sz w:val="24"/>
            <w:szCs w:val="24"/>
            <w:lang w:val="en-US"/>
          </w:rPr>
          <w:t>5.0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Exchange Rate Developments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_Toc188955358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4</w:t>
        </w:r>
        <w:r w:rsidRPr="00797969">
          <w:rPr>
            <w:rFonts w:ascii="Tahoma" w:hAnsi="Tahoma" w:cs="Tahoma"/>
            <w:noProof/>
            <w:webHidden/>
            <w:sz w:val="24"/>
            <w:szCs w:val="24"/>
          </w:rPr>
          <w:fldChar w:fldCharType="end"/>
        </w:r>
      </w:hyperlink>
    </w:p>
    <w:p w14:paraId="4034DDB2" w14:textId="6BF8EA74" w:rsidR="00797969" w:rsidRPr="00797969" w:rsidRDefault="00797969">
      <w:pPr>
        <w:pStyle w:val="TOC2"/>
        <w:rPr>
          <w:rFonts w:eastAsiaTheme="minorEastAsia"/>
          <w:b w:val="0"/>
          <w:lang w:val="en-GB" w:eastAsia="en-GB"/>
          <w14:ligatures w14:val="standardContextual"/>
        </w:rPr>
      </w:pPr>
      <w:hyperlink w:anchor="_Toc188955359" w:history="1">
        <w:r w:rsidRPr="00797969">
          <w:rPr>
            <w:rStyle w:val="Hyperlink"/>
            <w:b w:val="0"/>
          </w:rPr>
          <w:t>5.1</w:t>
        </w:r>
        <w:r w:rsidRPr="00797969">
          <w:rPr>
            <w:rFonts w:eastAsiaTheme="minorEastAsia"/>
            <w:b w:val="0"/>
            <w:lang w:val="en-GB" w:eastAsia="en-GB"/>
            <w14:ligatures w14:val="standardContextual"/>
          </w:rPr>
          <w:tab/>
        </w:r>
        <w:r w:rsidRPr="00797969">
          <w:rPr>
            <w:rStyle w:val="Hyperlink"/>
            <w:b w:val="0"/>
          </w:rPr>
          <w:t>ZWG Exchange Rate Developments</w:t>
        </w:r>
        <w:r w:rsidRPr="00797969">
          <w:rPr>
            <w:b w:val="0"/>
            <w:webHidden/>
          </w:rPr>
          <w:tab/>
        </w:r>
        <w:r w:rsidRPr="00797969">
          <w:rPr>
            <w:b w:val="0"/>
            <w:webHidden/>
          </w:rPr>
          <w:fldChar w:fldCharType="begin"/>
        </w:r>
        <w:r w:rsidRPr="00797969">
          <w:rPr>
            <w:b w:val="0"/>
            <w:webHidden/>
          </w:rPr>
          <w:instrText xml:space="preserve"> PAGEREF _Toc188955359 \h </w:instrText>
        </w:r>
        <w:r w:rsidRPr="00797969">
          <w:rPr>
            <w:b w:val="0"/>
            <w:webHidden/>
          </w:rPr>
        </w:r>
        <w:r w:rsidRPr="00797969">
          <w:rPr>
            <w:b w:val="0"/>
            <w:webHidden/>
          </w:rPr>
          <w:fldChar w:fldCharType="separate"/>
        </w:r>
        <w:r w:rsidRPr="00797969">
          <w:rPr>
            <w:b w:val="0"/>
            <w:webHidden/>
          </w:rPr>
          <w:t>4</w:t>
        </w:r>
        <w:r w:rsidRPr="00797969">
          <w:rPr>
            <w:b w:val="0"/>
            <w:webHidden/>
          </w:rPr>
          <w:fldChar w:fldCharType="end"/>
        </w:r>
      </w:hyperlink>
    </w:p>
    <w:p w14:paraId="4729C96F" w14:textId="50FA0F9D" w:rsidR="00797969" w:rsidRPr="00797969" w:rsidRDefault="00797969">
      <w:pPr>
        <w:pStyle w:val="TOC2"/>
        <w:rPr>
          <w:rFonts w:eastAsiaTheme="minorEastAsia"/>
          <w:b w:val="0"/>
          <w:lang w:val="en-GB" w:eastAsia="en-GB"/>
          <w14:ligatures w14:val="standardContextual"/>
        </w:rPr>
      </w:pPr>
      <w:hyperlink w:anchor="_Toc188955360" w:history="1">
        <w:r w:rsidRPr="00797969">
          <w:rPr>
            <w:rStyle w:val="Hyperlink"/>
            <w:b w:val="0"/>
          </w:rPr>
          <w:t>5.2</w:t>
        </w:r>
        <w:r w:rsidRPr="00797969">
          <w:rPr>
            <w:rFonts w:eastAsiaTheme="minorEastAsia"/>
            <w:b w:val="0"/>
            <w:lang w:val="en-GB" w:eastAsia="en-GB"/>
            <w14:ligatures w14:val="standardContextual"/>
          </w:rPr>
          <w:tab/>
        </w:r>
        <w:r w:rsidRPr="00797969">
          <w:rPr>
            <w:rStyle w:val="Hyperlink"/>
            <w:b w:val="0"/>
          </w:rPr>
          <w:t>Parallel Market Developments</w:t>
        </w:r>
        <w:r w:rsidRPr="00797969">
          <w:rPr>
            <w:b w:val="0"/>
            <w:webHidden/>
          </w:rPr>
          <w:tab/>
        </w:r>
        <w:r w:rsidRPr="00797969">
          <w:rPr>
            <w:b w:val="0"/>
            <w:webHidden/>
          </w:rPr>
          <w:fldChar w:fldCharType="begin"/>
        </w:r>
        <w:r w:rsidRPr="00797969">
          <w:rPr>
            <w:b w:val="0"/>
            <w:webHidden/>
          </w:rPr>
          <w:instrText xml:space="preserve"> PAGEREF _Toc188955360 \h </w:instrText>
        </w:r>
        <w:r w:rsidRPr="00797969">
          <w:rPr>
            <w:b w:val="0"/>
            <w:webHidden/>
          </w:rPr>
        </w:r>
        <w:r w:rsidRPr="00797969">
          <w:rPr>
            <w:b w:val="0"/>
            <w:webHidden/>
          </w:rPr>
          <w:fldChar w:fldCharType="separate"/>
        </w:r>
        <w:r w:rsidRPr="00797969">
          <w:rPr>
            <w:b w:val="0"/>
            <w:webHidden/>
          </w:rPr>
          <w:t>5</w:t>
        </w:r>
        <w:r w:rsidRPr="00797969">
          <w:rPr>
            <w:b w:val="0"/>
            <w:webHidden/>
          </w:rPr>
          <w:fldChar w:fldCharType="end"/>
        </w:r>
      </w:hyperlink>
    </w:p>
    <w:p w14:paraId="29218403" w14:textId="384063A2" w:rsidR="00797969" w:rsidRPr="00797969" w:rsidRDefault="00797969">
      <w:pPr>
        <w:pStyle w:val="TOC2"/>
        <w:rPr>
          <w:rFonts w:eastAsiaTheme="minorEastAsia"/>
          <w:b w:val="0"/>
          <w:lang w:val="en-GB" w:eastAsia="en-GB"/>
          <w14:ligatures w14:val="standardContextual"/>
        </w:rPr>
      </w:pPr>
      <w:hyperlink w:anchor="_Toc188955361" w:history="1">
        <w:r w:rsidRPr="00797969">
          <w:rPr>
            <w:rStyle w:val="Hyperlink"/>
            <w:b w:val="0"/>
          </w:rPr>
          <w:t>5.3</w:t>
        </w:r>
        <w:r w:rsidRPr="00797969">
          <w:rPr>
            <w:rFonts w:eastAsiaTheme="minorEastAsia"/>
            <w:b w:val="0"/>
            <w:lang w:val="en-GB" w:eastAsia="en-GB"/>
            <w14:ligatures w14:val="standardContextual"/>
          </w:rPr>
          <w:tab/>
        </w:r>
        <w:r w:rsidRPr="00797969">
          <w:rPr>
            <w:rStyle w:val="Hyperlink"/>
            <w:b w:val="0"/>
          </w:rPr>
          <w:t>Cross Rate Developments</w:t>
        </w:r>
        <w:r w:rsidRPr="00797969">
          <w:rPr>
            <w:b w:val="0"/>
            <w:webHidden/>
          </w:rPr>
          <w:tab/>
        </w:r>
        <w:r w:rsidRPr="00797969">
          <w:rPr>
            <w:b w:val="0"/>
            <w:webHidden/>
          </w:rPr>
          <w:fldChar w:fldCharType="begin"/>
        </w:r>
        <w:r w:rsidRPr="00797969">
          <w:rPr>
            <w:b w:val="0"/>
            <w:webHidden/>
          </w:rPr>
          <w:instrText xml:space="preserve"> PAGEREF _Toc188955361 \h </w:instrText>
        </w:r>
        <w:r w:rsidRPr="00797969">
          <w:rPr>
            <w:b w:val="0"/>
            <w:webHidden/>
          </w:rPr>
        </w:r>
        <w:r w:rsidRPr="00797969">
          <w:rPr>
            <w:b w:val="0"/>
            <w:webHidden/>
          </w:rPr>
          <w:fldChar w:fldCharType="separate"/>
        </w:r>
        <w:r w:rsidRPr="00797969">
          <w:rPr>
            <w:b w:val="0"/>
            <w:webHidden/>
          </w:rPr>
          <w:t>5</w:t>
        </w:r>
        <w:r w:rsidRPr="00797969">
          <w:rPr>
            <w:b w:val="0"/>
            <w:webHidden/>
          </w:rPr>
          <w:fldChar w:fldCharType="end"/>
        </w:r>
      </w:hyperlink>
    </w:p>
    <w:p w14:paraId="05D23505" w14:textId="5689B22A"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62" w:history="1">
        <w:r w:rsidRPr="00797969">
          <w:rPr>
            <w:rStyle w:val="Hyperlink"/>
            <w:rFonts w:ascii="Tahoma" w:hAnsi="Tahoma" w:cs="Tahoma"/>
            <w:noProof/>
            <w:sz w:val="24"/>
            <w:szCs w:val="24"/>
            <w:lang w:val="en-US"/>
          </w:rPr>
          <w:t>6.0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Inflation Developments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_Toc188955362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6</w:t>
        </w:r>
        <w:r w:rsidRPr="00797969">
          <w:rPr>
            <w:rFonts w:ascii="Tahoma" w:hAnsi="Tahoma" w:cs="Tahoma"/>
            <w:noProof/>
            <w:webHidden/>
            <w:sz w:val="24"/>
            <w:szCs w:val="24"/>
          </w:rPr>
          <w:fldChar w:fldCharType="end"/>
        </w:r>
      </w:hyperlink>
    </w:p>
    <w:p w14:paraId="6C48B0B1" w14:textId="6A4F2F19"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63" w:history="1">
        <w:r w:rsidRPr="00797969">
          <w:rPr>
            <w:rStyle w:val="Hyperlink"/>
            <w:rFonts w:ascii="Tahoma" w:hAnsi="Tahoma" w:cs="Tahoma"/>
            <w:noProof/>
            <w:sz w:val="24"/>
            <w:szCs w:val="24"/>
            <w:lang w:val="en-US"/>
          </w:rPr>
          <w:t>7.0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Monetary Developments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_Toc188955363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7</w:t>
        </w:r>
        <w:r w:rsidRPr="00797969">
          <w:rPr>
            <w:rFonts w:ascii="Tahoma" w:hAnsi="Tahoma" w:cs="Tahoma"/>
            <w:noProof/>
            <w:webHidden/>
            <w:sz w:val="24"/>
            <w:szCs w:val="24"/>
          </w:rPr>
          <w:fldChar w:fldCharType="end"/>
        </w:r>
      </w:hyperlink>
    </w:p>
    <w:p w14:paraId="3BAF7920" w14:textId="2DBE852E" w:rsidR="00797969" w:rsidRPr="00797969" w:rsidRDefault="00797969">
      <w:pPr>
        <w:pStyle w:val="TOC2"/>
        <w:rPr>
          <w:rFonts w:eastAsiaTheme="minorEastAsia"/>
          <w:b w:val="0"/>
          <w:lang w:val="en-GB" w:eastAsia="en-GB"/>
          <w14:ligatures w14:val="standardContextual"/>
        </w:rPr>
      </w:pPr>
      <w:hyperlink w:anchor="_Toc188955364" w:history="1">
        <w:r w:rsidRPr="00797969">
          <w:rPr>
            <w:rStyle w:val="Hyperlink"/>
            <w:b w:val="0"/>
          </w:rPr>
          <w:t>7.1</w:t>
        </w:r>
        <w:r w:rsidRPr="00797969">
          <w:rPr>
            <w:rFonts w:eastAsiaTheme="minorEastAsia"/>
            <w:b w:val="0"/>
            <w:lang w:val="en-GB" w:eastAsia="en-GB"/>
            <w14:ligatures w14:val="standardContextual"/>
          </w:rPr>
          <w:tab/>
        </w:r>
        <w:r w:rsidRPr="00797969">
          <w:rPr>
            <w:rStyle w:val="Hyperlink"/>
            <w:b w:val="0"/>
          </w:rPr>
          <w:t>Money Supply</w:t>
        </w:r>
        <w:r w:rsidRPr="00797969">
          <w:rPr>
            <w:b w:val="0"/>
            <w:webHidden/>
          </w:rPr>
          <w:tab/>
        </w:r>
        <w:r w:rsidRPr="00797969">
          <w:rPr>
            <w:b w:val="0"/>
            <w:webHidden/>
          </w:rPr>
          <w:fldChar w:fldCharType="begin"/>
        </w:r>
        <w:r w:rsidRPr="00797969">
          <w:rPr>
            <w:b w:val="0"/>
            <w:webHidden/>
          </w:rPr>
          <w:instrText xml:space="preserve"> PAGEREF _Toc188955364 \h </w:instrText>
        </w:r>
        <w:r w:rsidRPr="00797969">
          <w:rPr>
            <w:b w:val="0"/>
            <w:webHidden/>
          </w:rPr>
        </w:r>
        <w:r w:rsidRPr="00797969">
          <w:rPr>
            <w:b w:val="0"/>
            <w:webHidden/>
          </w:rPr>
          <w:fldChar w:fldCharType="separate"/>
        </w:r>
        <w:r w:rsidRPr="00797969">
          <w:rPr>
            <w:b w:val="0"/>
            <w:webHidden/>
          </w:rPr>
          <w:t>7</w:t>
        </w:r>
        <w:r w:rsidRPr="00797969">
          <w:rPr>
            <w:b w:val="0"/>
            <w:webHidden/>
          </w:rPr>
          <w:fldChar w:fldCharType="end"/>
        </w:r>
      </w:hyperlink>
    </w:p>
    <w:p w14:paraId="55C6A028" w14:textId="64809DF6" w:rsidR="00797969" w:rsidRPr="00797969" w:rsidRDefault="00797969">
      <w:pPr>
        <w:pStyle w:val="TOC2"/>
        <w:rPr>
          <w:rFonts w:eastAsiaTheme="minorEastAsia"/>
          <w:b w:val="0"/>
          <w:lang w:val="en-GB" w:eastAsia="en-GB"/>
          <w14:ligatures w14:val="standardContextual"/>
        </w:rPr>
      </w:pPr>
      <w:hyperlink w:anchor="_Toc188955365" w:history="1">
        <w:r w:rsidRPr="00797969">
          <w:rPr>
            <w:rStyle w:val="Hyperlink"/>
            <w:b w:val="0"/>
          </w:rPr>
          <w:t>7.2</w:t>
        </w:r>
        <w:r w:rsidRPr="00797969">
          <w:rPr>
            <w:rFonts w:eastAsiaTheme="minorEastAsia"/>
            <w:b w:val="0"/>
            <w:lang w:val="en-GB" w:eastAsia="en-GB"/>
            <w14:ligatures w14:val="standardContextual"/>
          </w:rPr>
          <w:tab/>
        </w:r>
        <w:r w:rsidRPr="00797969">
          <w:rPr>
            <w:rStyle w:val="Hyperlink"/>
            <w:b w:val="0"/>
          </w:rPr>
          <w:t>Interest Rates</w:t>
        </w:r>
        <w:r w:rsidRPr="00797969">
          <w:rPr>
            <w:b w:val="0"/>
            <w:webHidden/>
          </w:rPr>
          <w:tab/>
        </w:r>
        <w:r w:rsidRPr="00797969">
          <w:rPr>
            <w:b w:val="0"/>
            <w:webHidden/>
          </w:rPr>
          <w:fldChar w:fldCharType="begin"/>
        </w:r>
        <w:r w:rsidRPr="00797969">
          <w:rPr>
            <w:b w:val="0"/>
            <w:webHidden/>
          </w:rPr>
          <w:instrText xml:space="preserve"> PAGEREF _Toc188955365 \h </w:instrText>
        </w:r>
        <w:r w:rsidRPr="00797969">
          <w:rPr>
            <w:b w:val="0"/>
            <w:webHidden/>
          </w:rPr>
        </w:r>
        <w:r w:rsidRPr="00797969">
          <w:rPr>
            <w:b w:val="0"/>
            <w:webHidden/>
          </w:rPr>
          <w:fldChar w:fldCharType="separate"/>
        </w:r>
        <w:r w:rsidRPr="00797969">
          <w:rPr>
            <w:b w:val="0"/>
            <w:webHidden/>
          </w:rPr>
          <w:t>8</w:t>
        </w:r>
        <w:r w:rsidRPr="00797969">
          <w:rPr>
            <w:b w:val="0"/>
            <w:webHidden/>
          </w:rPr>
          <w:fldChar w:fldCharType="end"/>
        </w:r>
      </w:hyperlink>
    </w:p>
    <w:p w14:paraId="3FFB0F13" w14:textId="2A398C8F"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66" w:history="1">
        <w:r w:rsidRPr="00797969">
          <w:rPr>
            <w:rStyle w:val="Hyperlink"/>
            <w:rFonts w:ascii="Tahoma" w:hAnsi="Tahoma" w:cs="Tahoma"/>
            <w:noProof/>
            <w:sz w:val="24"/>
            <w:szCs w:val="24"/>
            <w:lang w:val="en-US"/>
          </w:rPr>
          <w:t>8.0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Stock Market Developments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_Toc188955366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8</w:t>
        </w:r>
        <w:r w:rsidRPr="00797969">
          <w:rPr>
            <w:rFonts w:ascii="Tahoma" w:hAnsi="Tahoma" w:cs="Tahoma"/>
            <w:noProof/>
            <w:webHidden/>
            <w:sz w:val="24"/>
            <w:szCs w:val="24"/>
          </w:rPr>
          <w:fldChar w:fldCharType="end"/>
        </w:r>
      </w:hyperlink>
    </w:p>
    <w:p w14:paraId="1D7E1F00" w14:textId="0FF5E116" w:rsidR="00797969" w:rsidRPr="00797969" w:rsidRDefault="00797969">
      <w:pPr>
        <w:pStyle w:val="TOC2"/>
        <w:rPr>
          <w:rFonts w:eastAsiaTheme="minorEastAsia"/>
          <w:b w:val="0"/>
          <w:lang w:val="en-GB" w:eastAsia="en-GB"/>
          <w14:ligatures w14:val="standardContextual"/>
        </w:rPr>
      </w:pPr>
      <w:hyperlink w:anchor="_Toc188955367" w:history="1">
        <w:r w:rsidRPr="00797969">
          <w:rPr>
            <w:rStyle w:val="Hyperlink"/>
            <w:b w:val="0"/>
          </w:rPr>
          <w:t>8.1</w:t>
        </w:r>
        <w:r w:rsidRPr="00797969">
          <w:rPr>
            <w:rFonts w:eastAsiaTheme="minorEastAsia"/>
            <w:b w:val="0"/>
            <w:lang w:val="en-GB" w:eastAsia="en-GB"/>
            <w14:ligatures w14:val="standardContextual"/>
          </w:rPr>
          <w:tab/>
        </w:r>
        <w:r w:rsidRPr="00797969">
          <w:rPr>
            <w:rStyle w:val="Hyperlink"/>
            <w:b w:val="0"/>
          </w:rPr>
          <w:t>Zimbabwe Stock Exchange (ZSE)</w:t>
        </w:r>
        <w:r w:rsidRPr="00797969">
          <w:rPr>
            <w:b w:val="0"/>
            <w:webHidden/>
          </w:rPr>
          <w:tab/>
        </w:r>
        <w:r w:rsidRPr="00797969">
          <w:rPr>
            <w:b w:val="0"/>
            <w:webHidden/>
          </w:rPr>
          <w:fldChar w:fldCharType="begin"/>
        </w:r>
        <w:r w:rsidRPr="00797969">
          <w:rPr>
            <w:b w:val="0"/>
            <w:webHidden/>
          </w:rPr>
          <w:instrText xml:space="preserve"> PAGEREF _Toc188955367 \h </w:instrText>
        </w:r>
        <w:r w:rsidRPr="00797969">
          <w:rPr>
            <w:b w:val="0"/>
            <w:webHidden/>
          </w:rPr>
        </w:r>
        <w:r w:rsidRPr="00797969">
          <w:rPr>
            <w:b w:val="0"/>
            <w:webHidden/>
          </w:rPr>
          <w:fldChar w:fldCharType="separate"/>
        </w:r>
        <w:r w:rsidRPr="00797969">
          <w:rPr>
            <w:b w:val="0"/>
            <w:webHidden/>
          </w:rPr>
          <w:t>8</w:t>
        </w:r>
        <w:r w:rsidRPr="00797969">
          <w:rPr>
            <w:b w:val="0"/>
            <w:webHidden/>
          </w:rPr>
          <w:fldChar w:fldCharType="end"/>
        </w:r>
      </w:hyperlink>
    </w:p>
    <w:p w14:paraId="0A780757" w14:textId="5B64149C" w:rsidR="00797969" w:rsidRPr="00797969" w:rsidRDefault="00797969">
      <w:pPr>
        <w:pStyle w:val="TOC2"/>
        <w:rPr>
          <w:rFonts w:eastAsiaTheme="minorEastAsia"/>
          <w:b w:val="0"/>
          <w:lang w:val="en-GB" w:eastAsia="en-GB"/>
          <w14:ligatures w14:val="standardContextual"/>
        </w:rPr>
      </w:pPr>
      <w:hyperlink w:anchor="_Toc188955368" w:history="1">
        <w:r w:rsidRPr="00797969">
          <w:rPr>
            <w:rStyle w:val="Hyperlink"/>
            <w:b w:val="0"/>
          </w:rPr>
          <w:t>8.2</w:t>
        </w:r>
        <w:r w:rsidRPr="00797969">
          <w:rPr>
            <w:rFonts w:eastAsiaTheme="minorEastAsia"/>
            <w:b w:val="0"/>
            <w:lang w:val="en-GB" w:eastAsia="en-GB"/>
            <w14:ligatures w14:val="standardContextual"/>
          </w:rPr>
          <w:tab/>
        </w:r>
        <w:r w:rsidRPr="00797969">
          <w:rPr>
            <w:rStyle w:val="Hyperlink"/>
            <w:b w:val="0"/>
          </w:rPr>
          <w:t>Victoria Falls Stock Exchange (VFEX)</w:t>
        </w:r>
        <w:r w:rsidRPr="00797969">
          <w:rPr>
            <w:b w:val="0"/>
            <w:webHidden/>
          </w:rPr>
          <w:tab/>
        </w:r>
        <w:r w:rsidRPr="00797969">
          <w:rPr>
            <w:b w:val="0"/>
            <w:webHidden/>
          </w:rPr>
          <w:fldChar w:fldCharType="begin"/>
        </w:r>
        <w:r w:rsidRPr="00797969">
          <w:rPr>
            <w:b w:val="0"/>
            <w:webHidden/>
          </w:rPr>
          <w:instrText xml:space="preserve"> PAGEREF _Toc188955368 \h </w:instrText>
        </w:r>
        <w:r w:rsidRPr="00797969">
          <w:rPr>
            <w:b w:val="0"/>
            <w:webHidden/>
          </w:rPr>
        </w:r>
        <w:r w:rsidRPr="00797969">
          <w:rPr>
            <w:b w:val="0"/>
            <w:webHidden/>
          </w:rPr>
          <w:fldChar w:fldCharType="separate"/>
        </w:r>
        <w:r w:rsidRPr="00797969">
          <w:rPr>
            <w:b w:val="0"/>
            <w:webHidden/>
          </w:rPr>
          <w:t>9</w:t>
        </w:r>
        <w:r w:rsidRPr="00797969">
          <w:rPr>
            <w:b w:val="0"/>
            <w:webHidden/>
          </w:rPr>
          <w:fldChar w:fldCharType="end"/>
        </w:r>
      </w:hyperlink>
    </w:p>
    <w:p w14:paraId="39BE3AE5" w14:textId="198B4744" w:rsidR="00797969" w:rsidRPr="00797969" w:rsidRDefault="00797969">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8955369" w:history="1">
        <w:r w:rsidRPr="00797969">
          <w:rPr>
            <w:rStyle w:val="Hyperlink"/>
            <w:rFonts w:ascii="Tahoma" w:hAnsi="Tahoma" w:cs="Tahoma"/>
            <w:noProof/>
            <w:sz w:val="24"/>
            <w:szCs w:val="24"/>
            <w:lang w:val="en-US"/>
          </w:rPr>
          <w:t>9.0</w:t>
        </w:r>
        <w:r w:rsidRPr="00797969">
          <w:rPr>
            <w:rFonts w:ascii="Tahoma" w:eastAsiaTheme="minorEastAsia" w:hAnsi="Tahoma" w:cs="Tahoma"/>
            <w:noProof/>
            <w:sz w:val="24"/>
            <w:szCs w:val="24"/>
            <w:lang w:val="en-GB" w:eastAsia="en-GB"/>
            <w14:ligatures w14:val="standardContextual"/>
          </w:rPr>
          <w:tab/>
        </w:r>
        <w:r w:rsidRPr="00797969">
          <w:rPr>
            <w:rStyle w:val="Hyperlink"/>
            <w:rFonts w:ascii="Tahoma" w:hAnsi="Tahoma" w:cs="Tahoma"/>
            <w:noProof/>
            <w:sz w:val="24"/>
            <w:szCs w:val="24"/>
            <w:lang w:val="en-US"/>
          </w:rPr>
          <w:t>Recommendations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_Toc188955369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10</w:t>
        </w:r>
        <w:r w:rsidRPr="00797969">
          <w:rPr>
            <w:rFonts w:ascii="Tahoma" w:hAnsi="Tahoma" w:cs="Tahoma"/>
            <w:noProof/>
            <w:webHidden/>
            <w:sz w:val="24"/>
            <w:szCs w:val="24"/>
          </w:rPr>
          <w:fldChar w:fldCharType="end"/>
        </w:r>
      </w:hyperlink>
    </w:p>
    <w:p w14:paraId="51E63610" w14:textId="65E7599A" w:rsidR="00797969" w:rsidRDefault="00797969">
      <w:pPr>
        <w:pStyle w:val="TOC1"/>
        <w:tabs>
          <w:tab w:val="right" w:leader="dot" w:pos="9016"/>
        </w:tabs>
        <w:rPr>
          <w:rFonts w:asciiTheme="minorHAnsi" w:eastAsiaTheme="minorEastAsia" w:hAnsiTheme="minorHAnsi" w:cstheme="minorBidi"/>
          <w:noProof/>
          <w:sz w:val="24"/>
          <w:szCs w:val="24"/>
          <w:lang w:val="en-GB" w:eastAsia="en-GB"/>
          <w14:ligatures w14:val="standardContextual"/>
        </w:rPr>
      </w:pPr>
      <w:hyperlink w:anchor="_Toc188955370" w:history="1">
        <w:r w:rsidRPr="00797969">
          <w:rPr>
            <w:rStyle w:val="Hyperlink"/>
            <w:rFonts w:ascii="Tahoma" w:hAnsi="Tahoma" w:cs="Tahoma"/>
            <w:noProof/>
            <w:sz w:val="24"/>
            <w:szCs w:val="24"/>
          </w:rPr>
          <w:t>References</w:t>
        </w:r>
        <w:r w:rsidRPr="00797969">
          <w:rPr>
            <w:rFonts w:ascii="Tahoma" w:hAnsi="Tahoma" w:cs="Tahoma"/>
            <w:noProof/>
            <w:webHidden/>
            <w:sz w:val="24"/>
            <w:szCs w:val="24"/>
          </w:rPr>
          <w:tab/>
        </w:r>
        <w:r w:rsidRPr="00797969">
          <w:rPr>
            <w:rFonts w:ascii="Tahoma" w:hAnsi="Tahoma" w:cs="Tahoma"/>
            <w:noProof/>
            <w:webHidden/>
            <w:sz w:val="24"/>
            <w:szCs w:val="24"/>
          </w:rPr>
          <w:fldChar w:fldCharType="begin"/>
        </w:r>
        <w:r w:rsidRPr="00797969">
          <w:rPr>
            <w:rFonts w:ascii="Tahoma" w:hAnsi="Tahoma" w:cs="Tahoma"/>
            <w:noProof/>
            <w:webHidden/>
            <w:sz w:val="24"/>
            <w:szCs w:val="24"/>
          </w:rPr>
          <w:instrText xml:space="preserve"> PAGEREF _Toc188955370 \h </w:instrText>
        </w:r>
        <w:r w:rsidRPr="00797969">
          <w:rPr>
            <w:rFonts w:ascii="Tahoma" w:hAnsi="Tahoma" w:cs="Tahoma"/>
            <w:noProof/>
            <w:webHidden/>
            <w:sz w:val="24"/>
            <w:szCs w:val="24"/>
          </w:rPr>
        </w:r>
        <w:r w:rsidRPr="00797969">
          <w:rPr>
            <w:rFonts w:ascii="Tahoma" w:hAnsi="Tahoma" w:cs="Tahoma"/>
            <w:noProof/>
            <w:webHidden/>
            <w:sz w:val="24"/>
            <w:szCs w:val="24"/>
          </w:rPr>
          <w:fldChar w:fldCharType="separate"/>
        </w:r>
        <w:r w:rsidRPr="00797969">
          <w:rPr>
            <w:rFonts w:ascii="Tahoma" w:hAnsi="Tahoma" w:cs="Tahoma"/>
            <w:noProof/>
            <w:webHidden/>
            <w:sz w:val="24"/>
            <w:szCs w:val="24"/>
          </w:rPr>
          <w:t>12</w:t>
        </w:r>
        <w:r w:rsidRPr="00797969">
          <w:rPr>
            <w:rFonts w:ascii="Tahoma" w:hAnsi="Tahoma" w:cs="Tahoma"/>
            <w:noProof/>
            <w:webHidden/>
            <w:sz w:val="24"/>
            <w:szCs w:val="24"/>
          </w:rPr>
          <w:fldChar w:fldCharType="end"/>
        </w:r>
      </w:hyperlink>
    </w:p>
    <w:p w14:paraId="05A57219" w14:textId="07B4D99C" w:rsidR="00D46F37" w:rsidRPr="00F05BD5" w:rsidRDefault="00D46F37" w:rsidP="00F05BD5">
      <w:pPr>
        <w:jc w:val="both"/>
      </w:pPr>
      <w:r w:rsidRPr="00F05BD5">
        <w:rPr>
          <w:rFonts w:ascii="Tahoma" w:hAnsi="Tahoma" w:cs="Tahoma"/>
          <w:noProof/>
          <w:sz w:val="24"/>
          <w:szCs w:val="24"/>
        </w:rPr>
        <w:fldChar w:fldCharType="end"/>
      </w:r>
    </w:p>
    <w:p w14:paraId="3716E9F9" w14:textId="77777777" w:rsidR="00D46F37" w:rsidRDefault="00D46F37" w:rsidP="00D46F37">
      <w:pPr>
        <w:rPr>
          <w:lang w:val="en-US"/>
        </w:rPr>
      </w:pPr>
    </w:p>
    <w:p w14:paraId="051AB47A" w14:textId="77777777" w:rsidR="00D46F37" w:rsidRDefault="00D46F37" w:rsidP="00D46F37">
      <w:pPr>
        <w:rPr>
          <w:lang w:val="en-US"/>
        </w:rPr>
      </w:pPr>
    </w:p>
    <w:p w14:paraId="6C8A5694" w14:textId="77777777" w:rsidR="00D46F37" w:rsidRDefault="00D46F37" w:rsidP="00D46F37">
      <w:pPr>
        <w:rPr>
          <w:lang w:val="en-US"/>
        </w:rPr>
      </w:pPr>
    </w:p>
    <w:p w14:paraId="122856B1" w14:textId="77777777" w:rsidR="00D46F37" w:rsidRDefault="00D46F37" w:rsidP="00D46F37">
      <w:pPr>
        <w:rPr>
          <w:lang w:val="en-US"/>
        </w:rPr>
      </w:pPr>
    </w:p>
    <w:p w14:paraId="30927F92" w14:textId="77777777" w:rsidR="00D46F37" w:rsidRDefault="00D46F37" w:rsidP="00D46F37">
      <w:pPr>
        <w:rPr>
          <w:lang w:val="en-US"/>
        </w:rPr>
      </w:pPr>
    </w:p>
    <w:p w14:paraId="27499881" w14:textId="77777777" w:rsidR="00463A60" w:rsidRDefault="00463A60" w:rsidP="00D46F37">
      <w:pPr>
        <w:rPr>
          <w:lang w:val="en-US"/>
        </w:rPr>
      </w:pPr>
    </w:p>
    <w:p w14:paraId="514E28D7" w14:textId="77777777" w:rsidR="00463A60" w:rsidRDefault="00463A60" w:rsidP="00D46F37">
      <w:pPr>
        <w:rPr>
          <w:lang w:val="en-US"/>
        </w:rPr>
      </w:pPr>
    </w:p>
    <w:p w14:paraId="7F34D183" w14:textId="77777777" w:rsidR="00A26B7B" w:rsidRDefault="00A26B7B" w:rsidP="00D46F37">
      <w:pPr>
        <w:rPr>
          <w:lang w:val="en-US"/>
        </w:rPr>
      </w:pPr>
    </w:p>
    <w:p w14:paraId="285687C0" w14:textId="77777777" w:rsidR="00D46F37" w:rsidRDefault="00D46F37" w:rsidP="00D46F37">
      <w:pPr>
        <w:rPr>
          <w:lang w:val="en-US"/>
        </w:rPr>
      </w:pPr>
    </w:p>
    <w:p w14:paraId="2CFE9466" w14:textId="77777777" w:rsidR="00D46F37" w:rsidRDefault="00D46F37" w:rsidP="00D46F37">
      <w:pPr>
        <w:rPr>
          <w:lang w:val="en-US"/>
        </w:rPr>
      </w:pPr>
    </w:p>
    <w:p w14:paraId="3D8FCB05" w14:textId="77777777" w:rsidR="00732393" w:rsidRPr="00797969" w:rsidRDefault="00F67469" w:rsidP="00797969">
      <w:pPr>
        <w:pStyle w:val="Heading1"/>
        <w:spacing w:before="0" w:after="240"/>
        <w:rPr>
          <w:rFonts w:cs="Tahoma"/>
          <w:bCs/>
          <w:color w:val="000000"/>
          <w:szCs w:val="24"/>
          <w:lang w:val="en-US"/>
        </w:rPr>
      </w:pPr>
      <w:bookmarkStart w:id="2" w:name="_Toc188955350"/>
      <w:r w:rsidRPr="00797969">
        <w:rPr>
          <w:rFonts w:cs="Tahoma"/>
          <w:bCs/>
          <w:color w:val="000000"/>
          <w:szCs w:val="24"/>
          <w:lang w:val="en-US"/>
        </w:rPr>
        <w:t xml:space="preserve">List of </w:t>
      </w:r>
      <w:r w:rsidR="009744EB" w:rsidRPr="00797969">
        <w:rPr>
          <w:rFonts w:cs="Tahoma"/>
          <w:bCs/>
          <w:color w:val="000000"/>
          <w:szCs w:val="24"/>
          <w:lang w:val="en-US"/>
        </w:rPr>
        <w:t>Tables</w:t>
      </w:r>
      <w:bookmarkEnd w:id="2"/>
      <w:r w:rsidRPr="00797969">
        <w:rPr>
          <w:rFonts w:cs="Tahoma"/>
          <w:bCs/>
          <w:color w:val="000000"/>
          <w:szCs w:val="24"/>
          <w:lang w:val="en-US"/>
        </w:rPr>
        <w:t xml:space="preserve"> </w:t>
      </w:r>
    </w:p>
    <w:p w14:paraId="4F913BE6" w14:textId="3A0175AF" w:rsidR="00BF727A" w:rsidRPr="00BF727A" w:rsidRDefault="00E36073">
      <w:pPr>
        <w:pStyle w:val="TableofFigures"/>
        <w:tabs>
          <w:tab w:val="right" w:leader="dot" w:pos="9016"/>
        </w:tabs>
        <w:rPr>
          <w:rFonts w:ascii="Tahoma" w:eastAsiaTheme="minorEastAsia" w:hAnsi="Tahoma" w:cs="Tahoma"/>
          <w:noProof/>
          <w:sz w:val="24"/>
          <w:szCs w:val="24"/>
          <w:lang w:eastAsia="en-ZW"/>
          <w14:ligatures w14:val="standardContextual"/>
        </w:rPr>
      </w:pPr>
      <w:r w:rsidRPr="004D35AC">
        <w:rPr>
          <w:rFonts w:ascii="Tahoma" w:hAnsi="Tahoma" w:cs="Tahoma"/>
          <w:b/>
          <w:iCs/>
          <w:sz w:val="24"/>
          <w:szCs w:val="24"/>
          <w:lang w:val="en-US"/>
        </w:rPr>
        <w:fldChar w:fldCharType="begin"/>
      </w:r>
      <w:r w:rsidRPr="004D35AC">
        <w:rPr>
          <w:rFonts w:ascii="Tahoma" w:hAnsi="Tahoma" w:cs="Tahoma"/>
          <w:b/>
          <w:iCs/>
          <w:sz w:val="24"/>
          <w:szCs w:val="24"/>
          <w:lang w:val="en-US"/>
        </w:rPr>
        <w:instrText xml:space="preserve"> TOC \f F \h \z \t "List of Tables" \c </w:instrText>
      </w:r>
      <w:r w:rsidRPr="004D35AC">
        <w:rPr>
          <w:rFonts w:ascii="Tahoma" w:hAnsi="Tahoma" w:cs="Tahoma"/>
          <w:b/>
          <w:iCs/>
          <w:sz w:val="24"/>
          <w:szCs w:val="24"/>
          <w:lang w:val="en-US"/>
        </w:rPr>
        <w:fldChar w:fldCharType="separate"/>
      </w:r>
      <w:hyperlink w:anchor="_Toc187672457" w:history="1">
        <w:r w:rsidR="00BF727A" w:rsidRPr="00BF727A">
          <w:rPr>
            <w:rStyle w:val="Hyperlink"/>
            <w:rFonts w:ascii="Tahoma" w:hAnsi="Tahoma" w:cs="Tahoma"/>
            <w:noProof/>
            <w:sz w:val="24"/>
            <w:szCs w:val="24"/>
          </w:rPr>
          <w:t>Table 1:</w:t>
        </w:r>
        <w:r w:rsidR="00BF727A" w:rsidRPr="00BF727A">
          <w:rPr>
            <w:rStyle w:val="Hyperlink"/>
            <w:rFonts w:ascii="Tahoma" w:hAnsi="Tahoma" w:cs="Tahoma"/>
            <w:noProof/>
            <w:sz w:val="24"/>
            <w:szCs w:val="24"/>
            <w:lang w:val="en-US"/>
          </w:rPr>
          <w:t xml:space="preserve"> Commodity Price Movements – Month Ending 31 December 2024</w:t>
        </w:r>
        <w:r w:rsidR="00BF727A" w:rsidRPr="00BF727A">
          <w:rPr>
            <w:rFonts w:ascii="Tahoma" w:hAnsi="Tahoma" w:cs="Tahoma"/>
            <w:noProof/>
            <w:webHidden/>
            <w:sz w:val="24"/>
            <w:szCs w:val="24"/>
          </w:rPr>
          <w:tab/>
        </w:r>
        <w:r w:rsidR="00BF727A" w:rsidRPr="00BF727A">
          <w:rPr>
            <w:rFonts w:ascii="Tahoma" w:hAnsi="Tahoma" w:cs="Tahoma"/>
            <w:noProof/>
            <w:webHidden/>
            <w:sz w:val="24"/>
            <w:szCs w:val="24"/>
          </w:rPr>
          <w:fldChar w:fldCharType="begin"/>
        </w:r>
        <w:r w:rsidR="00BF727A" w:rsidRPr="00BF727A">
          <w:rPr>
            <w:rFonts w:ascii="Tahoma" w:hAnsi="Tahoma" w:cs="Tahoma"/>
            <w:noProof/>
            <w:webHidden/>
            <w:sz w:val="24"/>
            <w:szCs w:val="24"/>
          </w:rPr>
          <w:instrText xml:space="preserve"> PAGEREF _Toc187672457 \h </w:instrText>
        </w:r>
        <w:r w:rsidR="00BF727A" w:rsidRPr="00BF727A">
          <w:rPr>
            <w:rFonts w:ascii="Tahoma" w:hAnsi="Tahoma" w:cs="Tahoma"/>
            <w:noProof/>
            <w:webHidden/>
            <w:sz w:val="24"/>
            <w:szCs w:val="24"/>
          </w:rPr>
        </w:r>
        <w:r w:rsidR="00BF727A" w:rsidRPr="00BF727A">
          <w:rPr>
            <w:rFonts w:ascii="Tahoma" w:hAnsi="Tahoma" w:cs="Tahoma"/>
            <w:noProof/>
            <w:webHidden/>
            <w:sz w:val="24"/>
            <w:szCs w:val="24"/>
          </w:rPr>
          <w:fldChar w:fldCharType="separate"/>
        </w:r>
        <w:r w:rsidR="00BF727A" w:rsidRPr="00BF727A">
          <w:rPr>
            <w:rFonts w:ascii="Tahoma" w:hAnsi="Tahoma" w:cs="Tahoma"/>
            <w:noProof/>
            <w:webHidden/>
            <w:sz w:val="24"/>
            <w:szCs w:val="24"/>
          </w:rPr>
          <w:t>2</w:t>
        </w:r>
        <w:r w:rsidR="00BF727A" w:rsidRPr="00BF727A">
          <w:rPr>
            <w:rFonts w:ascii="Tahoma" w:hAnsi="Tahoma" w:cs="Tahoma"/>
            <w:noProof/>
            <w:webHidden/>
            <w:sz w:val="24"/>
            <w:szCs w:val="24"/>
          </w:rPr>
          <w:fldChar w:fldCharType="end"/>
        </w:r>
      </w:hyperlink>
    </w:p>
    <w:p w14:paraId="11B3B71B" w14:textId="3796A666"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458" w:history="1">
        <w:r w:rsidRPr="00BF727A">
          <w:rPr>
            <w:rStyle w:val="Hyperlink"/>
            <w:rFonts w:ascii="Tahoma" w:hAnsi="Tahoma" w:cs="Tahoma"/>
            <w:noProof/>
            <w:sz w:val="24"/>
            <w:szCs w:val="24"/>
          </w:rPr>
          <w:t>Table 2: ZWG Exchange Rate Movements-Month Ending 31 December 2024</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_Toc187672458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4</w:t>
        </w:r>
        <w:r w:rsidRPr="00BF727A">
          <w:rPr>
            <w:rFonts w:ascii="Tahoma" w:hAnsi="Tahoma" w:cs="Tahoma"/>
            <w:noProof/>
            <w:webHidden/>
            <w:sz w:val="24"/>
            <w:szCs w:val="24"/>
          </w:rPr>
          <w:fldChar w:fldCharType="end"/>
        </w:r>
      </w:hyperlink>
    </w:p>
    <w:p w14:paraId="36844467" w14:textId="00A7B61B"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459" w:history="1">
        <w:r w:rsidRPr="00BF727A">
          <w:rPr>
            <w:rStyle w:val="Hyperlink"/>
            <w:rFonts w:ascii="Tahoma" w:hAnsi="Tahoma" w:cs="Tahoma"/>
            <w:noProof/>
            <w:sz w:val="24"/>
            <w:szCs w:val="24"/>
          </w:rPr>
          <w:t xml:space="preserve">Table 3: </w:t>
        </w:r>
        <w:r w:rsidRPr="00BF727A">
          <w:rPr>
            <w:rStyle w:val="Hyperlink"/>
            <w:rFonts w:ascii="Tahoma" w:hAnsi="Tahoma" w:cs="Tahoma"/>
            <w:noProof/>
            <w:sz w:val="24"/>
            <w:szCs w:val="24"/>
            <w:lang w:val="en-US"/>
          </w:rPr>
          <w:t>USD Exchange Rate Movements–Month Ended 31 December 2024</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_Toc187672459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5</w:t>
        </w:r>
        <w:r w:rsidRPr="00BF727A">
          <w:rPr>
            <w:rFonts w:ascii="Tahoma" w:hAnsi="Tahoma" w:cs="Tahoma"/>
            <w:noProof/>
            <w:webHidden/>
            <w:sz w:val="24"/>
            <w:szCs w:val="24"/>
          </w:rPr>
          <w:fldChar w:fldCharType="end"/>
        </w:r>
      </w:hyperlink>
    </w:p>
    <w:p w14:paraId="0B40E2BC" w14:textId="0768BCCD"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460" w:history="1">
        <w:r w:rsidRPr="00BF727A">
          <w:rPr>
            <w:rStyle w:val="Hyperlink"/>
            <w:rFonts w:ascii="Tahoma" w:hAnsi="Tahoma" w:cs="Tahoma"/>
            <w:noProof/>
            <w:sz w:val="24"/>
            <w:szCs w:val="24"/>
          </w:rPr>
          <w:t xml:space="preserve">Table 4: Monthly </w:t>
        </w:r>
        <w:r w:rsidRPr="00BF727A">
          <w:rPr>
            <w:rStyle w:val="Hyperlink"/>
            <w:rFonts w:ascii="Tahoma" w:hAnsi="Tahoma" w:cs="Tahoma"/>
            <w:noProof/>
            <w:sz w:val="24"/>
            <w:szCs w:val="24"/>
            <w:lang w:val="en-US"/>
          </w:rPr>
          <w:t>Inflation for December 2024</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_Toc187672460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7</w:t>
        </w:r>
        <w:r w:rsidRPr="00BF727A">
          <w:rPr>
            <w:rFonts w:ascii="Tahoma" w:hAnsi="Tahoma" w:cs="Tahoma"/>
            <w:noProof/>
            <w:webHidden/>
            <w:sz w:val="24"/>
            <w:szCs w:val="24"/>
          </w:rPr>
          <w:fldChar w:fldCharType="end"/>
        </w:r>
      </w:hyperlink>
    </w:p>
    <w:p w14:paraId="53470C6E" w14:textId="082C8809"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461" w:history="1">
        <w:r w:rsidRPr="00BF727A">
          <w:rPr>
            <w:rStyle w:val="Hyperlink"/>
            <w:rFonts w:ascii="Tahoma" w:hAnsi="Tahoma" w:cs="Tahoma"/>
            <w:noProof/>
            <w:sz w:val="24"/>
            <w:szCs w:val="24"/>
            <w:lang w:val="en-US"/>
          </w:rPr>
          <w:t>Table 5: Interest Rates as of 13 December 2024</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_Toc187672461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8</w:t>
        </w:r>
        <w:r w:rsidRPr="00BF727A">
          <w:rPr>
            <w:rFonts w:ascii="Tahoma" w:hAnsi="Tahoma" w:cs="Tahoma"/>
            <w:noProof/>
            <w:webHidden/>
            <w:sz w:val="24"/>
            <w:szCs w:val="24"/>
          </w:rPr>
          <w:fldChar w:fldCharType="end"/>
        </w:r>
      </w:hyperlink>
    </w:p>
    <w:p w14:paraId="67B4B266" w14:textId="69191497"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462" w:history="1">
        <w:r w:rsidRPr="00BF727A">
          <w:rPr>
            <w:rStyle w:val="Hyperlink"/>
            <w:rFonts w:ascii="Tahoma" w:hAnsi="Tahoma" w:cs="Tahoma"/>
            <w:noProof/>
            <w:sz w:val="24"/>
            <w:szCs w:val="24"/>
          </w:rPr>
          <w:t>Table 6: Zimbabwe Stock Exchange Movements</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_Toc187672462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9</w:t>
        </w:r>
        <w:r w:rsidRPr="00BF727A">
          <w:rPr>
            <w:rFonts w:ascii="Tahoma" w:hAnsi="Tahoma" w:cs="Tahoma"/>
            <w:noProof/>
            <w:webHidden/>
            <w:sz w:val="24"/>
            <w:szCs w:val="24"/>
          </w:rPr>
          <w:fldChar w:fldCharType="end"/>
        </w:r>
      </w:hyperlink>
    </w:p>
    <w:p w14:paraId="1A2CD61D" w14:textId="1991D958"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463" w:history="1">
        <w:r w:rsidRPr="00BF727A">
          <w:rPr>
            <w:rStyle w:val="Hyperlink"/>
            <w:rFonts w:ascii="Tahoma" w:hAnsi="Tahoma" w:cs="Tahoma"/>
            <w:noProof/>
            <w:sz w:val="24"/>
            <w:szCs w:val="24"/>
          </w:rPr>
          <w:t>Table 7: Victoria Falls Stock Exchange Movements</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_Toc187672463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9</w:t>
        </w:r>
        <w:r w:rsidRPr="00BF727A">
          <w:rPr>
            <w:rFonts w:ascii="Tahoma" w:hAnsi="Tahoma" w:cs="Tahoma"/>
            <w:noProof/>
            <w:webHidden/>
            <w:sz w:val="24"/>
            <w:szCs w:val="24"/>
          </w:rPr>
          <w:fldChar w:fldCharType="end"/>
        </w:r>
      </w:hyperlink>
    </w:p>
    <w:p w14:paraId="06881970" w14:textId="451ECEF5" w:rsidR="00DA458A" w:rsidRPr="008A3AD2" w:rsidRDefault="00E36073">
      <w:pPr>
        <w:rPr>
          <w:rFonts w:ascii="Tahoma" w:hAnsi="Tahoma" w:cs="Tahoma"/>
          <w:b/>
          <w:bCs/>
          <w:sz w:val="24"/>
          <w:szCs w:val="24"/>
          <w:lang w:val="en-US"/>
        </w:rPr>
      </w:pPr>
      <w:r w:rsidRPr="004D35AC">
        <w:rPr>
          <w:rFonts w:ascii="Tahoma" w:hAnsi="Tahoma" w:cs="Tahoma"/>
          <w:b/>
          <w:iCs/>
          <w:sz w:val="24"/>
          <w:szCs w:val="24"/>
          <w:lang w:val="en-US"/>
        </w:rPr>
        <w:fldChar w:fldCharType="end"/>
      </w:r>
    </w:p>
    <w:p w14:paraId="7B0F0EF5" w14:textId="77777777" w:rsidR="00BF727A" w:rsidRPr="00BF727A" w:rsidRDefault="00654F03" w:rsidP="00797969">
      <w:pPr>
        <w:pStyle w:val="Heading1"/>
        <w:spacing w:before="0" w:after="240"/>
        <w:rPr>
          <w:noProof/>
        </w:rPr>
      </w:pPr>
      <w:r w:rsidRPr="00863A17">
        <w:rPr>
          <w:lang w:val="en-US"/>
        </w:rPr>
        <w:br w:type="page"/>
      </w:r>
      <w:bookmarkStart w:id="3" w:name="_Toc188955351"/>
      <w:r w:rsidR="00E76009" w:rsidRPr="00DB4775">
        <w:rPr>
          <w:lang w:val="en-US"/>
        </w:rPr>
        <w:lastRenderedPageBreak/>
        <w:t>List of Figures</w:t>
      </w:r>
      <w:bookmarkEnd w:id="3"/>
      <w:r w:rsidR="00E76009" w:rsidRPr="00BF727A">
        <w:rPr>
          <w:lang w:val="en-US"/>
        </w:rPr>
        <w:fldChar w:fldCharType="begin"/>
      </w:r>
      <w:r w:rsidR="00E76009" w:rsidRPr="00BF727A">
        <w:rPr>
          <w:lang w:val="en-US"/>
        </w:rPr>
        <w:instrText xml:space="preserve"> TOC \h \z \t "List of Figures" \c </w:instrText>
      </w:r>
      <w:r w:rsidR="00E76009" w:rsidRPr="00BF727A">
        <w:rPr>
          <w:lang w:val="en-US"/>
        </w:rPr>
        <w:fldChar w:fldCharType="separate"/>
      </w:r>
    </w:p>
    <w:p w14:paraId="0BBDD048" w14:textId="349FFA0A"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3" w:history="1">
        <w:r w:rsidRPr="00BF727A">
          <w:rPr>
            <w:rStyle w:val="Hyperlink"/>
            <w:rFonts w:ascii="Tahoma" w:hAnsi="Tahoma" w:cs="Tahoma"/>
            <w:noProof/>
            <w:sz w:val="24"/>
            <w:szCs w:val="24"/>
          </w:rPr>
          <w:t xml:space="preserve">Figure 1: </w:t>
        </w:r>
        <w:r w:rsidRPr="00BF727A">
          <w:rPr>
            <w:rStyle w:val="Hyperlink"/>
            <w:rFonts w:ascii="Tahoma" w:hAnsi="Tahoma" w:cs="Tahoma"/>
            <w:noProof/>
            <w:sz w:val="24"/>
            <w:szCs w:val="24"/>
            <w:lang w:val="en-US"/>
          </w:rPr>
          <w:t>Global Economic Growth Developments</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_Toc187672513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1</w:t>
        </w:r>
        <w:r w:rsidRPr="00BF727A">
          <w:rPr>
            <w:rFonts w:ascii="Tahoma" w:hAnsi="Tahoma" w:cs="Tahoma"/>
            <w:noProof/>
            <w:webHidden/>
            <w:sz w:val="24"/>
            <w:szCs w:val="24"/>
          </w:rPr>
          <w:fldChar w:fldCharType="end"/>
        </w:r>
      </w:hyperlink>
    </w:p>
    <w:p w14:paraId="0BEC16A0" w14:textId="07F2C19A"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4" w:history="1">
        <w:r w:rsidRPr="00BF727A">
          <w:rPr>
            <w:rStyle w:val="Hyperlink"/>
            <w:rFonts w:ascii="Tahoma" w:hAnsi="Tahoma" w:cs="Tahoma"/>
            <w:noProof/>
            <w:sz w:val="24"/>
            <w:szCs w:val="24"/>
            <w:lang w:val="en-US"/>
          </w:rPr>
          <w:t>Figure 2: Global Inflation</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_Toc187672514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2</w:t>
        </w:r>
        <w:r w:rsidRPr="00BF727A">
          <w:rPr>
            <w:rFonts w:ascii="Tahoma" w:hAnsi="Tahoma" w:cs="Tahoma"/>
            <w:noProof/>
            <w:webHidden/>
            <w:sz w:val="24"/>
            <w:szCs w:val="24"/>
          </w:rPr>
          <w:fldChar w:fldCharType="end"/>
        </w:r>
      </w:hyperlink>
    </w:p>
    <w:p w14:paraId="7B2CC200" w14:textId="75C6E8A7"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5" w:history="1">
        <w:r w:rsidRPr="00BF727A">
          <w:rPr>
            <w:rStyle w:val="Hyperlink"/>
            <w:rFonts w:ascii="Tahoma" w:hAnsi="Tahoma" w:cs="Tahoma"/>
            <w:noProof/>
            <w:sz w:val="24"/>
            <w:szCs w:val="24"/>
          </w:rPr>
          <w:t xml:space="preserve">Figure </w:t>
        </w:r>
        <w:r w:rsidRPr="00BF727A">
          <w:rPr>
            <w:rStyle w:val="Hyperlink"/>
            <w:rFonts w:ascii="Tahoma" w:hAnsi="Tahoma" w:cs="Tahoma"/>
            <w:bCs/>
            <w:noProof/>
            <w:sz w:val="24"/>
            <w:szCs w:val="24"/>
          </w:rPr>
          <w:t>3</w:t>
        </w:r>
        <w:r w:rsidRPr="00BF727A">
          <w:rPr>
            <w:rStyle w:val="Hyperlink"/>
            <w:rFonts w:ascii="Tahoma" w:hAnsi="Tahoma" w:cs="Tahoma"/>
            <w:noProof/>
            <w:sz w:val="24"/>
            <w:szCs w:val="24"/>
          </w:rPr>
          <w:t xml:space="preserve">: </w:t>
        </w:r>
        <w:r w:rsidRPr="00BF727A">
          <w:rPr>
            <w:rStyle w:val="Hyperlink"/>
            <w:rFonts w:ascii="Tahoma" w:hAnsi="Tahoma" w:cs="Tahoma"/>
            <w:noProof/>
            <w:sz w:val="24"/>
            <w:szCs w:val="24"/>
            <w:lang w:val="en-US"/>
          </w:rPr>
          <w:t>Merchandise Trade Developments</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_Toc187672515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3</w:t>
        </w:r>
        <w:r w:rsidRPr="00BF727A">
          <w:rPr>
            <w:rFonts w:ascii="Tahoma" w:hAnsi="Tahoma" w:cs="Tahoma"/>
            <w:noProof/>
            <w:webHidden/>
            <w:sz w:val="24"/>
            <w:szCs w:val="24"/>
          </w:rPr>
          <w:fldChar w:fldCharType="end"/>
        </w:r>
      </w:hyperlink>
    </w:p>
    <w:p w14:paraId="7F1B7DF2" w14:textId="784642C6"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6" w:history="1">
        <w:r w:rsidRPr="00BF727A">
          <w:rPr>
            <w:rStyle w:val="Hyperlink"/>
            <w:rFonts w:ascii="Tahoma" w:hAnsi="Tahoma" w:cs="Tahoma"/>
            <w:noProof/>
            <w:sz w:val="24"/>
            <w:szCs w:val="24"/>
          </w:rPr>
          <w:t>Figure 4: Parallel Market Developments - December 2024</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_Toc187672516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4</w:t>
        </w:r>
        <w:r w:rsidRPr="00BF727A">
          <w:rPr>
            <w:rFonts w:ascii="Tahoma" w:hAnsi="Tahoma" w:cs="Tahoma"/>
            <w:noProof/>
            <w:webHidden/>
            <w:sz w:val="24"/>
            <w:szCs w:val="24"/>
          </w:rPr>
          <w:fldChar w:fldCharType="end"/>
        </w:r>
      </w:hyperlink>
    </w:p>
    <w:p w14:paraId="5CBBA82B" w14:textId="56295F7A"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7" w:history="1">
        <w:r w:rsidRPr="00BF727A">
          <w:rPr>
            <w:rStyle w:val="Hyperlink"/>
            <w:rFonts w:ascii="Tahoma" w:hAnsi="Tahoma" w:cs="Tahoma"/>
            <w:noProof/>
            <w:sz w:val="24"/>
            <w:szCs w:val="24"/>
          </w:rPr>
          <w:t>Figure 5: Month-on-Month ZWG Inflation Outturn</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_Toc187672517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5</w:t>
        </w:r>
        <w:r w:rsidRPr="00BF727A">
          <w:rPr>
            <w:rFonts w:ascii="Tahoma" w:hAnsi="Tahoma" w:cs="Tahoma"/>
            <w:noProof/>
            <w:webHidden/>
            <w:sz w:val="24"/>
            <w:szCs w:val="24"/>
          </w:rPr>
          <w:fldChar w:fldCharType="end"/>
        </w:r>
      </w:hyperlink>
    </w:p>
    <w:p w14:paraId="262F722F" w14:textId="59FA1AEB"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8" w:history="1">
        <w:r w:rsidRPr="00BF727A">
          <w:rPr>
            <w:rStyle w:val="Hyperlink"/>
            <w:rFonts w:ascii="Tahoma" w:hAnsi="Tahoma" w:cs="Tahoma"/>
            <w:noProof/>
            <w:sz w:val="24"/>
            <w:szCs w:val="24"/>
          </w:rPr>
          <w:t xml:space="preserve">Figure </w:t>
        </w:r>
        <w:r w:rsidRPr="00BF727A">
          <w:rPr>
            <w:rStyle w:val="Hyperlink"/>
            <w:rFonts w:ascii="Tahoma" w:hAnsi="Tahoma" w:cs="Tahoma"/>
            <w:bCs/>
            <w:noProof/>
            <w:sz w:val="24"/>
            <w:szCs w:val="24"/>
          </w:rPr>
          <w:t>6</w:t>
        </w:r>
        <w:r w:rsidRPr="00BF727A">
          <w:rPr>
            <w:rStyle w:val="Hyperlink"/>
            <w:rFonts w:ascii="Tahoma" w:hAnsi="Tahoma" w:cs="Tahoma"/>
            <w:noProof/>
            <w:sz w:val="24"/>
            <w:szCs w:val="24"/>
          </w:rPr>
          <w:t xml:space="preserve">: </w:t>
        </w:r>
        <w:r w:rsidRPr="00BF727A">
          <w:rPr>
            <w:rStyle w:val="Hyperlink"/>
            <w:rFonts w:ascii="Tahoma" w:hAnsi="Tahoma" w:cs="Tahoma"/>
            <w:noProof/>
            <w:sz w:val="24"/>
            <w:szCs w:val="24"/>
            <w:lang w:val="en-US"/>
          </w:rPr>
          <w:t>Month-on-Month Weighted Inflation Outturn</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_Toc187672518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6</w:t>
        </w:r>
        <w:r w:rsidRPr="00BF727A">
          <w:rPr>
            <w:rFonts w:ascii="Tahoma" w:hAnsi="Tahoma" w:cs="Tahoma"/>
            <w:noProof/>
            <w:webHidden/>
            <w:sz w:val="24"/>
            <w:szCs w:val="24"/>
          </w:rPr>
          <w:fldChar w:fldCharType="end"/>
        </w:r>
      </w:hyperlink>
    </w:p>
    <w:p w14:paraId="053C3285" w14:textId="7ECDCE87" w:rsidR="00BF727A" w:rsidRPr="00BF727A" w:rsidRDefault="00BF727A">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7672519" w:history="1">
        <w:r w:rsidRPr="00BF727A">
          <w:rPr>
            <w:rStyle w:val="Hyperlink"/>
            <w:rFonts w:ascii="Tahoma" w:hAnsi="Tahoma" w:cs="Tahoma"/>
            <w:noProof/>
            <w:sz w:val="24"/>
            <w:szCs w:val="24"/>
          </w:rPr>
          <w:t>Figure 7: Broad Money (M3) Supply</w:t>
        </w:r>
        <w:r w:rsidRPr="00BF727A">
          <w:rPr>
            <w:rFonts w:ascii="Tahoma" w:hAnsi="Tahoma" w:cs="Tahoma"/>
            <w:noProof/>
            <w:webHidden/>
            <w:sz w:val="24"/>
            <w:szCs w:val="24"/>
          </w:rPr>
          <w:tab/>
        </w:r>
        <w:r w:rsidRPr="00BF727A">
          <w:rPr>
            <w:rFonts w:ascii="Tahoma" w:hAnsi="Tahoma" w:cs="Tahoma"/>
            <w:noProof/>
            <w:webHidden/>
            <w:sz w:val="24"/>
            <w:szCs w:val="24"/>
          </w:rPr>
          <w:fldChar w:fldCharType="begin"/>
        </w:r>
        <w:r w:rsidRPr="00BF727A">
          <w:rPr>
            <w:rFonts w:ascii="Tahoma" w:hAnsi="Tahoma" w:cs="Tahoma"/>
            <w:noProof/>
            <w:webHidden/>
            <w:sz w:val="24"/>
            <w:szCs w:val="24"/>
          </w:rPr>
          <w:instrText xml:space="preserve"> PAGEREF _Toc187672519 \h </w:instrText>
        </w:r>
        <w:r w:rsidRPr="00BF727A">
          <w:rPr>
            <w:rFonts w:ascii="Tahoma" w:hAnsi="Tahoma" w:cs="Tahoma"/>
            <w:noProof/>
            <w:webHidden/>
            <w:sz w:val="24"/>
            <w:szCs w:val="24"/>
          </w:rPr>
        </w:r>
        <w:r w:rsidRPr="00BF727A">
          <w:rPr>
            <w:rFonts w:ascii="Tahoma" w:hAnsi="Tahoma" w:cs="Tahoma"/>
            <w:noProof/>
            <w:webHidden/>
            <w:sz w:val="24"/>
            <w:szCs w:val="24"/>
          </w:rPr>
          <w:fldChar w:fldCharType="separate"/>
        </w:r>
        <w:r w:rsidRPr="00BF727A">
          <w:rPr>
            <w:rFonts w:ascii="Tahoma" w:hAnsi="Tahoma" w:cs="Tahoma"/>
            <w:noProof/>
            <w:webHidden/>
            <w:sz w:val="24"/>
            <w:szCs w:val="24"/>
          </w:rPr>
          <w:t>7</w:t>
        </w:r>
        <w:r w:rsidRPr="00BF727A">
          <w:rPr>
            <w:rFonts w:ascii="Tahoma" w:hAnsi="Tahoma" w:cs="Tahoma"/>
            <w:noProof/>
            <w:webHidden/>
            <w:sz w:val="24"/>
            <w:szCs w:val="24"/>
          </w:rPr>
          <w:fldChar w:fldCharType="end"/>
        </w:r>
      </w:hyperlink>
    </w:p>
    <w:p w14:paraId="45D7305C" w14:textId="77777777" w:rsidR="000129B7" w:rsidRPr="00BF727A" w:rsidRDefault="00E76009" w:rsidP="000129B7">
      <w:pPr>
        <w:rPr>
          <w:rFonts w:ascii="Tahoma" w:hAnsi="Tahoma" w:cs="Tahoma"/>
          <w:b/>
          <w:color w:val="000000"/>
          <w:sz w:val="24"/>
          <w:szCs w:val="24"/>
          <w:lang w:val="en-US"/>
        </w:rPr>
        <w:sectPr w:rsidR="000129B7" w:rsidRPr="00BF727A" w:rsidSect="006D22C2">
          <w:pgSz w:w="11906" w:h="16838"/>
          <w:pgMar w:top="1440" w:right="1440" w:bottom="1440" w:left="1440" w:header="708" w:footer="708" w:gutter="0"/>
          <w:pgNumType w:fmt="lowerRoman" w:start="1"/>
          <w:cols w:space="708"/>
          <w:docGrid w:linePitch="360"/>
        </w:sectPr>
      </w:pPr>
      <w:r w:rsidRPr="00BF727A">
        <w:rPr>
          <w:rFonts w:ascii="Tahoma" w:hAnsi="Tahoma" w:cs="Tahoma"/>
          <w:sz w:val="24"/>
          <w:szCs w:val="24"/>
          <w:lang w:val="en-US"/>
        </w:rPr>
        <w:fldChar w:fldCharType="end"/>
      </w:r>
    </w:p>
    <w:p w14:paraId="6B671069" w14:textId="77777777" w:rsidR="007A3E1D" w:rsidRPr="00721CC2" w:rsidRDefault="004F680D" w:rsidP="00F05BD5">
      <w:pPr>
        <w:pStyle w:val="Heading1"/>
        <w:spacing w:before="0" w:after="240"/>
        <w:rPr>
          <w:lang w:val="en-US"/>
        </w:rPr>
      </w:pPr>
      <w:bookmarkStart w:id="4" w:name="_Toc166607889"/>
      <w:bookmarkStart w:id="5" w:name="_Toc188955352"/>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4"/>
      <w:bookmarkEnd w:id="5"/>
      <w:r w:rsidR="007A3E1D" w:rsidRPr="00721CC2">
        <w:rPr>
          <w:lang w:val="en-US"/>
        </w:rPr>
        <w:t xml:space="preserve"> </w:t>
      </w:r>
    </w:p>
    <w:p w14:paraId="6BED87EC" w14:textId="77777777" w:rsidR="00E0023D" w:rsidRPr="00863A17" w:rsidRDefault="004F680D" w:rsidP="00BC5A90">
      <w:pPr>
        <w:pStyle w:val="Heading2"/>
        <w:spacing w:before="0" w:after="240" w:line="240" w:lineRule="auto"/>
        <w:rPr>
          <w:rFonts w:cs="Tahoma"/>
          <w:b/>
          <w:color w:val="000000"/>
          <w:szCs w:val="24"/>
          <w:lang w:val="en-US"/>
        </w:rPr>
      </w:pPr>
      <w:bookmarkStart w:id="6" w:name="_Toc166607890"/>
      <w:bookmarkStart w:id="7" w:name="_Toc188955353"/>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6"/>
      <w:bookmarkEnd w:id="7"/>
      <w:r w:rsidR="00E0023D" w:rsidRPr="00863A17">
        <w:rPr>
          <w:rFonts w:cs="Tahoma"/>
          <w:b/>
          <w:color w:val="000000"/>
          <w:szCs w:val="24"/>
          <w:lang w:val="en-US"/>
        </w:rPr>
        <w:t xml:space="preserve"> </w:t>
      </w:r>
    </w:p>
    <w:p w14:paraId="580F02B3" w14:textId="180D5D73" w:rsidR="000529F0" w:rsidRDefault="004F680D" w:rsidP="004F680D">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AB70DE">
        <w:rPr>
          <w:rFonts w:ascii="Tahoma" w:hAnsi="Tahoma" w:cs="Tahoma"/>
          <w:sz w:val="24"/>
          <w:szCs w:val="24"/>
        </w:rPr>
        <w:tab/>
      </w:r>
      <w:r w:rsidR="00334A6E">
        <w:rPr>
          <w:rFonts w:ascii="Tahoma" w:hAnsi="Tahoma" w:cs="Tahoma"/>
          <w:sz w:val="24"/>
          <w:szCs w:val="24"/>
        </w:rPr>
        <w:t>G</w:t>
      </w:r>
      <w:r w:rsidR="00BB45D5">
        <w:rPr>
          <w:rFonts w:ascii="Tahoma" w:hAnsi="Tahoma" w:cs="Tahoma"/>
          <w:sz w:val="24"/>
          <w:szCs w:val="24"/>
        </w:rPr>
        <w:t>lobal econom</w:t>
      </w:r>
      <w:r w:rsidR="00334A6E">
        <w:rPr>
          <w:rFonts w:ascii="Tahoma" w:hAnsi="Tahoma" w:cs="Tahoma"/>
          <w:sz w:val="24"/>
          <w:szCs w:val="24"/>
        </w:rPr>
        <w:t xml:space="preserve">ic growth is expected </w:t>
      </w:r>
      <w:r w:rsidR="00E824A8">
        <w:rPr>
          <w:rFonts w:ascii="Tahoma" w:hAnsi="Tahoma" w:cs="Tahoma"/>
          <w:sz w:val="24"/>
          <w:szCs w:val="24"/>
        </w:rPr>
        <w:t>grow by</w:t>
      </w:r>
      <w:r w:rsidR="00334A6E">
        <w:rPr>
          <w:rFonts w:ascii="Tahoma" w:hAnsi="Tahoma" w:cs="Tahoma"/>
          <w:sz w:val="24"/>
          <w:szCs w:val="24"/>
        </w:rPr>
        <w:t xml:space="preserve"> 3.1%</w:t>
      </w:r>
      <w:r w:rsidR="000529F0">
        <w:rPr>
          <w:rStyle w:val="FootnoteReference"/>
          <w:rFonts w:ascii="Tahoma" w:hAnsi="Tahoma" w:cs="Tahoma"/>
          <w:sz w:val="24"/>
          <w:szCs w:val="24"/>
        </w:rPr>
        <w:footnoteReference w:id="1"/>
      </w:r>
      <w:r w:rsidR="00334A6E">
        <w:rPr>
          <w:rFonts w:ascii="Tahoma" w:hAnsi="Tahoma" w:cs="Tahoma"/>
          <w:sz w:val="24"/>
          <w:szCs w:val="24"/>
        </w:rPr>
        <w:t xml:space="preserve"> in 2024 and </w:t>
      </w:r>
      <w:r w:rsidR="00E824A8">
        <w:rPr>
          <w:rFonts w:ascii="Tahoma" w:hAnsi="Tahoma" w:cs="Tahoma"/>
          <w:sz w:val="24"/>
          <w:szCs w:val="24"/>
        </w:rPr>
        <w:t xml:space="preserve">slightly </w:t>
      </w:r>
      <w:r w:rsidR="00334A6E">
        <w:rPr>
          <w:rFonts w:ascii="Tahoma" w:hAnsi="Tahoma" w:cs="Tahoma"/>
          <w:sz w:val="24"/>
          <w:szCs w:val="24"/>
        </w:rPr>
        <w:t>accelerate to 3.2% before post-election policies in the US dampen global growth to 3% in 2026</w:t>
      </w:r>
      <w:r w:rsidR="000529F0">
        <w:rPr>
          <w:rFonts w:ascii="Tahoma" w:hAnsi="Tahoma" w:cs="Tahoma"/>
          <w:sz w:val="24"/>
          <w:szCs w:val="24"/>
        </w:rPr>
        <w:t>, see Figure 1</w:t>
      </w:r>
      <w:r w:rsidR="00334A6E">
        <w:rPr>
          <w:rFonts w:ascii="Tahoma" w:hAnsi="Tahoma" w:cs="Tahoma"/>
          <w:sz w:val="24"/>
          <w:szCs w:val="24"/>
        </w:rPr>
        <w:t xml:space="preserve"> (KPMG International, 2024).</w:t>
      </w:r>
      <w:r w:rsidR="00BB45D5">
        <w:rPr>
          <w:rFonts w:ascii="Tahoma" w:hAnsi="Tahoma" w:cs="Tahoma"/>
          <w:sz w:val="24"/>
          <w:szCs w:val="24"/>
        </w:rPr>
        <w:t xml:space="preserve"> </w:t>
      </w:r>
    </w:p>
    <w:p w14:paraId="78FCC6A4" w14:textId="43972980" w:rsidR="00AB70DE" w:rsidRDefault="000529F0" w:rsidP="004F680D">
      <w:pPr>
        <w:ind w:left="720" w:hanging="720"/>
        <w:jc w:val="both"/>
        <w:rPr>
          <w:rFonts w:ascii="Tahoma" w:hAnsi="Tahoma" w:cs="Tahoma"/>
          <w:sz w:val="24"/>
          <w:szCs w:val="24"/>
        </w:rPr>
      </w:pPr>
      <w:r>
        <w:rPr>
          <w:rFonts w:ascii="Tahoma" w:hAnsi="Tahoma" w:cs="Tahoma"/>
          <w:sz w:val="24"/>
          <w:szCs w:val="24"/>
        </w:rPr>
        <w:t>1.1.2</w:t>
      </w:r>
      <w:r>
        <w:rPr>
          <w:rFonts w:ascii="Tahoma" w:hAnsi="Tahoma" w:cs="Tahoma"/>
          <w:sz w:val="24"/>
          <w:szCs w:val="24"/>
        </w:rPr>
        <w:tab/>
      </w:r>
      <w:r w:rsidR="002D227F">
        <w:rPr>
          <w:rFonts w:ascii="Tahoma" w:hAnsi="Tahoma" w:cs="Tahoma"/>
          <w:sz w:val="24"/>
          <w:szCs w:val="24"/>
        </w:rPr>
        <w:t xml:space="preserve">S&amp;P Global Market intelligence (2024) also </w:t>
      </w:r>
      <w:r w:rsidR="00E824A8">
        <w:rPr>
          <w:rFonts w:ascii="Tahoma" w:hAnsi="Tahoma" w:cs="Tahoma"/>
          <w:sz w:val="24"/>
          <w:szCs w:val="24"/>
        </w:rPr>
        <w:t xml:space="preserve">highlighted </w:t>
      </w:r>
      <w:r w:rsidR="002D227F">
        <w:rPr>
          <w:rFonts w:ascii="Tahoma" w:hAnsi="Tahoma" w:cs="Tahoma"/>
          <w:sz w:val="24"/>
          <w:szCs w:val="24"/>
        </w:rPr>
        <w:t>that</w:t>
      </w:r>
      <w:r>
        <w:rPr>
          <w:rFonts w:ascii="Tahoma" w:hAnsi="Tahoma" w:cs="Tahoma"/>
          <w:sz w:val="24"/>
          <w:szCs w:val="24"/>
        </w:rPr>
        <w:t xml:space="preserve"> </w:t>
      </w:r>
      <w:r w:rsidR="0019671B">
        <w:rPr>
          <w:rFonts w:ascii="Tahoma" w:hAnsi="Tahoma" w:cs="Tahoma"/>
          <w:sz w:val="24"/>
          <w:szCs w:val="24"/>
        </w:rPr>
        <w:t xml:space="preserve">growth forecasts for 2025-26 have been reduced across most key </w:t>
      </w:r>
      <w:r w:rsidR="00E824A8">
        <w:rPr>
          <w:rFonts w:ascii="Tahoma" w:hAnsi="Tahoma" w:cs="Tahoma"/>
          <w:sz w:val="24"/>
          <w:szCs w:val="24"/>
        </w:rPr>
        <w:t xml:space="preserve">regions and countries </w:t>
      </w:r>
      <w:r w:rsidR="0019671B">
        <w:rPr>
          <w:rFonts w:ascii="Tahoma" w:hAnsi="Tahoma" w:cs="Tahoma"/>
          <w:sz w:val="24"/>
          <w:szCs w:val="24"/>
        </w:rPr>
        <w:t>primarily due to the expected domestic and external implications of assumed post-election shifts in the US policy leading to a less favourable environment for trade, less accommodative financial conditions and heightened uncertainty.</w:t>
      </w:r>
      <w:bookmarkStart w:id="8" w:name="_Hlk166602890"/>
    </w:p>
    <w:p w14:paraId="7D220C46" w14:textId="007CCE9F" w:rsidR="00E31148" w:rsidRDefault="000038E5" w:rsidP="000038E5">
      <w:pPr>
        <w:pStyle w:val="ListofFigures"/>
        <w:rPr>
          <w:lang w:val="en-US"/>
        </w:rPr>
      </w:pPr>
      <w:bookmarkStart w:id="9" w:name="_Toc164072362"/>
      <w:bookmarkStart w:id="10" w:name="_Toc166658889"/>
      <w:bookmarkStart w:id="11" w:name="_Toc187672513"/>
      <w:bookmarkEnd w:id="8"/>
      <w:r>
        <w:t>Figure</w:t>
      </w:r>
      <w:r w:rsidR="00BC5A90" w:rsidRPr="00863A17">
        <w:t xml:space="preserve"> </w:t>
      </w:r>
      <w:r w:rsidR="00BC5A90" w:rsidRPr="00863A17">
        <w:fldChar w:fldCharType="begin"/>
      </w:r>
      <w:r w:rsidR="00BC5A90" w:rsidRPr="00863A17">
        <w:instrText xml:space="preserve"> SEQ Table \* ARABIC </w:instrText>
      </w:r>
      <w:r w:rsidR="00BC5A90" w:rsidRPr="00863A17">
        <w:fldChar w:fldCharType="separate"/>
      </w:r>
      <w:r w:rsidR="00D30418">
        <w:t>1</w:t>
      </w:r>
      <w:r w:rsidR="00BC5A90" w:rsidRPr="00863A17">
        <w:fldChar w:fldCharType="end"/>
      </w:r>
      <w:r w:rsidR="00BC5A90" w:rsidRPr="00863A17">
        <w:t xml:space="preserve">: </w:t>
      </w:r>
      <w:r w:rsidR="00BC5A90" w:rsidRPr="00863A17">
        <w:rPr>
          <w:lang w:val="en-US"/>
        </w:rPr>
        <w:t>Global Economic Growth Developments</w:t>
      </w:r>
      <w:bookmarkEnd w:id="9"/>
      <w:bookmarkEnd w:id="10"/>
      <w:bookmarkEnd w:id="11"/>
    </w:p>
    <w:p w14:paraId="0F0E57A0" w14:textId="0CBA0995" w:rsidR="000038E5" w:rsidRPr="000038E5" w:rsidRDefault="00D450EF" w:rsidP="00F05BD5">
      <w:pPr>
        <w:rPr>
          <w:rFonts w:ascii="Tahoma" w:hAnsi="Tahoma" w:cs="Tahoma"/>
          <w:iCs/>
          <w:sz w:val="24"/>
          <w:szCs w:val="24"/>
          <w:lang w:val="en-US"/>
        </w:rPr>
      </w:pPr>
      <w:r>
        <w:rPr>
          <w:noProof/>
        </w:rPr>
        <w:drawing>
          <wp:inline distT="0" distB="0" distL="0" distR="0" wp14:anchorId="580E482F" wp14:editId="47441C63">
            <wp:extent cx="5731510" cy="2148205"/>
            <wp:effectExtent l="0" t="0" r="2540" b="4445"/>
            <wp:docPr id="418443635" name="Chart 1">
              <a:extLst xmlns:a="http://schemas.openxmlformats.org/drawingml/2006/main">
                <a:ext uri="{FF2B5EF4-FFF2-40B4-BE49-F238E27FC236}">
                  <a16:creationId xmlns:a16="http://schemas.microsoft.com/office/drawing/2014/main" id="{50136E8B-512E-A365-6A44-5E25CD5D6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2A3983" w14:textId="441867C3" w:rsidR="00E36CF6" w:rsidRPr="00863A17" w:rsidRDefault="00E31148" w:rsidP="00F05BD5">
      <w:pPr>
        <w:rPr>
          <w:rFonts w:ascii="Tahoma" w:hAnsi="Tahoma" w:cs="Tahoma"/>
          <w:i/>
          <w:sz w:val="24"/>
          <w:szCs w:val="24"/>
        </w:rPr>
      </w:pPr>
      <w:r w:rsidRPr="00863A17">
        <w:rPr>
          <w:rFonts w:ascii="Tahoma" w:hAnsi="Tahoma" w:cs="Tahoma"/>
          <w:i/>
          <w:sz w:val="24"/>
          <w:szCs w:val="24"/>
          <w:lang w:val="en-US"/>
        </w:rPr>
        <w:t xml:space="preserve">Source: </w:t>
      </w:r>
      <w:r w:rsidR="00FC73FE">
        <w:rPr>
          <w:rFonts w:ascii="Tahoma" w:hAnsi="Tahoma" w:cs="Tahoma"/>
          <w:i/>
          <w:sz w:val="24"/>
          <w:szCs w:val="24"/>
          <w:lang w:val="en-US"/>
        </w:rPr>
        <w:t xml:space="preserve">IMF, WEO </w:t>
      </w:r>
      <w:r w:rsidR="00A41D77">
        <w:rPr>
          <w:rFonts w:ascii="Tahoma" w:hAnsi="Tahoma" w:cs="Tahoma"/>
          <w:i/>
          <w:sz w:val="24"/>
          <w:szCs w:val="24"/>
          <w:lang w:val="en-US"/>
        </w:rPr>
        <w:t>October</w:t>
      </w:r>
      <w:r w:rsidR="00FC73FE">
        <w:rPr>
          <w:rFonts w:ascii="Tahoma" w:hAnsi="Tahoma" w:cs="Tahoma"/>
          <w:i/>
          <w:sz w:val="24"/>
          <w:szCs w:val="24"/>
          <w:lang w:val="en-US"/>
        </w:rPr>
        <w:t xml:space="preserve"> 2024 </w:t>
      </w:r>
      <w:r w:rsidR="00664692">
        <w:rPr>
          <w:rFonts w:ascii="Tahoma" w:hAnsi="Tahoma" w:cs="Tahoma"/>
          <w:i/>
          <w:sz w:val="24"/>
          <w:szCs w:val="24"/>
          <w:lang w:val="en-US"/>
        </w:rPr>
        <w:t>U</w:t>
      </w:r>
      <w:r w:rsidR="00FC73FE">
        <w:rPr>
          <w:rFonts w:ascii="Tahoma" w:hAnsi="Tahoma" w:cs="Tahoma"/>
          <w:i/>
          <w:sz w:val="24"/>
          <w:szCs w:val="24"/>
          <w:lang w:val="en-US"/>
        </w:rPr>
        <w:t>pdate</w:t>
      </w:r>
      <w:r w:rsidR="00DA7560">
        <w:rPr>
          <w:rFonts w:ascii="Tahoma" w:hAnsi="Tahoma" w:cs="Tahoma"/>
          <w:i/>
          <w:sz w:val="24"/>
          <w:szCs w:val="24"/>
          <w:lang w:val="en-US"/>
        </w:rPr>
        <w:t xml:space="preserve"> and </w:t>
      </w:r>
      <w:r w:rsidR="00D450EF">
        <w:rPr>
          <w:rFonts w:ascii="Tahoma" w:hAnsi="Tahoma" w:cs="Tahoma"/>
          <w:i/>
          <w:sz w:val="24"/>
          <w:szCs w:val="24"/>
          <w:lang w:val="en-US"/>
        </w:rPr>
        <w:t>KPMG International</w:t>
      </w:r>
      <w:r w:rsidR="00DA7560">
        <w:rPr>
          <w:rFonts w:ascii="Tahoma" w:hAnsi="Tahoma" w:cs="Tahoma"/>
          <w:i/>
          <w:sz w:val="24"/>
          <w:szCs w:val="24"/>
          <w:lang w:val="en-US"/>
        </w:rPr>
        <w:t xml:space="preserve"> (2024)</w:t>
      </w:r>
    </w:p>
    <w:p w14:paraId="572B34D6" w14:textId="77777777" w:rsidR="007A3E1D" w:rsidRPr="00863A17" w:rsidRDefault="004F680D" w:rsidP="00BC5A90">
      <w:pPr>
        <w:pStyle w:val="Heading2"/>
        <w:spacing w:before="0" w:after="240" w:line="240" w:lineRule="auto"/>
        <w:rPr>
          <w:rFonts w:cs="Tahoma"/>
          <w:b/>
          <w:color w:val="000000"/>
          <w:szCs w:val="24"/>
          <w:lang w:val="en-US"/>
        </w:rPr>
      </w:pPr>
      <w:bookmarkStart w:id="12" w:name="_Toc166607891"/>
      <w:bookmarkStart w:id="13" w:name="_Toc188955354"/>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12"/>
      <w:bookmarkEnd w:id="13"/>
      <w:r w:rsidR="007A3E1D" w:rsidRPr="00863A17">
        <w:rPr>
          <w:rFonts w:cs="Tahoma"/>
          <w:b/>
          <w:color w:val="000000"/>
          <w:szCs w:val="24"/>
          <w:lang w:val="en-US"/>
        </w:rPr>
        <w:t xml:space="preserve"> </w:t>
      </w:r>
    </w:p>
    <w:p w14:paraId="7A40DC3A" w14:textId="58DD34E3" w:rsidR="005B02E0" w:rsidRDefault="004F680D" w:rsidP="00DE3766">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r w:rsidR="00E2424C">
        <w:rPr>
          <w:rFonts w:ascii="Tahoma" w:hAnsi="Tahoma" w:cs="Tahoma"/>
          <w:sz w:val="24"/>
          <w:szCs w:val="24"/>
          <w:lang w:val="en-US"/>
        </w:rPr>
        <w:t>KPMG International (2024) project</w:t>
      </w:r>
      <w:r w:rsidR="00C6736E">
        <w:rPr>
          <w:rFonts w:ascii="Tahoma" w:hAnsi="Tahoma" w:cs="Tahoma"/>
          <w:sz w:val="24"/>
          <w:szCs w:val="24"/>
          <w:lang w:val="en-US"/>
        </w:rPr>
        <w:t>ed</w:t>
      </w:r>
      <w:r w:rsidR="00E2424C">
        <w:rPr>
          <w:rFonts w:ascii="Tahoma" w:hAnsi="Tahoma" w:cs="Tahoma"/>
          <w:sz w:val="24"/>
          <w:szCs w:val="24"/>
          <w:lang w:val="en-US"/>
        </w:rPr>
        <w:t xml:space="preserve"> the pace of inflation to continue cooling due to excess supply and a drop in energy prices</w:t>
      </w:r>
      <w:bookmarkStart w:id="14" w:name="_Toc166608987"/>
      <w:r w:rsidR="00EA24D8">
        <w:rPr>
          <w:rFonts w:ascii="Tahoma" w:hAnsi="Tahoma" w:cs="Tahoma"/>
          <w:sz w:val="24"/>
          <w:szCs w:val="24"/>
          <w:lang w:val="en-US"/>
        </w:rPr>
        <w:t>.</w:t>
      </w:r>
      <w:r w:rsidR="006002B0">
        <w:rPr>
          <w:rFonts w:ascii="Tahoma" w:hAnsi="Tahoma" w:cs="Tahoma"/>
          <w:sz w:val="24"/>
          <w:szCs w:val="24"/>
          <w:lang w:val="en-US"/>
        </w:rPr>
        <w:t xml:space="preserve"> Global inflation is expected to fall to 4.5% in 2024, 3.5% in 2025 and 3.2% in 2026 (see Figure 2).</w:t>
      </w:r>
      <w:r w:rsidR="00EA24D8">
        <w:rPr>
          <w:rFonts w:ascii="Tahoma" w:hAnsi="Tahoma" w:cs="Tahoma"/>
          <w:sz w:val="24"/>
          <w:szCs w:val="24"/>
          <w:lang w:val="en-US"/>
        </w:rPr>
        <w:t xml:space="preserve"> </w:t>
      </w:r>
      <w:r w:rsidR="0058797A">
        <w:rPr>
          <w:rFonts w:ascii="Tahoma" w:hAnsi="Tahoma" w:cs="Tahoma"/>
          <w:sz w:val="24"/>
          <w:szCs w:val="24"/>
          <w:lang w:val="en-US"/>
        </w:rPr>
        <w:t xml:space="preserve">According to Atradius (2024), global inflation </w:t>
      </w:r>
      <w:r w:rsidR="00D250F3">
        <w:rPr>
          <w:rFonts w:ascii="Tahoma" w:hAnsi="Tahoma" w:cs="Tahoma"/>
          <w:sz w:val="24"/>
          <w:szCs w:val="24"/>
          <w:lang w:val="en-US"/>
        </w:rPr>
        <w:t xml:space="preserve">is expected to </w:t>
      </w:r>
      <w:proofErr w:type="gramStart"/>
      <w:r w:rsidR="00D250F3">
        <w:rPr>
          <w:rFonts w:ascii="Tahoma" w:hAnsi="Tahoma" w:cs="Tahoma"/>
          <w:sz w:val="24"/>
          <w:szCs w:val="24"/>
          <w:lang w:val="en-US"/>
        </w:rPr>
        <w:t>continue on</w:t>
      </w:r>
      <w:proofErr w:type="gramEnd"/>
      <w:r w:rsidR="00D250F3">
        <w:rPr>
          <w:rFonts w:ascii="Tahoma" w:hAnsi="Tahoma" w:cs="Tahoma"/>
          <w:sz w:val="24"/>
          <w:szCs w:val="24"/>
          <w:lang w:val="en-US"/>
        </w:rPr>
        <w:t xml:space="preserve"> this</w:t>
      </w:r>
      <w:r w:rsidR="0058797A">
        <w:rPr>
          <w:rFonts w:ascii="Tahoma" w:hAnsi="Tahoma" w:cs="Tahoma"/>
          <w:sz w:val="24"/>
          <w:szCs w:val="24"/>
          <w:lang w:val="en-US"/>
        </w:rPr>
        <w:t xml:space="preserve"> soft landing </w:t>
      </w:r>
      <w:r w:rsidR="00D250F3">
        <w:rPr>
          <w:rFonts w:ascii="Tahoma" w:hAnsi="Tahoma" w:cs="Tahoma"/>
          <w:sz w:val="24"/>
          <w:szCs w:val="24"/>
          <w:lang w:val="en-US"/>
        </w:rPr>
        <w:t xml:space="preserve">path </w:t>
      </w:r>
      <w:r w:rsidR="0058797A">
        <w:rPr>
          <w:rFonts w:ascii="Tahoma" w:hAnsi="Tahoma" w:cs="Tahoma"/>
          <w:sz w:val="24"/>
          <w:szCs w:val="24"/>
          <w:lang w:val="en-US"/>
        </w:rPr>
        <w:t xml:space="preserve">with inflation </w:t>
      </w:r>
      <w:r w:rsidR="00D250F3">
        <w:rPr>
          <w:rFonts w:ascii="Tahoma" w:hAnsi="Tahoma" w:cs="Tahoma"/>
          <w:sz w:val="24"/>
          <w:szCs w:val="24"/>
          <w:lang w:val="en-US"/>
        </w:rPr>
        <w:t xml:space="preserve">expected to </w:t>
      </w:r>
      <w:r w:rsidR="0058797A">
        <w:rPr>
          <w:rFonts w:ascii="Tahoma" w:hAnsi="Tahoma" w:cs="Tahoma"/>
          <w:sz w:val="24"/>
          <w:szCs w:val="24"/>
          <w:lang w:val="en-US"/>
        </w:rPr>
        <w:t>approach the 2% target in the Eurozone and US by 2025.</w:t>
      </w:r>
    </w:p>
    <w:p w14:paraId="3A8F0018" w14:textId="77777777" w:rsidR="00BE6AA3" w:rsidRDefault="00BE6AA3" w:rsidP="00DE3766">
      <w:pPr>
        <w:ind w:left="720" w:hanging="720"/>
        <w:jc w:val="both"/>
        <w:rPr>
          <w:rFonts w:ascii="Tahoma" w:hAnsi="Tahoma" w:cs="Tahoma"/>
          <w:sz w:val="24"/>
          <w:szCs w:val="24"/>
          <w:lang w:val="en-US"/>
        </w:rPr>
      </w:pPr>
    </w:p>
    <w:p w14:paraId="6A196623" w14:textId="77777777" w:rsidR="00D250F3" w:rsidRPr="00D250F3" w:rsidRDefault="00D250F3" w:rsidP="00797969">
      <w:pPr>
        <w:rPr>
          <w:lang w:val="en-US"/>
        </w:rPr>
      </w:pPr>
    </w:p>
    <w:p w14:paraId="38DDFCDA" w14:textId="77777777" w:rsidR="00D250F3" w:rsidRPr="00797969" w:rsidRDefault="00D250F3" w:rsidP="00797969">
      <w:pPr>
        <w:pStyle w:val="Caption"/>
        <w:rPr>
          <w:lang w:val="en-US"/>
        </w:rPr>
      </w:pPr>
    </w:p>
    <w:p w14:paraId="70BCAD2F" w14:textId="7E16212C" w:rsidR="00BE6AA3" w:rsidRDefault="00BE6AA3" w:rsidP="00BE6AA3">
      <w:pPr>
        <w:pStyle w:val="ListofFigures"/>
        <w:spacing w:after="0"/>
        <w:rPr>
          <w:lang w:val="en-US"/>
        </w:rPr>
      </w:pPr>
      <w:bookmarkStart w:id="15" w:name="_Toc187672514"/>
      <w:r>
        <w:rPr>
          <w:lang w:val="en-US"/>
        </w:rPr>
        <w:t>Figure 2: Global Inflation</w:t>
      </w:r>
      <w:bookmarkEnd w:id="15"/>
    </w:p>
    <w:p w14:paraId="1E5D4786" w14:textId="769E1A6A" w:rsidR="00660C80" w:rsidRDefault="00660C80" w:rsidP="00BE6AA3">
      <w:pPr>
        <w:spacing w:after="0"/>
        <w:ind w:left="720" w:hanging="720"/>
        <w:jc w:val="both"/>
        <w:rPr>
          <w:rFonts w:ascii="Tahoma" w:hAnsi="Tahoma" w:cs="Tahoma"/>
          <w:sz w:val="24"/>
          <w:szCs w:val="24"/>
          <w:lang w:val="en-US"/>
        </w:rPr>
      </w:pPr>
      <w:r>
        <w:rPr>
          <w:noProof/>
        </w:rPr>
        <w:drawing>
          <wp:inline distT="0" distB="0" distL="0" distR="0" wp14:anchorId="2A6843DA" wp14:editId="7DC70343">
            <wp:extent cx="5731510" cy="2275840"/>
            <wp:effectExtent l="0" t="0" r="2540" b="10160"/>
            <wp:docPr id="1868831771" name="Chart 1">
              <a:extLst xmlns:a="http://schemas.openxmlformats.org/drawingml/2006/main">
                <a:ext uri="{FF2B5EF4-FFF2-40B4-BE49-F238E27FC236}">
                  <a16:creationId xmlns:a16="http://schemas.microsoft.com/office/drawing/2014/main" id="{2F42E0AC-5890-00A8-88EB-DDABD187F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557B2E" w14:textId="77F5833B" w:rsidR="00BE6AA3" w:rsidRPr="00BE6AA3" w:rsidRDefault="00BE6AA3" w:rsidP="00DE3766">
      <w:pPr>
        <w:ind w:left="720" w:hanging="720"/>
        <w:jc w:val="both"/>
        <w:rPr>
          <w:rFonts w:ascii="Tahoma" w:hAnsi="Tahoma" w:cs="Tahoma"/>
          <w:i/>
          <w:iCs/>
          <w:sz w:val="24"/>
          <w:szCs w:val="24"/>
          <w:lang w:val="en-US"/>
        </w:rPr>
      </w:pPr>
      <w:r w:rsidRPr="00BE6AA3">
        <w:rPr>
          <w:rFonts w:ascii="Tahoma" w:hAnsi="Tahoma" w:cs="Tahoma"/>
          <w:i/>
          <w:iCs/>
          <w:sz w:val="24"/>
          <w:szCs w:val="24"/>
          <w:lang w:val="en-US"/>
        </w:rPr>
        <w:t>Source: IFM, WEO October 2024 update and KPMG International 2024</w:t>
      </w:r>
    </w:p>
    <w:p w14:paraId="254D8D04" w14:textId="77777777" w:rsidR="00BB6E27" w:rsidRPr="00546CD8" w:rsidRDefault="004F680D" w:rsidP="00B42926">
      <w:pPr>
        <w:pStyle w:val="Heading1"/>
        <w:spacing w:before="0" w:after="240"/>
        <w:rPr>
          <w:lang w:val="en-US"/>
        </w:rPr>
      </w:pPr>
      <w:bookmarkStart w:id="16" w:name="_Toc166607892"/>
      <w:bookmarkStart w:id="17" w:name="_Toc188955355"/>
      <w:bookmarkEnd w:id="14"/>
      <w:r w:rsidRPr="00546CD8">
        <w:rPr>
          <w:lang w:val="en-US"/>
        </w:rPr>
        <w:t>2.0</w:t>
      </w:r>
      <w:r w:rsidRPr="00546CD8">
        <w:rPr>
          <w:lang w:val="en-US"/>
        </w:rPr>
        <w:tab/>
      </w:r>
      <w:r w:rsidR="00EF37FE" w:rsidRPr="00546CD8">
        <w:rPr>
          <w:lang w:val="en-US"/>
        </w:rPr>
        <w:t>International Commodity Prices</w:t>
      </w:r>
      <w:bookmarkEnd w:id="16"/>
      <w:bookmarkEnd w:id="17"/>
      <w:r w:rsidR="00EF37FE" w:rsidRPr="00546CD8">
        <w:rPr>
          <w:lang w:val="en-US"/>
        </w:rPr>
        <w:t xml:space="preserve"> </w:t>
      </w:r>
    </w:p>
    <w:p w14:paraId="4A6BCE34" w14:textId="640FDE6D" w:rsidR="00077E32" w:rsidRDefault="004F680D" w:rsidP="0047159F">
      <w:pPr>
        <w:ind w:left="720" w:hanging="720"/>
        <w:jc w:val="both"/>
        <w:rPr>
          <w:rFonts w:ascii="Tahoma" w:hAnsi="Tahoma" w:cs="Tahoma"/>
          <w:sz w:val="24"/>
          <w:szCs w:val="24"/>
          <w:lang w:val="en-US"/>
        </w:rPr>
      </w:pPr>
      <w:r w:rsidRPr="00863A17">
        <w:rPr>
          <w:rFonts w:ascii="Tahoma" w:hAnsi="Tahoma" w:cs="Tahoma"/>
          <w:sz w:val="24"/>
          <w:szCs w:val="24"/>
          <w:lang w:val="en-US"/>
        </w:rPr>
        <w:t>2.1</w:t>
      </w:r>
      <w:r w:rsidRPr="00863A17">
        <w:rPr>
          <w:rFonts w:ascii="Tahoma" w:hAnsi="Tahoma" w:cs="Tahoma"/>
          <w:sz w:val="24"/>
          <w:szCs w:val="24"/>
          <w:lang w:val="en-US"/>
        </w:rPr>
        <w:tab/>
      </w:r>
      <w:r w:rsidR="00A11FA3">
        <w:rPr>
          <w:rFonts w:ascii="Tahoma" w:hAnsi="Tahoma" w:cs="Tahoma"/>
          <w:sz w:val="24"/>
          <w:szCs w:val="24"/>
          <w:lang w:val="en-US"/>
        </w:rPr>
        <w:t xml:space="preserve">During the month under review, </w:t>
      </w:r>
      <w:r w:rsidR="00077E32">
        <w:rPr>
          <w:rFonts w:ascii="Tahoma" w:hAnsi="Tahoma" w:cs="Tahoma"/>
          <w:sz w:val="24"/>
          <w:szCs w:val="24"/>
          <w:lang w:val="en-US"/>
        </w:rPr>
        <w:t xml:space="preserve">commodity prices registered a mixed fortunes trend. Commodities such as </w:t>
      </w:r>
      <w:r w:rsidR="00A11FA3">
        <w:rPr>
          <w:rFonts w:ascii="Tahoma" w:hAnsi="Tahoma" w:cs="Tahoma"/>
          <w:sz w:val="24"/>
          <w:szCs w:val="24"/>
          <w:lang w:val="en-US"/>
        </w:rPr>
        <w:t>crude oil, natural gas, soybeans, corn and wheat prices gained by 3.12%, 8.94%, 0.88%, 7.88% and 3.62% respectively</w:t>
      </w:r>
      <w:r w:rsidR="00077E32">
        <w:rPr>
          <w:rFonts w:ascii="Tahoma" w:hAnsi="Tahoma" w:cs="Tahoma"/>
          <w:sz w:val="24"/>
          <w:szCs w:val="24"/>
          <w:lang w:val="en-US"/>
        </w:rPr>
        <w:t>. However</w:t>
      </w:r>
      <w:r w:rsidR="00A11FA3">
        <w:rPr>
          <w:rFonts w:ascii="Tahoma" w:hAnsi="Tahoma" w:cs="Tahoma"/>
          <w:sz w:val="24"/>
          <w:szCs w:val="24"/>
          <w:lang w:val="en-US"/>
        </w:rPr>
        <w:t>, prices of aluminum, copper, nickel, gold and cotton retreated, see Table 1.</w:t>
      </w:r>
      <w:r w:rsidR="00C6736E">
        <w:rPr>
          <w:rFonts w:ascii="Tahoma" w:hAnsi="Tahoma" w:cs="Tahoma"/>
          <w:sz w:val="24"/>
          <w:szCs w:val="24"/>
          <w:lang w:val="en-US"/>
        </w:rPr>
        <w:t xml:space="preserve"> </w:t>
      </w:r>
    </w:p>
    <w:p w14:paraId="2B279451" w14:textId="7E920B91" w:rsidR="00E63C0D" w:rsidRPr="00863A17" w:rsidRDefault="00077E32" w:rsidP="00797969">
      <w:pPr>
        <w:ind w:left="720"/>
        <w:jc w:val="both"/>
        <w:rPr>
          <w:rFonts w:ascii="Tahoma" w:hAnsi="Tahoma" w:cs="Tahoma"/>
          <w:sz w:val="24"/>
          <w:szCs w:val="24"/>
          <w:lang w:val="en-US"/>
        </w:rPr>
      </w:pPr>
      <w:r>
        <w:rPr>
          <w:rFonts w:ascii="Tahoma" w:hAnsi="Tahoma" w:cs="Tahoma"/>
          <w:sz w:val="24"/>
          <w:szCs w:val="24"/>
          <w:lang w:val="en-US"/>
        </w:rPr>
        <w:t xml:space="preserve">The mixed fortunes trend may be attributed to </w:t>
      </w:r>
      <w:r w:rsidR="00C6736E">
        <w:rPr>
          <w:rFonts w:ascii="Tahoma" w:hAnsi="Tahoma" w:cs="Tahoma"/>
          <w:sz w:val="24"/>
          <w:szCs w:val="24"/>
          <w:lang w:val="en-US"/>
        </w:rPr>
        <w:t>unique blend of economic policies, geopolitical pressures, and evolving supply-demand dynamics</w:t>
      </w:r>
      <w:r>
        <w:rPr>
          <w:rFonts w:ascii="Tahoma" w:hAnsi="Tahoma" w:cs="Tahoma"/>
          <w:sz w:val="24"/>
          <w:szCs w:val="24"/>
          <w:lang w:val="en-US"/>
        </w:rPr>
        <w:t xml:space="preserve"> that prevailed in December 2024 (ACY Securities, 2024)</w:t>
      </w:r>
      <w:r w:rsidR="00970F27">
        <w:rPr>
          <w:rFonts w:ascii="Tahoma" w:hAnsi="Tahoma" w:cs="Tahoma"/>
          <w:sz w:val="24"/>
          <w:szCs w:val="24"/>
          <w:lang w:val="en-US"/>
        </w:rPr>
        <w:t>.</w:t>
      </w:r>
      <w:r w:rsidR="00BC1B0C">
        <w:rPr>
          <w:rFonts w:ascii="Tahoma" w:hAnsi="Tahoma" w:cs="Tahoma"/>
          <w:sz w:val="24"/>
          <w:szCs w:val="24"/>
          <w:lang w:val="en-US"/>
        </w:rPr>
        <w:t xml:space="preserve"> </w:t>
      </w:r>
      <w:r w:rsidR="00BC1B0C" w:rsidRPr="00BC1B0C">
        <w:rPr>
          <w:rFonts w:ascii="Tahoma" w:hAnsi="Tahoma" w:cs="Tahoma"/>
          <w:sz w:val="24"/>
          <w:szCs w:val="24"/>
        </w:rPr>
        <w:t>OPEC+ postponed its planned production hikes, extending cuts until April 2025</w:t>
      </w:r>
      <w:r w:rsidR="00BC1B0C">
        <w:rPr>
          <w:rFonts w:ascii="Tahoma" w:hAnsi="Tahoma" w:cs="Tahoma"/>
          <w:sz w:val="24"/>
          <w:szCs w:val="24"/>
        </w:rPr>
        <w:t xml:space="preserve"> leading to low supply of oil and rising </w:t>
      </w:r>
      <w:r w:rsidR="007B6F4C">
        <w:rPr>
          <w:rFonts w:ascii="Tahoma" w:hAnsi="Tahoma" w:cs="Tahoma"/>
          <w:sz w:val="24"/>
          <w:szCs w:val="24"/>
        </w:rPr>
        <w:t>prices while</w:t>
      </w:r>
      <w:r w:rsidR="00BC1B0C">
        <w:rPr>
          <w:rFonts w:ascii="Tahoma" w:hAnsi="Tahoma" w:cs="Tahoma"/>
          <w:sz w:val="24"/>
          <w:szCs w:val="24"/>
        </w:rPr>
        <w:t xml:space="preserve"> agricultural commodity prices </w:t>
      </w:r>
      <w:r w:rsidR="007B6F4C">
        <w:rPr>
          <w:rFonts w:ascii="Tahoma" w:hAnsi="Tahoma" w:cs="Tahoma"/>
          <w:sz w:val="24"/>
          <w:szCs w:val="24"/>
        </w:rPr>
        <w:t xml:space="preserve">firmed </w:t>
      </w:r>
      <w:r w:rsidR="00A223C6">
        <w:rPr>
          <w:rFonts w:ascii="Tahoma" w:hAnsi="Tahoma" w:cs="Tahoma"/>
          <w:sz w:val="24"/>
          <w:szCs w:val="24"/>
        </w:rPr>
        <w:t>due to the</w:t>
      </w:r>
      <w:r w:rsidR="00BC1B0C">
        <w:rPr>
          <w:rFonts w:ascii="Tahoma" w:hAnsi="Tahoma" w:cs="Tahoma"/>
          <w:sz w:val="24"/>
          <w:szCs w:val="24"/>
        </w:rPr>
        <w:t xml:space="preserve"> El- Nino drought</w:t>
      </w:r>
      <w:r w:rsidR="00A223C6">
        <w:rPr>
          <w:rFonts w:ascii="Tahoma" w:hAnsi="Tahoma" w:cs="Tahoma"/>
          <w:sz w:val="24"/>
          <w:szCs w:val="24"/>
        </w:rPr>
        <w:t xml:space="preserve"> effects</w:t>
      </w:r>
      <w:r w:rsidR="00BC1B0C">
        <w:rPr>
          <w:rFonts w:ascii="Tahoma" w:hAnsi="Tahoma" w:cs="Tahoma"/>
          <w:sz w:val="24"/>
          <w:szCs w:val="24"/>
        </w:rPr>
        <w:t>.</w:t>
      </w:r>
    </w:p>
    <w:p w14:paraId="717AAB46" w14:textId="0565A799" w:rsidR="00EC632F" w:rsidRPr="00E63C0D" w:rsidRDefault="004F680D" w:rsidP="00B13FFB">
      <w:pPr>
        <w:ind w:left="720" w:hanging="720"/>
        <w:jc w:val="both"/>
        <w:rPr>
          <w:rFonts w:ascii="Tahoma" w:hAnsi="Tahoma" w:cs="Tahoma"/>
          <w:sz w:val="24"/>
          <w:szCs w:val="24"/>
          <w:lang w:val="en-US"/>
        </w:rPr>
      </w:pPr>
      <w:r w:rsidRPr="00863A17">
        <w:rPr>
          <w:rFonts w:ascii="Tahoma" w:hAnsi="Tahoma" w:cs="Tahoma"/>
          <w:sz w:val="24"/>
          <w:szCs w:val="24"/>
          <w:lang w:val="en-US"/>
        </w:rPr>
        <w:t>2.2</w:t>
      </w:r>
      <w:r w:rsidRPr="00863A17">
        <w:rPr>
          <w:rFonts w:ascii="Tahoma" w:hAnsi="Tahoma" w:cs="Tahoma"/>
          <w:sz w:val="24"/>
          <w:szCs w:val="24"/>
          <w:lang w:val="en-US"/>
        </w:rPr>
        <w:tab/>
      </w:r>
      <w:r w:rsidR="003661D8">
        <w:rPr>
          <w:rFonts w:ascii="Tahoma" w:hAnsi="Tahoma" w:cs="Tahoma"/>
          <w:sz w:val="24"/>
          <w:szCs w:val="24"/>
          <w:lang w:val="en-US"/>
        </w:rPr>
        <w:t xml:space="preserve">Natural gas, aluminum, copper and gold prices increased on </w:t>
      </w:r>
      <w:r w:rsidR="00425721">
        <w:rPr>
          <w:rFonts w:ascii="Tahoma" w:hAnsi="Tahoma" w:cs="Tahoma"/>
          <w:sz w:val="24"/>
          <w:szCs w:val="24"/>
          <w:lang w:val="en-US"/>
        </w:rPr>
        <w:t>y</w:t>
      </w:r>
      <w:r w:rsidR="003661D8">
        <w:rPr>
          <w:rFonts w:ascii="Tahoma" w:hAnsi="Tahoma" w:cs="Tahoma"/>
          <w:sz w:val="24"/>
          <w:szCs w:val="24"/>
          <w:lang w:val="en-US"/>
        </w:rPr>
        <w:t>ear-to-date</w:t>
      </w:r>
      <w:r w:rsidR="00425721">
        <w:rPr>
          <w:rFonts w:ascii="Tahoma" w:hAnsi="Tahoma" w:cs="Tahoma"/>
          <w:sz w:val="24"/>
          <w:szCs w:val="24"/>
          <w:lang w:val="en-US"/>
        </w:rPr>
        <w:t xml:space="preserve"> (YtD)</w:t>
      </w:r>
      <w:r w:rsidR="003661D8">
        <w:rPr>
          <w:rFonts w:ascii="Tahoma" w:hAnsi="Tahoma" w:cs="Tahoma"/>
          <w:sz w:val="24"/>
          <w:szCs w:val="24"/>
          <w:lang w:val="en-US"/>
        </w:rPr>
        <w:t xml:space="preserve">, </w:t>
      </w:r>
      <w:r w:rsidR="00425721">
        <w:rPr>
          <w:rFonts w:ascii="Tahoma" w:hAnsi="Tahoma" w:cs="Tahoma"/>
          <w:sz w:val="24"/>
          <w:szCs w:val="24"/>
          <w:lang w:val="en-US"/>
        </w:rPr>
        <w:t xml:space="preserve">while </w:t>
      </w:r>
      <w:r w:rsidR="003661D8">
        <w:rPr>
          <w:rFonts w:ascii="Tahoma" w:hAnsi="Tahoma" w:cs="Tahoma"/>
          <w:sz w:val="24"/>
          <w:szCs w:val="24"/>
          <w:lang w:val="en-US"/>
        </w:rPr>
        <w:t xml:space="preserve">the price of corn remained stable </w:t>
      </w:r>
      <w:r w:rsidR="00425721">
        <w:rPr>
          <w:rFonts w:ascii="Tahoma" w:hAnsi="Tahoma" w:cs="Tahoma"/>
          <w:sz w:val="24"/>
          <w:szCs w:val="24"/>
          <w:lang w:val="en-US"/>
        </w:rPr>
        <w:t>and</w:t>
      </w:r>
      <w:r w:rsidR="003661D8">
        <w:rPr>
          <w:rFonts w:ascii="Tahoma" w:hAnsi="Tahoma" w:cs="Tahoma"/>
          <w:sz w:val="24"/>
          <w:szCs w:val="24"/>
          <w:lang w:val="en-US"/>
        </w:rPr>
        <w:t xml:space="preserve"> prices of crude oil, nickel, cotton, soyabeans and wheat decline</w:t>
      </w:r>
      <w:r w:rsidR="00425721">
        <w:rPr>
          <w:rFonts w:ascii="Tahoma" w:hAnsi="Tahoma" w:cs="Tahoma"/>
          <w:sz w:val="24"/>
          <w:szCs w:val="24"/>
          <w:lang w:val="en-US"/>
        </w:rPr>
        <w:t>d</w:t>
      </w:r>
      <w:r w:rsidR="003661D8">
        <w:rPr>
          <w:rFonts w:ascii="Tahoma" w:hAnsi="Tahoma" w:cs="Tahoma"/>
          <w:sz w:val="24"/>
          <w:szCs w:val="24"/>
          <w:lang w:val="en-US"/>
        </w:rPr>
        <w:t xml:space="preserve">. </w:t>
      </w:r>
    </w:p>
    <w:p w14:paraId="63F4D1CA" w14:textId="2ABBF4C3" w:rsidR="00D2737C"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bookmarkStart w:id="18" w:name="_Hlk181774988"/>
      <w:r w:rsidR="00671788">
        <w:rPr>
          <w:rFonts w:ascii="Tahoma" w:hAnsi="Tahoma" w:cs="Tahoma"/>
          <w:sz w:val="24"/>
          <w:szCs w:val="24"/>
          <w:lang w:val="en-US"/>
        </w:rPr>
        <w:t>On a year-on-year</w:t>
      </w:r>
      <w:r w:rsidR="00425721">
        <w:rPr>
          <w:rFonts w:ascii="Tahoma" w:hAnsi="Tahoma" w:cs="Tahoma"/>
          <w:sz w:val="24"/>
          <w:szCs w:val="24"/>
          <w:lang w:val="en-US"/>
        </w:rPr>
        <w:t xml:space="preserve"> (YoY)</w:t>
      </w:r>
      <w:r w:rsidR="00671788">
        <w:rPr>
          <w:rFonts w:ascii="Tahoma" w:hAnsi="Tahoma" w:cs="Tahoma"/>
          <w:sz w:val="24"/>
          <w:szCs w:val="24"/>
          <w:lang w:val="en-US"/>
        </w:rPr>
        <w:t xml:space="preserve"> basis, </w:t>
      </w:r>
      <w:r w:rsidR="00425721">
        <w:rPr>
          <w:rFonts w:ascii="Tahoma" w:hAnsi="Tahoma" w:cs="Tahoma"/>
          <w:sz w:val="24"/>
          <w:szCs w:val="24"/>
          <w:lang w:val="en-US"/>
        </w:rPr>
        <w:t xml:space="preserve">prices of </w:t>
      </w:r>
      <w:r w:rsidR="00671788">
        <w:rPr>
          <w:rFonts w:ascii="Tahoma" w:hAnsi="Tahoma" w:cs="Tahoma"/>
          <w:sz w:val="24"/>
          <w:szCs w:val="24"/>
          <w:lang w:val="en-US"/>
        </w:rPr>
        <w:t xml:space="preserve">natural gas, aluminum and gold firmed while price of other commodities fell. </w:t>
      </w:r>
      <w:bookmarkEnd w:id="18"/>
    </w:p>
    <w:p w14:paraId="12FAF02F" w14:textId="3DFC482A" w:rsidR="00EF37FE" w:rsidRPr="00AB0841" w:rsidRDefault="009F5CE5" w:rsidP="00E63964">
      <w:pPr>
        <w:pStyle w:val="ListofTables"/>
        <w:rPr>
          <w:lang w:val="en-US"/>
        </w:rPr>
      </w:pPr>
      <w:bookmarkStart w:id="19" w:name="_Toc164072363"/>
      <w:bookmarkStart w:id="20" w:name="_Toc166658890"/>
      <w:bookmarkStart w:id="21" w:name="_Toc187672457"/>
      <w:r w:rsidRPr="00863A17">
        <w:lastRenderedPageBreak/>
        <w:t xml:space="preserve">Table </w:t>
      </w:r>
      <w:r w:rsidR="000A7B2C">
        <w:t>1</w:t>
      </w:r>
      <w:r w:rsidRPr="00863A17">
        <w:t>:</w:t>
      </w:r>
      <w:r w:rsidRPr="00863A17">
        <w:rPr>
          <w:lang w:val="en-US"/>
        </w:rPr>
        <w:t xml:space="preserve"> Commodity Price Movements – </w:t>
      </w:r>
      <w:r w:rsidR="00761C54" w:rsidRPr="00863A17">
        <w:rPr>
          <w:lang w:val="en-US"/>
        </w:rPr>
        <w:t>Month</w:t>
      </w:r>
      <w:r w:rsidRPr="00863A17">
        <w:rPr>
          <w:lang w:val="en-US"/>
        </w:rPr>
        <w:t xml:space="preserve"> Ending</w:t>
      </w:r>
      <w:r w:rsidR="0009726E">
        <w:rPr>
          <w:lang w:val="en-US"/>
        </w:rPr>
        <w:t xml:space="preserve"> 31</w:t>
      </w:r>
      <w:r w:rsidR="000A7B2C">
        <w:rPr>
          <w:lang w:val="en-US"/>
        </w:rPr>
        <w:t xml:space="preserve"> </w:t>
      </w:r>
      <w:r w:rsidR="0009726E">
        <w:rPr>
          <w:lang w:val="en-US"/>
        </w:rPr>
        <w:t>December</w:t>
      </w:r>
      <w:r w:rsidRPr="00863A17">
        <w:rPr>
          <w:lang w:val="en-US"/>
        </w:rPr>
        <w:t xml:space="preserve"> 202</w:t>
      </w:r>
      <w:r w:rsidR="007A3D03" w:rsidRPr="00863A17">
        <w:rPr>
          <w:lang w:val="en-US"/>
        </w:rPr>
        <w:t>4</w:t>
      </w:r>
      <w:bookmarkEnd w:id="19"/>
      <w:bookmarkEnd w:id="20"/>
      <w:bookmarkEnd w:id="21"/>
    </w:p>
    <w:p w14:paraId="3FDCEEDA" w14:textId="2CE7349F" w:rsidR="009D4508" w:rsidRPr="00AB0841" w:rsidRDefault="0009726E" w:rsidP="0076325F">
      <w:pPr>
        <w:spacing w:after="0"/>
        <w:rPr>
          <w:rFonts w:ascii="Tahoma" w:hAnsi="Tahoma" w:cs="Tahoma"/>
          <w:noProof/>
          <w:sz w:val="24"/>
          <w:szCs w:val="24"/>
          <w:lang w:eastAsia="en-ZW"/>
        </w:rPr>
      </w:pPr>
      <w:r w:rsidRPr="0009726E">
        <w:rPr>
          <w:noProof/>
        </w:rPr>
        <w:drawing>
          <wp:inline distT="0" distB="0" distL="0" distR="0" wp14:anchorId="3CDA8CE1" wp14:editId="2F4C93D9">
            <wp:extent cx="5731510" cy="1965325"/>
            <wp:effectExtent l="0" t="0" r="2540" b="0"/>
            <wp:docPr id="1273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37295" name=""/>
                    <pic:cNvPicPr/>
                  </pic:nvPicPr>
                  <pic:blipFill>
                    <a:blip r:embed="rId12"/>
                    <a:stretch>
                      <a:fillRect/>
                    </a:stretch>
                  </pic:blipFill>
                  <pic:spPr>
                    <a:xfrm>
                      <a:off x="0" y="0"/>
                      <a:ext cx="5731510" cy="1965325"/>
                    </a:xfrm>
                    <a:prstGeom prst="rect">
                      <a:avLst/>
                    </a:prstGeom>
                  </pic:spPr>
                </pic:pic>
              </a:graphicData>
            </a:graphic>
          </wp:inline>
        </w:drawing>
      </w:r>
    </w:p>
    <w:p w14:paraId="19C3E861" w14:textId="77777777" w:rsidR="00EF37FE" w:rsidRPr="00863A17" w:rsidRDefault="00EF37FE" w:rsidP="00F05BD5">
      <w:pPr>
        <w:spacing w:line="480" w:lineRule="auto"/>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1F13" w:rsidRPr="00863A17">
        <w:rPr>
          <w:rFonts w:ascii="Tahoma" w:hAnsi="Tahoma" w:cs="Tahoma"/>
          <w:i/>
          <w:sz w:val="24"/>
          <w:szCs w:val="24"/>
          <w:lang w:val="en-US"/>
        </w:rPr>
        <w:t>4</w:t>
      </w:r>
      <w:r w:rsidR="006B3019" w:rsidRPr="00863A17">
        <w:rPr>
          <w:rFonts w:ascii="Tahoma" w:hAnsi="Tahoma" w:cs="Tahoma"/>
          <w:i/>
          <w:sz w:val="24"/>
          <w:szCs w:val="24"/>
          <w:lang w:val="en-US"/>
        </w:rPr>
        <w:t>)</w:t>
      </w:r>
    </w:p>
    <w:p w14:paraId="0BB69A26" w14:textId="77777777" w:rsidR="00EF37FE" w:rsidRPr="00863A17" w:rsidRDefault="004F680D" w:rsidP="00F05BD5">
      <w:pPr>
        <w:pStyle w:val="Heading1"/>
        <w:spacing w:before="0" w:after="240"/>
        <w:rPr>
          <w:lang w:val="en-US"/>
        </w:rPr>
      </w:pPr>
      <w:bookmarkStart w:id="22" w:name="_Toc166607893"/>
      <w:bookmarkStart w:id="23" w:name="_Toc188955356"/>
      <w:r w:rsidRPr="00863A17">
        <w:rPr>
          <w:lang w:val="en-US"/>
        </w:rPr>
        <w:t>3.0</w:t>
      </w:r>
      <w:r w:rsidRPr="00863A17">
        <w:rPr>
          <w:lang w:val="en-US"/>
        </w:rPr>
        <w:tab/>
      </w:r>
      <w:r w:rsidR="00476766" w:rsidRPr="00863A17">
        <w:rPr>
          <w:lang w:val="en-US"/>
        </w:rPr>
        <w:t>Zimbabwe GDP Growth Update</w:t>
      </w:r>
      <w:bookmarkEnd w:id="22"/>
      <w:bookmarkEnd w:id="23"/>
      <w:r w:rsidR="00476766" w:rsidRPr="00863A17">
        <w:rPr>
          <w:lang w:val="en-US"/>
        </w:rPr>
        <w:t xml:space="preserve"> </w:t>
      </w:r>
      <w:r w:rsidR="00EF37FE" w:rsidRPr="00863A17">
        <w:rPr>
          <w:lang w:val="en-US"/>
        </w:rPr>
        <w:t xml:space="preserve"> </w:t>
      </w:r>
    </w:p>
    <w:p w14:paraId="0F6C1357" w14:textId="6B18F14C" w:rsidR="00487413" w:rsidRPr="009E7083" w:rsidRDefault="004F680D" w:rsidP="00FA5612">
      <w:pPr>
        <w:ind w:left="720" w:hanging="720"/>
        <w:jc w:val="both"/>
        <w:rPr>
          <w:rFonts w:ascii="Tahoma" w:hAnsi="Tahoma" w:cs="Tahoma"/>
          <w:i/>
          <w:iCs/>
          <w:sz w:val="24"/>
          <w:szCs w:val="24"/>
          <w:lang w:val="en-US"/>
        </w:rPr>
      </w:pPr>
      <w:r w:rsidRPr="00863A17">
        <w:rPr>
          <w:rFonts w:ascii="Tahoma" w:hAnsi="Tahoma" w:cs="Tahoma"/>
          <w:sz w:val="24"/>
          <w:szCs w:val="24"/>
          <w:lang w:val="en-US"/>
        </w:rPr>
        <w:t>3.1</w:t>
      </w:r>
      <w:r w:rsidRPr="00863A17">
        <w:rPr>
          <w:rFonts w:ascii="Tahoma" w:hAnsi="Tahoma" w:cs="Tahoma"/>
          <w:sz w:val="24"/>
          <w:szCs w:val="24"/>
          <w:lang w:val="en-US"/>
        </w:rPr>
        <w:tab/>
      </w:r>
      <w:bookmarkStart w:id="24" w:name="_Hlk166603728"/>
      <w:r w:rsidR="005916C9" w:rsidRPr="005916C9">
        <w:rPr>
          <w:rFonts w:ascii="Tahoma" w:hAnsi="Tahoma" w:cs="Tahoma"/>
          <w:sz w:val="24"/>
          <w:szCs w:val="24"/>
          <w:lang w:val="en-US"/>
        </w:rPr>
        <w:t>Zimbabwe's economic growth is projected to remain steady at 2% in 2024</w:t>
      </w:r>
      <w:r w:rsidR="00D250F3">
        <w:rPr>
          <w:rFonts w:ascii="Tahoma" w:hAnsi="Tahoma" w:cs="Tahoma"/>
          <w:sz w:val="24"/>
          <w:szCs w:val="24"/>
          <w:lang w:val="en-US"/>
        </w:rPr>
        <w:t xml:space="preserve"> and</w:t>
      </w:r>
      <w:r w:rsidR="005916C9" w:rsidRPr="005916C9">
        <w:rPr>
          <w:rFonts w:ascii="Tahoma" w:hAnsi="Tahoma" w:cs="Tahoma"/>
          <w:sz w:val="24"/>
          <w:szCs w:val="24"/>
          <w:lang w:val="en-US"/>
        </w:rPr>
        <w:t xml:space="preserve"> accelerat</w:t>
      </w:r>
      <w:r w:rsidR="00425721">
        <w:rPr>
          <w:rFonts w:ascii="Tahoma" w:hAnsi="Tahoma" w:cs="Tahoma"/>
          <w:sz w:val="24"/>
          <w:szCs w:val="24"/>
          <w:lang w:val="en-US"/>
        </w:rPr>
        <w:t>e</w:t>
      </w:r>
      <w:r w:rsidR="005916C9" w:rsidRPr="005916C9">
        <w:rPr>
          <w:rFonts w:ascii="Tahoma" w:hAnsi="Tahoma" w:cs="Tahoma"/>
          <w:sz w:val="24"/>
          <w:szCs w:val="24"/>
          <w:lang w:val="en-US"/>
        </w:rPr>
        <w:t xml:space="preserve"> to 6% in 2025. This growth is driven by expected improvements in agriculture and electricity generation, fueled by the La-Nina phenomenon, as well as expansions in </w:t>
      </w:r>
      <w:r w:rsidR="005916C9">
        <w:rPr>
          <w:rFonts w:ascii="Tahoma" w:hAnsi="Tahoma" w:cs="Tahoma"/>
          <w:sz w:val="24"/>
          <w:szCs w:val="24"/>
          <w:lang w:val="en-US"/>
        </w:rPr>
        <w:t>information technology</w:t>
      </w:r>
      <w:r w:rsidR="005916C9" w:rsidRPr="005916C9">
        <w:rPr>
          <w:rFonts w:ascii="Tahoma" w:hAnsi="Tahoma" w:cs="Tahoma"/>
          <w:sz w:val="24"/>
          <w:szCs w:val="24"/>
          <w:lang w:val="en-US"/>
        </w:rPr>
        <w:t>, mining, and a stable macroeconomic environment.</w:t>
      </w:r>
    </w:p>
    <w:p w14:paraId="1251284A" w14:textId="77777777" w:rsidR="00EF37FE" w:rsidRPr="00086539" w:rsidRDefault="00B1678A" w:rsidP="009F5CE5">
      <w:pPr>
        <w:pStyle w:val="Heading1"/>
        <w:spacing w:before="0" w:after="240" w:line="240" w:lineRule="auto"/>
        <w:rPr>
          <w:rFonts w:cs="Tahoma"/>
          <w:bCs/>
          <w:color w:val="000000"/>
          <w:szCs w:val="24"/>
          <w:lang w:val="en-US"/>
        </w:rPr>
      </w:pPr>
      <w:bookmarkStart w:id="25" w:name="_Toc166607894"/>
      <w:bookmarkStart w:id="26" w:name="_Toc188955357"/>
      <w:bookmarkEnd w:id="24"/>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5"/>
      <w:bookmarkEnd w:id="26"/>
      <w:r w:rsidR="00EF37FE" w:rsidRPr="00086539">
        <w:rPr>
          <w:rFonts w:cs="Tahoma"/>
          <w:bCs/>
          <w:color w:val="000000"/>
          <w:szCs w:val="24"/>
          <w:lang w:val="en-US"/>
        </w:rPr>
        <w:t xml:space="preserve"> </w:t>
      </w:r>
    </w:p>
    <w:p w14:paraId="4E83653D" w14:textId="27BE293C" w:rsidR="00D75883" w:rsidRDefault="00B1678A" w:rsidP="00C262AF">
      <w:pPr>
        <w:ind w:left="720" w:hanging="720"/>
        <w:jc w:val="both"/>
        <w:rPr>
          <w:rFonts w:ascii="Tahoma" w:hAnsi="Tahoma" w:cs="Tahoma"/>
          <w:sz w:val="24"/>
          <w:szCs w:val="24"/>
          <w:lang w:val="en-US"/>
        </w:rPr>
      </w:pPr>
      <w:r w:rsidRPr="00863A17">
        <w:rPr>
          <w:rFonts w:ascii="Tahoma" w:hAnsi="Tahoma" w:cs="Tahoma"/>
          <w:sz w:val="24"/>
          <w:szCs w:val="24"/>
          <w:lang w:val="en-US"/>
        </w:rPr>
        <w:t>4.1</w:t>
      </w:r>
      <w:r w:rsidRPr="00863A17">
        <w:rPr>
          <w:rFonts w:ascii="Tahoma" w:hAnsi="Tahoma" w:cs="Tahoma"/>
          <w:sz w:val="24"/>
          <w:szCs w:val="24"/>
          <w:lang w:val="en-US"/>
        </w:rPr>
        <w:tab/>
      </w:r>
      <w:r w:rsidR="00A55EE7">
        <w:rPr>
          <w:rFonts w:ascii="Tahoma" w:hAnsi="Tahoma" w:cs="Tahoma"/>
          <w:sz w:val="24"/>
          <w:szCs w:val="24"/>
          <w:lang w:val="en-US"/>
        </w:rPr>
        <w:t>Zimbabwe National Statistics Agency (ZimStat) had not published the merchandise trade data for</w:t>
      </w:r>
      <w:r w:rsidR="00224681">
        <w:rPr>
          <w:rFonts w:ascii="Tahoma" w:hAnsi="Tahoma" w:cs="Tahoma"/>
          <w:sz w:val="24"/>
          <w:szCs w:val="24"/>
          <w:lang w:val="en-US"/>
        </w:rPr>
        <w:t xml:space="preserve"> </w:t>
      </w:r>
      <w:r w:rsidR="008B5704">
        <w:rPr>
          <w:rFonts w:ascii="Tahoma" w:hAnsi="Tahoma" w:cs="Tahoma"/>
          <w:sz w:val="24"/>
          <w:szCs w:val="24"/>
          <w:lang w:val="en-US"/>
        </w:rPr>
        <w:t>December</w:t>
      </w:r>
      <w:r w:rsidR="00A55EE7">
        <w:rPr>
          <w:rFonts w:ascii="Tahoma" w:hAnsi="Tahoma" w:cs="Tahoma"/>
          <w:sz w:val="24"/>
          <w:szCs w:val="24"/>
          <w:lang w:val="en-US"/>
        </w:rPr>
        <w:t xml:space="preserve"> 2024 </w:t>
      </w:r>
      <w:r w:rsidR="00D75883">
        <w:rPr>
          <w:rFonts w:ascii="Tahoma" w:hAnsi="Tahoma" w:cs="Tahoma"/>
          <w:sz w:val="24"/>
          <w:szCs w:val="24"/>
          <w:lang w:val="en-US"/>
        </w:rPr>
        <w:t xml:space="preserve">by </w:t>
      </w:r>
      <w:r w:rsidR="00A55EE7">
        <w:rPr>
          <w:rFonts w:ascii="Tahoma" w:hAnsi="Tahoma" w:cs="Tahoma"/>
          <w:sz w:val="24"/>
          <w:szCs w:val="24"/>
          <w:lang w:val="en-US"/>
        </w:rPr>
        <w:t xml:space="preserve">the time of compiling this report, thus the analysis is based on </w:t>
      </w:r>
      <w:r w:rsidR="008B5704">
        <w:rPr>
          <w:rFonts w:ascii="Tahoma" w:hAnsi="Tahoma" w:cs="Tahoma"/>
          <w:sz w:val="24"/>
          <w:szCs w:val="24"/>
          <w:lang w:val="en-US"/>
        </w:rPr>
        <w:t>October</w:t>
      </w:r>
      <w:r w:rsidR="00A55EE7">
        <w:rPr>
          <w:rFonts w:ascii="Tahoma" w:hAnsi="Tahoma" w:cs="Tahoma"/>
          <w:sz w:val="24"/>
          <w:szCs w:val="24"/>
          <w:lang w:val="en-US"/>
        </w:rPr>
        <w:t xml:space="preserve"> 2024 data.</w:t>
      </w:r>
    </w:p>
    <w:p w14:paraId="21CFC481" w14:textId="6EC882BF" w:rsidR="00897CB3" w:rsidRDefault="00D75883" w:rsidP="00C262AF">
      <w:pPr>
        <w:ind w:left="720" w:hanging="720"/>
        <w:jc w:val="both"/>
        <w:rPr>
          <w:rFonts w:ascii="Tahoma" w:hAnsi="Tahoma" w:cs="Tahoma"/>
          <w:sz w:val="24"/>
          <w:szCs w:val="24"/>
          <w:lang w:val="en-US"/>
        </w:rPr>
      </w:pPr>
      <w:r>
        <w:rPr>
          <w:rFonts w:ascii="Tahoma" w:hAnsi="Tahoma" w:cs="Tahoma"/>
          <w:sz w:val="24"/>
          <w:szCs w:val="24"/>
          <w:lang w:val="en-US"/>
        </w:rPr>
        <w:t>4.2</w:t>
      </w:r>
      <w:r>
        <w:rPr>
          <w:rFonts w:ascii="Tahoma" w:hAnsi="Tahoma" w:cs="Tahoma"/>
          <w:sz w:val="24"/>
          <w:szCs w:val="24"/>
          <w:lang w:val="en-US"/>
        </w:rPr>
        <w:tab/>
      </w:r>
      <w:bookmarkStart w:id="27" w:name="_Hlk181775050"/>
      <w:r w:rsidR="00534F79">
        <w:rPr>
          <w:rFonts w:ascii="Tahoma" w:hAnsi="Tahoma" w:cs="Tahoma"/>
          <w:sz w:val="24"/>
          <w:szCs w:val="24"/>
          <w:lang w:val="en-US"/>
        </w:rPr>
        <w:t>T</w:t>
      </w:r>
      <w:r w:rsidR="00A55EE7">
        <w:rPr>
          <w:rFonts w:ascii="Tahoma" w:hAnsi="Tahoma" w:cs="Tahoma"/>
          <w:sz w:val="24"/>
          <w:szCs w:val="24"/>
          <w:lang w:val="en-US"/>
        </w:rPr>
        <w:t>otal merchandise trade</w:t>
      </w:r>
      <w:r w:rsidR="00534F79">
        <w:rPr>
          <w:rFonts w:ascii="Tahoma" w:hAnsi="Tahoma" w:cs="Tahoma"/>
          <w:sz w:val="24"/>
          <w:szCs w:val="24"/>
          <w:lang w:val="en-US"/>
        </w:rPr>
        <w:t xml:space="preserve"> </w:t>
      </w:r>
      <w:r w:rsidR="00ED402A">
        <w:rPr>
          <w:rFonts w:ascii="Tahoma" w:hAnsi="Tahoma" w:cs="Tahoma"/>
          <w:sz w:val="24"/>
          <w:szCs w:val="24"/>
          <w:lang w:val="en-US"/>
        </w:rPr>
        <w:t>stood</w:t>
      </w:r>
      <w:r w:rsidR="00534F79">
        <w:rPr>
          <w:rFonts w:ascii="Tahoma" w:hAnsi="Tahoma" w:cs="Tahoma"/>
          <w:sz w:val="24"/>
          <w:szCs w:val="24"/>
          <w:lang w:val="en-US"/>
        </w:rPr>
        <w:t xml:space="preserve"> to</w:t>
      </w:r>
      <w:r w:rsidR="00A55EE7">
        <w:rPr>
          <w:rFonts w:ascii="Tahoma" w:hAnsi="Tahoma" w:cs="Tahoma"/>
          <w:sz w:val="24"/>
          <w:szCs w:val="24"/>
          <w:lang w:val="en-US"/>
        </w:rPr>
        <w:t xml:space="preserve"> </w:t>
      </w:r>
      <w:r w:rsidR="006574DF">
        <w:rPr>
          <w:rFonts w:ascii="Tahoma" w:hAnsi="Tahoma" w:cs="Tahoma"/>
          <w:sz w:val="24"/>
          <w:szCs w:val="24"/>
          <w:lang w:val="en-US"/>
        </w:rPr>
        <w:t>USD1</w:t>
      </w:r>
      <w:r w:rsidR="00ED402A">
        <w:rPr>
          <w:rFonts w:ascii="Tahoma" w:hAnsi="Tahoma" w:cs="Tahoma"/>
          <w:sz w:val="24"/>
          <w:szCs w:val="24"/>
          <w:lang w:val="en-US"/>
        </w:rPr>
        <w:t>533.9</w:t>
      </w:r>
      <w:r w:rsidR="006574DF">
        <w:rPr>
          <w:rFonts w:ascii="Tahoma" w:hAnsi="Tahoma" w:cs="Tahoma"/>
          <w:sz w:val="24"/>
          <w:szCs w:val="24"/>
          <w:lang w:val="en-US"/>
        </w:rPr>
        <w:t xml:space="preserve"> </w:t>
      </w:r>
      <w:r w:rsidR="00A55EE7">
        <w:rPr>
          <w:rFonts w:ascii="Tahoma" w:hAnsi="Tahoma" w:cs="Tahoma"/>
          <w:sz w:val="24"/>
          <w:szCs w:val="24"/>
          <w:lang w:val="en-US"/>
        </w:rPr>
        <w:t>million</w:t>
      </w:r>
      <w:r w:rsidR="00534F79">
        <w:rPr>
          <w:rFonts w:ascii="Tahoma" w:hAnsi="Tahoma" w:cs="Tahoma"/>
          <w:sz w:val="24"/>
          <w:szCs w:val="24"/>
          <w:lang w:val="en-US"/>
        </w:rPr>
        <w:t xml:space="preserve"> in </w:t>
      </w:r>
      <w:r w:rsidR="00ED402A">
        <w:rPr>
          <w:rFonts w:ascii="Tahoma" w:hAnsi="Tahoma" w:cs="Tahoma"/>
          <w:sz w:val="24"/>
          <w:szCs w:val="24"/>
          <w:lang w:val="en-US"/>
        </w:rPr>
        <w:t>October</w:t>
      </w:r>
      <w:r w:rsidR="00534F79">
        <w:rPr>
          <w:rFonts w:ascii="Tahoma" w:hAnsi="Tahoma" w:cs="Tahoma"/>
          <w:sz w:val="24"/>
          <w:szCs w:val="24"/>
          <w:lang w:val="en-US"/>
        </w:rPr>
        <w:t xml:space="preserve"> 2024</w:t>
      </w:r>
      <w:r w:rsidR="00ED402A">
        <w:rPr>
          <w:rFonts w:ascii="Tahoma" w:hAnsi="Tahoma" w:cs="Tahoma"/>
          <w:sz w:val="24"/>
          <w:szCs w:val="24"/>
          <w:lang w:val="en-US"/>
        </w:rPr>
        <w:t xml:space="preserve"> making </w:t>
      </w:r>
      <w:r w:rsidR="006574DF">
        <w:rPr>
          <w:rFonts w:ascii="Tahoma" w:hAnsi="Tahoma" w:cs="Tahoma"/>
          <w:sz w:val="24"/>
          <w:szCs w:val="24"/>
          <w:lang w:val="en-US"/>
        </w:rPr>
        <w:t>a 12.</w:t>
      </w:r>
      <w:r w:rsidR="00ED402A">
        <w:rPr>
          <w:rFonts w:ascii="Tahoma" w:hAnsi="Tahoma" w:cs="Tahoma"/>
          <w:sz w:val="24"/>
          <w:szCs w:val="24"/>
          <w:lang w:val="en-US"/>
        </w:rPr>
        <w:t>8</w:t>
      </w:r>
      <w:r w:rsidR="006574DF">
        <w:rPr>
          <w:rFonts w:ascii="Tahoma" w:hAnsi="Tahoma" w:cs="Tahoma"/>
          <w:sz w:val="24"/>
          <w:szCs w:val="24"/>
          <w:lang w:val="en-US"/>
        </w:rPr>
        <w:t>% decrease from USD</w:t>
      </w:r>
      <w:r w:rsidR="00ED402A">
        <w:rPr>
          <w:rFonts w:ascii="Tahoma" w:hAnsi="Tahoma" w:cs="Tahoma"/>
          <w:sz w:val="24"/>
          <w:szCs w:val="24"/>
          <w:lang w:val="en-US"/>
        </w:rPr>
        <w:t>1359.4</w:t>
      </w:r>
      <w:r w:rsidR="006574DF">
        <w:rPr>
          <w:rFonts w:ascii="Tahoma" w:hAnsi="Tahoma" w:cs="Tahoma"/>
          <w:sz w:val="24"/>
          <w:szCs w:val="24"/>
          <w:lang w:val="en-US"/>
        </w:rPr>
        <w:t xml:space="preserve"> million in </w:t>
      </w:r>
      <w:r w:rsidR="00ED402A">
        <w:rPr>
          <w:rFonts w:ascii="Tahoma" w:hAnsi="Tahoma" w:cs="Tahoma"/>
          <w:sz w:val="24"/>
          <w:szCs w:val="24"/>
          <w:lang w:val="en-US"/>
        </w:rPr>
        <w:t>September</w:t>
      </w:r>
      <w:r w:rsidR="006574DF">
        <w:rPr>
          <w:rFonts w:ascii="Tahoma" w:hAnsi="Tahoma" w:cs="Tahoma"/>
          <w:sz w:val="24"/>
          <w:szCs w:val="24"/>
          <w:lang w:val="en-US"/>
        </w:rPr>
        <w:t xml:space="preserve"> 2024 due to </w:t>
      </w:r>
      <w:r w:rsidR="00971A5B">
        <w:rPr>
          <w:rFonts w:ascii="Tahoma" w:hAnsi="Tahoma" w:cs="Tahoma"/>
          <w:sz w:val="24"/>
          <w:szCs w:val="24"/>
          <w:lang w:val="en-US"/>
        </w:rPr>
        <w:t>an</w:t>
      </w:r>
      <w:r w:rsidR="006574DF">
        <w:rPr>
          <w:rFonts w:ascii="Tahoma" w:hAnsi="Tahoma" w:cs="Tahoma"/>
          <w:sz w:val="24"/>
          <w:szCs w:val="24"/>
          <w:lang w:val="en-US"/>
        </w:rPr>
        <w:t xml:space="preserve"> </w:t>
      </w:r>
      <w:r w:rsidR="00ED402A">
        <w:rPr>
          <w:rFonts w:ascii="Tahoma" w:hAnsi="Tahoma" w:cs="Tahoma"/>
          <w:sz w:val="24"/>
          <w:szCs w:val="24"/>
          <w:lang w:val="en-US"/>
        </w:rPr>
        <w:t>increase</w:t>
      </w:r>
      <w:r w:rsidR="006574DF">
        <w:rPr>
          <w:rFonts w:ascii="Tahoma" w:hAnsi="Tahoma" w:cs="Tahoma"/>
          <w:sz w:val="24"/>
          <w:szCs w:val="24"/>
          <w:lang w:val="en-US"/>
        </w:rPr>
        <w:t xml:space="preserve"> in both exports and imports. On YoY</w:t>
      </w:r>
      <w:r w:rsidR="00425721">
        <w:rPr>
          <w:rFonts w:ascii="Tahoma" w:hAnsi="Tahoma" w:cs="Tahoma"/>
          <w:sz w:val="24"/>
          <w:szCs w:val="24"/>
          <w:lang w:val="en-US"/>
        </w:rPr>
        <w:t xml:space="preserve"> basis</w:t>
      </w:r>
      <w:r w:rsidR="006574DF">
        <w:rPr>
          <w:rFonts w:ascii="Tahoma" w:hAnsi="Tahoma" w:cs="Tahoma"/>
          <w:sz w:val="24"/>
          <w:szCs w:val="24"/>
          <w:lang w:val="en-US"/>
        </w:rPr>
        <w:t xml:space="preserve">, merchandise trade retreated by </w:t>
      </w:r>
      <w:r w:rsidR="00ED402A">
        <w:rPr>
          <w:rFonts w:ascii="Tahoma" w:hAnsi="Tahoma" w:cs="Tahoma"/>
          <w:sz w:val="24"/>
          <w:szCs w:val="24"/>
          <w:lang w:val="en-US"/>
        </w:rPr>
        <w:t>11.5</w:t>
      </w:r>
      <w:r w:rsidR="006574DF">
        <w:rPr>
          <w:rFonts w:ascii="Tahoma" w:hAnsi="Tahoma" w:cs="Tahoma"/>
          <w:sz w:val="24"/>
          <w:szCs w:val="24"/>
          <w:lang w:val="en-US"/>
        </w:rPr>
        <w:t>% down from USD1</w:t>
      </w:r>
      <w:r w:rsidR="00ED402A">
        <w:rPr>
          <w:rFonts w:ascii="Tahoma" w:hAnsi="Tahoma" w:cs="Tahoma"/>
          <w:sz w:val="24"/>
          <w:szCs w:val="24"/>
          <w:lang w:val="en-US"/>
        </w:rPr>
        <w:t>733.4</w:t>
      </w:r>
      <w:r w:rsidR="006574DF">
        <w:rPr>
          <w:rFonts w:ascii="Tahoma" w:hAnsi="Tahoma" w:cs="Tahoma"/>
          <w:sz w:val="24"/>
          <w:szCs w:val="24"/>
          <w:lang w:val="en-US"/>
        </w:rPr>
        <w:t xml:space="preserve"> million in </w:t>
      </w:r>
      <w:r w:rsidR="00ED402A">
        <w:rPr>
          <w:rFonts w:ascii="Tahoma" w:hAnsi="Tahoma" w:cs="Tahoma"/>
          <w:sz w:val="24"/>
          <w:szCs w:val="24"/>
          <w:lang w:val="en-US"/>
        </w:rPr>
        <w:t>October</w:t>
      </w:r>
      <w:r w:rsidR="006574DF">
        <w:rPr>
          <w:rFonts w:ascii="Tahoma" w:hAnsi="Tahoma" w:cs="Tahoma"/>
          <w:sz w:val="24"/>
          <w:szCs w:val="24"/>
          <w:lang w:val="en-US"/>
        </w:rPr>
        <w:t xml:space="preserve"> 2023</w:t>
      </w:r>
      <w:bookmarkEnd w:id="27"/>
      <w:r w:rsidR="006574DF">
        <w:rPr>
          <w:rFonts w:ascii="Tahoma" w:hAnsi="Tahoma" w:cs="Tahoma"/>
          <w:sz w:val="24"/>
          <w:szCs w:val="24"/>
          <w:lang w:val="en-US"/>
        </w:rPr>
        <w:t xml:space="preserve"> </w:t>
      </w:r>
      <w:r w:rsidR="00EB16D2">
        <w:rPr>
          <w:rFonts w:ascii="Tahoma" w:hAnsi="Tahoma" w:cs="Tahoma"/>
          <w:sz w:val="24"/>
          <w:szCs w:val="24"/>
          <w:lang w:val="en-US"/>
        </w:rPr>
        <w:t>(</w:t>
      </w:r>
      <w:r w:rsidR="00A55EE7">
        <w:rPr>
          <w:rFonts w:ascii="Tahoma" w:hAnsi="Tahoma" w:cs="Tahoma"/>
          <w:sz w:val="24"/>
          <w:szCs w:val="24"/>
          <w:lang w:val="en-US"/>
        </w:rPr>
        <w:t>RBZ</w:t>
      </w:r>
      <w:r w:rsidR="009C1166">
        <w:rPr>
          <w:rFonts w:ascii="Tahoma" w:hAnsi="Tahoma" w:cs="Tahoma"/>
          <w:sz w:val="24"/>
          <w:szCs w:val="24"/>
          <w:lang w:val="en-US"/>
        </w:rPr>
        <w:t xml:space="preserve"> </w:t>
      </w:r>
      <w:r w:rsidR="00ED402A">
        <w:rPr>
          <w:rFonts w:ascii="Tahoma" w:hAnsi="Tahoma" w:cs="Tahoma"/>
          <w:sz w:val="24"/>
          <w:szCs w:val="24"/>
          <w:lang w:val="en-US"/>
        </w:rPr>
        <w:t>October</w:t>
      </w:r>
      <w:r w:rsidR="00C928AA">
        <w:rPr>
          <w:rFonts w:ascii="Tahoma" w:hAnsi="Tahoma" w:cs="Tahoma"/>
          <w:sz w:val="24"/>
          <w:szCs w:val="24"/>
          <w:lang w:val="en-US"/>
        </w:rPr>
        <w:t xml:space="preserve"> 2024</w:t>
      </w:r>
      <w:r w:rsidR="00A55EE7">
        <w:rPr>
          <w:rFonts w:ascii="Tahoma" w:hAnsi="Tahoma" w:cs="Tahoma"/>
          <w:sz w:val="24"/>
          <w:szCs w:val="24"/>
          <w:lang w:val="en-US"/>
        </w:rPr>
        <w:t xml:space="preserve"> Monthly Re</w:t>
      </w:r>
      <w:r w:rsidR="00C928AA">
        <w:rPr>
          <w:rFonts w:ascii="Tahoma" w:hAnsi="Tahoma" w:cs="Tahoma"/>
          <w:sz w:val="24"/>
          <w:szCs w:val="24"/>
          <w:lang w:val="en-US"/>
        </w:rPr>
        <w:t>view</w:t>
      </w:r>
      <w:r w:rsidR="00EB16D2">
        <w:rPr>
          <w:rFonts w:ascii="Tahoma" w:hAnsi="Tahoma" w:cs="Tahoma"/>
          <w:sz w:val="24"/>
          <w:szCs w:val="24"/>
          <w:lang w:val="en-US"/>
        </w:rPr>
        <w:t>).</w:t>
      </w:r>
    </w:p>
    <w:p w14:paraId="13853F82" w14:textId="0084D5E0" w:rsidR="00425721" w:rsidRDefault="00354CAD" w:rsidP="008B0E32">
      <w:pPr>
        <w:ind w:left="720" w:hanging="720"/>
        <w:jc w:val="both"/>
        <w:rPr>
          <w:rFonts w:ascii="Tahoma" w:hAnsi="Tahoma" w:cs="Tahoma"/>
          <w:noProof/>
          <w:sz w:val="24"/>
          <w:szCs w:val="24"/>
          <w:lang w:eastAsia="en-ZW"/>
        </w:rPr>
      </w:pPr>
      <w:r>
        <w:rPr>
          <w:rFonts w:ascii="Tahoma" w:hAnsi="Tahoma" w:cs="Tahoma"/>
          <w:noProof/>
          <w:sz w:val="24"/>
          <w:szCs w:val="24"/>
          <w:lang w:eastAsia="en-ZW"/>
        </w:rPr>
        <w:t>4.1</w:t>
      </w:r>
      <w:r w:rsidR="00056C3C">
        <w:rPr>
          <w:rFonts w:ascii="Tahoma" w:hAnsi="Tahoma" w:cs="Tahoma"/>
          <w:noProof/>
          <w:sz w:val="24"/>
          <w:szCs w:val="24"/>
          <w:lang w:eastAsia="en-ZW"/>
        </w:rPr>
        <w:tab/>
      </w:r>
      <w:bookmarkStart w:id="28" w:name="_Hlk181775076"/>
      <w:r w:rsidR="004C15AC">
        <w:rPr>
          <w:rFonts w:ascii="Tahoma" w:hAnsi="Tahoma" w:cs="Tahoma"/>
          <w:noProof/>
          <w:sz w:val="24"/>
          <w:szCs w:val="24"/>
          <w:lang w:eastAsia="en-ZW"/>
        </w:rPr>
        <w:t>T</w:t>
      </w:r>
      <w:r w:rsidR="00252C38">
        <w:rPr>
          <w:rFonts w:ascii="Tahoma" w:hAnsi="Tahoma" w:cs="Tahoma"/>
          <w:noProof/>
          <w:sz w:val="24"/>
          <w:szCs w:val="24"/>
          <w:lang w:eastAsia="en-ZW"/>
        </w:rPr>
        <w:t xml:space="preserve">he trade deficit </w:t>
      </w:r>
      <w:r w:rsidR="00425721">
        <w:rPr>
          <w:rFonts w:ascii="Tahoma" w:hAnsi="Tahoma" w:cs="Tahoma"/>
          <w:noProof/>
          <w:sz w:val="24"/>
          <w:szCs w:val="24"/>
          <w:lang w:eastAsia="en-ZW"/>
        </w:rPr>
        <w:t>declined</w:t>
      </w:r>
      <w:r w:rsidR="00587D5F">
        <w:rPr>
          <w:rFonts w:ascii="Tahoma" w:hAnsi="Tahoma" w:cs="Tahoma"/>
          <w:noProof/>
          <w:sz w:val="24"/>
          <w:szCs w:val="24"/>
          <w:lang w:eastAsia="en-ZW"/>
        </w:rPr>
        <w:t xml:space="preserve"> from USD209.5 million in September 2024 to USD137.7 million in October 2024</w:t>
      </w:r>
      <w:r w:rsidR="00425721">
        <w:rPr>
          <w:rFonts w:ascii="Tahoma" w:hAnsi="Tahoma" w:cs="Tahoma"/>
          <w:noProof/>
          <w:sz w:val="24"/>
          <w:szCs w:val="24"/>
          <w:lang w:eastAsia="en-ZW"/>
        </w:rPr>
        <w:t>. On YoY basis, it</w:t>
      </w:r>
      <w:r w:rsidR="00587D5F">
        <w:rPr>
          <w:rFonts w:ascii="Tahoma" w:hAnsi="Tahoma" w:cs="Tahoma"/>
          <w:noProof/>
          <w:sz w:val="24"/>
          <w:szCs w:val="24"/>
          <w:lang w:eastAsia="en-ZW"/>
        </w:rPr>
        <w:t xml:space="preserve"> widened from USD69.7 million in October 2023</w:t>
      </w:r>
      <w:r w:rsidR="00425721">
        <w:rPr>
          <w:rFonts w:ascii="Tahoma" w:hAnsi="Tahoma" w:cs="Tahoma"/>
          <w:noProof/>
          <w:sz w:val="24"/>
          <w:szCs w:val="24"/>
          <w:lang w:eastAsia="en-ZW"/>
        </w:rPr>
        <w:t xml:space="preserve"> </w:t>
      </w:r>
      <w:r w:rsidR="00136197">
        <w:rPr>
          <w:rFonts w:ascii="Tahoma" w:hAnsi="Tahoma" w:cs="Tahoma"/>
          <w:noProof/>
          <w:sz w:val="24"/>
          <w:szCs w:val="24"/>
          <w:lang w:eastAsia="en-ZW"/>
        </w:rPr>
        <w:t xml:space="preserve">(see Figure </w:t>
      </w:r>
      <w:r w:rsidR="00686026">
        <w:rPr>
          <w:rFonts w:ascii="Tahoma" w:hAnsi="Tahoma" w:cs="Tahoma"/>
          <w:noProof/>
          <w:sz w:val="24"/>
          <w:szCs w:val="24"/>
          <w:lang w:eastAsia="en-ZW"/>
        </w:rPr>
        <w:t>3</w:t>
      </w:r>
      <w:r w:rsidR="00136197">
        <w:rPr>
          <w:rFonts w:ascii="Tahoma" w:hAnsi="Tahoma" w:cs="Tahoma"/>
          <w:noProof/>
          <w:sz w:val="24"/>
          <w:szCs w:val="24"/>
          <w:lang w:eastAsia="en-ZW"/>
        </w:rPr>
        <w:t>)</w:t>
      </w:r>
      <w:r w:rsidR="00BB518F">
        <w:rPr>
          <w:rFonts w:ascii="Tahoma" w:hAnsi="Tahoma" w:cs="Tahoma"/>
          <w:noProof/>
          <w:sz w:val="24"/>
          <w:szCs w:val="24"/>
          <w:lang w:eastAsia="en-ZW"/>
        </w:rPr>
        <w:t>.</w:t>
      </w:r>
      <w:r w:rsidR="00136197">
        <w:rPr>
          <w:rFonts w:ascii="Tahoma" w:hAnsi="Tahoma" w:cs="Tahoma"/>
          <w:noProof/>
          <w:sz w:val="24"/>
          <w:szCs w:val="24"/>
          <w:lang w:eastAsia="en-ZW"/>
        </w:rPr>
        <w:t xml:space="preserve"> </w:t>
      </w:r>
    </w:p>
    <w:p w14:paraId="52831893" w14:textId="77777777" w:rsidR="00425721" w:rsidRDefault="00BB518F" w:rsidP="00425721">
      <w:pPr>
        <w:ind w:left="720"/>
        <w:jc w:val="both"/>
        <w:rPr>
          <w:rFonts w:ascii="Tahoma" w:hAnsi="Tahoma" w:cs="Tahoma"/>
          <w:noProof/>
          <w:sz w:val="24"/>
          <w:szCs w:val="24"/>
          <w:lang w:eastAsia="en-ZW"/>
        </w:rPr>
      </w:pPr>
      <w:r>
        <w:rPr>
          <w:rFonts w:ascii="Tahoma" w:hAnsi="Tahoma" w:cs="Tahoma"/>
          <w:noProof/>
          <w:sz w:val="24"/>
          <w:szCs w:val="24"/>
          <w:lang w:eastAsia="en-ZW"/>
        </w:rPr>
        <w:t xml:space="preserve">Exports </w:t>
      </w:r>
      <w:r w:rsidR="00587D5F">
        <w:rPr>
          <w:rFonts w:ascii="Tahoma" w:hAnsi="Tahoma" w:cs="Tahoma"/>
          <w:noProof/>
          <w:sz w:val="24"/>
          <w:szCs w:val="24"/>
          <w:lang w:eastAsia="en-ZW"/>
        </w:rPr>
        <w:t>grew by 21.4</w:t>
      </w:r>
      <w:bookmarkEnd w:id="28"/>
      <w:r w:rsidR="00587D5F">
        <w:rPr>
          <w:rFonts w:ascii="Tahoma" w:hAnsi="Tahoma" w:cs="Tahoma"/>
          <w:noProof/>
          <w:sz w:val="24"/>
          <w:szCs w:val="24"/>
          <w:lang w:eastAsia="en-ZW"/>
        </w:rPr>
        <w:t>% to USD698.1 million in October 2024, from USD575 million in September 2024</w:t>
      </w:r>
      <w:r w:rsidR="004D5D49">
        <w:rPr>
          <w:rFonts w:ascii="Tahoma" w:hAnsi="Tahoma" w:cs="Tahoma"/>
          <w:noProof/>
          <w:sz w:val="24"/>
          <w:szCs w:val="24"/>
          <w:lang w:eastAsia="en-ZW"/>
        </w:rPr>
        <w:t xml:space="preserve"> and 16.1% lower than USD831.9 million in October 2023</w:t>
      </w:r>
      <w:r w:rsidR="002A4DB7">
        <w:rPr>
          <w:rFonts w:ascii="Tahoma" w:hAnsi="Tahoma" w:cs="Tahoma"/>
          <w:noProof/>
          <w:sz w:val="24"/>
          <w:szCs w:val="24"/>
          <w:lang w:eastAsia="en-ZW"/>
        </w:rPr>
        <w:t>,  primar</w:t>
      </w:r>
      <w:r w:rsidR="0011714C">
        <w:rPr>
          <w:rFonts w:ascii="Tahoma" w:hAnsi="Tahoma" w:cs="Tahoma"/>
          <w:noProof/>
          <w:sz w:val="24"/>
          <w:szCs w:val="24"/>
          <w:lang w:eastAsia="en-ZW"/>
        </w:rPr>
        <w:t>il</w:t>
      </w:r>
      <w:r w:rsidR="002A4DB7">
        <w:rPr>
          <w:rFonts w:ascii="Tahoma" w:hAnsi="Tahoma" w:cs="Tahoma"/>
          <w:noProof/>
          <w:sz w:val="24"/>
          <w:szCs w:val="24"/>
          <w:lang w:eastAsia="en-ZW"/>
        </w:rPr>
        <w:t>y driven by higher shipments of gold and tobacco, mainly to United Arab Em</w:t>
      </w:r>
      <w:r w:rsidR="008B1903">
        <w:rPr>
          <w:rFonts w:ascii="Tahoma" w:hAnsi="Tahoma" w:cs="Tahoma"/>
          <w:noProof/>
          <w:sz w:val="24"/>
          <w:szCs w:val="24"/>
          <w:lang w:eastAsia="en-ZW"/>
        </w:rPr>
        <w:t>i</w:t>
      </w:r>
      <w:r w:rsidR="002A4DB7">
        <w:rPr>
          <w:rFonts w:ascii="Tahoma" w:hAnsi="Tahoma" w:cs="Tahoma"/>
          <w:noProof/>
          <w:sz w:val="24"/>
          <w:szCs w:val="24"/>
          <w:lang w:eastAsia="en-ZW"/>
        </w:rPr>
        <w:t>rates, South Africa and China</w:t>
      </w:r>
      <w:r w:rsidR="008B0E32">
        <w:rPr>
          <w:rFonts w:ascii="Tahoma" w:hAnsi="Tahoma" w:cs="Tahoma"/>
          <w:noProof/>
          <w:sz w:val="24"/>
          <w:szCs w:val="24"/>
          <w:lang w:eastAsia="en-ZW"/>
        </w:rPr>
        <w:t>.</w:t>
      </w:r>
    </w:p>
    <w:p w14:paraId="2AD1DC18" w14:textId="6C8749C4" w:rsidR="00E2017D" w:rsidRDefault="008B0E32" w:rsidP="00797969">
      <w:pPr>
        <w:ind w:left="720"/>
        <w:jc w:val="both"/>
        <w:rPr>
          <w:rFonts w:ascii="Tahoma" w:hAnsi="Tahoma" w:cs="Tahoma"/>
          <w:noProof/>
          <w:sz w:val="24"/>
          <w:szCs w:val="24"/>
          <w:lang w:eastAsia="en-ZW"/>
        </w:rPr>
      </w:pPr>
      <w:r>
        <w:rPr>
          <w:rFonts w:ascii="Tahoma" w:hAnsi="Tahoma" w:cs="Tahoma"/>
          <w:noProof/>
          <w:sz w:val="24"/>
          <w:szCs w:val="24"/>
          <w:lang w:eastAsia="en-ZW"/>
        </w:rPr>
        <w:t xml:space="preserve">Imports also grew by 6.5% to USD835.8 million from USD784.4 million in September 2024, dominated by diesel, maize, petrol and crude soya beans oil from South Africa, China, Bahamas and Singapore. On a </w:t>
      </w:r>
      <w:r w:rsidR="00425721">
        <w:rPr>
          <w:rFonts w:ascii="Tahoma" w:hAnsi="Tahoma" w:cs="Tahoma"/>
          <w:noProof/>
          <w:sz w:val="24"/>
          <w:szCs w:val="24"/>
          <w:lang w:eastAsia="en-ZW"/>
        </w:rPr>
        <w:t>YoY</w:t>
      </w:r>
      <w:r>
        <w:rPr>
          <w:rFonts w:ascii="Tahoma" w:hAnsi="Tahoma" w:cs="Tahoma"/>
          <w:noProof/>
          <w:sz w:val="24"/>
          <w:szCs w:val="24"/>
          <w:lang w:eastAsia="en-ZW"/>
        </w:rPr>
        <w:t xml:space="preserve"> b</w:t>
      </w:r>
      <w:r w:rsidR="00425721">
        <w:rPr>
          <w:rFonts w:ascii="Tahoma" w:hAnsi="Tahoma" w:cs="Tahoma"/>
          <w:noProof/>
          <w:sz w:val="24"/>
          <w:szCs w:val="24"/>
          <w:lang w:eastAsia="en-ZW"/>
        </w:rPr>
        <w:t>asis</w:t>
      </w:r>
      <w:r>
        <w:rPr>
          <w:rFonts w:ascii="Tahoma" w:hAnsi="Tahoma" w:cs="Tahoma"/>
          <w:noProof/>
          <w:sz w:val="24"/>
          <w:szCs w:val="24"/>
          <w:lang w:eastAsia="en-ZW"/>
        </w:rPr>
        <w:t>, imports fell from 901.6 million in October 2023.</w:t>
      </w:r>
    </w:p>
    <w:p w14:paraId="6808AA7E" w14:textId="6F22E513" w:rsidR="00D75883" w:rsidRPr="00E1754A" w:rsidRDefault="00D75883" w:rsidP="00D75883">
      <w:pPr>
        <w:pStyle w:val="ListofFigures"/>
      </w:pPr>
      <w:bookmarkStart w:id="29" w:name="_Toc187672515"/>
      <w:r w:rsidRPr="00863A17">
        <w:lastRenderedPageBreak/>
        <w:t xml:space="preserve">Figure </w:t>
      </w:r>
      <w:r w:rsidR="0065553A">
        <w:rPr>
          <w:bCs/>
        </w:rPr>
        <w:t>3</w:t>
      </w:r>
      <w:r w:rsidRPr="00863A17">
        <w:t xml:space="preserve">: </w:t>
      </w:r>
      <w:r>
        <w:rPr>
          <w:lang w:val="en-US"/>
        </w:rPr>
        <w:t>Merchandise Trade Developments</w:t>
      </w:r>
      <w:bookmarkEnd w:id="29"/>
      <w:r>
        <w:rPr>
          <w:lang w:val="en-US"/>
        </w:rPr>
        <w:t xml:space="preserve"> </w:t>
      </w:r>
    </w:p>
    <w:p w14:paraId="2F8190CC" w14:textId="1820A393" w:rsidR="00D75883" w:rsidRDefault="008B5704" w:rsidP="00D75883">
      <w:pPr>
        <w:spacing w:after="0"/>
        <w:ind w:left="720" w:hanging="720"/>
        <w:jc w:val="both"/>
        <w:rPr>
          <w:noProof/>
          <w:lang w:eastAsia="en-ZW"/>
        </w:rPr>
      </w:pPr>
      <w:r>
        <w:rPr>
          <w:noProof/>
        </w:rPr>
        <w:drawing>
          <wp:inline distT="0" distB="0" distL="0" distR="0" wp14:anchorId="372FF49D" wp14:editId="71E95D27">
            <wp:extent cx="5731510" cy="2543175"/>
            <wp:effectExtent l="0" t="0" r="2540" b="9525"/>
            <wp:docPr id="1827140705" name="Chart 1">
              <a:extLst xmlns:a="http://schemas.openxmlformats.org/drawingml/2006/main">
                <a:ext uri="{FF2B5EF4-FFF2-40B4-BE49-F238E27FC236}">
                  <a16:creationId xmlns:a16="http://schemas.microsoft.com/office/drawing/2014/main" id="{EC3EEC09-400F-44F6-5986-A83CE70FA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9CA09A" w14:textId="77777777" w:rsidR="00D75883" w:rsidRPr="00746F8E" w:rsidRDefault="00D75883" w:rsidP="00D75883">
      <w:pPr>
        <w:spacing w:after="0"/>
        <w:ind w:left="720" w:hanging="720"/>
        <w:jc w:val="both"/>
        <w:rPr>
          <w:rFonts w:ascii="Tahoma" w:hAnsi="Tahoma" w:cs="Tahoma"/>
          <w:i/>
          <w:noProof/>
          <w:sz w:val="24"/>
          <w:szCs w:val="24"/>
          <w:lang w:eastAsia="en-ZW"/>
        </w:rPr>
      </w:pPr>
      <w:r w:rsidRPr="00746F8E">
        <w:rPr>
          <w:rFonts w:ascii="Tahoma" w:hAnsi="Tahoma" w:cs="Tahoma"/>
          <w:i/>
          <w:noProof/>
          <w:sz w:val="24"/>
          <w:szCs w:val="24"/>
          <w:lang w:eastAsia="en-ZW"/>
        </w:rPr>
        <w:t>Source: RBZ (2024)</w:t>
      </w:r>
    </w:p>
    <w:p w14:paraId="4BC9FA27" w14:textId="77777777" w:rsidR="00D75883" w:rsidRPr="00354CAD" w:rsidRDefault="00D75883" w:rsidP="00C262AF">
      <w:pPr>
        <w:ind w:left="720" w:hanging="720"/>
        <w:jc w:val="both"/>
        <w:rPr>
          <w:rFonts w:ascii="Tahoma" w:hAnsi="Tahoma" w:cs="Tahoma"/>
          <w:sz w:val="24"/>
          <w:szCs w:val="24"/>
          <w:lang w:val="en-US"/>
        </w:rPr>
      </w:pPr>
    </w:p>
    <w:p w14:paraId="1E8E8B94" w14:textId="77777777" w:rsidR="00EF37FE" w:rsidRPr="00086539" w:rsidRDefault="00B1678A" w:rsidP="009F5CE5">
      <w:pPr>
        <w:pStyle w:val="Heading1"/>
        <w:spacing w:before="0" w:after="240" w:line="240" w:lineRule="auto"/>
        <w:rPr>
          <w:rFonts w:cs="Tahoma"/>
          <w:bCs/>
          <w:color w:val="000000"/>
          <w:szCs w:val="24"/>
          <w:lang w:val="en-US"/>
        </w:rPr>
      </w:pPr>
      <w:bookmarkStart w:id="30" w:name="_Toc166607895"/>
      <w:bookmarkStart w:id="31" w:name="_Toc188955358"/>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30"/>
      <w:bookmarkEnd w:id="31"/>
      <w:r w:rsidR="00EF37FE" w:rsidRPr="00086539">
        <w:rPr>
          <w:rFonts w:cs="Tahoma"/>
          <w:bCs/>
          <w:color w:val="000000"/>
          <w:szCs w:val="24"/>
          <w:lang w:val="en-US"/>
        </w:rPr>
        <w:t xml:space="preserve"> </w:t>
      </w:r>
    </w:p>
    <w:p w14:paraId="5D8D6556" w14:textId="77777777" w:rsidR="00EF25BB" w:rsidRPr="00863A17" w:rsidRDefault="00B1678A" w:rsidP="003C1D2F">
      <w:pPr>
        <w:pStyle w:val="Heading2"/>
        <w:spacing w:before="0" w:after="240" w:line="240" w:lineRule="auto"/>
        <w:rPr>
          <w:rFonts w:cs="Tahoma"/>
          <w:b/>
          <w:color w:val="000000"/>
          <w:szCs w:val="24"/>
          <w:lang w:val="en-US"/>
        </w:rPr>
      </w:pPr>
      <w:bookmarkStart w:id="32" w:name="_Toc166607896"/>
      <w:bookmarkStart w:id="33" w:name="_Toc188955359"/>
      <w:r w:rsidRPr="00863A17">
        <w:rPr>
          <w:rFonts w:cs="Tahoma"/>
          <w:b/>
          <w:color w:val="000000"/>
          <w:szCs w:val="24"/>
          <w:lang w:val="en-US"/>
        </w:rPr>
        <w:t>5.1</w:t>
      </w:r>
      <w:r w:rsidRPr="00863A17">
        <w:rPr>
          <w:rFonts w:cs="Tahoma"/>
          <w:b/>
          <w:color w:val="000000"/>
          <w:szCs w:val="24"/>
          <w:lang w:val="en-US"/>
        </w:rPr>
        <w:tab/>
      </w:r>
      <w:r w:rsidR="0093372C">
        <w:rPr>
          <w:rFonts w:cs="Tahoma"/>
          <w:b/>
          <w:color w:val="000000"/>
          <w:szCs w:val="24"/>
          <w:lang w:val="en-US"/>
        </w:rPr>
        <w:t>ZWG</w:t>
      </w:r>
      <w:r w:rsidR="00EF25BB" w:rsidRPr="00863A17">
        <w:rPr>
          <w:rFonts w:cs="Tahoma"/>
          <w:b/>
          <w:color w:val="000000"/>
          <w:szCs w:val="24"/>
          <w:lang w:val="en-US"/>
        </w:rPr>
        <w:t xml:space="preserve"> Exchange Rate Developments</w:t>
      </w:r>
      <w:bookmarkEnd w:id="32"/>
      <w:bookmarkEnd w:id="33"/>
      <w:r w:rsidR="00EF25BB" w:rsidRPr="00863A17">
        <w:rPr>
          <w:rFonts w:cs="Tahoma"/>
          <w:b/>
          <w:color w:val="000000"/>
          <w:szCs w:val="24"/>
          <w:lang w:val="en-US"/>
        </w:rPr>
        <w:t xml:space="preserve"> </w:t>
      </w:r>
    </w:p>
    <w:p w14:paraId="14757367" w14:textId="46CD3387" w:rsidR="00D51501" w:rsidRPr="00D51501" w:rsidRDefault="00D51501" w:rsidP="00D51501">
      <w:pPr>
        <w:ind w:left="720" w:hanging="720"/>
        <w:jc w:val="both"/>
        <w:rPr>
          <w:rFonts w:ascii="Tahoma" w:hAnsi="Tahoma" w:cs="Tahoma"/>
          <w:sz w:val="24"/>
          <w:szCs w:val="24"/>
          <w:lang w:val="en-US"/>
        </w:rPr>
      </w:pPr>
      <w:r w:rsidRPr="00D51501">
        <w:rPr>
          <w:rFonts w:ascii="Tahoma" w:hAnsi="Tahoma" w:cs="Tahoma"/>
          <w:sz w:val="24"/>
          <w:szCs w:val="24"/>
          <w:lang w:val="en-US"/>
        </w:rPr>
        <w:t>5.1.1</w:t>
      </w:r>
      <w:r w:rsidRPr="00D51501">
        <w:rPr>
          <w:rFonts w:ascii="Tahoma" w:hAnsi="Tahoma" w:cs="Tahoma"/>
          <w:sz w:val="24"/>
          <w:szCs w:val="24"/>
          <w:lang w:val="en-US"/>
        </w:rPr>
        <w:tab/>
      </w:r>
      <w:r w:rsidR="00425721">
        <w:rPr>
          <w:rFonts w:ascii="Tahoma" w:hAnsi="Tahoma" w:cs="Tahoma"/>
          <w:sz w:val="24"/>
          <w:szCs w:val="24"/>
          <w:lang w:val="en-US"/>
        </w:rPr>
        <w:t>During the month under review</w:t>
      </w:r>
      <w:r w:rsidR="00017757">
        <w:rPr>
          <w:rFonts w:ascii="Tahoma" w:hAnsi="Tahoma" w:cs="Tahoma"/>
          <w:sz w:val="24"/>
          <w:szCs w:val="24"/>
          <w:lang w:val="en-US"/>
        </w:rPr>
        <w:t>, t</w:t>
      </w:r>
      <w:r w:rsidRPr="00D51501">
        <w:rPr>
          <w:rFonts w:ascii="Tahoma" w:hAnsi="Tahoma" w:cs="Tahoma"/>
          <w:sz w:val="24"/>
          <w:szCs w:val="24"/>
          <w:lang w:val="en-US"/>
        </w:rPr>
        <w:t xml:space="preserve">he ZWG </w:t>
      </w:r>
      <w:r w:rsidR="003E53B2">
        <w:rPr>
          <w:rFonts w:ascii="Tahoma" w:hAnsi="Tahoma" w:cs="Tahoma"/>
          <w:sz w:val="24"/>
          <w:szCs w:val="24"/>
          <w:lang w:val="en-US"/>
        </w:rPr>
        <w:t xml:space="preserve">lost value against the </w:t>
      </w:r>
      <w:r w:rsidR="00017757">
        <w:rPr>
          <w:rFonts w:ascii="Tahoma" w:hAnsi="Tahoma" w:cs="Tahoma"/>
          <w:sz w:val="24"/>
          <w:szCs w:val="24"/>
          <w:lang w:val="en-US"/>
        </w:rPr>
        <w:t>USD</w:t>
      </w:r>
      <w:r w:rsidR="003E53B2">
        <w:rPr>
          <w:rFonts w:ascii="Tahoma" w:hAnsi="Tahoma" w:cs="Tahoma"/>
          <w:sz w:val="24"/>
          <w:szCs w:val="24"/>
          <w:lang w:val="en-US"/>
        </w:rPr>
        <w:t xml:space="preserve"> and </w:t>
      </w:r>
      <w:r w:rsidR="00017757">
        <w:rPr>
          <w:rFonts w:ascii="Tahoma" w:hAnsi="Tahoma" w:cs="Tahoma"/>
          <w:sz w:val="24"/>
          <w:szCs w:val="24"/>
          <w:lang w:val="en-US"/>
        </w:rPr>
        <w:t>GBP</w:t>
      </w:r>
      <w:r w:rsidR="003E53B2">
        <w:rPr>
          <w:rFonts w:ascii="Tahoma" w:hAnsi="Tahoma" w:cs="Tahoma"/>
          <w:sz w:val="24"/>
          <w:szCs w:val="24"/>
          <w:lang w:val="en-US"/>
        </w:rPr>
        <w:t xml:space="preserve"> by </w:t>
      </w:r>
      <w:r w:rsidR="00017757">
        <w:rPr>
          <w:rFonts w:ascii="Tahoma" w:hAnsi="Tahoma" w:cs="Tahoma"/>
          <w:sz w:val="24"/>
          <w:szCs w:val="24"/>
          <w:lang w:val="en-US"/>
        </w:rPr>
        <w:t>1.36</w:t>
      </w:r>
      <w:r w:rsidR="003E53B2">
        <w:rPr>
          <w:rFonts w:ascii="Tahoma" w:hAnsi="Tahoma" w:cs="Tahoma"/>
          <w:sz w:val="24"/>
          <w:szCs w:val="24"/>
          <w:lang w:val="en-US"/>
        </w:rPr>
        <w:t xml:space="preserve">% and </w:t>
      </w:r>
      <w:r w:rsidR="00017757">
        <w:rPr>
          <w:rFonts w:ascii="Tahoma" w:hAnsi="Tahoma" w:cs="Tahoma"/>
          <w:sz w:val="24"/>
          <w:szCs w:val="24"/>
          <w:lang w:val="en-US"/>
        </w:rPr>
        <w:t>0.10</w:t>
      </w:r>
      <w:r w:rsidR="003E53B2">
        <w:rPr>
          <w:rFonts w:ascii="Tahoma" w:hAnsi="Tahoma" w:cs="Tahoma"/>
          <w:sz w:val="24"/>
          <w:szCs w:val="24"/>
          <w:lang w:val="en-US"/>
        </w:rPr>
        <w:t>%</w:t>
      </w:r>
      <w:r w:rsidR="00425721">
        <w:rPr>
          <w:rFonts w:ascii="Tahoma" w:hAnsi="Tahoma" w:cs="Tahoma"/>
          <w:sz w:val="24"/>
          <w:szCs w:val="24"/>
          <w:lang w:val="en-US"/>
        </w:rPr>
        <w:t xml:space="preserve">, </w:t>
      </w:r>
      <w:r w:rsidR="003E53B2">
        <w:rPr>
          <w:rFonts w:ascii="Tahoma" w:hAnsi="Tahoma" w:cs="Tahoma"/>
          <w:sz w:val="24"/>
          <w:szCs w:val="24"/>
          <w:lang w:val="en-US"/>
        </w:rPr>
        <w:t>respectively</w:t>
      </w:r>
      <w:r w:rsidR="00863E04">
        <w:rPr>
          <w:rFonts w:ascii="Tahoma" w:hAnsi="Tahoma" w:cs="Tahoma"/>
          <w:sz w:val="24"/>
          <w:szCs w:val="24"/>
          <w:lang w:val="en-US"/>
        </w:rPr>
        <w:t xml:space="preserve">. </w:t>
      </w:r>
      <w:r w:rsidR="00F1158D" w:rsidRPr="00F1158D">
        <w:rPr>
          <w:rFonts w:ascii="Tahoma" w:hAnsi="Tahoma" w:cs="Tahoma"/>
          <w:sz w:val="24"/>
          <w:szCs w:val="24"/>
          <w:lang w:val="en-US"/>
        </w:rPr>
        <w:t>The US dollar strengthened post</w:t>
      </w:r>
      <w:r w:rsidR="00425721">
        <w:rPr>
          <w:rFonts w:ascii="Tahoma" w:hAnsi="Tahoma" w:cs="Tahoma"/>
          <w:sz w:val="24"/>
          <w:szCs w:val="24"/>
          <w:lang w:val="en-US"/>
        </w:rPr>
        <w:t xml:space="preserve"> </w:t>
      </w:r>
      <w:r w:rsidR="00F1158D" w:rsidRPr="00F1158D">
        <w:rPr>
          <w:rFonts w:ascii="Tahoma" w:hAnsi="Tahoma" w:cs="Tahoma"/>
          <w:sz w:val="24"/>
          <w:szCs w:val="24"/>
          <w:lang w:val="en-US"/>
        </w:rPr>
        <w:t>US presidential election, driven by speculation around new economic policies. Meanwhile, the</w:t>
      </w:r>
      <w:r w:rsidR="00FC5380">
        <w:rPr>
          <w:rFonts w:ascii="Tahoma" w:hAnsi="Tahoma" w:cs="Tahoma"/>
          <w:sz w:val="24"/>
          <w:szCs w:val="24"/>
          <w:lang w:val="en-US"/>
        </w:rPr>
        <w:t xml:space="preserve"> </w:t>
      </w:r>
      <w:r w:rsidR="00F1158D" w:rsidRPr="00F1158D">
        <w:rPr>
          <w:rFonts w:ascii="Tahoma" w:hAnsi="Tahoma" w:cs="Tahoma"/>
          <w:sz w:val="24"/>
          <w:szCs w:val="24"/>
          <w:lang w:val="en-US"/>
        </w:rPr>
        <w:t>ZWG</w:t>
      </w:r>
      <w:r w:rsidR="00FC5380">
        <w:rPr>
          <w:rFonts w:ascii="Tahoma" w:hAnsi="Tahoma" w:cs="Tahoma"/>
          <w:sz w:val="24"/>
          <w:szCs w:val="24"/>
          <w:lang w:val="en-US"/>
        </w:rPr>
        <w:t xml:space="preserve"> </w:t>
      </w:r>
      <w:r w:rsidR="00425721">
        <w:rPr>
          <w:rFonts w:ascii="Tahoma" w:hAnsi="Tahoma" w:cs="Tahoma"/>
          <w:sz w:val="24"/>
          <w:szCs w:val="24"/>
          <w:lang w:val="en-US"/>
        </w:rPr>
        <w:t>strengthened against the</w:t>
      </w:r>
      <w:r w:rsidR="00F1158D" w:rsidRPr="00F1158D">
        <w:rPr>
          <w:rFonts w:ascii="Tahoma" w:hAnsi="Tahoma" w:cs="Tahoma"/>
          <w:sz w:val="24"/>
          <w:szCs w:val="24"/>
          <w:lang w:val="en-US"/>
        </w:rPr>
        <w:t xml:space="preserve"> Euro (EUR) and South African Rand (ZAR) by 0.20% and 2.67%, respectively. This resilience was attributed to the government's fiscal discipline, as outlined in Treasury Circular No. 7 of 2024, which imposed strict expenditure controls for the last two months of 2024.</w:t>
      </w:r>
      <w:r w:rsidR="00F1158D">
        <w:rPr>
          <w:rFonts w:ascii="Tahoma" w:hAnsi="Tahoma" w:cs="Tahoma"/>
          <w:sz w:val="24"/>
          <w:szCs w:val="24"/>
          <w:lang w:val="en-US"/>
        </w:rPr>
        <w:t xml:space="preserve"> </w:t>
      </w:r>
      <w:r w:rsidR="00425721">
        <w:rPr>
          <w:rFonts w:ascii="Tahoma" w:hAnsi="Tahoma" w:cs="Tahoma"/>
          <w:sz w:val="24"/>
          <w:szCs w:val="24"/>
          <w:lang w:val="en-US"/>
        </w:rPr>
        <w:t xml:space="preserve">On </w:t>
      </w:r>
      <w:proofErr w:type="gramStart"/>
      <w:r w:rsidR="00425721">
        <w:rPr>
          <w:rFonts w:ascii="Tahoma" w:hAnsi="Tahoma" w:cs="Tahoma"/>
          <w:sz w:val="24"/>
          <w:szCs w:val="24"/>
          <w:lang w:val="en-US"/>
        </w:rPr>
        <w:t>YtD</w:t>
      </w:r>
      <w:proofErr w:type="gramEnd"/>
      <w:r w:rsidR="00425721">
        <w:rPr>
          <w:rFonts w:ascii="Tahoma" w:hAnsi="Tahoma" w:cs="Tahoma"/>
          <w:sz w:val="24"/>
          <w:szCs w:val="24"/>
          <w:lang w:val="en-US"/>
        </w:rPr>
        <w:t xml:space="preserve"> and YoY basis, t</w:t>
      </w:r>
      <w:r w:rsidR="006C2DE1">
        <w:rPr>
          <w:rFonts w:ascii="Tahoma" w:hAnsi="Tahoma" w:cs="Tahoma"/>
          <w:sz w:val="24"/>
          <w:szCs w:val="24"/>
          <w:lang w:val="en-US"/>
        </w:rPr>
        <w:t xml:space="preserve">he ZWG lost value against all major currencies </w:t>
      </w:r>
      <w:r w:rsidR="00017757">
        <w:rPr>
          <w:rFonts w:ascii="Tahoma" w:hAnsi="Tahoma" w:cs="Tahoma"/>
          <w:sz w:val="24"/>
          <w:szCs w:val="24"/>
          <w:lang w:val="en-US"/>
        </w:rPr>
        <w:t>as shown in Table 2.</w:t>
      </w:r>
    </w:p>
    <w:p w14:paraId="78D9041E" w14:textId="091B43EE" w:rsidR="00D51501" w:rsidRPr="00134E84" w:rsidRDefault="00D51501" w:rsidP="00797969">
      <w:pPr>
        <w:pStyle w:val="ListofTables"/>
        <w:jc w:val="both"/>
      </w:pPr>
      <w:bookmarkStart w:id="34" w:name="_Toc187672458"/>
      <w:r w:rsidRPr="00134E84">
        <w:t xml:space="preserve">Table </w:t>
      </w:r>
      <w:r w:rsidR="00C514A7">
        <w:t>2</w:t>
      </w:r>
      <w:r w:rsidRPr="00134E84">
        <w:t>: ZWG Exchange Rate Movements</w:t>
      </w:r>
      <w:r w:rsidR="00824F12">
        <w:t>-</w:t>
      </w:r>
      <w:r w:rsidRPr="00134E84">
        <w:t xml:space="preserve">Month Ending </w:t>
      </w:r>
      <w:r w:rsidR="00887E9B">
        <w:t>31</w:t>
      </w:r>
      <w:r w:rsidR="00612036">
        <w:t xml:space="preserve"> </w:t>
      </w:r>
      <w:r w:rsidR="00887E9B">
        <w:t>Dec</w:t>
      </w:r>
      <w:r w:rsidR="00612036">
        <w:t>ember</w:t>
      </w:r>
      <w:r w:rsidRPr="00134E84">
        <w:t xml:space="preserve"> 2024</w:t>
      </w:r>
      <w:bookmarkEnd w:id="34"/>
    </w:p>
    <w:p w14:paraId="387FDA9A" w14:textId="0F3F5762" w:rsidR="00D51501" w:rsidRPr="00D51501" w:rsidRDefault="00887E9B" w:rsidP="00134E84">
      <w:pPr>
        <w:spacing w:after="0"/>
        <w:ind w:left="720" w:hanging="720"/>
        <w:jc w:val="both"/>
        <w:rPr>
          <w:rFonts w:ascii="Tahoma" w:hAnsi="Tahoma" w:cs="Tahoma"/>
          <w:sz w:val="24"/>
          <w:szCs w:val="24"/>
          <w:lang w:val="en-US"/>
        </w:rPr>
      </w:pPr>
      <w:r w:rsidRPr="00887E9B">
        <w:rPr>
          <w:noProof/>
        </w:rPr>
        <w:drawing>
          <wp:inline distT="0" distB="0" distL="0" distR="0" wp14:anchorId="0C0815C2" wp14:editId="3E8B2932">
            <wp:extent cx="5731510" cy="1283335"/>
            <wp:effectExtent l="0" t="0" r="2540" b="0"/>
            <wp:docPr id="123727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3098" name=""/>
                    <pic:cNvPicPr/>
                  </pic:nvPicPr>
                  <pic:blipFill>
                    <a:blip r:embed="rId14"/>
                    <a:stretch>
                      <a:fillRect/>
                    </a:stretch>
                  </pic:blipFill>
                  <pic:spPr>
                    <a:xfrm>
                      <a:off x="0" y="0"/>
                      <a:ext cx="5731510" cy="1283335"/>
                    </a:xfrm>
                    <a:prstGeom prst="rect">
                      <a:avLst/>
                    </a:prstGeom>
                  </pic:spPr>
                </pic:pic>
              </a:graphicData>
            </a:graphic>
          </wp:inline>
        </w:drawing>
      </w:r>
    </w:p>
    <w:p w14:paraId="1BF20869" w14:textId="77777777" w:rsidR="00D51501" w:rsidRDefault="00D51501" w:rsidP="00340BCF">
      <w:pPr>
        <w:spacing w:after="0"/>
        <w:ind w:left="720" w:hanging="720"/>
        <w:jc w:val="both"/>
        <w:rPr>
          <w:rFonts w:ascii="Tahoma" w:hAnsi="Tahoma" w:cs="Tahoma"/>
          <w:i/>
          <w:sz w:val="24"/>
          <w:szCs w:val="24"/>
          <w:lang w:val="en-US"/>
        </w:rPr>
      </w:pPr>
      <w:r w:rsidRPr="00D51501">
        <w:rPr>
          <w:rFonts w:ascii="Tahoma" w:hAnsi="Tahoma" w:cs="Tahoma"/>
          <w:i/>
          <w:sz w:val="24"/>
          <w:szCs w:val="24"/>
          <w:lang w:val="en-US"/>
        </w:rPr>
        <w:t xml:space="preserve">Source: RBZ (2024) </w:t>
      </w:r>
    </w:p>
    <w:p w14:paraId="77951DB2" w14:textId="77777777" w:rsidR="001B17C0" w:rsidRDefault="001B17C0" w:rsidP="00340BCF">
      <w:pPr>
        <w:spacing w:after="0"/>
        <w:ind w:left="720" w:hanging="720"/>
        <w:jc w:val="both"/>
        <w:rPr>
          <w:rFonts w:ascii="Tahoma" w:hAnsi="Tahoma" w:cs="Tahoma"/>
          <w:i/>
          <w:sz w:val="24"/>
          <w:szCs w:val="24"/>
          <w:lang w:val="en-US"/>
        </w:rPr>
      </w:pPr>
    </w:p>
    <w:p w14:paraId="3E60409B" w14:textId="0430C4C8" w:rsidR="001B17C0" w:rsidRPr="001B17C0" w:rsidRDefault="001B17C0" w:rsidP="00340BCF">
      <w:pPr>
        <w:spacing w:after="0"/>
        <w:ind w:left="720" w:hanging="720"/>
        <w:jc w:val="both"/>
        <w:rPr>
          <w:rFonts w:ascii="Tahoma" w:hAnsi="Tahoma" w:cs="Tahoma"/>
          <w:iCs/>
          <w:sz w:val="24"/>
          <w:szCs w:val="24"/>
          <w:lang w:val="en-US"/>
        </w:rPr>
      </w:pPr>
      <w:r w:rsidRPr="00E63964">
        <w:rPr>
          <w:rFonts w:ascii="Tahoma" w:hAnsi="Tahoma" w:cs="Tahoma"/>
          <w:iCs/>
          <w:sz w:val="24"/>
          <w:szCs w:val="24"/>
          <w:lang w:val="en-US"/>
        </w:rPr>
        <w:t>5.1.2</w:t>
      </w:r>
      <w:r w:rsidRPr="00E63964">
        <w:rPr>
          <w:rFonts w:ascii="Tahoma" w:hAnsi="Tahoma" w:cs="Tahoma"/>
          <w:iCs/>
          <w:sz w:val="24"/>
          <w:szCs w:val="24"/>
          <w:lang w:val="en-US"/>
        </w:rPr>
        <w:tab/>
      </w:r>
      <w:r w:rsidR="005D7B8C" w:rsidRPr="005D7B8C">
        <w:rPr>
          <w:rFonts w:ascii="Tahoma" w:hAnsi="Tahoma" w:cs="Tahoma"/>
          <w:iCs/>
          <w:sz w:val="24"/>
          <w:szCs w:val="24"/>
          <w:lang w:val="en-US"/>
        </w:rPr>
        <w:t>Government fiscal discipline and active citizen participation are crucial for strengthening and stabilizing the</w:t>
      </w:r>
      <w:r w:rsidR="005D7B8C">
        <w:rPr>
          <w:rFonts w:ascii="Tahoma" w:hAnsi="Tahoma" w:cs="Tahoma"/>
          <w:iCs/>
          <w:sz w:val="24"/>
          <w:szCs w:val="24"/>
          <w:lang w:val="en-US"/>
        </w:rPr>
        <w:t xml:space="preserve"> </w:t>
      </w:r>
      <w:r w:rsidR="005D7B8C" w:rsidRPr="005D7B8C">
        <w:rPr>
          <w:rFonts w:ascii="Tahoma" w:hAnsi="Tahoma" w:cs="Tahoma"/>
          <w:iCs/>
          <w:sz w:val="24"/>
          <w:szCs w:val="24"/>
          <w:lang w:val="en-US"/>
        </w:rPr>
        <w:t xml:space="preserve">ZWG and promoting economic growth in Zimbabwe. </w:t>
      </w:r>
      <w:r w:rsidR="005D7B8C">
        <w:rPr>
          <w:rFonts w:ascii="Tahoma" w:hAnsi="Tahoma" w:cs="Tahoma"/>
          <w:iCs/>
          <w:sz w:val="24"/>
          <w:szCs w:val="24"/>
          <w:lang w:val="en-US"/>
        </w:rPr>
        <w:t>P</w:t>
      </w:r>
      <w:r w:rsidR="005D7B8C" w:rsidRPr="005D7B8C">
        <w:rPr>
          <w:rFonts w:ascii="Tahoma" w:hAnsi="Tahoma" w:cs="Tahoma"/>
          <w:iCs/>
          <w:sz w:val="24"/>
          <w:szCs w:val="24"/>
          <w:lang w:val="en-US"/>
        </w:rPr>
        <w:t xml:space="preserve">rudent government spending, transparency, and accountability, along with citizen involvement in decision-making processes, will help </w:t>
      </w:r>
      <w:r w:rsidR="005D7B8C">
        <w:rPr>
          <w:rFonts w:ascii="Tahoma" w:hAnsi="Tahoma" w:cs="Tahoma"/>
          <w:iCs/>
          <w:sz w:val="24"/>
          <w:szCs w:val="24"/>
          <w:lang w:val="en-US"/>
        </w:rPr>
        <w:t>to</w:t>
      </w:r>
      <w:r w:rsidR="005D7B8C" w:rsidRPr="005D7B8C">
        <w:rPr>
          <w:rFonts w:ascii="Tahoma" w:hAnsi="Tahoma" w:cs="Tahoma"/>
          <w:iCs/>
          <w:sz w:val="24"/>
          <w:szCs w:val="24"/>
          <w:lang w:val="en-US"/>
        </w:rPr>
        <w:t xml:space="preserve"> </w:t>
      </w:r>
      <w:r w:rsidR="007E5A06" w:rsidRPr="005D7B8C">
        <w:rPr>
          <w:rFonts w:ascii="Tahoma" w:hAnsi="Tahoma" w:cs="Tahoma"/>
          <w:iCs/>
          <w:sz w:val="24"/>
          <w:szCs w:val="24"/>
          <w:lang w:val="en-US"/>
        </w:rPr>
        <w:t>stabil</w:t>
      </w:r>
      <w:r w:rsidR="007E5A06">
        <w:rPr>
          <w:rFonts w:ascii="Tahoma" w:hAnsi="Tahoma" w:cs="Tahoma"/>
          <w:iCs/>
          <w:sz w:val="24"/>
          <w:szCs w:val="24"/>
          <w:lang w:val="en-US"/>
        </w:rPr>
        <w:t>ize</w:t>
      </w:r>
      <w:r w:rsidR="005D7B8C">
        <w:rPr>
          <w:rFonts w:ascii="Tahoma" w:hAnsi="Tahoma" w:cs="Tahoma"/>
          <w:iCs/>
          <w:sz w:val="24"/>
          <w:szCs w:val="24"/>
          <w:lang w:val="en-US"/>
        </w:rPr>
        <w:t xml:space="preserve"> the ZWG</w:t>
      </w:r>
      <w:r w:rsidR="007E5A06">
        <w:rPr>
          <w:rFonts w:ascii="Tahoma" w:hAnsi="Tahoma" w:cs="Tahoma"/>
          <w:iCs/>
          <w:sz w:val="24"/>
          <w:szCs w:val="24"/>
          <w:lang w:val="en-US"/>
        </w:rPr>
        <w:t xml:space="preserve"> going forward</w:t>
      </w:r>
      <w:r w:rsidR="005D7B8C">
        <w:rPr>
          <w:rFonts w:ascii="Tahoma" w:hAnsi="Tahoma" w:cs="Tahoma"/>
          <w:iCs/>
          <w:sz w:val="24"/>
          <w:szCs w:val="24"/>
          <w:lang w:val="en-US"/>
        </w:rPr>
        <w:t>.</w:t>
      </w:r>
    </w:p>
    <w:p w14:paraId="468CD8CE" w14:textId="77777777" w:rsidR="001E6E33" w:rsidRPr="00F05BD5" w:rsidRDefault="00D51501" w:rsidP="00F05BD5">
      <w:pPr>
        <w:pStyle w:val="Heading2"/>
        <w:spacing w:before="0" w:after="240" w:line="240" w:lineRule="auto"/>
        <w:rPr>
          <w:rFonts w:cs="Tahoma"/>
          <w:b/>
          <w:bCs/>
          <w:szCs w:val="24"/>
          <w:lang w:val="en-US"/>
        </w:rPr>
      </w:pPr>
      <w:bookmarkStart w:id="35" w:name="_Toc188955360"/>
      <w:r w:rsidRPr="00F05BD5">
        <w:rPr>
          <w:rFonts w:cs="Tahoma"/>
          <w:b/>
          <w:color w:val="000000"/>
          <w:szCs w:val="24"/>
          <w:lang w:val="en-US"/>
        </w:rPr>
        <w:lastRenderedPageBreak/>
        <w:t>5.</w:t>
      </w:r>
      <w:r w:rsidR="001E6E33" w:rsidRPr="00F05BD5">
        <w:rPr>
          <w:rFonts w:cs="Tahoma"/>
          <w:b/>
          <w:color w:val="000000"/>
          <w:szCs w:val="24"/>
          <w:lang w:val="en-US"/>
        </w:rPr>
        <w:t>2</w:t>
      </w:r>
      <w:r w:rsidR="001E6E33" w:rsidRPr="00F05BD5">
        <w:rPr>
          <w:rFonts w:cs="Tahoma"/>
          <w:b/>
          <w:color w:val="000000"/>
          <w:szCs w:val="24"/>
          <w:lang w:val="en-US"/>
        </w:rPr>
        <w:tab/>
        <w:t>Parallel Market Developments</w:t>
      </w:r>
      <w:bookmarkEnd w:id="35"/>
      <w:r w:rsidR="001E6E33" w:rsidRPr="00F05BD5">
        <w:rPr>
          <w:rFonts w:cs="Tahoma"/>
          <w:b/>
          <w:color w:val="000000"/>
          <w:szCs w:val="24"/>
          <w:lang w:val="en-US"/>
        </w:rPr>
        <w:t xml:space="preserve"> </w:t>
      </w:r>
    </w:p>
    <w:p w14:paraId="24662344" w14:textId="618ED65E" w:rsidR="00C10419" w:rsidRDefault="001E6E33" w:rsidP="00E05277">
      <w:pPr>
        <w:ind w:left="720" w:hanging="720"/>
        <w:jc w:val="both"/>
        <w:rPr>
          <w:rFonts w:ascii="Tahoma" w:hAnsi="Tahoma" w:cs="Tahoma"/>
          <w:sz w:val="24"/>
          <w:szCs w:val="24"/>
          <w:lang w:val="en-US"/>
        </w:rPr>
      </w:pPr>
      <w:r>
        <w:rPr>
          <w:rFonts w:ascii="Tahoma" w:hAnsi="Tahoma" w:cs="Tahoma"/>
          <w:sz w:val="24"/>
          <w:szCs w:val="24"/>
          <w:lang w:val="en-US"/>
        </w:rPr>
        <w:t>5.2.1</w:t>
      </w:r>
      <w:r>
        <w:rPr>
          <w:rFonts w:ascii="Tahoma" w:hAnsi="Tahoma" w:cs="Tahoma"/>
          <w:sz w:val="24"/>
          <w:szCs w:val="24"/>
          <w:lang w:val="en-US"/>
        </w:rPr>
        <w:tab/>
      </w:r>
      <w:r w:rsidR="007E5A06">
        <w:rPr>
          <w:rFonts w:ascii="Tahoma" w:hAnsi="Tahoma" w:cs="Tahoma"/>
          <w:sz w:val="24"/>
          <w:szCs w:val="24"/>
          <w:lang w:val="en-US"/>
        </w:rPr>
        <w:t>During the month of December 2024, the p</w:t>
      </w:r>
      <w:r w:rsidR="00133028">
        <w:rPr>
          <w:rFonts w:ascii="Tahoma" w:hAnsi="Tahoma" w:cs="Tahoma"/>
          <w:sz w:val="24"/>
          <w:szCs w:val="24"/>
          <w:lang w:val="en-US"/>
        </w:rPr>
        <w:t xml:space="preserve">arallel market </w:t>
      </w:r>
      <w:r w:rsidR="007E5A06">
        <w:rPr>
          <w:rFonts w:ascii="Tahoma" w:hAnsi="Tahoma" w:cs="Tahoma"/>
          <w:sz w:val="24"/>
          <w:szCs w:val="24"/>
          <w:lang w:val="en-US"/>
        </w:rPr>
        <w:t xml:space="preserve">rate </w:t>
      </w:r>
      <w:r w:rsidR="008F4B14">
        <w:rPr>
          <w:rFonts w:ascii="Tahoma" w:hAnsi="Tahoma" w:cs="Tahoma"/>
          <w:sz w:val="24"/>
          <w:szCs w:val="24"/>
          <w:lang w:val="en-US"/>
        </w:rPr>
        <w:t>remained</w:t>
      </w:r>
      <w:r w:rsidR="006B6338">
        <w:rPr>
          <w:rFonts w:ascii="Tahoma" w:hAnsi="Tahoma" w:cs="Tahoma"/>
          <w:sz w:val="24"/>
          <w:szCs w:val="24"/>
          <w:lang w:val="en-US"/>
        </w:rPr>
        <w:t xml:space="preserve"> constant but</w:t>
      </w:r>
      <w:r w:rsidR="008F4B14">
        <w:rPr>
          <w:rFonts w:ascii="Tahoma" w:hAnsi="Tahoma" w:cs="Tahoma"/>
          <w:sz w:val="24"/>
          <w:szCs w:val="24"/>
          <w:lang w:val="en-US"/>
        </w:rPr>
        <w:t xml:space="preserve"> high</w:t>
      </w:r>
      <w:r w:rsidR="006B6338">
        <w:rPr>
          <w:rFonts w:ascii="Tahoma" w:hAnsi="Tahoma" w:cs="Tahoma"/>
          <w:sz w:val="24"/>
          <w:szCs w:val="24"/>
          <w:lang w:val="en-US"/>
        </w:rPr>
        <w:t>er than</w:t>
      </w:r>
      <w:r w:rsidR="008F4B14">
        <w:rPr>
          <w:rFonts w:ascii="Tahoma" w:hAnsi="Tahoma" w:cs="Tahoma"/>
          <w:sz w:val="24"/>
          <w:szCs w:val="24"/>
          <w:lang w:val="en-US"/>
        </w:rPr>
        <w:t xml:space="preserve"> </w:t>
      </w:r>
      <w:r w:rsidR="007E5A06">
        <w:rPr>
          <w:rFonts w:ascii="Tahoma" w:hAnsi="Tahoma" w:cs="Tahoma"/>
          <w:sz w:val="24"/>
          <w:szCs w:val="24"/>
          <w:lang w:val="en-US"/>
        </w:rPr>
        <w:t>the official</w:t>
      </w:r>
      <w:r w:rsidR="008F4B14">
        <w:rPr>
          <w:rFonts w:ascii="Tahoma" w:hAnsi="Tahoma" w:cs="Tahoma"/>
          <w:sz w:val="24"/>
          <w:szCs w:val="24"/>
          <w:lang w:val="en-US"/>
        </w:rPr>
        <w:t xml:space="preserve"> exchange rate</w:t>
      </w:r>
      <w:r w:rsidR="006B6338">
        <w:rPr>
          <w:rFonts w:ascii="Tahoma" w:hAnsi="Tahoma" w:cs="Tahoma"/>
          <w:sz w:val="24"/>
          <w:szCs w:val="24"/>
          <w:lang w:val="en-US"/>
        </w:rPr>
        <w:t>, at USD/ZWG38 with official rate</w:t>
      </w:r>
      <w:r w:rsidR="000D1368">
        <w:rPr>
          <w:rFonts w:ascii="Tahoma" w:hAnsi="Tahoma" w:cs="Tahoma"/>
          <w:sz w:val="24"/>
          <w:szCs w:val="24"/>
          <w:lang w:val="en-US"/>
        </w:rPr>
        <w:t xml:space="preserve"> rising steadily from</w:t>
      </w:r>
      <w:r w:rsidR="006B6338">
        <w:rPr>
          <w:rFonts w:ascii="Tahoma" w:hAnsi="Tahoma" w:cs="Tahoma"/>
          <w:sz w:val="24"/>
          <w:szCs w:val="24"/>
          <w:lang w:val="en-US"/>
        </w:rPr>
        <w:t xml:space="preserve"> USD/ZWG25</w:t>
      </w:r>
      <w:r w:rsidR="000D1368">
        <w:rPr>
          <w:rFonts w:ascii="Tahoma" w:hAnsi="Tahoma" w:cs="Tahoma"/>
          <w:sz w:val="24"/>
          <w:szCs w:val="24"/>
          <w:lang w:val="en-US"/>
        </w:rPr>
        <w:t>.57 to USD/ZWG25.80 leading to gradual decline of p</w:t>
      </w:r>
      <w:r w:rsidR="00292C22">
        <w:rPr>
          <w:rFonts w:ascii="Tahoma" w:hAnsi="Tahoma" w:cs="Tahoma"/>
          <w:sz w:val="24"/>
          <w:szCs w:val="24"/>
          <w:lang w:val="en-US"/>
        </w:rPr>
        <w:t>arallel market premium</w:t>
      </w:r>
      <w:r w:rsidR="00A223C6">
        <w:rPr>
          <w:rFonts w:ascii="Tahoma" w:hAnsi="Tahoma" w:cs="Tahoma"/>
          <w:sz w:val="24"/>
          <w:szCs w:val="24"/>
          <w:lang w:val="en-US"/>
        </w:rPr>
        <w:t>, see Figure 4</w:t>
      </w:r>
      <w:r w:rsidR="000D1368">
        <w:rPr>
          <w:rFonts w:ascii="Tahoma" w:hAnsi="Tahoma" w:cs="Tahoma"/>
          <w:sz w:val="24"/>
          <w:szCs w:val="24"/>
          <w:lang w:val="en-US"/>
        </w:rPr>
        <w:t>.</w:t>
      </w:r>
      <w:r w:rsidR="00292C22">
        <w:rPr>
          <w:rFonts w:ascii="Tahoma" w:hAnsi="Tahoma" w:cs="Tahoma"/>
          <w:sz w:val="24"/>
          <w:szCs w:val="24"/>
          <w:lang w:val="en-US"/>
        </w:rPr>
        <w:t xml:space="preserve"> </w:t>
      </w:r>
      <w:r w:rsidR="000D1368">
        <w:rPr>
          <w:rFonts w:ascii="Tahoma" w:hAnsi="Tahoma" w:cs="Tahoma"/>
          <w:sz w:val="24"/>
          <w:szCs w:val="24"/>
          <w:lang w:val="en-US"/>
        </w:rPr>
        <w:t xml:space="preserve">This trend </w:t>
      </w:r>
      <w:r w:rsidR="00A223C6">
        <w:rPr>
          <w:rFonts w:ascii="Tahoma" w:hAnsi="Tahoma" w:cs="Tahoma"/>
          <w:sz w:val="24"/>
          <w:szCs w:val="24"/>
          <w:lang w:val="en-US"/>
        </w:rPr>
        <w:t>encourages</w:t>
      </w:r>
      <w:r w:rsidR="000D1368">
        <w:rPr>
          <w:rFonts w:ascii="Tahoma" w:hAnsi="Tahoma" w:cs="Tahoma"/>
          <w:sz w:val="24"/>
          <w:szCs w:val="24"/>
          <w:lang w:val="en-US"/>
        </w:rPr>
        <w:t xml:space="preserve"> convergence of the two exchange rates reflecting that the official exchange rate is moving towards a true reflection of the market expectations.</w:t>
      </w:r>
    </w:p>
    <w:p w14:paraId="7D63A5AA" w14:textId="112E0DDD" w:rsidR="00B36D27" w:rsidRPr="00B36D27" w:rsidRDefault="00632EC8" w:rsidP="00F05BD5">
      <w:pPr>
        <w:pStyle w:val="ListofFigures"/>
      </w:pPr>
      <w:bookmarkStart w:id="36" w:name="_Toc187672516"/>
      <w:r>
        <w:t xml:space="preserve">Figure </w:t>
      </w:r>
      <w:r w:rsidR="0086233B">
        <w:t>4</w:t>
      </w:r>
      <w:r w:rsidR="00B36D27">
        <w:t xml:space="preserve">: </w:t>
      </w:r>
      <w:r w:rsidR="00C10419">
        <w:t xml:space="preserve">Parallel Market Developments - </w:t>
      </w:r>
      <w:r w:rsidR="003F1CAE">
        <w:t>December</w:t>
      </w:r>
      <w:r w:rsidR="004B2536">
        <w:t xml:space="preserve"> 2024</w:t>
      </w:r>
      <w:bookmarkEnd w:id="36"/>
      <w:r w:rsidR="004B2536">
        <w:t xml:space="preserve"> </w:t>
      </w:r>
    </w:p>
    <w:p w14:paraId="72D77346" w14:textId="6AEE2AA8" w:rsidR="00FD0116" w:rsidRPr="00863A17" w:rsidRDefault="006B6338" w:rsidP="00A60CE8">
      <w:pPr>
        <w:spacing w:after="0"/>
        <w:ind w:left="720" w:hanging="720"/>
        <w:jc w:val="both"/>
        <w:rPr>
          <w:rFonts w:ascii="Tahoma" w:hAnsi="Tahoma" w:cs="Tahoma"/>
          <w:sz w:val="24"/>
          <w:szCs w:val="24"/>
          <w:lang w:val="en-US"/>
        </w:rPr>
      </w:pPr>
      <w:r>
        <w:rPr>
          <w:noProof/>
        </w:rPr>
        <w:drawing>
          <wp:inline distT="0" distB="0" distL="0" distR="0" wp14:anchorId="4DE76E7C" wp14:editId="1B98A651">
            <wp:extent cx="5731510" cy="2358390"/>
            <wp:effectExtent l="0" t="0" r="2540" b="3810"/>
            <wp:docPr id="677352651" name="Chart 1">
              <a:extLst xmlns:a="http://schemas.openxmlformats.org/drawingml/2006/main">
                <a:ext uri="{FF2B5EF4-FFF2-40B4-BE49-F238E27FC236}">
                  <a16:creationId xmlns:a16="http://schemas.microsoft.com/office/drawing/2014/main" id="{36AAAEEE-39D4-AA68-4ED8-6C88217F9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6E42D5" w14:textId="77777777" w:rsidR="00AB120F" w:rsidRPr="00340BCF" w:rsidRDefault="007B4687" w:rsidP="00340BCF">
      <w:pPr>
        <w:rPr>
          <w:rFonts w:ascii="Tahoma" w:hAnsi="Tahoma" w:cs="Tahoma"/>
          <w:i/>
          <w:sz w:val="24"/>
          <w:szCs w:val="24"/>
        </w:rPr>
      </w:pPr>
      <w:bookmarkStart w:id="37" w:name="_Toc164072364"/>
      <w:bookmarkStart w:id="38" w:name="_Toc166658891"/>
      <w:r>
        <w:rPr>
          <w:rFonts w:ascii="Tahoma" w:hAnsi="Tahoma" w:cs="Tahoma"/>
          <w:i/>
          <w:sz w:val="24"/>
          <w:szCs w:val="24"/>
        </w:rPr>
        <w:t xml:space="preserve">Source: RBZ and Harare </w:t>
      </w:r>
      <w:r w:rsidR="00EE71C0">
        <w:rPr>
          <w:rFonts w:ascii="Tahoma" w:hAnsi="Tahoma" w:cs="Tahoma"/>
          <w:i/>
          <w:sz w:val="24"/>
          <w:szCs w:val="24"/>
        </w:rPr>
        <w:t>S</w:t>
      </w:r>
      <w:r>
        <w:rPr>
          <w:rFonts w:ascii="Tahoma" w:hAnsi="Tahoma" w:cs="Tahoma"/>
          <w:i/>
          <w:sz w:val="24"/>
          <w:szCs w:val="24"/>
        </w:rPr>
        <w:t>treets</w:t>
      </w:r>
      <w:r w:rsidR="00AB120F" w:rsidRPr="004149E4">
        <w:rPr>
          <w:rFonts w:ascii="Tahoma" w:hAnsi="Tahoma" w:cs="Tahoma"/>
          <w:i/>
          <w:sz w:val="24"/>
          <w:szCs w:val="24"/>
        </w:rPr>
        <w:t xml:space="preserve"> (2024)</w:t>
      </w:r>
    </w:p>
    <w:p w14:paraId="7706CFB3" w14:textId="77777777" w:rsidR="00C65CC6" w:rsidRPr="00863A17" w:rsidRDefault="004C7E36" w:rsidP="003C1D2F">
      <w:pPr>
        <w:pStyle w:val="Heading2"/>
        <w:spacing w:before="0" w:after="240" w:line="240" w:lineRule="auto"/>
        <w:rPr>
          <w:rFonts w:cs="Tahoma"/>
          <w:b/>
          <w:color w:val="000000"/>
          <w:szCs w:val="24"/>
          <w:lang w:val="en-US"/>
        </w:rPr>
      </w:pPr>
      <w:bookmarkStart w:id="39" w:name="_Toc166607897"/>
      <w:bookmarkStart w:id="40" w:name="_Toc188955361"/>
      <w:bookmarkEnd w:id="37"/>
      <w:bookmarkEnd w:id="38"/>
      <w:r w:rsidRPr="00863A17">
        <w:rPr>
          <w:rFonts w:cs="Tahoma"/>
          <w:b/>
          <w:color w:val="000000"/>
          <w:szCs w:val="24"/>
          <w:lang w:val="en-US"/>
        </w:rPr>
        <w:t>5.</w:t>
      </w:r>
      <w:r w:rsidR="00F05BD5">
        <w:rPr>
          <w:rFonts w:cs="Tahoma"/>
          <w:b/>
          <w:color w:val="000000"/>
          <w:szCs w:val="24"/>
          <w:lang w:val="en-US"/>
        </w:rPr>
        <w:t>3</w:t>
      </w:r>
      <w:r w:rsidRPr="00863A17">
        <w:rPr>
          <w:rFonts w:cs="Tahoma"/>
          <w:b/>
          <w:color w:val="000000"/>
          <w:szCs w:val="24"/>
          <w:lang w:val="en-US"/>
        </w:rPr>
        <w:tab/>
      </w:r>
      <w:r w:rsidR="00EF25BB" w:rsidRPr="00863A17">
        <w:rPr>
          <w:rFonts w:cs="Tahoma"/>
          <w:b/>
          <w:color w:val="000000"/>
          <w:szCs w:val="24"/>
          <w:lang w:val="en-US"/>
        </w:rPr>
        <w:t>Cross Rate Developments</w:t>
      </w:r>
      <w:bookmarkEnd w:id="39"/>
      <w:bookmarkEnd w:id="40"/>
      <w:r w:rsidR="00EF25BB" w:rsidRPr="00863A17">
        <w:rPr>
          <w:rFonts w:cs="Tahoma"/>
          <w:b/>
          <w:color w:val="000000"/>
          <w:szCs w:val="24"/>
          <w:lang w:val="en-US"/>
        </w:rPr>
        <w:t xml:space="preserve"> </w:t>
      </w:r>
    </w:p>
    <w:p w14:paraId="5B5AFC90" w14:textId="7B8A4992" w:rsidR="00C65CC6"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w:t>
      </w:r>
      <w:r w:rsidR="00F05BD5">
        <w:rPr>
          <w:rFonts w:ascii="Tahoma" w:hAnsi="Tahoma" w:cs="Tahoma"/>
          <w:sz w:val="24"/>
          <w:szCs w:val="24"/>
          <w:lang w:val="en-US"/>
        </w:rPr>
        <w:t>3</w:t>
      </w:r>
      <w:r w:rsidRPr="00863A17">
        <w:rPr>
          <w:rFonts w:ascii="Tahoma" w:hAnsi="Tahoma" w:cs="Tahoma"/>
          <w:sz w:val="24"/>
          <w:szCs w:val="24"/>
          <w:lang w:val="en-US"/>
        </w:rPr>
        <w:t>.1</w:t>
      </w:r>
      <w:r w:rsidRPr="00863A17">
        <w:rPr>
          <w:rFonts w:ascii="Tahoma" w:hAnsi="Tahoma" w:cs="Tahoma"/>
          <w:sz w:val="24"/>
          <w:szCs w:val="24"/>
          <w:lang w:val="en-US"/>
        </w:rPr>
        <w:tab/>
      </w:r>
      <w:r w:rsidR="007E5A06">
        <w:rPr>
          <w:rFonts w:ascii="Tahoma" w:hAnsi="Tahoma" w:cs="Tahoma"/>
          <w:sz w:val="24"/>
          <w:szCs w:val="24"/>
          <w:lang w:val="en-US"/>
        </w:rPr>
        <w:t>During the month under review</w:t>
      </w:r>
      <w:r w:rsidR="004E5FEA">
        <w:rPr>
          <w:rFonts w:ascii="Tahoma" w:hAnsi="Tahoma" w:cs="Tahoma"/>
          <w:sz w:val="24"/>
          <w:szCs w:val="24"/>
          <w:lang w:val="en-US"/>
        </w:rPr>
        <w:t>, the USD gained by 1.</w:t>
      </w:r>
      <w:r w:rsidR="00C67BE7">
        <w:rPr>
          <w:rFonts w:ascii="Tahoma" w:hAnsi="Tahoma" w:cs="Tahoma"/>
          <w:sz w:val="24"/>
          <w:szCs w:val="24"/>
          <w:lang w:val="en-US"/>
        </w:rPr>
        <w:t>27</w:t>
      </w:r>
      <w:r w:rsidR="004E5FEA">
        <w:rPr>
          <w:rFonts w:ascii="Tahoma" w:hAnsi="Tahoma" w:cs="Tahoma"/>
          <w:sz w:val="24"/>
          <w:szCs w:val="24"/>
          <w:lang w:val="en-US"/>
        </w:rPr>
        <w:t xml:space="preserve">%, </w:t>
      </w:r>
      <w:r w:rsidR="00C67BE7">
        <w:rPr>
          <w:rFonts w:ascii="Tahoma" w:hAnsi="Tahoma" w:cs="Tahoma"/>
          <w:sz w:val="24"/>
          <w:szCs w:val="24"/>
          <w:lang w:val="en-US"/>
        </w:rPr>
        <w:t>1.57</w:t>
      </w:r>
      <w:r w:rsidR="004E5FEA">
        <w:rPr>
          <w:rFonts w:ascii="Tahoma" w:hAnsi="Tahoma" w:cs="Tahoma"/>
          <w:sz w:val="24"/>
          <w:szCs w:val="24"/>
          <w:lang w:val="en-US"/>
        </w:rPr>
        <w:t xml:space="preserve">% and </w:t>
      </w:r>
      <w:r w:rsidR="00C67BE7">
        <w:rPr>
          <w:rFonts w:ascii="Tahoma" w:hAnsi="Tahoma" w:cs="Tahoma"/>
          <w:sz w:val="24"/>
          <w:szCs w:val="24"/>
          <w:lang w:val="en-US"/>
        </w:rPr>
        <w:t>4.15</w:t>
      </w:r>
      <w:r w:rsidR="004E5FEA">
        <w:rPr>
          <w:rFonts w:ascii="Tahoma" w:hAnsi="Tahoma" w:cs="Tahoma"/>
          <w:sz w:val="24"/>
          <w:szCs w:val="24"/>
          <w:lang w:val="en-US"/>
        </w:rPr>
        <w:t>% against the GBP, EUR and ZAR respectively</w:t>
      </w:r>
      <w:r w:rsidR="00500F38">
        <w:rPr>
          <w:rFonts w:ascii="Tahoma" w:hAnsi="Tahoma" w:cs="Tahoma"/>
          <w:sz w:val="24"/>
          <w:szCs w:val="24"/>
          <w:lang w:val="en-US"/>
        </w:rPr>
        <w:t>,</w:t>
      </w:r>
      <w:r w:rsidR="00A223C6">
        <w:rPr>
          <w:rFonts w:ascii="Tahoma" w:hAnsi="Tahoma" w:cs="Tahoma"/>
          <w:sz w:val="24"/>
          <w:szCs w:val="24"/>
          <w:lang w:val="en-US"/>
        </w:rPr>
        <w:t xml:space="preserve"> </w:t>
      </w:r>
      <w:r w:rsidR="00651D77">
        <w:rPr>
          <w:rFonts w:ascii="Tahoma" w:hAnsi="Tahoma" w:cs="Tahoma"/>
          <w:sz w:val="24"/>
          <w:szCs w:val="24"/>
          <w:lang w:val="en-US"/>
        </w:rPr>
        <w:t xml:space="preserve">driven by positive post-election </w:t>
      </w:r>
      <w:r w:rsidR="007E5A06">
        <w:rPr>
          <w:rFonts w:ascii="Tahoma" w:hAnsi="Tahoma" w:cs="Tahoma"/>
          <w:sz w:val="24"/>
          <w:szCs w:val="24"/>
          <w:lang w:val="en-US"/>
        </w:rPr>
        <w:t>expectations</w:t>
      </w:r>
      <w:r w:rsidR="00651D77">
        <w:rPr>
          <w:rFonts w:ascii="Tahoma" w:hAnsi="Tahoma" w:cs="Tahoma"/>
          <w:sz w:val="24"/>
          <w:szCs w:val="24"/>
          <w:lang w:val="en-US"/>
        </w:rPr>
        <w:t xml:space="preserve"> </w:t>
      </w:r>
      <w:r w:rsidR="007E5A06">
        <w:rPr>
          <w:rFonts w:ascii="Tahoma" w:hAnsi="Tahoma" w:cs="Tahoma"/>
          <w:sz w:val="24"/>
          <w:szCs w:val="24"/>
          <w:lang w:val="en-US"/>
        </w:rPr>
        <w:t>on</w:t>
      </w:r>
      <w:r w:rsidR="00651D77">
        <w:rPr>
          <w:rFonts w:ascii="Tahoma" w:hAnsi="Tahoma" w:cs="Tahoma"/>
          <w:sz w:val="24"/>
          <w:szCs w:val="24"/>
          <w:lang w:val="en-US"/>
        </w:rPr>
        <w:t xml:space="preserve"> the U.S </w:t>
      </w:r>
      <w:r w:rsidR="007E5A06">
        <w:rPr>
          <w:rFonts w:ascii="Tahoma" w:hAnsi="Tahoma" w:cs="Tahoma"/>
          <w:sz w:val="24"/>
          <w:szCs w:val="24"/>
          <w:lang w:val="en-US"/>
        </w:rPr>
        <w:t xml:space="preserve">economy </w:t>
      </w:r>
      <w:r w:rsidR="00651D77">
        <w:rPr>
          <w:rFonts w:ascii="Tahoma" w:hAnsi="Tahoma" w:cs="Tahoma"/>
          <w:sz w:val="24"/>
          <w:szCs w:val="24"/>
          <w:lang w:val="en-US"/>
        </w:rPr>
        <w:t>and policy shifts,</w:t>
      </w:r>
      <w:r w:rsidR="004E5FEA">
        <w:rPr>
          <w:rFonts w:ascii="Tahoma" w:hAnsi="Tahoma" w:cs="Tahoma"/>
          <w:sz w:val="24"/>
          <w:szCs w:val="24"/>
          <w:lang w:val="en-US"/>
        </w:rPr>
        <w:t xml:space="preserve"> </w:t>
      </w:r>
      <w:r w:rsidR="00623F3A">
        <w:rPr>
          <w:rFonts w:ascii="Tahoma" w:hAnsi="Tahoma" w:cs="Tahoma"/>
          <w:sz w:val="24"/>
          <w:szCs w:val="24"/>
          <w:lang w:val="en-US"/>
        </w:rPr>
        <w:t xml:space="preserve">see Table </w:t>
      </w:r>
      <w:r w:rsidR="00686026">
        <w:rPr>
          <w:rFonts w:ascii="Tahoma" w:hAnsi="Tahoma" w:cs="Tahoma"/>
          <w:sz w:val="24"/>
          <w:szCs w:val="24"/>
          <w:lang w:val="en-US"/>
        </w:rPr>
        <w:t>3</w:t>
      </w:r>
      <w:r w:rsidR="00EB11EA">
        <w:rPr>
          <w:rFonts w:ascii="Tahoma" w:hAnsi="Tahoma" w:cs="Tahoma"/>
          <w:sz w:val="24"/>
          <w:szCs w:val="24"/>
          <w:lang w:val="en-US"/>
        </w:rPr>
        <w:t>.</w:t>
      </w:r>
      <w:r w:rsidR="009034D4">
        <w:rPr>
          <w:rFonts w:ascii="Tahoma" w:hAnsi="Tahoma" w:cs="Tahoma"/>
          <w:sz w:val="24"/>
          <w:szCs w:val="24"/>
          <w:lang w:val="en-US"/>
        </w:rPr>
        <w:t xml:space="preserve"> </w:t>
      </w:r>
      <w:r w:rsidR="007E5A06">
        <w:rPr>
          <w:rFonts w:ascii="Tahoma" w:hAnsi="Tahoma" w:cs="Tahoma"/>
          <w:sz w:val="24"/>
          <w:szCs w:val="24"/>
          <w:lang w:val="en-US"/>
        </w:rPr>
        <w:t>On both YtD and YoY basis, t</w:t>
      </w:r>
      <w:r w:rsidR="00446A6B">
        <w:rPr>
          <w:rFonts w:ascii="Tahoma" w:hAnsi="Tahoma" w:cs="Tahoma"/>
          <w:sz w:val="24"/>
          <w:szCs w:val="24"/>
          <w:lang w:val="en-US"/>
        </w:rPr>
        <w:t xml:space="preserve">he USD also gained against </w:t>
      </w:r>
      <w:r w:rsidR="007B1554">
        <w:rPr>
          <w:rFonts w:ascii="Tahoma" w:hAnsi="Tahoma" w:cs="Tahoma"/>
          <w:sz w:val="24"/>
          <w:szCs w:val="24"/>
          <w:lang w:val="en-US"/>
        </w:rPr>
        <w:t xml:space="preserve">the GBP, EUR and ZAR, except on YtD it </w:t>
      </w:r>
      <w:r w:rsidR="00105EB6">
        <w:rPr>
          <w:rFonts w:ascii="Tahoma" w:hAnsi="Tahoma" w:cs="Tahoma"/>
          <w:sz w:val="24"/>
          <w:szCs w:val="24"/>
          <w:lang w:val="en-US"/>
        </w:rPr>
        <w:t>lost</w:t>
      </w:r>
      <w:r w:rsidR="007B1554">
        <w:rPr>
          <w:rFonts w:ascii="Tahoma" w:hAnsi="Tahoma" w:cs="Tahoma"/>
          <w:sz w:val="24"/>
          <w:szCs w:val="24"/>
          <w:lang w:val="en-US"/>
        </w:rPr>
        <w:t xml:space="preserve"> against the ZAR by 0.16%. </w:t>
      </w:r>
    </w:p>
    <w:p w14:paraId="4C9807F0" w14:textId="29CE027F" w:rsidR="00E664AA" w:rsidRPr="00E664AA" w:rsidRDefault="003C1D2F" w:rsidP="00E664AA">
      <w:pPr>
        <w:pStyle w:val="ListofTables"/>
        <w:rPr>
          <w:lang w:val="en-US"/>
        </w:rPr>
      </w:pPr>
      <w:bookmarkStart w:id="41" w:name="_Toc164072365"/>
      <w:bookmarkStart w:id="42" w:name="_Toc166658892"/>
      <w:bookmarkStart w:id="43" w:name="_Toc187672459"/>
      <w:r w:rsidRPr="00863A17">
        <w:t xml:space="preserve">Table </w:t>
      </w:r>
      <w:r w:rsidR="00BD0F65">
        <w:t>3</w:t>
      </w:r>
      <w:r w:rsidRPr="00863A17">
        <w:t xml:space="preserve">: </w:t>
      </w:r>
      <w:r w:rsidRPr="00863A17">
        <w:rPr>
          <w:lang w:val="en-US"/>
        </w:rPr>
        <w:t>USD Exchange Rate Movements–</w:t>
      </w:r>
      <w:r w:rsidR="00642C66" w:rsidRPr="00863A17">
        <w:rPr>
          <w:lang w:val="en-US"/>
        </w:rPr>
        <w:t>Month</w:t>
      </w:r>
      <w:r w:rsidRPr="00863A17">
        <w:rPr>
          <w:lang w:val="en-US"/>
        </w:rPr>
        <w:t xml:space="preserve"> Ended </w:t>
      </w:r>
      <w:r w:rsidR="009D123E">
        <w:rPr>
          <w:lang w:val="en-US"/>
        </w:rPr>
        <w:t>31 December</w:t>
      </w:r>
      <w:r w:rsidRPr="00863A17">
        <w:rPr>
          <w:lang w:val="en-US"/>
        </w:rPr>
        <w:t xml:space="preserve"> 202</w:t>
      </w:r>
      <w:r w:rsidR="00642C66" w:rsidRPr="00863A17">
        <w:rPr>
          <w:lang w:val="en-US"/>
        </w:rPr>
        <w:t>4</w:t>
      </w:r>
      <w:bookmarkEnd w:id="41"/>
      <w:bookmarkEnd w:id="42"/>
      <w:bookmarkEnd w:id="43"/>
    </w:p>
    <w:p w14:paraId="7F75640A" w14:textId="1C0FEA13" w:rsidR="00E664AA" w:rsidRPr="00863A17" w:rsidRDefault="009D123E" w:rsidP="00CB6A80">
      <w:pPr>
        <w:spacing w:after="0"/>
        <w:rPr>
          <w:rFonts w:ascii="Tahoma" w:hAnsi="Tahoma" w:cs="Tahoma"/>
          <w:sz w:val="24"/>
          <w:szCs w:val="24"/>
          <w:lang w:val="en-US"/>
        </w:rPr>
      </w:pPr>
      <w:r w:rsidRPr="009D123E">
        <w:rPr>
          <w:noProof/>
        </w:rPr>
        <w:drawing>
          <wp:inline distT="0" distB="0" distL="0" distR="0" wp14:anchorId="2993ACCD" wp14:editId="6FAD3C38">
            <wp:extent cx="5731510" cy="1299845"/>
            <wp:effectExtent l="0" t="0" r="2540" b="0"/>
            <wp:docPr id="115863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39592" name=""/>
                    <pic:cNvPicPr/>
                  </pic:nvPicPr>
                  <pic:blipFill>
                    <a:blip r:embed="rId16"/>
                    <a:stretch>
                      <a:fillRect/>
                    </a:stretch>
                  </pic:blipFill>
                  <pic:spPr>
                    <a:xfrm>
                      <a:off x="0" y="0"/>
                      <a:ext cx="5731510" cy="1299845"/>
                    </a:xfrm>
                    <a:prstGeom prst="rect">
                      <a:avLst/>
                    </a:prstGeom>
                  </pic:spPr>
                </pic:pic>
              </a:graphicData>
            </a:graphic>
          </wp:inline>
        </w:drawing>
      </w:r>
    </w:p>
    <w:p w14:paraId="558BDC60" w14:textId="77777777" w:rsidR="00184FA3"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Pr="00863A17">
        <w:rPr>
          <w:rFonts w:ascii="Tahoma" w:hAnsi="Tahoma" w:cs="Tahoma"/>
          <w:i/>
          <w:sz w:val="24"/>
          <w:szCs w:val="24"/>
          <w:lang w:val="en-US"/>
        </w:rPr>
        <w:t>)</w:t>
      </w:r>
    </w:p>
    <w:p w14:paraId="51CCD863" w14:textId="3F85239F" w:rsidR="000C5E77" w:rsidRPr="00E63964" w:rsidRDefault="000C5E77" w:rsidP="00E63964">
      <w:pPr>
        <w:ind w:left="720" w:hanging="720"/>
        <w:jc w:val="both"/>
        <w:rPr>
          <w:rFonts w:ascii="Tahoma" w:hAnsi="Tahoma" w:cs="Tahoma"/>
          <w:iCs/>
          <w:sz w:val="24"/>
          <w:szCs w:val="24"/>
          <w:lang w:val="en-US"/>
        </w:rPr>
      </w:pPr>
      <w:r>
        <w:rPr>
          <w:rFonts w:ascii="Tahoma" w:hAnsi="Tahoma" w:cs="Tahoma"/>
          <w:iCs/>
          <w:sz w:val="24"/>
          <w:szCs w:val="24"/>
          <w:lang w:val="en-US"/>
        </w:rPr>
        <w:t>5.3.2</w:t>
      </w:r>
      <w:r>
        <w:rPr>
          <w:rFonts w:ascii="Tahoma" w:hAnsi="Tahoma" w:cs="Tahoma"/>
          <w:iCs/>
          <w:sz w:val="24"/>
          <w:szCs w:val="24"/>
          <w:lang w:val="en-US"/>
        </w:rPr>
        <w:tab/>
      </w:r>
      <w:r>
        <w:rPr>
          <w:rFonts w:ascii="Tahoma" w:hAnsi="Tahoma" w:cs="Tahoma"/>
          <w:sz w:val="24"/>
          <w:szCs w:val="24"/>
          <w:lang w:val="en-US"/>
        </w:rPr>
        <w:t>The appreciation of USD against</w:t>
      </w:r>
      <w:r w:rsidR="00CD2224">
        <w:rPr>
          <w:rFonts w:ascii="Tahoma" w:hAnsi="Tahoma" w:cs="Tahoma"/>
          <w:sz w:val="24"/>
          <w:szCs w:val="24"/>
          <w:lang w:val="en-US"/>
        </w:rPr>
        <w:t xml:space="preserve"> other major currencies discourages the country’s exports to </w:t>
      </w:r>
      <w:r w:rsidR="007B1554">
        <w:rPr>
          <w:rFonts w:ascii="Tahoma" w:hAnsi="Tahoma" w:cs="Tahoma"/>
          <w:sz w:val="24"/>
          <w:szCs w:val="24"/>
          <w:lang w:val="en-US"/>
        </w:rPr>
        <w:t xml:space="preserve">the rest of the worlds including its major exports destination such as </w:t>
      </w:r>
      <w:r w:rsidR="007B1554">
        <w:rPr>
          <w:rFonts w:ascii="Tahoma" w:hAnsi="Tahoma" w:cs="Tahoma"/>
          <w:noProof/>
          <w:sz w:val="24"/>
          <w:szCs w:val="24"/>
          <w:lang w:eastAsia="en-ZW"/>
        </w:rPr>
        <w:t>United Arab Emarates, South Africa and China</w:t>
      </w:r>
      <w:r w:rsidR="007B1554">
        <w:rPr>
          <w:rFonts w:ascii="Tahoma" w:hAnsi="Tahoma" w:cs="Tahoma"/>
          <w:sz w:val="24"/>
          <w:szCs w:val="24"/>
          <w:lang w:val="en-US"/>
        </w:rPr>
        <w:t>.</w:t>
      </w:r>
    </w:p>
    <w:p w14:paraId="71923BBE" w14:textId="77777777" w:rsidR="00184FA3" w:rsidRPr="00A64F64" w:rsidRDefault="004C7E36" w:rsidP="003C1D2F">
      <w:pPr>
        <w:pStyle w:val="Heading1"/>
        <w:spacing w:before="0" w:after="240" w:line="240" w:lineRule="auto"/>
        <w:rPr>
          <w:rFonts w:cs="Tahoma"/>
          <w:bCs/>
          <w:color w:val="000000"/>
          <w:szCs w:val="24"/>
          <w:lang w:val="en-US"/>
        </w:rPr>
      </w:pPr>
      <w:bookmarkStart w:id="44" w:name="_Toc166607898"/>
      <w:bookmarkStart w:id="45" w:name="_Toc188955362"/>
      <w:r w:rsidRPr="00A64F64">
        <w:rPr>
          <w:rFonts w:cs="Tahoma"/>
          <w:bCs/>
          <w:color w:val="000000"/>
          <w:szCs w:val="24"/>
          <w:lang w:val="en-US"/>
        </w:rPr>
        <w:lastRenderedPageBreak/>
        <w:t>6.0</w:t>
      </w:r>
      <w:r w:rsidRPr="00A64F64">
        <w:rPr>
          <w:rFonts w:cs="Tahoma"/>
          <w:bCs/>
          <w:color w:val="000000"/>
          <w:szCs w:val="24"/>
          <w:lang w:val="en-US"/>
        </w:rPr>
        <w:tab/>
      </w:r>
      <w:r w:rsidR="00184FA3" w:rsidRPr="00A64F64">
        <w:rPr>
          <w:rFonts w:cs="Tahoma"/>
          <w:bCs/>
          <w:color w:val="000000"/>
          <w:szCs w:val="24"/>
          <w:lang w:val="en-US"/>
        </w:rPr>
        <w:t>Inflation Developments</w:t>
      </w:r>
      <w:bookmarkEnd w:id="44"/>
      <w:bookmarkEnd w:id="45"/>
      <w:r w:rsidR="00184FA3" w:rsidRPr="00A64F64">
        <w:rPr>
          <w:rFonts w:cs="Tahoma"/>
          <w:bCs/>
          <w:color w:val="000000"/>
          <w:szCs w:val="24"/>
          <w:lang w:val="en-US"/>
        </w:rPr>
        <w:t xml:space="preserve"> </w:t>
      </w:r>
    </w:p>
    <w:p w14:paraId="120AE54F" w14:textId="607E14B4" w:rsidR="005D4799" w:rsidRPr="00340BCF" w:rsidRDefault="00744659" w:rsidP="00340BCF">
      <w:pPr>
        <w:ind w:left="720" w:hanging="720"/>
        <w:jc w:val="both"/>
        <w:rPr>
          <w:rFonts w:ascii="Tahoma" w:hAnsi="Tahoma" w:cs="Tahoma"/>
          <w:sz w:val="24"/>
          <w:szCs w:val="24"/>
        </w:rPr>
      </w:pPr>
      <w:r w:rsidRPr="00744659">
        <w:rPr>
          <w:rFonts w:ascii="Tahoma" w:hAnsi="Tahoma" w:cs="Tahoma"/>
          <w:sz w:val="24"/>
          <w:szCs w:val="24"/>
        </w:rPr>
        <w:t>6.</w:t>
      </w:r>
      <w:r w:rsidR="00106F16">
        <w:rPr>
          <w:rFonts w:ascii="Tahoma" w:hAnsi="Tahoma" w:cs="Tahoma"/>
          <w:sz w:val="24"/>
          <w:szCs w:val="24"/>
        </w:rPr>
        <w:t>1</w:t>
      </w:r>
      <w:r w:rsidRPr="00744659">
        <w:rPr>
          <w:rFonts w:ascii="Tahoma" w:hAnsi="Tahoma" w:cs="Tahoma"/>
          <w:sz w:val="24"/>
          <w:szCs w:val="24"/>
        </w:rPr>
        <w:tab/>
      </w:r>
      <w:r w:rsidR="002473F1">
        <w:rPr>
          <w:rFonts w:ascii="Tahoma" w:hAnsi="Tahoma" w:cs="Tahoma"/>
          <w:sz w:val="24"/>
          <w:szCs w:val="24"/>
        </w:rPr>
        <w:t>In December</w:t>
      </w:r>
      <w:r w:rsidR="0020598F">
        <w:rPr>
          <w:rFonts w:ascii="Tahoma" w:hAnsi="Tahoma" w:cs="Tahoma"/>
          <w:sz w:val="24"/>
          <w:szCs w:val="24"/>
        </w:rPr>
        <w:t xml:space="preserve"> 2024, month-on-month </w:t>
      </w:r>
      <w:r w:rsidR="005C0350">
        <w:rPr>
          <w:rFonts w:ascii="Tahoma" w:hAnsi="Tahoma" w:cs="Tahoma"/>
          <w:sz w:val="24"/>
          <w:szCs w:val="24"/>
        </w:rPr>
        <w:t>ZWG</w:t>
      </w:r>
      <w:r w:rsidR="005C0350" w:rsidRPr="00744659">
        <w:rPr>
          <w:rFonts w:ascii="Tahoma" w:hAnsi="Tahoma" w:cs="Tahoma"/>
          <w:sz w:val="24"/>
          <w:szCs w:val="24"/>
        </w:rPr>
        <w:t xml:space="preserve"> inflation</w:t>
      </w:r>
      <w:r w:rsidR="002473F1">
        <w:rPr>
          <w:rFonts w:ascii="Tahoma" w:hAnsi="Tahoma" w:cs="Tahoma"/>
          <w:sz w:val="24"/>
          <w:szCs w:val="24"/>
        </w:rPr>
        <w:t xml:space="preserve"> </w:t>
      </w:r>
      <w:r w:rsidR="0020598F">
        <w:rPr>
          <w:rFonts w:ascii="Tahoma" w:hAnsi="Tahoma" w:cs="Tahoma"/>
          <w:sz w:val="24"/>
          <w:szCs w:val="24"/>
        </w:rPr>
        <w:t>declined from</w:t>
      </w:r>
      <w:r w:rsidR="00EC512C">
        <w:rPr>
          <w:rFonts w:ascii="Tahoma" w:hAnsi="Tahoma" w:cs="Tahoma"/>
          <w:sz w:val="24"/>
          <w:szCs w:val="24"/>
        </w:rPr>
        <w:t xml:space="preserve"> </w:t>
      </w:r>
      <w:r w:rsidR="002473F1">
        <w:rPr>
          <w:rFonts w:ascii="Tahoma" w:hAnsi="Tahoma" w:cs="Tahoma"/>
          <w:sz w:val="24"/>
          <w:szCs w:val="24"/>
        </w:rPr>
        <w:t>11.7</w:t>
      </w:r>
      <w:r w:rsidR="00EC512C">
        <w:rPr>
          <w:rFonts w:ascii="Tahoma" w:hAnsi="Tahoma" w:cs="Tahoma"/>
          <w:sz w:val="24"/>
          <w:szCs w:val="24"/>
        </w:rPr>
        <w:t>%</w:t>
      </w:r>
      <w:r w:rsidR="002473F1">
        <w:rPr>
          <w:rFonts w:ascii="Tahoma" w:hAnsi="Tahoma" w:cs="Tahoma"/>
          <w:sz w:val="24"/>
          <w:szCs w:val="24"/>
        </w:rPr>
        <w:t xml:space="preserve"> recorded</w:t>
      </w:r>
      <w:r w:rsidR="00145005">
        <w:rPr>
          <w:rFonts w:ascii="Tahoma" w:hAnsi="Tahoma" w:cs="Tahoma"/>
          <w:sz w:val="24"/>
          <w:szCs w:val="24"/>
        </w:rPr>
        <w:t xml:space="preserve"> in </w:t>
      </w:r>
      <w:r w:rsidR="002473F1">
        <w:rPr>
          <w:rFonts w:ascii="Tahoma" w:hAnsi="Tahoma" w:cs="Tahoma"/>
          <w:sz w:val="24"/>
          <w:szCs w:val="24"/>
        </w:rPr>
        <w:t>November</w:t>
      </w:r>
      <w:r w:rsidR="00145005">
        <w:rPr>
          <w:rFonts w:ascii="Tahoma" w:hAnsi="Tahoma" w:cs="Tahoma"/>
          <w:sz w:val="24"/>
          <w:szCs w:val="24"/>
        </w:rPr>
        <w:t xml:space="preserve"> 2024</w:t>
      </w:r>
      <w:r w:rsidR="0020598F">
        <w:rPr>
          <w:rFonts w:ascii="Tahoma" w:hAnsi="Tahoma" w:cs="Tahoma"/>
          <w:sz w:val="24"/>
          <w:szCs w:val="24"/>
        </w:rPr>
        <w:t xml:space="preserve"> to </w:t>
      </w:r>
      <w:r w:rsidR="002473F1">
        <w:rPr>
          <w:rFonts w:ascii="Tahoma" w:hAnsi="Tahoma" w:cs="Tahoma"/>
          <w:sz w:val="24"/>
          <w:szCs w:val="24"/>
        </w:rPr>
        <w:t>3.67</w:t>
      </w:r>
      <w:r w:rsidR="0020598F">
        <w:rPr>
          <w:rFonts w:ascii="Tahoma" w:hAnsi="Tahoma" w:cs="Tahoma"/>
          <w:sz w:val="24"/>
          <w:szCs w:val="24"/>
        </w:rPr>
        <w:t>%</w:t>
      </w:r>
      <w:r w:rsidR="00336354">
        <w:rPr>
          <w:rFonts w:ascii="Tahoma" w:hAnsi="Tahoma" w:cs="Tahoma"/>
          <w:sz w:val="24"/>
          <w:szCs w:val="24"/>
        </w:rPr>
        <w:t xml:space="preserve">, </w:t>
      </w:r>
      <w:r w:rsidRPr="00744659">
        <w:rPr>
          <w:rFonts w:ascii="Tahoma" w:hAnsi="Tahoma" w:cs="Tahoma"/>
          <w:sz w:val="24"/>
          <w:szCs w:val="24"/>
        </w:rPr>
        <w:t xml:space="preserve">see Figure </w:t>
      </w:r>
      <w:r w:rsidR="00686026">
        <w:rPr>
          <w:rFonts w:ascii="Tahoma" w:hAnsi="Tahoma" w:cs="Tahoma"/>
          <w:sz w:val="24"/>
          <w:szCs w:val="24"/>
        </w:rPr>
        <w:t>5</w:t>
      </w:r>
      <w:r w:rsidRPr="00744659">
        <w:rPr>
          <w:rFonts w:ascii="Tahoma" w:hAnsi="Tahoma" w:cs="Tahoma"/>
          <w:sz w:val="24"/>
          <w:szCs w:val="24"/>
        </w:rPr>
        <w:t>.</w:t>
      </w:r>
      <w:r w:rsidR="009369AC">
        <w:rPr>
          <w:rFonts w:ascii="Tahoma" w:hAnsi="Tahoma" w:cs="Tahoma"/>
          <w:sz w:val="24"/>
          <w:szCs w:val="24"/>
        </w:rPr>
        <w:t xml:space="preserve"> </w:t>
      </w:r>
      <w:r w:rsidR="002473F1">
        <w:rPr>
          <w:rFonts w:ascii="Tahoma" w:hAnsi="Tahoma" w:cs="Tahoma"/>
          <w:sz w:val="24"/>
          <w:szCs w:val="24"/>
        </w:rPr>
        <w:t xml:space="preserve">The </w:t>
      </w:r>
      <w:r w:rsidR="00FE1211">
        <w:rPr>
          <w:rFonts w:ascii="Tahoma" w:hAnsi="Tahoma" w:cs="Tahoma"/>
          <w:sz w:val="24"/>
          <w:szCs w:val="24"/>
        </w:rPr>
        <w:t>decline</w:t>
      </w:r>
      <w:r w:rsidR="002473F1">
        <w:rPr>
          <w:rFonts w:ascii="Tahoma" w:hAnsi="Tahoma" w:cs="Tahoma"/>
          <w:sz w:val="24"/>
          <w:szCs w:val="24"/>
        </w:rPr>
        <w:t xml:space="preserve"> was </w:t>
      </w:r>
      <w:r w:rsidR="003A04F3">
        <w:rPr>
          <w:rFonts w:ascii="Tahoma" w:hAnsi="Tahoma" w:cs="Tahoma"/>
          <w:sz w:val="24"/>
          <w:szCs w:val="24"/>
        </w:rPr>
        <w:t xml:space="preserve">due to stability surrounding the ZWG due to tight </w:t>
      </w:r>
      <w:r w:rsidR="007E5A06">
        <w:rPr>
          <w:rFonts w:ascii="Tahoma" w:hAnsi="Tahoma" w:cs="Tahoma"/>
          <w:sz w:val="24"/>
          <w:szCs w:val="24"/>
        </w:rPr>
        <w:t xml:space="preserve">fiscal and </w:t>
      </w:r>
      <w:r w:rsidR="003A04F3">
        <w:rPr>
          <w:rFonts w:ascii="Tahoma" w:hAnsi="Tahoma" w:cs="Tahoma"/>
          <w:sz w:val="24"/>
          <w:szCs w:val="24"/>
        </w:rPr>
        <w:t>monetary stance.</w:t>
      </w:r>
    </w:p>
    <w:p w14:paraId="470BAFC9" w14:textId="7F8252B7" w:rsidR="005F0769" w:rsidRDefault="005D4799" w:rsidP="00F05BD5">
      <w:pPr>
        <w:pStyle w:val="ListofFigures"/>
      </w:pPr>
      <w:bookmarkStart w:id="46" w:name="_Toc187672517"/>
      <w:r>
        <w:t xml:space="preserve">Figure </w:t>
      </w:r>
      <w:r w:rsidR="00BD0F65">
        <w:t>5</w:t>
      </w:r>
      <w:r>
        <w:t>: Month-on-Month</w:t>
      </w:r>
      <w:r w:rsidR="000C78EC">
        <w:t xml:space="preserve"> ZWG</w:t>
      </w:r>
      <w:r>
        <w:t xml:space="preserve"> Inflation Outturn</w:t>
      </w:r>
      <w:bookmarkEnd w:id="46"/>
      <w:r>
        <w:t xml:space="preserve"> </w:t>
      </w:r>
    </w:p>
    <w:p w14:paraId="266392AE" w14:textId="1AA2C50D" w:rsidR="005F0769" w:rsidRDefault="009D123E" w:rsidP="005D4799">
      <w:pPr>
        <w:spacing w:after="0"/>
        <w:ind w:left="720" w:hanging="720"/>
        <w:jc w:val="both"/>
        <w:rPr>
          <w:rFonts w:ascii="Tahoma" w:hAnsi="Tahoma" w:cs="Tahoma"/>
          <w:sz w:val="24"/>
          <w:szCs w:val="24"/>
        </w:rPr>
      </w:pPr>
      <w:r>
        <w:rPr>
          <w:noProof/>
        </w:rPr>
        <w:drawing>
          <wp:inline distT="0" distB="0" distL="0" distR="0" wp14:anchorId="716E47FB" wp14:editId="3B896B48">
            <wp:extent cx="5731510" cy="2303145"/>
            <wp:effectExtent l="0" t="0" r="2540" b="1905"/>
            <wp:docPr id="1001774753" name="Chart 1">
              <a:extLst xmlns:a="http://schemas.openxmlformats.org/drawingml/2006/main">
                <a:ext uri="{FF2B5EF4-FFF2-40B4-BE49-F238E27FC236}">
                  <a16:creationId xmlns:a16="http://schemas.microsoft.com/office/drawing/2014/main" id="{00000000-0008-0000-08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FEDCD3" w14:textId="77777777" w:rsidR="005F0769" w:rsidRDefault="005D4799" w:rsidP="005D4799">
      <w:pPr>
        <w:spacing w:after="0"/>
        <w:ind w:left="720" w:hanging="720"/>
        <w:jc w:val="both"/>
        <w:rPr>
          <w:rFonts w:ascii="Tahoma" w:hAnsi="Tahoma" w:cs="Tahoma"/>
          <w:i/>
          <w:sz w:val="24"/>
          <w:szCs w:val="24"/>
        </w:rPr>
      </w:pPr>
      <w:r w:rsidRPr="005D4799">
        <w:rPr>
          <w:rFonts w:ascii="Tahoma" w:hAnsi="Tahoma" w:cs="Tahoma"/>
          <w:i/>
          <w:sz w:val="24"/>
          <w:szCs w:val="24"/>
        </w:rPr>
        <w:t xml:space="preserve">Source: ZimStat (2024) </w:t>
      </w:r>
    </w:p>
    <w:p w14:paraId="506A6CA8" w14:textId="77777777" w:rsidR="005D4799" w:rsidRPr="005D4799" w:rsidRDefault="005D4799" w:rsidP="005D4799">
      <w:pPr>
        <w:spacing w:after="0"/>
        <w:ind w:left="720" w:hanging="720"/>
        <w:jc w:val="both"/>
        <w:rPr>
          <w:rFonts w:ascii="Tahoma" w:hAnsi="Tahoma" w:cs="Tahoma"/>
          <w:sz w:val="24"/>
          <w:szCs w:val="24"/>
        </w:rPr>
      </w:pPr>
    </w:p>
    <w:p w14:paraId="1DD7595A" w14:textId="26A3B878" w:rsidR="00FC71BF" w:rsidRPr="00863A17" w:rsidRDefault="005F0769" w:rsidP="004C7E36">
      <w:pPr>
        <w:ind w:left="720" w:hanging="720"/>
        <w:jc w:val="both"/>
        <w:rPr>
          <w:rFonts w:ascii="Tahoma" w:hAnsi="Tahoma" w:cs="Tahoma"/>
          <w:sz w:val="24"/>
          <w:szCs w:val="24"/>
        </w:rPr>
      </w:pPr>
      <w:r>
        <w:rPr>
          <w:rFonts w:ascii="Tahoma" w:hAnsi="Tahoma" w:cs="Tahoma"/>
          <w:sz w:val="24"/>
          <w:szCs w:val="24"/>
        </w:rPr>
        <w:t>6.2</w:t>
      </w:r>
      <w:r w:rsidR="004C7E36" w:rsidRPr="00863A17">
        <w:rPr>
          <w:rFonts w:ascii="Tahoma" w:hAnsi="Tahoma" w:cs="Tahoma"/>
          <w:sz w:val="24"/>
          <w:szCs w:val="24"/>
        </w:rPr>
        <w:tab/>
      </w:r>
      <w:bookmarkStart w:id="47" w:name="_Hlk166606180"/>
      <w:r w:rsidR="00E90A43">
        <w:rPr>
          <w:rFonts w:ascii="Tahoma" w:hAnsi="Tahoma" w:cs="Tahoma"/>
          <w:sz w:val="24"/>
          <w:szCs w:val="24"/>
        </w:rPr>
        <w:t>MoM</w:t>
      </w:r>
      <w:r w:rsidR="005C0350">
        <w:rPr>
          <w:rFonts w:ascii="Tahoma" w:hAnsi="Tahoma" w:cs="Tahoma"/>
          <w:sz w:val="24"/>
          <w:szCs w:val="24"/>
        </w:rPr>
        <w:t xml:space="preserve"> </w:t>
      </w:r>
      <w:r w:rsidR="000C2AA3">
        <w:rPr>
          <w:rFonts w:ascii="Tahoma" w:hAnsi="Tahoma" w:cs="Tahoma"/>
          <w:sz w:val="24"/>
          <w:szCs w:val="24"/>
        </w:rPr>
        <w:t xml:space="preserve">weighted </w:t>
      </w:r>
      <w:r w:rsidR="00B45B57">
        <w:rPr>
          <w:rFonts w:ascii="Tahoma" w:hAnsi="Tahoma" w:cs="Tahoma"/>
          <w:sz w:val="24"/>
          <w:szCs w:val="24"/>
        </w:rPr>
        <w:t>inflation</w:t>
      </w:r>
      <w:r w:rsidR="00145005">
        <w:rPr>
          <w:rFonts w:ascii="Tahoma" w:hAnsi="Tahoma" w:cs="Tahoma"/>
          <w:sz w:val="24"/>
          <w:szCs w:val="24"/>
        </w:rPr>
        <w:t xml:space="preserve"> also </w:t>
      </w:r>
      <w:r w:rsidR="00601251">
        <w:rPr>
          <w:rFonts w:ascii="Tahoma" w:hAnsi="Tahoma" w:cs="Tahoma"/>
          <w:sz w:val="24"/>
          <w:szCs w:val="24"/>
        </w:rPr>
        <w:t>adjusted in accordance with the ZWG inflation from 2.2% to 1.11% in December 2024.</w:t>
      </w:r>
      <w:r w:rsidR="00145005">
        <w:rPr>
          <w:rFonts w:ascii="Tahoma" w:hAnsi="Tahoma" w:cs="Tahoma"/>
          <w:sz w:val="24"/>
          <w:szCs w:val="24"/>
        </w:rPr>
        <w:t xml:space="preserve"> </w:t>
      </w:r>
      <w:r w:rsidR="005C0350">
        <w:rPr>
          <w:rFonts w:ascii="Tahoma" w:hAnsi="Tahoma" w:cs="Tahoma"/>
          <w:sz w:val="24"/>
          <w:szCs w:val="24"/>
        </w:rPr>
        <w:t>(</w:t>
      </w:r>
      <w:r w:rsidR="00670FF1" w:rsidRPr="00863A17">
        <w:rPr>
          <w:rFonts w:ascii="Tahoma" w:hAnsi="Tahoma" w:cs="Tahoma"/>
          <w:sz w:val="24"/>
          <w:szCs w:val="24"/>
        </w:rPr>
        <w:t xml:space="preserve">see Figure </w:t>
      </w:r>
      <w:r w:rsidR="004C564F">
        <w:rPr>
          <w:rFonts w:ascii="Tahoma" w:hAnsi="Tahoma" w:cs="Tahoma"/>
          <w:sz w:val="24"/>
          <w:szCs w:val="24"/>
        </w:rPr>
        <w:t>6</w:t>
      </w:r>
      <w:r w:rsidR="005C0350">
        <w:rPr>
          <w:rFonts w:ascii="Tahoma" w:hAnsi="Tahoma" w:cs="Tahoma"/>
          <w:sz w:val="24"/>
          <w:szCs w:val="24"/>
        </w:rPr>
        <w:t>)</w:t>
      </w:r>
      <w:r w:rsidR="00670FF1" w:rsidRPr="00863A17">
        <w:rPr>
          <w:rFonts w:ascii="Tahoma" w:hAnsi="Tahoma" w:cs="Tahoma"/>
          <w:sz w:val="24"/>
          <w:szCs w:val="24"/>
        </w:rPr>
        <w:t>.</w:t>
      </w:r>
    </w:p>
    <w:p w14:paraId="698B8FE2" w14:textId="7ABD891D" w:rsidR="00474E3B" w:rsidRDefault="00FA3C4E" w:rsidP="00087E0F">
      <w:pPr>
        <w:pStyle w:val="ListofFigures"/>
      </w:pPr>
      <w:bookmarkStart w:id="48" w:name="_Toc187672518"/>
      <w:bookmarkEnd w:id="47"/>
      <w:r w:rsidRPr="00863A17">
        <w:t xml:space="preserve">Figure </w:t>
      </w:r>
      <w:r w:rsidR="00BD0F65">
        <w:rPr>
          <w:bCs/>
        </w:rPr>
        <w:t>6</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000C78EC">
        <w:rPr>
          <w:lang w:val="en-US"/>
        </w:rPr>
        <w:t xml:space="preserve"> Weighted</w:t>
      </w:r>
      <w:r w:rsidRPr="00863A17">
        <w:rPr>
          <w:lang w:val="en-US"/>
        </w:rPr>
        <w:t xml:space="preserve"> Inflation Outturn</w:t>
      </w:r>
      <w:bookmarkEnd w:id="48"/>
    </w:p>
    <w:p w14:paraId="2A1BC82A" w14:textId="1A282FBC" w:rsidR="00087E0F" w:rsidRPr="00863A17" w:rsidRDefault="005E7963" w:rsidP="004C7E36">
      <w:pPr>
        <w:spacing w:after="0"/>
        <w:rPr>
          <w:rFonts w:ascii="Tahoma" w:hAnsi="Tahoma" w:cs="Tahoma"/>
          <w:sz w:val="24"/>
          <w:szCs w:val="24"/>
          <w:lang w:val="en-US"/>
        </w:rPr>
      </w:pPr>
      <w:r>
        <w:rPr>
          <w:rFonts w:ascii="Tahoma" w:hAnsi="Tahoma" w:cs="Tahoma"/>
          <w:noProof/>
          <w:sz w:val="24"/>
          <w:szCs w:val="24"/>
          <w:lang w:val="en-US"/>
        </w:rPr>
        <w:drawing>
          <wp:inline distT="0" distB="0" distL="0" distR="0" wp14:anchorId="163A737A" wp14:editId="348B4633">
            <wp:extent cx="5657850" cy="2374900"/>
            <wp:effectExtent l="0" t="0" r="0" b="6350"/>
            <wp:docPr id="51966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2374900"/>
                    </a:xfrm>
                    <a:prstGeom prst="rect">
                      <a:avLst/>
                    </a:prstGeom>
                    <a:noFill/>
                  </pic:spPr>
                </pic:pic>
              </a:graphicData>
            </a:graphic>
          </wp:inline>
        </w:drawing>
      </w:r>
    </w:p>
    <w:p w14:paraId="06DABECA" w14:textId="77777777"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FF16B2" w:rsidRPr="00863A17">
        <w:rPr>
          <w:rFonts w:ascii="Tahoma" w:hAnsi="Tahoma" w:cs="Tahoma"/>
          <w:i/>
          <w:sz w:val="24"/>
          <w:szCs w:val="24"/>
          <w:lang w:val="en-US"/>
        </w:rPr>
        <w:t>4</w:t>
      </w:r>
      <w:r w:rsidRPr="00863A17">
        <w:rPr>
          <w:rFonts w:ascii="Tahoma" w:hAnsi="Tahoma" w:cs="Tahoma"/>
          <w:i/>
          <w:sz w:val="24"/>
          <w:szCs w:val="24"/>
          <w:lang w:val="en-US"/>
        </w:rPr>
        <w:t>)</w:t>
      </w:r>
    </w:p>
    <w:p w14:paraId="5090E71F" w14:textId="1D38681C" w:rsidR="00365637" w:rsidRPr="00365637" w:rsidRDefault="004C7E36" w:rsidP="00365637">
      <w:pPr>
        <w:ind w:left="720" w:hanging="720"/>
        <w:jc w:val="both"/>
        <w:rPr>
          <w:rFonts w:ascii="Tahoma" w:hAnsi="Tahoma" w:cs="Tahoma"/>
          <w:sz w:val="24"/>
          <w:szCs w:val="24"/>
        </w:rPr>
      </w:pPr>
      <w:r w:rsidRPr="00863A17">
        <w:rPr>
          <w:rFonts w:ascii="Tahoma" w:hAnsi="Tahoma" w:cs="Tahoma"/>
          <w:sz w:val="24"/>
          <w:szCs w:val="24"/>
          <w:lang w:val="en-US"/>
        </w:rPr>
        <w:t>6.</w:t>
      </w:r>
      <w:r w:rsidR="005F0769">
        <w:rPr>
          <w:rFonts w:ascii="Tahoma" w:hAnsi="Tahoma" w:cs="Tahoma"/>
          <w:sz w:val="24"/>
          <w:szCs w:val="24"/>
          <w:lang w:val="en-US"/>
        </w:rPr>
        <w:t>3</w:t>
      </w:r>
      <w:r w:rsidRPr="00863A17">
        <w:rPr>
          <w:rFonts w:ascii="Tahoma" w:hAnsi="Tahoma" w:cs="Tahoma"/>
          <w:sz w:val="24"/>
          <w:szCs w:val="24"/>
          <w:lang w:val="en-US"/>
        </w:rPr>
        <w:tab/>
      </w:r>
      <w:r w:rsidR="00365637" w:rsidRPr="00365637">
        <w:rPr>
          <w:rFonts w:ascii="Tahoma" w:hAnsi="Tahoma" w:cs="Tahoma"/>
          <w:sz w:val="24"/>
          <w:szCs w:val="24"/>
        </w:rPr>
        <w:t xml:space="preserve">Food and non-alcoholic drinks, as well as housing, water, electricity, gas, and other fuels, </w:t>
      </w:r>
      <w:r w:rsidR="007E5A06">
        <w:rPr>
          <w:rFonts w:ascii="Tahoma" w:hAnsi="Tahoma" w:cs="Tahoma"/>
          <w:sz w:val="24"/>
          <w:szCs w:val="24"/>
        </w:rPr>
        <w:t>were</w:t>
      </w:r>
      <w:r w:rsidR="00365637" w:rsidRPr="00365637">
        <w:rPr>
          <w:rFonts w:ascii="Tahoma" w:hAnsi="Tahoma" w:cs="Tahoma"/>
          <w:sz w:val="24"/>
          <w:szCs w:val="24"/>
        </w:rPr>
        <w:t xml:space="preserve"> the largest drivers to both weighted and ZWG inflation in </w:t>
      </w:r>
      <w:r w:rsidR="00E8709B">
        <w:rPr>
          <w:rFonts w:ascii="Tahoma" w:hAnsi="Tahoma" w:cs="Tahoma"/>
          <w:sz w:val="24"/>
          <w:szCs w:val="24"/>
        </w:rPr>
        <w:t>December</w:t>
      </w:r>
      <w:r w:rsidR="00365637" w:rsidRPr="00365637">
        <w:rPr>
          <w:rFonts w:ascii="Tahoma" w:hAnsi="Tahoma" w:cs="Tahoma"/>
          <w:sz w:val="24"/>
          <w:szCs w:val="24"/>
        </w:rPr>
        <w:t xml:space="preserve"> 2024</w:t>
      </w:r>
      <w:r w:rsidR="00E8709B">
        <w:rPr>
          <w:rFonts w:ascii="Tahoma" w:hAnsi="Tahoma" w:cs="Tahoma"/>
          <w:sz w:val="24"/>
          <w:szCs w:val="24"/>
        </w:rPr>
        <w:t xml:space="preserve"> while </w:t>
      </w:r>
      <w:r w:rsidR="007E5A06">
        <w:rPr>
          <w:rFonts w:ascii="Tahoma" w:hAnsi="Tahoma" w:cs="Tahoma"/>
          <w:sz w:val="24"/>
          <w:szCs w:val="24"/>
        </w:rPr>
        <w:t>f</w:t>
      </w:r>
      <w:r w:rsidR="00E8709B">
        <w:rPr>
          <w:rFonts w:ascii="Tahoma" w:hAnsi="Tahoma" w:cs="Tahoma"/>
          <w:sz w:val="24"/>
          <w:szCs w:val="24"/>
        </w:rPr>
        <w:t xml:space="preserve">urniture and </w:t>
      </w:r>
      <w:r w:rsidR="007E5A06">
        <w:rPr>
          <w:rFonts w:ascii="Tahoma" w:hAnsi="Tahoma" w:cs="Tahoma"/>
          <w:sz w:val="24"/>
          <w:szCs w:val="24"/>
        </w:rPr>
        <w:t>e</w:t>
      </w:r>
      <w:r w:rsidR="00E8709B">
        <w:rPr>
          <w:rFonts w:ascii="Tahoma" w:hAnsi="Tahoma" w:cs="Tahoma"/>
          <w:sz w:val="24"/>
          <w:szCs w:val="24"/>
        </w:rPr>
        <w:t>quipment negatively influenced weighted inflation</w:t>
      </w:r>
      <w:r w:rsidR="00365637" w:rsidRPr="00365637">
        <w:rPr>
          <w:rFonts w:ascii="Tahoma" w:hAnsi="Tahoma" w:cs="Tahoma"/>
          <w:sz w:val="24"/>
          <w:szCs w:val="24"/>
        </w:rPr>
        <w:t xml:space="preserve"> (see Table </w:t>
      </w:r>
      <w:r w:rsidR="004C564F">
        <w:rPr>
          <w:rFonts w:ascii="Tahoma" w:hAnsi="Tahoma" w:cs="Tahoma"/>
          <w:sz w:val="24"/>
          <w:szCs w:val="24"/>
        </w:rPr>
        <w:t>4</w:t>
      </w:r>
      <w:r w:rsidR="00365637" w:rsidRPr="00365637">
        <w:rPr>
          <w:rFonts w:ascii="Tahoma" w:hAnsi="Tahoma" w:cs="Tahoma"/>
          <w:sz w:val="24"/>
          <w:szCs w:val="24"/>
        </w:rPr>
        <w:t xml:space="preserve">). </w:t>
      </w:r>
    </w:p>
    <w:p w14:paraId="10D60275" w14:textId="61FF7424" w:rsidR="00474E3B" w:rsidRPr="00863A17" w:rsidRDefault="00474E3B" w:rsidP="00F05BD5">
      <w:pPr>
        <w:ind w:left="720" w:hanging="720"/>
        <w:jc w:val="both"/>
        <w:rPr>
          <w:rFonts w:ascii="Tahoma" w:hAnsi="Tahoma" w:cs="Tahoma"/>
          <w:sz w:val="24"/>
          <w:szCs w:val="24"/>
          <w:lang w:val="en-US"/>
        </w:rPr>
      </w:pPr>
    </w:p>
    <w:p w14:paraId="7D290962" w14:textId="0A3A832F" w:rsidR="00364947" w:rsidRDefault="003C1D2F" w:rsidP="00F05BD5">
      <w:pPr>
        <w:pStyle w:val="ListofTables"/>
        <w:spacing w:after="240"/>
      </w:pPr>
      <w:bookmarkStart w:id="49" w:name="_Toc164072366"/>
      <w:bookmarkStart w:id="50" w:name="_Toc166658893"/>
      <w:bookmarkStart w:id="51" w:name="_Toc187672460"/>
      <w:r w:rsidRPr="00863A17">
        <w:lastRenderedPageBreak/>
        <w:t xml:space="preserve">Table </w:t>
      </w:r>
      <w:r w:rsidR="00BD0F65">
        <w:t>4</w:t>
      </w:r>
      <w:r w:rsidRPr="00863A17">
        <w:t xml:space="preserve">: </w:t>
      </w:r>
      <w:r w:rsidR="0008600D">
        <w:t xml:space="preserve">Monthly </w:t>
      </w:r>
      <w:r w:rsidRPr="00863A17">
        <w:rPr>
          <w:lang w:val="en-US"/>
        </w:rPr>
        <w:t xml:space="preserve">Inflation </w:t>
      </w:r>
      <w:r w:rsidR="00DF0401">
        <w:rPr>
          <w:lang w:val="en-US"/>
        </w:rPr>
        <w:t xml:space="preserve">for </w:t>
      </w:r>
      <w:r w:rsidR="005E7963">
        <w:rPr>
          <w:lang w:val="en-US"/>
        </w:rPr>
        <w:t>December</w:t>
      </w:r>
      <w:r w:rsidRPr="00863A17">
        <w:rPr>
          <w:lang w:val="en-US"/>
        </w:rPr>
        <w:t xml:space="preserve"> 202</w:t>
      </w:r>
      <w:r w:rsidR="002525BF" w:rsidRPr="00863A17">
        <w:rPr>
          <w:lang w:val="en-US"/>
        </w:rPr>
        <w:t>4</w:t>
      </w:r>
      <w:bookmarkEnd w:id="49"/>
      <w:bookmarkEnd w:id="50"/>
      <w:bookmarkEnd w:id="51"/>
    </w:p>
    <w:p w14:paraId="2A59EE5D" w14:textId="443E488B" w:rsidR="001C152E" w:rsidRPr="00863A17" w:rsidRDefault="005E7963" w:rsidP="004C7E36">
      <w:pPr>
        <w:spacing w:after="0"/>
        <w:rPr>
          <w:rFonts w:ascii="Tahoma" w:hAnsi="Tahoma" w:cs="Tahoma"/>
          <w:sz w:val="24"/>
          <w:szCs w:val="24"/>
          <w:lang w:val="en-US"/>
        </w:rPr>
      </w:pPr>
      <w:r w:rsidRPr="005E7963">
        <w:rPr>
          <w:noProof/>
        </w:rPr>
        <w:drawing>
          <wp:inline distT="0" distB="0" distL="0" distR="0" wp14:anchorId="2471E180" wp14:editId="66FBDB76">
            <wp:extent cx="5731510" cy="2057400"/>
            <wp:effectExtent l="0" t="0" r="2540" b="0"/>
            <wp:docPr id="40033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36864" name=""/>
                    <pic:cNvPicPr/>
                  </pic:nvPicPr>
                  <pic:blipFill>
                    <a:blip r:embed="rId19"/>
                    <a:stretch>
                      <a:fillRect/>
                    </a:stretch>
                  </pic:blipFill>
                  <pic:spPr>
                    <a:xfrm>
                      <a:off x="0" y="0"/>
                      <a:ext cx="5731510" cy="2057400"/>
                    </a:xfrm>
                    <a:prstGeom prst="rect">
                      <a:avLst/>
                    </a:prstGeom>
                  </pic:spPr>
                </pic:pic>
              </a:graphicData>
            </a:graphic>
          </wp:inline>
        </w:drawing>
      </w:r>
    </w:p>
    <w:p w14:paraId="571A1FB4" w14:textId="77777777"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386A89" w:rsidRPr="00863A17">
        <w:rPr>
          <w:rFonts w:ascii="Tahoma" w:hAnsi="Tahoma" w:cs="Tahoma"/>
          <w:i/>
          <w:sz w:val="24"/>
          <w:szCs w:val="24"/>
          <w:lang w:val="en-US"/>
        </w:rPr>
        <w:t>4</w:t>
      </w:r>
      <w:r w:rsidR="004C7E36" w:rsidRPr="00863A17">
        <w:rPr>
          <w:rFonts w:ascii="Tahoma" w:hAnsi="Tahoma" w:cs="Tahoma"/>
          <w:i/>
          <w:sz w:val="24"/>
          <w:szCs w:val="24"/>
          <w:lang w:val="en-US"/>
        </w:rPr>
        <w:t>)</w:t>
      </w:r>
    </w:p>
    <w:p w14:paraId="203F25E4"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52" w:name="_Toc166607899"/>
      <w:bookmarkStart w:id="53" w:name="_Toc188955363"/>
      <w:r w:rsidRPr="00A64F64">
        <w:rPr>
          <w:rFonts w:cs="Tahoma"/>
          <w:bCs/>
          <w:color w:val="000000"/>
          <w:szCs w:val="24"/>
          <w:lang w:val="en-US"/>
        </w:rPr>
        <w:t>Monetary Developments</w:t>
      </w:r>
      <w:bookmarkEnd w:id="52"/>
      <w:bookmarkEnd w:id="53"/>
      <w:r w:rsidRPr="00A64F64">
        <w:rPr>
          <w:rFonts w:cs="Tahoma"/>
          <w:bCs/>
          <w:color w:val="000000"/>
          <w:szCs w:val="24"/>
          <w:lang w:val="en-US"/>
        </w:rPr>
        <w:t xml:space="preserve"> </w:t>
      </w:r>
    </w:p>
    <w:p w14:paraId="319D6C14" w14:textId="77777777" w:rsidR="003D0C8C" w:rsidRPr="003D0C8C" w:rsidRDefault="003D0C8C" w:rsidP="003D0C8C">
      <w:pPr>
        <w:pStyle w:val="Heading2"/>
        <w:spacing w:before="0" w:after="240" w:line="240" w:lineRule="auto"/>
        <w:rPr>
          <w:rFonts w:cs="Tahoma"/>
          <w:b/>
          <w:color w:val="000000"/>
          <w:szCs w:val="24"/>
          <w:lang w:val="en-US"/>
        </w:rPr>
      </w:pPr>
      <w:bookmarkStart w:id="54" w:name="_Toc166607900"/>
      <w:bookmarkStart w:id="55" w:name="_Toc188955364"/>
      <w:r w:rsidRPr="003D0C8C">
        <w:rPr>
          <w:rFonts w:cs="Tahoma"/>
          <w:b/>
          <w:color w:val="000000"/>
          <w:szCs w:val="24"/>
          <w:lang w:val="en-US"/>
        </w:rPr>
        <w:t>7.1</w:t>
      </w:r>
      <w:r w:rsidRPr="003D0C8C">
        <w:rPr>
          <w:rFonts w:cs="Tahoma"/>
          <w:b/>
          <w:color w:val="000000"/>
          <w:szCs w:val="24"/>
          <w:lang w:val="en-US"/>
        </w:rPr>
        <w:tab/>
        <w:t>Money Supply</w:t>
      </w:r>
      <w:bookmarkEnd w:id="54"/>
      <w:bookmarkEnd w:id="55"/>
      <w:r w:rsidR="00CF7A33">
        <w:rPr>
          <w:rFonts w:cs="Tahoma"/>
          <w:b/>
          <w:color w:val="000000"/>
          <w:szCs w:val="24"/>
          <w:lang w:val="en-US"/>
        </w:rPr>
        <w:t xml:space="preserve"> </w:t>
      </w:r>
    </w:p>
    <w:p w14:paraId="052D8D56" w14:textId="2A9852BC" w:rsidR="00106F16" w:rsidRDefault="004C7E36" w:rsidP="00E63964">
      <w:pPr>
        <w:ind w:left="720" w:hanging="720"/>
        <w:jc w:val="both"/>
        <w:rPr>
          <w:rFonts w:ascii="Tahoma" w:hAnsi="Tahoma" w:cs="Tahoma"/>
          <w:sz w:val="24"/>
          <w:szCs w:val="24"/>
          <w:lang w:val="en-US"/>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bookmarkStart w:id="56" w:name="_Hlk179978693"/>
      <w:r w:rsidR="00106F16">
        <w:rPr>
          <w:rFonts w:ascii="Tahoma" w:hAnsi="Tahoma" w:cs="Tahoma"/>
          <w:sz w:val="24"/>
          <w:szCs w:val="24"/>
          <w:lang w:val="en-US"/>
        </w:rPr>
        <w:t xml:space="preserve">By the time of compiling this report, </w:t>
      </w:r>
      <w:r w:rsidR="00376204">
        <w:rPr>
          <w:rFonts w:ascii="Tahoma" w:hAnsi="Tahoma" w:cs="Tahoma"/>
          <w:sz w:val="24"/>
          <w:szCs w:val="24"/>
          <w:lang w:val="en-US"/>
        </w:rPr>
        <w:t>December</w:t>
      </w:r>
      <w:r w:rsidR="00D00A39">
        <w:rPr>
          <w:rFonts w:ascii="Tahoma" w:hAnsi="Tahoma" w:cs="Tahoma"/>
          <w:sz w:val="24"/>
          <w:szCs w:val="24"/>
          <w:lang w:val="en-US"/>
        </w:rPr>
        <w:t xml:space="preserve"> 2024</w:t>
      </w:r>
      <w:r w:rsidR="00106F16">
        <w:rPr>
          <w:rFonts w:ascii="Tahoma" w:hAnsi="Tahoma" w:cs="Tahoma"/>
          <w:sz w:val="24"/>
          <w:szCs w:val="24"/>
          <w:lang w:val="en-US"/>
        </w:rPr>
        <w:t xml:space="preserve"> money supply statistics had not been published thus analysis in based on </w:t>
      </w:r>
      <w:r w:rsidR="00376204">
        <w:rPr>
          <w:rFonts w:ascii="Tahoma" w:hAnsi="Tahoma" w:cs="Tahoma"/>
          <w:sz w:val="24"/>
          <w:szCs w:val="24"/>
          <w:lang w:val="en-US"/>
        </w:rPr>
        <w:t>October</w:t>
      </w:r>
      <w:r w:rsidR="00106F16">
        <w:rPr>
          <w:rFonts w:ascii="Tahoma" w:hAnsi="Tahoma" w:cs="Tahoma"/>
          <w:sz w:val="24"/>
          <w:szCs w:val="24"/>
          <w:lang w:val="en-US"/>
        </w:rPr>
        <w:t xml:space="preserve"> 2024 data. </w:t>
      </w:r>
    </w:p>
    <w:p w14:paraId="540C1988" w14:textId="0FC8455B" w:rsidR="00084409" w:rsidRDefault="00106F16" w:rsidP="00E63964">
      <w:pPr>
        <w:ind w:left="720" w:hanging="720"/>
        <w:jc w:val="both"/>
        <w:rPr>
          <w:rFonts w:ascii="Tahoma" w:hAnsi="Tahoma" w:cs="Tahoma"/>
          <w:sz w:val="24"/>
          <w:szCs w:val="24"/>
          <w:lang w:val="en-US"/>
        </w:rPr>
      </w:pPr>
      <w:r>
        <w:rPr>
          <w:rFonts w:ascii="Tahoma" w:hAnsi="Tahoma" w:cs="Tahoma"/>
          <w:sz w:val="24"/>
          <w:szCs w:val="24"/>
          <w:lang w:val="en-US"/>
        </w:rPr>
        <w:t>7.1.2</w:t>
      </w:r>
      <w:r>
        <w:rPr>
          <w:rFonts w:ascii="Tahoma" w:hAnsi="Tahoma" w:cs="Tahoma"/>
          <w:sz w:val="24"/>
          <w:szCs w:val="24"/>
          <w:lang w:val="en-US"/>
        </w:rPr>
        <w:tab/>
      </w:r>
      <w:r w:rsidR="005E2242">
        <w:rPr>
          <w:rFonts w:ascii="Tahoma" w:hAnsi="Tahoma" w:cs="Tahoma"/>
          <w:sz w:val="24"/>
          <w:szCs w:val="24"/>
          <w:lang w:val="en-US"/>
        </w:rPr>
        <w:t xml:space="preserve">In </w:t>
      </w:r>
      <w:r w:rsidR="00CE404B">
        <w:rPr>
          <w:rFonts w:ascii="Tahoma" w:hAnsi="Tahoma" w:cs="Tahoma"/>
          <w:sz w:val="24"/>
          <w:szCs w:val="24"/>
          <w:lang w:val="en-US"/>
        </w:rPr>
        <w:t>October</w:t>
      </w:r>
      <w:r w:rsidR="005E2242">
        <w:rPr>
          <w:rFonts w:ascii="Tahoma" w:hAnsi="Tahoma" w:cs="Tahoma"/>
          <w:sz w:val="24"/>
          <w:szCs w:val="24"/>
          <w:lang w:val="en-US"/>
        </w:rPr>
        <w:t xml:space="preserve"> 2024, b</w:t>
      </w:r>
      <w:r w:rsidR="00C15011">
        <w:rPr>
          <w:rFonts w:ascii="Tahoma" w:hAnsi="Tahoma" w:cs="Tahoma"/>
          <w:sz w:val="24"/>
          <w:szCs w:val="24"/>
          <w:lang w:val="en-US"/>
        </w:rPr>
        <w:t xml:space="preserve">road money stock </w:t>
      </w:r>
      <w:r w:rsidR="00084409">
        <w:rPr>
          <w:rFonts w:ascii="Tahoma" w:hAnsi="Tahoma" w:cs="Tahoma"/>
          <w:sz w:val="24"/>
          <w:szCs w:val="24"/>
          <w:lang w:val="en-US"/>
        </w:rPr>
        <w:t>increased by 16.76% from</w:t>
      </w:r>
      <w:r w:rsidR="00C15011">
        <w:rPr>
          <w:rFonts w:ascii="Tahoma" w:hAnsi="Tahoma" w:cs="Tahoma"/>
          <w:sz w:val="24"/>
          <w:szCs w:val="24"/>
          <w:lang w:val="en-US"/>
        </w:rPr>
        <w:t xml:space="preserve"> ZW</w:t>
      </w:r>
      <w:r w:rsidR="00CD06BB">
        <w:rPr>
          <w:rFonts w:ascii="Tahoma" w:hAnsi="Tahoma" w:cs="Tahoma"/>
          <w:sz w:val="24"/>
          <w:szCs w:val="24"/>
          <w:lang w:val="en-US"/>
        </w:rPr>
        <w:t>G</w:t>
      </w:r>
      <w:r w:rsidR="000250F2">
        <w:rPr>
          <w:rFonts w:ascii="Tahoma" w:hAnsi="Tahoma" w:cs="Tahoma"/>
          <w:sz w:val="24"/>
          <w:szCs w:val="24"/>
          <w:lang w:val="en-US"/>
        </w:rPr>
        <w:t>75.0</w:t>
      </w:r>
      <w:r w:rsidR="007E5A06">
        <w:rPr>
          <w:rFonts w:ascii="Tahoma" w:hAnsi="Tahoma" w:cs="Tahoma"/>
          <w:sz w:val="24"/>
          <w:szCs w:val="24"/>
          <w:lang w:val="en-US"/>
        </w:rPr>
        <w:t>1</w:t>
      </w:r>
      <w:r w:rsidR="00084409">
        <w:rPr>
          <w:rFonts w:ascii="Tahoma" w:hAnsi="Tahoma" w:cs="Tahoma"/>
          <w:sz w:val="24"/>
          <w:szCs w:val="24"/>
          <w:lang w:val="en-US"/>
        </w:rPr>
        <w:t xml:space="preserve"> billion in September 2024 to USD87.58 billion in October 2024</w:t>
      </w:r>
      <w:r w:rsidR="007E5A06">
        <w:rPr>
          <w:rFonts w:ascii="Tahoma" w:hAnsi="Tahoma" w:cs="Tahoma"/>
          <w:sz w:val="24"/>
          <w:szCs w:val="24"/>
          <w:lang w:val="en-US"/>
        </w:rPr>
        <w:t xml:space="preserve"> </w:t>
      </w:r>
      <w:r w:rsidR="005E2242">
        <w:rPr>
          <w:rFonts w:ascii="Tahoma" w:hAnsi="Tahoma" w:cs="Tahoma"/>
          <w:sz w:val="24"/>
          <w:szCs w:val="24"/>
          <w:lang w:val="en-US"/>
        </w:rPr>
        <w:t xml:space="preserve">as shown in Figure </w:t>
      </w:r>
      <w:r w:rsidR="009B6068">
        <w:rPr>
          <w:rFonts w:ascii="Tahoma" w:hAnsi="Tahoma" w:cs="Tahoma"/>
          <w:sz w:val="24"/>
          <w:szCs w:val="24"/>
          <w:lang w:val="en-US"/>
        </w:rPr>
        <w:t>7</w:t>
      </w:r>
      <w:r w:rsidR="005E2242">
        <w:rPr>
          <w:rFonts w:ascii="Tahoma" w:hAnsi="Tahoma" w:cs="Tahoma"/>
          <w:sz w:val="24"/>
          <w:szCs w:val="24"/>
          <w:lang w:val="en-US"/>
        </w:rPr>
        <w:t xml:space="preserve"> </w:t>
      </w:r>
      <w:r w:rsidR="003D514B">
        <w:rPr>
          <w:rFonts w:ascii="Tahoma" w:hAnsi="Tahoma" w:cs="Tahoma"/>
          <w:sz w:val="24"/>
          <w:szCs w:val="24"/>
          <w:lang w:val="en-US"/>
        </w:rPr>
        <w:t xml:space="preserve">(RBZ </w:t>
      </w:r>
      <w:r w:rsidR="00084409">
        <w:rPr>
          <w:rFonts w:ascii="Tahoma" w:hAnsi="Tahoma" w:cs="Tahoma"/>
          <w:sz w:val="24"/>
          <w:szCs w:val="24"/>
          <w:lang w:val="en-US"/>
        </w:rPr>
        <w:t>October</w:t>
      </w:r>
      <w:r w:rsidR="003D514B">
        <w:rPr>
          <w:rFonts w:ascii="Tahoma" w:hAnsi="Tahoma" w:cs="Tahoma"/>
          <w:sz w:val="24"/>
          <w:szCs w:val="24"/>
          <w:lang w:val="en-US"/>
        </w:rPr>
        <w:t xml:space="preserve"> 2024 Monthly Economic Review)</w:t>
      </w:r>
      <w:r w:rsidR="005C0350">
        <w:rPr>
          <w:rFonts w:ascii="Tahoma" w:hAnsi="Tahoma" w:cs="Tahoma"/>
          <w:sz w:val="24"/>
          <w:szCs w:val="24"/>
          <w:lang w:val="en-US"/>
        </w:rPr>
        <w:t>.</w:t>
      </w:r>
      <w:r w:rsidR="00084409">
        <w:rPr>
          <w:rFonts w:ascii="Tahoma" w:hAnsi="Tahoma" w:cs="Tahoma"/>
          <w:sz w:val="24"/>
          <w:szCs w:val="24"/>
          <w:lang w:val="en-US"/>
        </w:rPr>
        <w:t xml:space="preserve"> The foreign currency component of broad money increased by 19.75% while </w:t>
      </w:r>
      <w:proofErr w:type="gramStart"/>
      <w:r w:rsidR="00084409">
        <w:rPr>
          <w:rFonts w:ascii="Tahoma" w:hAnsi="Tahoma" w:cs="Tahoma"/>
          <w:sz w:val="24"/>
          <w:szCs w:val="24"/>
          <w:lang w:val="en-US"/>
        </w:rPr>
        <w:t>local</w:t>
      </w:r>
      <w:proofErr w:type="gramEnd"/>
      <w:r w:rsidR="00084409">
        <w:rPr>
          <w:rFonts w:ascii="Tahoma" w:hAnsi="Tahoma" w:cs="Tahoma"/>
          <w:sz w:val="24"/>
          <w:szCs w:val="24"/>
          <w:lang w:val="en-US"/>
        </w:rPr>
        <w:t xml:space="preserve"> currency component grew by 0.72%.  </w:t>
      </w:r>
      <w:r w:rsidR="007F2566">
        <w:rPr>
          <w:rFonts w:ascii="Tahoma" w:hAnsi="Tahoma" w:cs="Tahoma"/>
          <w:sz w:val="24"/>
          <w:szCs w:val="24"/>
          <w:lang w:val="en-US"/>
        </w:rPr>
        <w:t>Money stock comprised of 86.48% foreign currency deposits, 13.36 local currency deposits and 0.11% local currency in circulation.</w:t>
      </w:r>
      <w:r w:rsidR="00907F53">
        <w:rPr>
          <w:rFonts w:ascii="Tahoma" w:hAnsi="Tahoma" w:cs="Tahoma"/>
          <w:sz w:val="24"/>
          <w:szCs w:val="24"/>
          <w:lang w:val="en-US"/>
        </w:rPr>
        <w:t xml:space="preserve"> </w:t>
      </w:r>
    </w:p>
    <w:bookmarkEnd w:id="56"/>
    <w:p w14:paraId="08B53D22" w14:textId="77777777" w:rsidR="005C0350" w:rsidRDefault="005C0350" w:rsidP="00F05BD5">
      <w:pPr>
        <w:spacing w:after="0"/>
        <w:ind w:left="720" w:hanging="720"/>
        <w:jc w:val="both"/>
        <w:rPr>
          <w:rFonts w:ascii="Tahoma" w:hAnsi="Tahoma" w:cs="Tahoma"/>
          <w:sz w:val="24"/>
          <w:szCs w:val="24"/>
          <w:lang w:val="en-US"/>
        </w:rPr>
      </w:pPr>
    </w:p>
    <w:p w14:paraId="3EB05CF1" w14:textId="74C27163" w:rsidR="000A50AA" w:rsidRDefault="000A50AA" w:rsidP="006C526D">
      <w:pPr>
        <w:pStyle w:val="ListofFigures"/>
      </w:pPr>
      <w:bookmarkStart w:id="57" w:name="_Toc187672519"/>
      <w:r w:rsidRPr="00E70553">
        <w:t xml:space="preserve">Figure </w:t>
      </w:r>
      <w:r w:rsidR="00BD0F65">
        <w:t>7</w:t>
      </w:r>
      <w:r w:rsidR="005C0350">
        <w:t>:</w:t>
      </w:r>
      <w:r w:rsidRPr="00E70553">
        <w:t xml:space="preserve"> Broad Money (M3) Supply</w:t>
      </w:r>
      <w:bookmarkEnd w:id="57"/>
    </w:p>
    <w:p w14:paraId="0CE5423E" w14:textId="115AC25F" w:rsidR="006C526D" w:rsidRDefault="00376204" w:rsidP="00C36C70">
      <w:pPr>
        <w:spacing w:after="0"/>
        <w:ind w:left="720" w:hanging="720"/>
        <w:jc w:val="both"/>
        <w:rPr>
          <w:noProof/>
          <w:lang w:eastAsia="en-ZW"/>
        </w:rPr>
      </w:pPr>
      <w:r>
        <w:rPr>
          <w:noProof/>
          <w:lang w:eastAsia="en-ZW"/>
        </w:rPr>
        <w:drawing>
          <wp:inline distT="0" distB="0" distL="0" distR="0" wp14:anchorId="447C06E2" wp14:editId="4453BD58">
            <wp:extent cx="5803900" cy="2495550"/>
            <wp:effectExtent l="0" t="0" r="6350" b="0"/>
            <wp:docPr id="117378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0" cy="2495550"/>
                    </a:xfrm>
                    <a:prstGeom prst="rect">
                      <a:avLst/>
                    </a:prstGeom>
                    <a:noFill/>
                  </pic:spPr>
                </pic:pic>
              </a:graphicData>
            </a:graphic>
          </wp:inline>
        </w:drawing>
      </w:r>
    </w:p>
    <w:p w14:paraId="0EEA6E2F" w14:textId="31FA208A" w:rsidR="00C36C70" w:rsidRDefault="00C36C70" w:rsidP="00C36C70">
      <w:pPr>
        <w:spacing w:after="0"/>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(2024)</w:t>
      </w:r>
    </w:p>
    <w:p w14:paraId="3A74FAA5" w14:textId="77777777" w:rsidR="00C36C70" w:rsidRPr="00FE4A95" w:rsidRDefault="005D2E94" w:rsidP="00FE4A95">
      <w:pPr>
        <w:pStyle w:val="Heading2"/>
        <w:spacing w:before="0" w:after="240" w:line="240" w:lineRule="auto"/>
        <w:rPr>
          <w:rFonts w:cs="Tahoma"/>
          <w:b/>
          <w:color w:val="000000"/>
          <w:szCs w:val="24"/>
          <w:lang w:val="en-US"/>
        </w:rPr>
      </w:pPr>
      <w:bookmarkStart w:id="58" w:name="_Toc188955365"/>
      <w:r>
        <w:rPr>
          <w:rFonts w:cs="Tahoma"/>
          <w:b/>
          <w:color w:val="000000"/>
          <w:szCs w:val="24"/>
          <w:lang w:val="en-US"/>
        </w:rPr>
        <w:lastRenderedPageBreak/>
        <w:t>7.2</w:t>
      </w:r>
      <w:r w:rsidR="00D6287E">
        <w:rPr>
          <w:rFonts w:cs="Tahoma"/>
          <w:b/>
          <w:color w:val="000000"/>
          <w:szCs w:val="24"/>
          <w:lang w:val="en-US"/>
        </w:rPr>
        <w:tab/>
        <w:t>Interest Rates</w:t>
      </w:r>
      <w:bookmarkEnd w:id="58"/>
      <w:r>
        <w:rPr>
          <w:rFonts w:cs="Tahoma"/>
          <w:b/>
          <w:color w:val="000000"/>
          <w:szCs w:val="24"/>
          <w:lang w:val="en-US"/>
        </w:rPr>
        <w:t xml:space="preserve"> </w:t>
      </w:r>
    </w:p>
    <w:p w14:paraId="34C069C1" w14:textId="580E482F" w:rsidR="00D50A5E" w:rsidRDefault="005D2E94" w:rsidP="00113183">
      <w:pPr>
        <w:ind w:left="720" w:hanging="720"/>
        <w:jc w:val="both"/>
        <w:rPr>
          <w:rFonts w:ascii="Tahoma" w:hAnsi="Tahoma" w:cs="Tahoma"/>
          <w:sz w:val="24"/>
          <w:szCs w:val="24"/>
          <w:lang w:val="en-US"/>
        </w:rPr>
      </w:pPr>
      <w:r>
        <w:rPr>
          <w:rFonts w:ascii="Tahoma" w:hAnsi="Tahoma" w:cs="Tahoma"/>
          <w:sz w:val="24"/>
          <w:szCs w:val="24"/>
          <w:lang w:val="en-US"/>
        </w:rPr>
        <w:t>7.1.1</w:t>
      </w:r>
      <w:r w:rsidR="00866209">
        <w:rPr>
          <w:rFonts w:ascii="Tahoma" w:hAnsi="Tahoma" w:cs="Tahoma"/>
          <w:sz w:val="24"/>
          <w:szCs w:val="24"/>
          <w:lang w:val="en-US"/>
        </w:rPr>
        <w:tab/>
      </w:r>
      <w:bookmarkStart w:id="59" w:name="_Hlk179978750"/>
      <w:bookmarkStart w:id="60" w:name="_Hlk166606487"/>
      <w:r w:rsidR="00113183">
        <w:rPr>
          <w:rFonts w:ascii="Tahoma" w:hAnsi="Tahoma" w:cs="Tahoma"/>
          <w:sz w:val="24"/>
          <w:szCs w:val="24"/>
          <w:lang w:val="en-US"/>
        </w:rPr>
        <w:t xml:space="preserve">As </w:t>
      </w:r>
      <w:r w:rsidR="00C708EB">
        <w:rPr>
          <w:rFonts w:ascii="Tahoma" w:hAnsi="Tahoma" w:cs="Tahoma"/>
          <w:sz w:val="24"/>
          <w:szCs w:val="24"/>
          <w:lang w:val="en-US"/>
        </w:rPr>
        <w:t>of</w:t>
      </w:r>
      <w:r w:rsidR="00113183">
        <w:rPr>
          <w:rFonts w:ascii="Tahoma" w:hAnsi="Tahoma" w:cs="Tahoma"/>
          <w:sz w:val="24"/>
          <w:szCs w:val="24"/>
          <w:lang w:val="en-US"/>
        </w:rPr>
        <w:t xml:space="preserve"> 1</w:t>
      </w:r>
      <w:r w:rsidR="0003293A">
        <w:rPr>
          <w:rFonts w:ascii="Tahoma" w:hAnsi="Tahoma" w:cs="Tahoma"/>
          <w:sz w:val="24"/>
          <w:szCs w:val="24"/>
          <w:lang w:val="en-US"/>
        </w:rPr>
        <w:t>3</w:t>
      </w:r>
      <w:r w:rsidR="00113183">
        <w:rPr>
          <w:rFonts w:ascii="Tahoma" w:hAnsi="Tahoma" w:cs="Tahoma"/>
          <w:sz w:val="24"/>
          <w:szCs w:val="24"/>
          <w:lang w:val="en-US"/>
        </w:rPr>
        <w:t xml:space="preserve"> </w:t>
      </w:r>
      <w:r w:rsidR="0003293A">
        <w:rPr>
          <w:rFonts w:ascii="Tahoma" w:hAnsi="Tahoma" w:cs="Tahoma"/>
          <w:sz w:val="24"/>
          <w:szCs w:val="24"/>
          <w:lang w:val="en-US"/>
        </w:rPr>
        <w:t>December</w:t>
      </w:r>
      <w:r w:rsidR="00113183">
        <w:rPr>
          <w:rFonts w:ascii="Tahoma" w:hAnsi="Tahoma" w:cs="Tahoma"/>
          <w:sz w:val="24"/>
          <w:szCs w:val="24"/>
          <w:lang w:val="en-US"/>
        </w:rPr>
        <w:t xml:space="preserve"> 2024, the average commercial bank deposit rate for savings on </w:t>
      </w:r>
      <w:r w:rsidR="0003293A">
        <w:rPr>
          <w:rFonts w:ascii="Tahoma" w:hAnsi="Tahoma" w:cs="Tahoma"/>
          <w:sz w:val="24"/>
          <w:szCs w:val="24"/>
          <w:lang w:val="en-US"/>
        </w:rPr>
        <w:t xml:space="preserve">local currency was maintained at 3.75% minimum and 3.88 maximum, while on </w:t>
      </w:r>
      <w:r w:rsidR="00113183">
        <w:rPr>
          <w:rFonts w:ascii="Tahoma" w:hAnsi="Tahoma" w:cs="Tahoma"/>
          <w:sz w:val="24"/>
          <w:szCs w:val="24"/>
          <w:lang w:val="en-US"/>
        </w:rPr>
        <w:t xml:space="preserve">foreign currency </w:t>
      </w:r>
      <w:r w:rsidR="00B06DC1">
        <w:rPr>
          <w:rFonts w:ascii="Tahoma" w:hAnsi="Tahoma" w:cs="Tahoma"/>
          <w:sz w:val="24"/>
          <w:szCs w:val="24"/>
          <w:lang w:val="en-US"/>
        </w:rPr>
        <w:t xml:space="preserve">was revised by </w:t>
      </w:r>
      <w:r w:rsidR="0003293A">
        <w:rPr>
          <w:rFonts w:ascii="Tahoma" w:hAnsi="Tahoma" w:cs="Tahoma"/>
          <w:sz w:val="24"/>
          <w:szCs w:val="24"/>
          <w:lang w:val="en-US"/>
        </w:rPr>
        <w:t>reducing</w:t>
      </w:r>
      <w:r w:rsidR="00B06DC1">
        <w:rPr>
          <w:rFonts w:ascii="Tahoma" w:hAnsi="Tahoma" w:cs="Tahoma"/>
          <w:sz w:val="24"/>
          <w:szCs w:val="24"/>
          <w:lang w:val="en-US"/>
        </w:rPr>
        <w:t xml:space="preserve"> a minimum to </w:t>
      </w:r>
      <w:r w:rsidR="0003293A">
        <w:rPr>
          <w:rFonts w:ascii="Tahoma" w:hAnsi="Tahoma" w:cs="Tahoma"/>
          <w:sz w:val="24"/>
          <w:szCs w:val="24"/>
          <w:lang w:val="en-US"/>
        </w:rPr>
        <w:t xml:space="preserve">1.35% and </w:t>
      </w:r>
      <w:r w:rsidR="003E5C08">
        <w:rPr>
          <w:rFonts w:ascii="Tahoma" w:hAnsi="Tahoma" w:cs="Tahoma"/>
          <w:sz w:val="24"/>
          <w:szCs w:val="24"/>
          <w:lang w:val="en-US"/>
        </w:rPr>
        <w:t>increasing</w:t>
      </w:r>
      <w:r w:rsidR="0003293A">
        <w:rPr>
          <w:rFonts w:ascii="Tahoma" w:hAnsi="Tahoma" w:cs="Tahoma"/>
          <w:sz w:val="24"/>
          <w:szCs w:val="24"/>
          <w:lang w:val="en-US"/>
        </w:rPr>
        <w:t xml:space="preserve"> a maximum to 1.57</w:t>
      </w:r>
      <w:r w:rsidR="003E5C08">
        <w:rPr>
          <w:rFonts w:ascii="Tahoma" w:hAnsi="Tahoma" w:cs="Tahoma"/>
          <w:sz w:val="24"/>
          <w:szCs w:val="24"/>
          <w:lang w:val="en-US"/>
        </w:rPr>
        <w:t>.</w:t>
      </w:r>
      <w:r w:rsidR="00B06DC1">
        <w:rPr>
          <w:rFonts w:ascii="Tahoma" w:hAnsi="Tahoma" w:cs="Tahoma"/>
          <w:sz w:val="24"/>
          <w:szCs w:val="24"/>
          <w:lang w:val="en-US"/>
        </w:rPr>
        <w:t xml:space="preserve"> </w:t>
      </w:r>
      <w:r w:rsidR="003E5C08">
        <w:rPr>
          <w:rFonts w:ascii="Tahoma" w:hAnsi="Tahoma" w:cs="Tahoma"/>
          <w:sz w:val="24"/>
          <w:szCs w:val="24"/>
          <w:lang w:val="en-US"/>
        </w:rPr>
        <w:t>The w</w:t>
      </w:r>
      <w:r w:rsidR="00B06DC1">
        <w:rPr>
          <w:rFonts w:ascii="Tahoma" w:hAnsi="Tahoma" w:cs="Tahoma"/>
          <w:sz w:val="24"/>
          <w:szCs w:val="24"/>
          <w:lang w:val="en-US"/>
        </w:rPr>
        <w:t>eighted lending rate on foreign currency for individuals was raised to a minimum 1</w:t>
      </w:r>
      <w:r w:rsidR="0003293A">
        <w:rPr>
          <w:rFonts w:ascii="Tahoma" w:hAnsi="Tahoma" w:cs="Tahoma"/>
          <w:sz w:val="24"/>
          <w:szCs w:val="24"/>
          <w:lang w:val="en-US"/>
        </w:rPr>
        <w:t>3.03</w:t>
      </w:r>
      <w:r w:rsidR="00B06DC1">
        <w:rPr>
          <w:rFonts w:ascii="Tahoma" w:hAnsi="Tahoma" w:cs="Tahoma"/>
          <w:sz w:val="24"/>
          <w:szCs w:val="24"/>
          <w:lang w:val="en-US"/>
        </w:rPr>
        <w:t>% and maximum of 17.</w:t>
      </w:r>
      <w:r w:rsidR="0003293A">
        <w:rPr>
          <w:rFonts w:ascii="Tahoma" w:hAnsi="Tahoma" w:cs="Tahoma"/>
          <w:sz w:val="24"/>
          <w:szCs w:val="24"/>
          <w:lang w:val="en-US"/>
        </w:rPr>
        <w:t>42</w:t>
      </w:r>
      <w:r w:rsidR="00B06DC1">
        <w:rPr>
          <w:rFonts w:ascii="Tahoma" w:hAnsi="Tahoma" w:cs="Tahoma"/>
          <w:sz w:val="24"/>
          <w:szCs w:val="24"/>
          <w:lang w:val="en-US"/>
        </w:rPr>
        <w:t>%, for corporates, it was revised to 10.65</w:t>
      </w:r>
      <w:r w:rsidR="0003293A">
        <w:rPr>
          <w:rFonts w:ascii="Tahoma" w:hAnsi="Tahoma" w:cs="Tahoma"/>
          <w:sz w:val="24"/>
          <w:szCs w:val="24"/>
          <w:lang w:val="en-US"/>
        </w:rPr>
        <w:t>7</w:t>
      </w:r>
      <w:r w:rsidR="00420CB9">
        <w:rPr>
          <w:rFonts w:ascii="Tahoma" w:hAnsi="Tahoma" w:cs="Tahoma"/>
          <w:sz w:val="24"/>
          <w:szCs w:val="24"/>
          <w:lang w:val="en-US"/>
        </w:rPr>
        <w:t xml:space="preserve"> </w:t>
      </w:r>
      <w:r w:rsidR="00B06DC1">
        <w:rPr>
          <w:rFonts w:ascii="Tahoma" w:hAnsi="Tahoma" w:cs="Tahoma"/>
          <w:sz w:val="24"/>
          <w:szCs w:val="24"/>
          <w:lang w:val="en-US"/>
        </w:rPr>
        <w:t>minimum and a maximum of 1</w:t>
      </w:r>
      <w:r w:rsidR="0003293A">
        <w:rPr>
          <w:rFonts w:ascii="Tahoma" w:hAnsi="Tahoma" w:cs="Tahoma"/>
          <w:sz w:val="24"/>
          <w:szCs w:val="24"/>
          <w:lang w:val="en-US"/>
        </w:rPr>
        <w:t>6.24</w:t>
      </w:r>
      <w:r w:rsidR="00B06DC1">
        <w:rPr>
          <w:rFonts w:ascii="Tahoma" w:hAnsi="Tahoma" w:cs="Tahoma"/>
          <w:sz w:val="24"/>
          <w:szCs w:val="24"/>
          <w:lang w:val="en-US"/>
        </w:rPr>
        <w:t xml:space="preserve">%. </w:t>
      </w:r>
      <w:r w:rsidR="00113183">
        <w:rPr>
          <w:rFonts w:ascii="Tahoma" w:hAnsi="Tahoma" w:cs="Tahoma"/>
          <w:sz w:val="24"/>
          <w:szCs w:val="24"/>
          <w:lang w:val="en-US"/>
        </w:rPr>
        <w:t xml:space="preserve"> </w:t>
      </w:r>
      <w:bookmarkEnd w:id="59"/>
      <w:r w:rsidR="00B06DC1">
        <w:rPr>
          <w:rFonts w:ascii="Tahoma" w:hAnsi="Tahoma" w:cs="Tahoma"/>
          <w:sz w:val="24"/>
          <w:szCs w:val="24"/>
          <w:lang w:val="en-US"/>
        </w:rPr>
        <w:t xml:space="preserve">Weighted lending rates on local currency </w:t>
      </w:r>
      <w:r w:rsidR="003E5C08">
        <w:rPr>
          <w:rFonts w:ascii="Tahoma" w:hAnsi="Tahoma" w:cs="Tahoma"/>
          <w:sz w:val="24"/>
          <w:szCs w:val="24"/>
          <w:lang w:val="en-US"/>
        </w:rPr>
        <w:t>were</w:t>
      </w:r>
      <w:r w:rsidR="00B06DC1">
        <w:rPr>
          <w:rFonts w:ascii="Tahoma" w:hAnsi="Tahoma" w:cs="Tahoma"/>
          <w:sz w:val="24"/>
          <w:szCs w:val="24"/>
          <w:lang w:val="en-US"/>
        </w:rPr>
        <w:t xml:space="preserve"> </w:t>
      </w:r>
      <w:r w:rsidR="003E5C08">
        <w:rPr>
          <w:rFonts w:ascii="Tahoma" w:hAnsi="Tahoma" w:cs="Tahoma"/>
          <w:sz w:val="24"/>
          <w:szCs w:val="24"/>
          <w:lang w:val="en-US"/>
        </w:rPr>
        <w:t>raised</w:t>
      </w:r>
      <w:r w:rsidR="0003293A">
        <w:rPr>
          <w:rFonts w:ascii="Tahoma" w:hAnsi="Tahoma" w:cs="Tahoma"/>
          <w:sz w:val="24"/>
          <w:szCs w:val="24"/>
          <w:lang w:val="en-US"/>
        </w:rPr>
        <w:t xml:space="preserve"> upwards to a minimum rate of 41.43% and a maximum rate of </w:t>
      </w:r>
      <w:r w:rsidR="00B06DC1">
        <w:rPr>
          <w:rFonts w:ascii="Tahoma" w:hAnsi="Tahoma" w:cs="Tahoma"/>
          <w:sz w:val="24"/>
          <w:szCs w:val="24"/>
          <w:lang w:val="en-US"/>
        </w:rPr>
        <w:t>4</w:t>
      </w:r>
      <w:r w:rsidR="0003293A">
        <w:rPr>
          <w:rFonts w:ascii="Tahoma" w:hAnsi="Tahoma" w:cs="Tahoma"/>
          <w:sz w:val="24"/>
          <w:szCs w:val="24"/>
          <w:lang w:val="en-US"/>
        </w:rPr>
        <w:t>6.89</w:t>
      </w:r>
      <w:r w:rsidR="00B06DC1">
        <w:rPr>
          <w:rFonts w:ascii="Tahoma" w:hAnsi="Tahoma" w:cs="Tahoma"/>
          <w:sz w:val="24"/>
          <w:szCs w:val="24"/>
          <w:lang w:val="en-US"/>
        </w:rPr>
        <w:t xml:space="preserve">% and to </w:t>
      </w:r>
      <w:r w:rsidR="0003293A">
        <w:rPr>
          <w:rFonts w:ascii="Tahoma" w:hAnsi="Tahoma" w:cs="Tahoma"/>
          <w:sz w:val="24"/>
          <w:szCs w:val="24"/>
          <w:lang w:val="en-US"/>
        </w:rPr>
        <w:t>39.98</w:t>
      </w:r>
      <w:r w:rsidR="00B06DC1">
        <w:rPr>
          <w:rFonts w:ascii="Tahoma" w:hAnsi="Tahoma" w:cs="Tahoma"/>
          <w:sz w:val="24"/>
          <w:szCs w:val="24"/>
          <w:lang w:val="en-US"/>
        </w:rPr>
        <w:t xml:space="preserve">% minimum and </w:t>
      </w:r>
      <w:r w:rsidR="0003293A">
        <w:rPr>
          <w:rFonts w:ascii="Tahoma" w:hAnsi="Tahoma" w:cs="Tahoma"/>
          <w:sz w:val="24"/>
          <w:szCs w:val="24"/>
          <w:lang w:val="en-US"/>
        </w:rPr>
        <w:t>45.48</w:t>
      </w:r>
      <w:r w:rsidR="00B06DC1">
        <w:rPr>
          <w:rFonts w:ascii="Tahoma" w:hAnsi="Tahoma" w:cs="Tahoma"/>
          <w:sz w:val="24"/>
          <w:szCs w:val="24"/>
          <w:lang w:val="en-US"/>
        </w:rPr>
        <w:t>% maximum for corporates</w:t>
      </w:r>
      <w:r w:rsidR="0010522F">
        <w:rPr>
          <w:rFonts w:ascii="Tahoma" w:hAnsi="Tahoma" w:cs="Tahoma"/>
          <w:sz w:val="24"/>
          <w:szCs w:val="24"/>
          <w:lang w:val="en-US"/>
        </w:rPr>
        <w:t xml:space="preserve"> (see Table </w:t>
      </w:r>
      <w:r w:rsidR="00986C6F">
        <w:rPr>
          <w:rFonts w:ascii="Tahoma" w:hAnsi="Tahoma" w:cs="Tahoma"/>
          <w:sz w:val="24"/>
          <w:szCs w:val="24"/>
          <w:lang w:val="en-US"/>
        </w:rPr>
        <w:t>5</w:t>
      </w:r>
      <w:r w:rsidR="0010522F">
        <w:rPr>
          <w:rFonts w:ascii="Tahoma" w:hAnsi="Tahoma" w:cs="Tahoma"/>
          <w:sz w:val="24"/>
          <w:szCs w:val="24"/>
          <w:lang w:val="en-US"/>
        </w:rPr>
        <w:t>).</w:t>
      </w:r>
    </w:p>
    <w:p w14:paraId="30AF733D" w14:textId="47CF7A4A" w:rsidR="00873DFE" w:rsidRDefault="00873DFE" w:rsidP="00873DFE">
      <w:pPr>
        <w:pStyle w:val="ListofTables"/>
        <w:rPr>
          <w:lang w:val="en-US"/>
        </w:rPr>
      </w:pPr>
      <w:bookmarkStart w:id="61" w:name="_Toc187672461"/>
      <w:r>
        <w:rPr>
          <w:lang w:val="en-US"/>
        </w:rPr>
        <w:t xml:space="preserve">Table </w:t>
      </w:r>
      <w:r w:rsidR="00B3127C">
        <w:rPr>
          <w:lang w:val="en-US"/>
        </w:rPr>
        <w:t>5</w:t>
      </w:r>
      <w:r>
        <w:rPr>
          <w:lang w:val="en-US"/>
        </w:rPr>
        <w:t>: Interest Rates as of 1</w:t>
      </w:r>
      <w:r w:rsidR="0003293A">
        <w:rPr>
          <w:lang w:val="en-US"/>
        </w:rPr>
        <w:t>3</w:t>
      </w:r>
      <w:r>
        <w:rPr>
          <w:lang w:val="en-US"/>
        </w:rPr>
        <w:t xml:space="preserve"> </w:t>
      </w:r>
      <w:r w:rsidR="0003293A">
        <w:rPr>
          <w:lang w:val="en-US"/>
        </w:rPr>
        <w:t>December</w:t>
      </w:r>
      <w:r>
        <w:rPr>
          <w:lang w:val="en-US"/>
        </w:rPr>
        <w:t xml:space="preserve"> 2024</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1771"/>
        <w:gridCol w:w="1410"/>
        <w:gridCol w:w="1410"/>
        <w:gridCol w:w="1410"/>
        <w:gridCol w:w="1416"/>
      </w:tblGrid>
      <w:tr w:rsidR="00631976" w:rsidRPr="00631976" w14:paraId="119C99A3" w14:textId="77777777" w:rsidTr="00797969">
        <w:tc>
          <w:tcPr>
            <w:tcW w:w="1899" w:type="pct"/>
            <w:gridSpan w:val="2"/>
          </w:tcPr>
          <w:p w14:paraId="0AFD6126" w14:textId="77777777" w:rsidR="00631976" w:rsidRPr="00631976" w:rsidRDefault="00631976" w:rsidP="00631976">
            <w:pPr>
              <w:spacing w:after="0" w:line="240" w:lineRule="auto"/>
              <w:jc w:val="center"/>
              <w:rPr>
                <w:rFonts w:ascii="Tahoma" w:eastAsia="Times New Roman" w:hAnsi="Tahoma" w:cs="Tahoma"/>
                <w:b/>
                <w:bCs/>
                <w:sz w:val="24"/>
                <w:szCs w:val="24"/>
              </w:rPr>
            </w:pPr>
            <w:r w:rsidRPr="00631976">
              <w:rPr>
                <w:rFonts w:ascii="Tahoma" w:eastAsia="Times New Roman" w:hAnsi="Tahoma" w:cs="Tahoma"/>
                <w:b/>
                <w:bCs/>
                <w:sz w:val="24"/>
                <w:szCs w:val="24"/>
              </w:rPr>
              <w:t>Classification</w:t>
            </w:r>
          </w:p>
        </w:tc>
        <w:tc>
          <w:tcPr>
            <w:tcW w:w="1534" w:type="pct"/>
            <w:gridSpan w:val="2"/>
          </w:tcPr>
          <w:p w14:paraId="3584946B" w14:textId="77777777" w:rsidR="00631976" w:rsidRPr="00631976" w:rsidRDefault="00631976" w:rsidP="00631976">
            <w:pPr>
              <w:spacing w:after="0" w:line="240" w:lineRule="auto"/>
              <w:rPr>
                <w:rFonts w:ascii="Tahoma" w:eastAsia="Times New Roman" w:hAnsi="Tahoma" w:cs="Tahoma"/>
                <w:b/>
                <w:bCs/>
                <w:sz w:val="24"/>
                <w:szCs w:val="24"/>
              </w:rPr>
            </w:pPr>
            <w:r w:rsidRPr="00631976">
              <w:rPr>
                <w:rFonts w:ascii="Tahoma" w:eastAsia="Times New Roman" w:hAnsi="Tahoma" w:cs="Tahoma"/>
                <w:b/>
                <w:bCs/>
                <w:sz w:val="24"/>
                <w:szCs w:val="24"/>
              </w:rPr>
              <w:t>Minimum (%)</w:t>
            </w:r>
          </w:p>
        </w:tc>
        <w:tc>
          <w:tcPr>
            <w:tcW w:w="1567" w:type="pct"/>
            <w:gridSpan w:val="2"/>
          </w:tcPr>
          <w:p w14:paraId="3A3EADC1" w14:textId="77777777" w:rsidR="00631976" w:rsidRPr="00631976" w:rsidRDefault="00631976" w:rsidP="00631976">
            <w:pPr>
              <w:spacing w:after="0" w:line="240" w:lineRule="auto"/>
              <w:rPr>
                <w:rFonts w:ascii="Tahoma" w:eastAsia="Times New Roman" w:hAnsi="Tahoma" w:cs="Tahoma"/>
                <w:b/>
                <w:bCs/>
                <w:sz w:val="24"/>
                <w:szCs w:val="24"/>
              </w:rPr>
            </w:pPr>
            <w:r w:rsidRPr="00631976">
              <w:rPr>
                <w:rFonts w:ascii="Tahoma" w:eastAsia="Times New Roman" w:hAnsi="Tahoma" w:cs="Tahoma"/>
                <w:b/>
                <w:bCs/>
                <w:sz w:val="24"/>
                <w:szCs w:val="24"/>
              </w:rPr>
              <w:t>Maximum (%)</w:t>
            </w:r>
          </w:p>
        </w:tc>
      </w:tr>
      <w:tr w:rsidR="00631976" w:rsidRPr="00631976" w14:paraId="0747831C" w14:textId="77777777" w:rsidTr="00797969">
        <w:tc>
          <w:tcPr>
            <w:tcW w:w="1899" w:type="pct"/>
            <w:gridSpan w:val="2"/>
          </w:tcPr>
          <w:p w14:paraId="3FBEB17F" w14:textId="77777777" w:rsidR="00631976" w:rsidRPr="00631976" w:rsidRDefault="00631976" w:rsidP="00631976">
            <w:pPr>
              <w:spacing w:after="0" w:line="240" w:lineRule="auto"/>
              <w:jc w:val="center"/>
              <w:rPr>
                <w:rFonts w:ascii="Tahoma" w:eastAsia="Times New Roman" w:hAnsi="Tahoma" w:cs="Tahoma"/>
                <w:b/>
                <w:bCs/>
                <w:sz w:val="24"/>
                <w:szCs w:val="24"/>
              </w:rPr>
            </w:pPr>
          </w:p>
        </w:tc>
        <w:tc>
          <w:tcPr>
            <w:tcW w:w="767" w:type="pct"/>
          </w:tcPr>
          <w:p w14:paraId="11AC2038" w14:textId="6238DE49" w:rsidR="00631976" w:rsidRPr="00631976" w:rsidRDefault="00631976" w:rsidP="00631976">
            <w:pPr>
              <w:spacing w:after="0" w:line="240" w:lineRule="auto"/>
              <w:rPr>
                <w:rFonts w:ascii="Tahoma" w:eastAsia="Times New Roman" w:hAnsi="Tahoma" w:cs="Tahoma"/>
                <w:b/>
                <w:bCs/>
                <w:sz w:val="24"/>
                <w:szCs w:val="24"/>
              </w:rPr>
            </w:pPr>
            <w:r w:rsidRPr="00631976">
              <w:rPr>
                <w:rFonts w:ascii="Tahoma" w:eastAsia="Times New Roman" w:hAnsi="Tahoma" w:cs="Tahoma"/>
                <w:b/>
                <w:bCs/>
                <w:sz w:val="24"/>
                <w:szCs w:val="24"/>
              </w:rPr>
              <w:t>1</w:t>
            </w:r>
            <w:r w:rsidR="00C544A4">
              <w:rPr>
                <w:rFonts w:ascii="Tahoma" w:eastAsia="Times New Roman" w:hAnsi="Tahoma" w:cs="Tahoma"/>
                <w:b/>
                <w:bCs/>
                <w:sz w:val="24"/>
                <w:szCs w:val="24"/>
              </w:rPr>
              <w:t>5</w:t>
            </w:r>
            <w:r w:rsidRPr="00631976">
              <w:rPr>
                <w:rFonts w:ascii="Tahoma" w:eastAsia="Times New Roman" w:hAnsi="Tahoma" w:cs="Tahoma"/>
                <w:b/>
                <w:bCs/>
                <w:sz w:val="24"/>
                <w:szCs w:val="24"/>
              </w:rPr>
              <w:t>/1</w:t>
            </w:r>
            <w:r w:rsidR="00114482">
              <w:rPr>
                <w:rFonts w:ascii="Tahoma" w:eastAsia="Times New Roman" w:hAnsi="Tahoma" w:cs="Tahoma"/>
                <w:b/>
                <w:bCs/>
                <w:sz w:val="24"/>
                <w:szCs w:val="24"/>
              </w:rPr>
              <w:t>1</w:t>
            </w:r>
            <w:r w:rsidRPr="00631976">
              <w:rPr>
                <w:rFonts w:ascii="Tahoma" w:eastAsia="Times New Roman" w:hAnsi="Tahoma" w:cs="Tahoma"/>
                <w:b/>
                <w:bCs/>
                <w:sz w:val="24"/>
                <w:szCs w:val="24"/>
              </w:rPr>
              <w:t>/24</w:t>
            </w:r>
          </w:p>
        </w:tc>
        <w:tc>
          <w:tcPr>
            <w:tcW w:w="767" w:type="pct"/>
          </w:tcPr>
          <w:p w14:paraId="135CB7F9" w14:textId="2910DC2A" w:rsidR="00631976" w:rsidRPr="00631976" w:rsidRDefault="00631976" w:rsidP="00631976">
            <w:pPr>
              <w:spacing w:after="0" w:line="240" w:lineRule="auto"/>
              <w:rPr>
                <w:rFonts w:ascii="Tahoma" w:eastAsia="Times New Roman" w:hAnsi="Tahoma" w:cs="Tahoma"/>
                <w:b/>
                <w:bCs/>
                <w:sz w:val="24"/>
                <w:szCs w:val="24"/>
              </w:rPr>
            </w:pPr>
            <w:r w:rsidRPr="00631976">
              <w:rPr>
                <w:rFonts w:ascii="Tahoma" w:eastAsia="Times New Roman" w:hAnsi="Tahoma" w:cs="Tahoma"/>
                <w:b/>
                <w:bCs/>
                <w:sz w:val="24"/>
                <w:szCs w:val="24"/>
              </w:rPr>
              <w:t>1</w:t>
            </w:r>
            <w:r w:rsidR="00C544A4">
              <w:rPr>
                <w:rFonts w:ascii="Tahoma" w:eastAsia="Times New Roman" w:hAnsi="Tahoma" w:cs="Tahoma"/>
                <w:b/>
                <w:bCs/>
                <w:sz w:val="24"/>
                <w:szCs w:val="24"/>
              </w:rPr>
              <w:t>3</w:t>
            </w:r>
            <w:r w:rsidRPr="00631976">
              <w:rPr>
                <w:rFonts w:ascii="Tahoma" w:eastAsia="Times New Roman" w:hAnsi="Tahoma" w:cs="Tahoma"/>
                <w:b/>
                <w:bCs/>
                <w:sz w:val="24"/>
                <w:szCs w:val="24"/>
              </w:rPr>
              <w:t>/1</w:t>
            </w:r>
            <w:r w:rsidR="00C544A4">
              <w:rPr>
                <w:rFonts w:ascii="Tahoma" w:eastAsia="Times New Roman" w:hAnsi="Tahoma" w:cs="Tahoma"/>
                <w:b/>
                <w:bCs/>
                <w:sz w:val="24"/>
                <w:szCs w:val="24"/>
              </w:rPr>
              <w:t>2</w:t>
            </w:r>
            <w:r w:rsidRPr="00631976">
              <w:rPr>
                <w:rFonts w:ascii="Tahoma" w:eastAsia="Times New Roman" w:hAnsi="Tahoma" w:cs="Tahoma"/>
                <w:b/>
                <w:bCs/>
                <w:sz w:val="24"/>
                <w:szCs w:val="24"/>
              </w:rPr>
              <w:t>/24</w:t>
            </w:r>
          </w:p>
        </w:tc>
        <w:tc>
          <w:tcPr>
            <w:tcW w:w="767" w:type="pct"/>
          </w:tcPr>
          <w:p w14:paraId="670A84B3" w14:textId="5EF8DC12" w:rsidR="00631976" w:rsidRPr="00631976" w:rsidRDefault="00631976" w:rsidP="00631976">
            <w:pPr>
              <w:spacing w:after="0" w:line="240" w:lineRule="auto"/>
              <w:rPr>
                <w:rFonts w:ascii="Tahoma" w:eastAsia="Times New Roman" w:hAnsi="Tahoma" w:cs="Tahoma"/>
                <w:b/>
                <w:bCs/>
                <w:sz w:val="24"/>
                <w:szCs w:val="24"/>
              </w:rPr>
            </w:pPr>
            <w:r w:rsidRPr="00631976">
              <w:rPr>
                <w:rFonts w:ascii="Tahoma" w:eastAsia="Times New Roman" w:hAnsi="Tahoma" w:cs="Tahoma"/>
                <w:b/>
                <w:bCs/>
                <w:sz w:val="24"/>
                <w:szCs w:val="24"/>
              </w:rPr>
              <w:t>1</w:t>
            </w:r>
            <w:r w:rsidR="00114482">
              <w:rPr>
                <w:rFonts w:ascii="Tahoma" w:eastAsia="Times New Roman" w:hAnsi="Tahoma" w:cs="Tahoma"/>
                <w:b/>
                <w:bCs/>
                <w:sz w:val="24"/>
                <w:szCs w:val="24"/>
              </w:rPr>
              <w:t>5</w:t>
            </w:r>
            <w:r w:rsidRPr="00631976">
              <w:rPr>
                <w:rFonts w:ascii="Tahoma" w:eastAsia="Times New Roman" w:hAnsi="Tahoma" w:cs="Tahoma"/>
                <w:b/>
                <w:bCs/>
                <w:sz w:val="24"/>
                <w:szCs w:val="24"/>
              </w:rPr>
              <w:t>/1</w:t>
            </w:r>
            <w:r w:rsidR="00114482">
              <w:rPr>
                <w:rFonts w:ascii="Tahoma" w:eastAsia="Times New Roman" w:hAnsi="Tahoma" w:cs="Tahoma"/>
                <w:b/>
                <w:bCs/>
                <w:sz w:val="24"/>
                <w:szCs w:val="24"/>
              </w:rPr>
              <w:t>1</w:t>
            </w:r>
            <w:r w:rsidRPr="00631976">
              <w:rPr>
                <w:rFonts w:ascii="Tahoma" w:eastAsia="Times New Roman" w:hAnsi="Tahoma" w:cs="Tahoma"/>
                <w:b/>
                <w:bCs/>
                <w:sz w:val="24"/>
                <w:szCs w:val="24"/>
              </w:rPr>
              <w:t>/24</w:t>
            </w:r>
          </w:p>
        </w:tc>
        <w:tc>
          <w:tcPr>
            <w:tcW w:w="800" w:type="pct"/>
          </w:tcPr>
          <w:p w14:paraId="1991BE8A" w14:textId="1A471B0E" w:rsidR="00631976" w:rsidRPr="00631976" w:rsidRDefault="00631976" w:rsidP="00631976">
            <w:pPr>
              <w:spacing w:after="0" w:line="240" w:lineRule="auto"/>
              <w:rPr>
                <w:rFonts w:ascii="Tahoma" w:eastAsia="Times New Roman" w:hAnsi="Tahoma" w:cs="Tahoma"/>
                <w:b/>
                <w:bCs/>
                <w:sz w:val="24"/>
                <w:szCs w:val="24"/>
              </w:rPr>
            </w:pPr>
            <w:r w:rsidRPr="00631976">
              <w:rPr>
                <w:rFonts w:ascii="Tahoma" w:eastAsia="Times New Roman" w:hAnsi="Tahoma" w:cs="Tahoma"/>
                <w:b/>
                <w:bCs/>
                <w:sz w:val="24"/>
                <w:szCs w:val="24"/>
              </w:rPr>
              <w:t>1</w:t>
            </w:r>
            <w:r w:rsidR="00114482">
              <w:rPr>
                <w:rFonts w:ascii="Tahoma" w:eastAsia="Times New Roman" w:hAnsi="Tahoma" w:cs="Tahoma"/>
                <w:b/>
                <w:bCs/>
                <w:sz w:val="24"/>
                <w:szCs w:val="24"/>
              </w:rPr>
              <w:t>3</w:t>
            </w:r>
            <w:r w:rsidRPr="00631976">
              <w:rPr>
                <w:rFonts w:ascii="Tahoma" w:eastAsia="Times New Roman" w:hAnsi="Tahoma" w:cs="Tahoma"/>
                <w:b/>
                <w:bCs/>
                <w:sz w:val="24"/>
                <w:szCs w:val="24"/>
              </w:rPr>
              <w:t>/1</w:t>
            </w:r>
            <w:r w:rsidR="00114482">
              <w:rPr>
                <w:rFonts w:ascii="Tahoma" w:eastAsia="Times New Roman" w:hAnsi="Tahoma" w:cs="Tahoma"/>
                <w:b/>
                <w:bCs/>
                <w:sz w:val="24"/>
                <w:szCs w:val="24"/>
              </w:rPr>
              <w:t>2</w:t>
            </w:r>
            <w:r w:rsidRPr="00631976">
              <w:rPr>
                <w:rFonts w:ascii="Tahoma" w:eastAsia="Times New Roman" w:hAnsi="Tahoma" w:cs="Tahoma"/>
                <w:b/>
                <w:bCs/>
                <w:sz w:val="24"/>
                <w:szCs w:val="24"/>
              </w:rPr>
              <w:t>/24</w:t>
            </w:r>
          </w:p>
        </w:tc>
      </w:tr>
      <w:tr w:rsidR="00631976" w:rsidRPr="00631976" w14:paraId="613DB7FB" w14:textId="77777777" w:rsidTr="00797969">
        <w:trPr>
          <w:trHeight w:val="277"/>
        </w:trPr>
        <w:tc>
          <w:tcPr>
            <w:tcW w:w="902" w:type="pct"/>
            <w:vMerge w:val="restart"/>
          </w:tcPr>
          <w:p w14:paraId="5D7D8DE1"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Average Commercial Bank Deposit Rates</w:t>
            </w:r>
          </w:p>
        </w:tc>
        <w:tc>
          <w:tcPr>
            <w:tcW w:w="997" w:type="pct"/>
          </w:tcPr>
          <w:p w14:paraId="34B8E03C"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Local Currency</w:t>
            </w:r>
          </w:p>
        </w:tc>
        <w:tc>
          <w:tcPr>
            <w:tcW w:w="767" w:type="pct"/>
          </w:tcPr>
          <w:p w14:paraId="337F1C10"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3.75</w:t>
            </w:r>
          </w:p>
        </w:tc>
        <w:tc>
          <w:tcPr>
            <w:tcW w:w="767" w:type="pct"/>
          </w:tcPr>
          <w:p w14:paraId="2E64697B"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3.75</w:t>
            </w:r>
          </w:p>
        </w:tc>
        <w:tc>
          <w:tcPr>
            <w:tcW w:w="767" w:type="pct"/>
          </w:tcPr>
          <w:p w14:paraId="5D2F5B17"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3.88</w:t>
            </w:r>
          </w:p>
        </w:tc>
        <w:tc>
          <w:tcPr>
            <w:tcW w:w="800" w:type="pct"/>
          </w:tcPr>
          <w:p w14:paraId="7CC65F2A"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3.88</w:t>
            </w:r>
          </w:p>
        </w:tc>
      </w:tr>
      <w:tr w:rsidR="00631976" w:rsidRPr="00631976" w14:paraId="0FBAF284" w14:textId="77777777" w:rsidTr="00797969">
        <w:tc>
          <w:tcPr>
            <w:tcW w:w="902" w:type="pct"/>
            <w:vMerge/>
          </w:tcPr>
          <w:p w14:paraId="17C7FD6A" w14:textId="77777777" w:rsidR="00631976" w:rsidRPr="00631976" w:rsidRDefault="00631976" w:rsidP="00631976">
            <w:pPr>
              <w:spacing w:after="0" w:line="240" w:lineRule="auto"/>
              <w:rPr>
                <w:rFonts w:ascii="Tahoma" w:eastAsia="Times New Roman" w:hAnsi="Tahoma" w:cs="Tahoma"/>
                <w:sz w:val="24"/>
                <w:szCs w:val="24"/>
              </w:rPr>
            </w:pPr>
          </w:p>
        </w:tc>
        <w:tc>
          <w:tcPr>
            <w:tcW w:w="997" w:type="pct"/>
          </w:tcPr>
          <w:p w14:paraId="6E518E31"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Foreign Currency</w:t>
            </w:r>
          </w:p>
        </w:tc>
        <w:tc>
          <w:tcPr>
            <w:tcW w:w="767" w:type="pct"/>
          </w:tcPr>
          <w:p w14:paraId="49C8E0F7" w14:textId="4B8A6912"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w:t>
            </w:r>
            <w:r w:rsidR="00C544A4">
              <w:rPr>
                <w:rFonts w:ascii="Tahoma" w:eastAsia="Times New Roman" w:hAnsi="Tahoma" w:cs="Tahoma"/>
                <w:sz w:val="24"/>
                <w:szCs w:val="24"/>
              </w:rPr>
              <w:t>38</w:t>
            </w:r>
          </w:p>
        </w:tc>
        <w:tc>
          <w:tcPr>
            <w:tcW w:w="767" w:type="pct"/>
          </w:tcPr>
          <w:p w14:paraId="3A6B449D" w14:textId="79932634"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1.3</w:t>
            </w:r>
            <w:r w:rsidR="00C544A4">
              <w:rPr>
                <w:rFonts w:ascii="Tahoma" w:eastAsia="Times New Roman" w:hAnsi="Tahoma" w:cs="Tahoma"/>
                <w:sz w:val="24"/>
                <w:szCs w:val="24"/>
              </w:rPr>
              <w:t>5</w:t>
            </w:r>
          </w:p>
        </w:tc>
        <w:tc>
          <w:tcPr>
            <w:tcW w:w="767" w:type="pct"/>
          </w:tcPr>
          <w:p w14:paraId="40340F8E" w14:textId="57AFBB1A"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1.50</w:t>
            </w:r>
          </w:p>
        </w:tc>
        <w:tc>
          <w:tcPr>
            <w:tcW w:w="800" w:type="pct"/>
          </w:tcPr>
          <w:p w14:paraId="2845903B" w14:textId="0A1C8939"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1.5</w:t>
            </w:r>
            <w:r w:rsidR="00C544A4">
              <w:rPr>
                <w:rFonts w:ascii="Tahoma" w:eastAsia="Times New Roman" w:hAnsi="Tahoma" w:cs="Tahoma"/>
                <w:sz w:val="24"/>
                <w:szCs w:val="24"/>
              </w:rPr>
              <w:t>7</w:t>
            </w:r>
          </w:p>
        </w:tc>
      </w:tr>
      <w:tr w:rsidR="00631976" w:rsidRPr="00631976" w14:paraId="6F9EB02A" w14:textId="77777777" w:rsidTr="00797969">
        <w:trPr>
          <w:trHeight w:val="288"/>
        </w:trPr>
        <w:tc>
          <w:tcPr>
            <w:tcW w:w="902" w:type="pct"/>
            <w:vMerge w:val="restart"/>
          </w:tcPr>
          <w:p w14:paraId="11F66595"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Commercial Banks Weighted Lending Rates (Forex)</w:t>
            </w:r>
          </w:p>
        </w:tc>
        <w:tc>
          <w:tcPr>
            <w:tcW w:w="997" w:type="pct"/>
          </w:tcPr>
          <w:p w14:paraId="34A3BE60"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Individuals</w:t>
            </w:r>
          </w:p>
        </w:tc>
        <w:tc>
          <w:tcPr>
            <w:tcW w:w="767" w:type="pct"/>
          </w:tcPr>
          <w:p w14:paraId="08CB3A07" w14:textId="21E2C403"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w:t>
            </w:r>
            <w:r w:rsidR="00C544A4">
              <w:rPr>
                <w:rFonts w:ascii="Tahoma" w:eastAsia="Times New Roman" w:hAnsi="Tahoma" w:cs="Tahoma"/>
                <w:sz w:val="24"/>
                <w:szCs w:val="24"/>
              </w:rPr>
              <w:t>2.85</w:t>
            </w:r>
          </w:p>
        </w:tc>
        <w:tc>
          <w:tcPr>
            <w:tcW w:w="767" w:type="pct"/>
          </w:tcPr>
          <w:p w14:paraId="777DC727" w14:textId="29FFB0D3"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w:t>
            </w:r>
            <w:r w:rsidR="00C544A4">
              <w:rPr>
                <w:rFonts w:ascii="Tahoma" w:eastAsia="Times New Roman" w:hAnsi="Tahoma" w:cs="Tahoma"/>
                <w:sz w:val="24"/>
                <w:szCs w:val="24"/>
              </w:rPr>
              <w:t>3.03</w:t>
            </w:r>
          </w:p>
        </w:tc>
        <w:tc>
          <w:tcPr>
            <w:tcW w:w="767" w:type="pct"/>
          </w:tcPr>
          <w:p w14:paraId="2F4E0E3E" w14:textId="71DBA14C"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17.16</w:t>
            </w:r>
          </w:p>
        </w:tc>
        <w:tc>
          <w:tcPr>
            <w:tcW w:w="800" w:type="pct"/>
          </w:tcPr>
          <w:p w14:paraId="608529BA" w14:textId="5489A792"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w:t>
            </w:r>
            <w:r w:rsidR="00C544A4">
              <w:rPr>
                <w:rFonts w:ascii="Tahoma" w:eastAsia="Times New Roman" w:hAnsi="Tahoma" w:cs="Tahoma"/>
                <w:sz w:val="24"/>
                <w:szCs w:val="24"/>
              </w:rPr>
              <w:t>7.42</w:t>
            </w:r>
          </w:p>
        </w:tc>
      </w:tr>
      <w:tr w:rsidR="00631976" w:rsidRPr="00631976" w14:paraId="2E883677" w14:textId="77777777" w:rsidTr="00797969">
        <w:tc>
          <w:tcPr>
            <w:tcW w:w="902" w:type="pct"/>
            <w:vMerge/>
          </w:tcPr>
          <w:p w14:paraId="35D9352B" w14:textId="77777777" w:rsidR="00631976" w:rsidRPr="00631976" w:rsidRDefault="00631976" w:rsidP="00631976">
            <w:pPr>
              <w:spacing w:after="0" w:line="240" w:lineRule="auto"/>
              <w:rPr>
                <w:rFonts w:ascii="Tahoma" w:eastAsia="Times New Roman" w:hAnsi="Tahoma" w:cs="Tahoma"/>
                <w:sz w:val="24"/>
                <w:szCs w:val="24"/>
              </w:rPr>
            </w:pPr>
          </w:p>
        </w:tc>
        <w:tc>
          <w:tcPr>
            <w:tcW w:w="997" w:type="pct"/>
          </w:tcPr>
          <w:p w14:paraId="68D97A7A"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Corporates</w:t>
            </w:r>
          </w:p>
        </w:tc>
        <w:tc>
          <w:tcPr>
            <w:tcW w:w="767" w:type="pct"/>
          </w:tcPr>
          <w:p w14:paraId="7A3C7B93" w14:textId="7C289D29"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10.65</w:t>
            </w:r>
          </w:p>
        </w:tc>
        <w:tc>
          <w:tcPr>
            <w:tcW w:w="767" w:type="pct"/>
          </w:tcPr>
          <w:p w14:paraId="7D5DADC2" w14:textId="36DB8504"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10.6</w:t>
            </w:r>
            <w:r w:rsidR="00C544A4">
              <w:rPr>
                <w:rFonts w:ascii="Tahoma" w:eastAsia="Times New Roman" w:hAnsi="Tahoma" w:cs="Tahoma"/>
                <w:sz w:val="24"/>
                <w:szCs w:val="24"/>
              </w:rPr>
              <w:t>7</w:t>
            </w:r>
          </w:p>
        </w:tc>
        <w:tc>
          <w:tcPr>
            <w:tcW w:w="767" w:type="pct"/>
          </w:tcPr>
          <w:p w14:paraId="0DDFF952" w14:textId="58072C8E"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w:t>
            </w:r>
            <w:r w:rsidR="00C544A4">
              <w:rPr>
                <w:rFonts w:ascii="Tahoma" w:eastAsia="Times New Roman" w:hAnsi="Tahoma" w:cs="Tahoma"/>
                <w:sz w:val="24"/>
                <w:szCs w:val="24"/>
              </w:rPr>
              <w:t>4.89</w:t>
            </w:r>
          </w:p>
        </w:tc>
        <w:tc>
          <w:tcPr>
            <w:tcW w:w="800" w:type="pct"/>
          </w:tcPr>
          <w:p w14:paraId="646C6C6B" w14:textId="231112F8"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1</w:t>
            </w:r>
            <w:r w:rsidR="00C544A4">
              <w:rPr>
                <w:rFonts w:ascii="Tahoma" w:eastAsia="Times New Roman" w:hAnsi="Tahoma" w:cs="Tahoma"/>
                <w:sz w:val="24"/>
                <w:szCs w:val="24"/>
              </w:rPr>
              <w:t>6.24</w:t>
            </w:r>
          </w:p>
        </w:tc>
      </w:tr>
      <w:tr w:rsidR="00631976" w:rsidRPr="00631976" w14:paraId="1FFDFCF6" w14:textId="77777777" w:rsidTr="00797969">
        <w:tc>
          <w:tcPr>
            <w:tcW w:w="902" w:type="pct"/>
            <w:vMerge w:val="restart"/>
          </w:tcPr>
          <w:p w14:paraId="3A9E34CB"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Commercial Banks Weighted Lending Rates (ZWG)</w:t>
            </w:r>
          </w:p>
        </w:tc>
        <w:tc>
          <w:tcPr>
            <w:tcW w:w="997" w:type="pct"/>
          </w:tcPr>
          <w:p w14:paraId="625C271C"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Individuals</w:t>
            </w:r>
          </w:p>
        </w:tc>
        <w:tc>
          <w:tcPr>
            <w:tcW w:w="767" w:type="pct"/>
          </w:tcPr>
          <w:p w14:paraId="04555570" w14:textId="2F978F24"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37.97</w:t>
            </w:r>
          </w:p>
        </w:tc>
        <w:tc>
          <w:tcPr>
            <w:tcW w:w="767" w:type="pct"/>
          </w:tcPr>
          <w:p w14:paraId="58BB4B41" w14:textId="3AC91B96"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41.43</w:t>
            </w:r>
          </w:p>
        </w:tc>
        <w:tc>
          <w:tcPr>
            <w:tcW w:w="767" w:type="pct"/>
          </w:tcPr>
          <w:p w14:paraId="2442E4D7" w14:textId="000A1387"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43.47</w:t>
            </w:r>
          </w:p>
        </w:tc>
        <w:tc>
          <w:tcPr>
            <w:tcW w:w="800" w:type="pct"/>
          </w:tcPr>
          <w:p w14:paraId="3551D8FC" w14:textId="75479AD0"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4</w:t>
            </w:r>
            <w:r w:rsidR="00C544A4">
              <w:rPr>
                <w:rFonts w:ascii="Tahoma" w:eastAsia="Times New Roman" w:hAnsi="Tahoma" w:cs="Tahoma"/>
                <w:sz w:val="24"/>
                <w:szCs w:val="24"/>
              </w:rPr>
              <w:t>6.89</w:t>
            </w:r>
          </w:p>
        </w:tc>
      </w:tr>
      <w:tr w:rsidR="00631976" w:rsidRPr="00631976" w14:paraId="069317D6" w14:textId="77777777" w:rsidTr="00797969">
        <w:tc>
          <w:tcPr>
            <w:tcW w:w="902" w:type="pct"/>
            <w:vMerge/>
          </w:tcPr>
          <w:p w14:paraId="6DDE32CB" w14:textId="77777777" w:rsidR="00631976" w:rsidRPr="00631976" w:rsidRDefault="00631976" w:rsidP="00631976">
            <w:pPr>
              <w:spacing w:after="0" w:line="240" w:lineRule="auto"/>
              <w:rPr>
                <w:rFonts w:ascii="Tahoma" w:eastAsia="Times New Roman" w:hAnsi="Tahoma" w:cs="Tahoma"/>
                <w:sz w:val="24"/>
                <w:szCs w:val="24"/>
              </w:rPr>
            </w:pPr>
          </w:p>
        </w:tc>
        <w:tc>
          <w:tcPr>
            <w:tcW w:w="997" w:type="pct"/>
          </w:tcPr>
          <w:p w14:paraId="004F9641" w14:textId="77777777"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Corporates</w:t>
            </w:r>
          </w:p>
        </w:tc>
        <w:tc>
          <w:tcPr>
            <w:tcW w:w="767" w:type="pct"/>
          </w:tcPr>
          <w:p w14:paraId="0843DC83" w14:textId="4A95BBD2"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33.01</w:t>
            </w:r>
          </w:p>
        </w:tc>
        <w:tc>
          <w:tcPr>
            <w:tcW w:w="767" w:type="pct"/>
          </w:tcPr>
          <w:p w14:paraId="2E6F371A" w14:textId="12CA07F6"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3</w:t>
            </w:r>
            <w:r w:rsidR="00C544A4">
              <w:rPr>
                <w:rFonts w:ascii="Tahoma" w:eastAsia="Times New Roman" w:hAnsi="Tahoma" w:cs="Tahoma"/>
                <w:sz w:val="24"/>
                <w:szCs w:val="24"/>
              </w:rPr>
              <w:t>9.98</w:t>
            </w:r>
          </w:p>
        </w:tc>
        <w:tc>
          <w:tcPr>
            <w:tcW w:w="767" w:type="pct"/>
          </w:tcPr>
          <w:p w14:paraId="7BA1BA6C" w14:textId="284BB6D5" w:rsidR="00631976" w:rsidRPr="00631976" w:rsidRDefault="00631976" w:rsidP="00631976">
            <w:pPr>
              <w:spacing w:after="0" w:line="240" w:lineRule="auto"/>
              <w:rPr>
                <w:rFonts w:ascii="Tahoma" w:eastAsia="Times New Roman" w:hAnsi="Tahoma" w:cs="Tahoma"/>
                <w:sz w:val="24"/>
                <w:szCs w:val="24"/>
              </w:rPr>
            </w:pPr>
            <w:r w:rsidRPr="00631976">
              <w:rPr>
                <w:rFonts w:ascii="Tahoma" w:eastAsia="Times New Roman" w:hAnsi="Tahoma" w:cs="Tahoma"/>
                <w:sz w:val="24"/>
                <w:szCs w:val="24"/>
              </w:rPr>
              <w:t>3</w:t>
            </w:r>
            <w:r w:rsidR="00C544A4">
              <w:rPr>
                <w:rFonts w:ascii="Tahoma" w:eastAsia="Times New Roman" w:hAnsi="Tahoma" w:cs="Tahoma"/>
                <w:sz w:val="24"/>
                <w:szCs w:val="24"/>
              </w:rPr>
              <w:t>8.83</w:t>
            </w:r>
          </w:p>
        </w:tc>
        <w:tc>
          <w:tcPr>
            <w:tcW w:w="800" w:type="pct"/>
          </w:tcPr>
          <w:p w14:paraId="0679B7F6" w14:textId="30E17111" w:rsidR="00631976" w:rsidRPr="00631976" w:rsidRDefault="00C544A4" w:rsidP="00631976">
            <w:pPr>
              <w:spacing w:after="0" w:line="240" w:lineRule="auto"/>
              <w:rPr>
                <w:rFonts w:ascii="Tahoma" w:eastAsia="Times New Roman" w:hAnsi="Tahoma" w:cs="Tahoma"/>
                <w:sz w:val="24"/>
                <w:szCs w:val="24"/>
              </w:rPr>
            </w:pPr>
            <w:r>
              <w:rPr>
                <w:rFonts w:ascii="Tahoma" w:eastAsia="Times New Roman" w:hAnsi="Tahoma" w:cs="Tahoma"/>
                <w:sz w:val="24"/>
                <w:szCs w:val="24"/>
              </w:rPr>
              <w:t>45.48</w:t>
            </w:r>
          </w:p>
        </w:tc>
      </w:tr>
    </w:tbl>
    <w:p w14:paraId="3074E033" w14:textId="07AFE1C0" w:rsidR="00631976" w:rsidRPr="00FA77E0" w:rsidRDefault="00FA77E0" w:rsidP="00113183">
      <w:pPr>
        <w:ind w:left="720" w:hanging="720"/>
        <w:jc w:val="both"/>
        <w:rPr>
          <w:rFonts w:ascii="Tahoma" w:eastAsia="Times New Roman" w:hAnsi="Tahoma" w:cs="Tahoma"/>
          <w:i/>
          <w:kern w:val="0"/>
          <w:sz w:val="24"/>
          <w:szCs w:val="24"/>
          <w:lang w:eastAsia="en-ZW"/>
        </w:rPr>
      </w:pPr>
      <w:r w:rsidRPr="00FA77E0">
        <w:rPr>
          <w:rFonts w:ascii="Tahoma" w:eastAsia="Times New Roman" w:hAnsi="Tahoma" w:cs="Tahoma"/>
          <w:i/>
          <w:kern w:val="0"/>
          <w:sz w:val="24"/>
          <w:szCs w:val="24"/>
          <w:lang w:eastAsia="en-ZW"/>
        </w:rPr>
        <w:t>Source: RBZ (2024)</w:t>
      </w:r>
    </w:p>
    <w:bookmarkEnd w:id="60"/>
    <w:p w14:paraId="78D50B1B" w14:textId="77B78C0F" w:rsidR="004514A3" w:rsidRDefault="00A1045C" w:rsidP="00E63964">
      <w:pPr>
        <w:spacing w:line="240" w:lineRule="auto"/>
        <w:ind w:left="720" w:hanging="720"/>
        <w:jc w:val="both"/>
        <w:rPr>
          <w:rFonts w:ascii="Tahoma" w:hAnsi="Tahoma" w:cs="Tahoma"/>
          <w:sz w:val="24"/>
          <w:szCs w:val="24"/>
        </w:rPr>
      </w:pPr>
      <w:r>
        <w:rPr>
          <w:rFonts w:ascii="Tahoma" w:hAnsi="Tahoma" w:cs="Tahoma"/>
          <w:sz w:val="24"/>
          <w:szCs w:val="24"/>
        </w:rPr>
        <w:t>7.1.2</w:t>
      </w:r>
      <w:r>
        <w:rPr>
          <w:rFonts w:ascii="Tahoma" w:hAnsi="Tahoma" w:cs="Tahoma"/>
          <w:sz w:val="24"/>
          <w:szCs w:val="24"/>
        </w:rPr>
        <w:tab/>
      </w:r>
      <w:bookmarkStart w:id="62" w:name="_Hlk179978781"/>
      <w:r w:rsidR="00C92835">
        <w:rPr>
          <w:rFonts w:ascii="Tahoma" w:hAnsi="Tahoma" w:cs="Tahoma"/>
          <w:sz w:val="24"/>
          <w:szCs w:val="24"/>
        </w:rPr>
        <w:t>During the period under review, deposit rates and lending rates for both local currency and foreign currency were increased.</w:t>
      </w:r>
      <w:bookmarkEnd w:id="62"/>
      <w:r w:rsidR="00C92835">
        <w:rPr>
          <w:rFonts w:ascii="Tahoma" w:hAnsi="Tahoma" w:cs="Tahoma"/>
          <w:sz w:val="24"/>
          <w:szCs w:val="24"/>
        </w:rPr>
        <w:t xml:space="preserve"> </w:t>
      </w:r>
      <w:r w:rsidR="00A11FA3">
        <w:rPr>
          <w:rFonts w:ascii="Tahoma" w:hAnsi="Tahoma" w:cs="Tahoma"/>
          <w:sz w:val="24"/>
          <w:szCs w:val="24"/>
        </w:rPr>
        <w:t>Upward deposit rate review</w:t>
      </w:r>
      <w:r w:rsidR="00C92835">
        <w:rPr>
          <w:rFonts w:ascii="Tahoma" w:hAnsi="Tahoma" w:cs="Tahoma"/>
          <w:sz w:val="24"/>
          <w:szCs w:val="24"/>
        </w:rPr>
        <w:t xml:space="preserve"> promotes </w:t>
      </w:r>
      <w:r w:rsidR="0021615D">
        <w:rPr>
          <w:rFonts w:ascii="Tahoma" w:hAnsi="Tahoma" w:cs="Tahoma"/>
          <w:sz w:val="24"/>
          <w:szCs w:val="24"/>
        </w:rPr>
        <w:t xml:space="preserve">savings </w:t>
      </w:r>
      <w:r w:rsidR="00C92835">
        <w:rPr>
          <w:rFonts w:ascii="Tahoma" w:hAnsi="Tahoma" w:cs="Tahoma"/>
          <w:sz w:val="24"/>
          <w:szCs w:val="24"/>
        </w:rPr>
        <w:t>while increasing lending rates</w:t>
      </w:r>
      <w:r w:rsidR="0021615D">
        <w:rPr>
          <w:rFonts w:ascii="Tahoma" w:hAnsi="Tahoma" w:cs="Tahoma"/>
          <w:sz w:val="24"/>
          <w:szCs w:val="24"/>
        </w:rPr>
        <w:t xml:space="preserve"> reduce</w:t>
      </w:r>
      <w:r w:rsidR="00383DBC">
        <w:rPr>
          <w:rFonts w:ascii="Tahoma" w:hAnsi="Tahoma" w:cs="Tahoma"/>
          <w:sz w:val="24"/>
          <w:szCs w:val="24"/>
        </w:rPr>
        <w:t>s</w:t>
      </w:r>
      <w:r w:rsidR="0021615D">
        <w:rPr>
          <w:rFonts w:ascii="Tahoma" w:hAnsi="Tahoma" w:cs="Tahoma"/>
          <w:sz w:val="24"/>
          <w:szCs w:val="24"/>
        </w:rPr>
        <w:t xml:space="preserve"> borrowing, </w:t>
      </w:r>
      <w:r w:rsidR="00861362">
        <w:rPr>
          <w:rFonts w:ascii="Tahoma" w:hAnsi="Tahoma" w:cs="Tahoma"/>
          <w:sz w:val="24"/>
          <w:szCs w:val="24"/>
        </w:rPr>
        <w:t>and stifle investment and business growth</w:t>
      </w:r>
      <w:r w:rsidR="0021615D">
        <w:rPr>
          <w:rFonts w:ascii="Tahoma" w:hAnsi="Tahoma" w:cs="Tahoma"/>
          <w:sz w:val="24"/>
          <w:szCs w:val="24"/>
        </w:rPr>
        <w:t>.</w:t>
      </w:r>
      <w:r w:rsidR="00C92835">
        <w:rPr>
          <w:rFonts w:ascii="Tahoma" w:hAnsi="Tahoma" w:cs="Tahoma"/>
          <w:sz w:val="24"/>
          <w:szCs w:val="24"/>
        </w:rPr>
        <w:t xml:space="preserve"> </w:t>
      </w:r>
    </w:p>
    <w:p w14:paraId="20181341" w14:textId="77777777" w:rsidR="00184FA3" w:rsidRPr="00A64F64" w:rsidRDefault="00F67469" w:rsidP="00022BFE">
      <w:pPr>
        <w:pStyle w:val="Heading1"/>
        <w:spacing w:before="0" w:after="240" w:line="240" w:lineRule="auto"/>
        <w:rPr>
          <w:rFonts w:cs="Tahoma"/>
          <w:bCs/>
          <w:color w:val="000000"/>
          <w:szCs w:val="24"/>
          <w:lang w:val="en-US"/>
        </w:rPr>
      </w:pPr>
      <w:bookmarkStart w:id="63" w:name="_Toc166607902"/>
      <w:bookmarkStart w:id="64" w:name="_Toc188955366"/>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63"/>
      <w:bookmarkEnd w:id="64"/>
      <w:r w:rsidR="00184FA3" w:rsidRPr="00A64F64">
        <w:rPr>
          <w:rFonts w:cs="Tahoma"/>
          <w:bCs/>
          <w:color w:val="000000"/>
          <w:szCs w:val="24"/>
          <w:lang w:val="en-US"/>
        </w:rPr>
        <w:t xml:space="preserve"> </w:t>
      </w:r>
    </w:p>
    <w:p w14:paraId="56A7759C" w14:textId="35538552" w:rsidR="00184FA3" w:rsidRPr="00863A17" w:rsidRDefault="00F67469" w:rsidP="003C1D2F">
      <w:pPr>
        <w:pStyle w:val="Heading2"/>
        <w:spacing w:before="0" w:after="240" w:line="240" w:lineRule="auto"/>
        <w:rPr>
          <w:rFonts w:cs="Tahoma"/>
          <w:b/>
          <w:color w:val="000000"/>
          <w:szCs w:val="24"/>
          <w:lang w:val="en-US"/>
        </w:rPr>
      </w:pPr>
      <w:bookmarkStart w:id="65" w:name="_Toc166607903"/>
      <w:bookmarkStart w:id="66" w:name="_Toc188955367"/>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65"/>
      <w:r w:rsidR="00184FA3" w:rsidRPr="00863A17">
        <w:rPr>
          <w:rFonts w:cs="Tahoma"/>
          <w:b/>
          <w:color w:val="000000"/>
          <w:szCs w:val="24"/>
          <w:lang w:val="en-US"/>
        </w:rPr>
        <w:t xml:space="preserve"> </w:t>
      </w:r>
      <w:r w:rsidR="00A37061">
        <w:rPr>
          <w:rFonts w:cs="Tahoma"/>
          <w:b/>
          <w:color w:val="000000"/>
          <w:szCs w:val="24"/>
          <w:lang w:val="en-US"/>
        </w:rPr>
        <w:t>(ZSE)</w:t>
      </w:r>
      <w:bookmarkEnd w:id="66"/>
    </w:p>
    <w:p w14:paraId="7157C912" w14:textId="3065AF8B"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w:t>
      </w:r>
      <w:r w:rsidR="009D4D20">
        <w:rPr>
          <w:rFonts w:ascii="Tahoma" w:hAnsi="Tahoma" w:cs="Tahoma"/>
          <w:sz w:val="24"/>
          <w:szCs w:val="24"/>
          <w:lang w:val="en-US"/>
        </w:rPr>
        <w:t>1</w:t>
      </w:r>
      <w:r w:rsidRPr="00863A17">
        <w:rPr>
          <w:rFonts w:ascii="Tahoma" w:hAnsi="Tahoma" w:cs="Tahoma"/>
          <w:sz w:val="24"/>
          <w:szCs w:val="24"/>
          <w:lang w:val="en-US"/>
        </w:rPr>
        <w:tab/>
      </w:r>
      <w:bookmarkStart w:id="67" w:name="_Hlk179978801"/>
      <w:r w:rsidR="00DC08A3">
        <w:rPr>
          <w:rFonts w:ascii="Tahoma" w:hAnsi="Tahoma" w:cs="Tahoma"/>
          <w:sz w:val="24"/>
          <w:szCs w:val="24"/>
          <w:lang w:val="en-US"/>
        </w:rPr>
        <w:t>During the month under review</w:t>
      </w:r>
      <w:r w:rsidR="00A37061">
        <w:rPr>
          <w:rFonts w:ascii="Tahoma" w:hAnsi="Tahoma" w:cs="Tahoma"/>
          <w:sz w:val="24"/>
          <w:szCs w:val="24"/>
          <w:lang w:val="en-US"/>
        </w:rPr>
        <w:t>, t</w:t>
      </w:r>
      <w:r w:rsidR="008E7F02">
        <w:rPr>
          <w:rFonts w:ascii="Tahoma" w:hAnsi="Tahoma" w:cs="Tahoma"/>
          <w:sz w:val="24"/>
          <w:szCs w:val="24"/>
          <w:lang w:val="en-US"/>
        </w:rPr>
        <w:t>he</w:t>
      </w:r>
      <w:r w:rsidR="006809E5">
        <w:rPr>
          <w:rFonts w:ascii="Tahoma" w:hAnsi="Tahoma" w:cs="Tahoma"/>
          <w:sz w:val="24"/>
          <w:szCs w:val="24"/>
          <w:lang w:val="en-US"/>
        </w:rPr>
        <w:t xml:space="preserve"> ZSE</w:t>
      </w:r>
      <w:r w:rsidR="00A37061">
        <w:rPr>
          <w:rFonts w:ascii="Tahoma" w:hAnsi="Tahoma" w:cs="Tahoma"/>
          <w:sz w:val="24"/>
          <w:szCs w:val="24"/>
          <w:lang w:val="en-US"/>
        </w:rPr>
        <w:t xml:space="preserve"> </w:t>
      </w:r>
      <w:r w:rsidR="00DC08A3">
        <w:rPr>
          <w:rFonts w:ascii="Tahoma" w:hAnsi="Tahoma" w:cs="Tahoma"/>
          <w:sz w:val="24"/>
          <w:szCs w:val="24"/>
          <w:lang w:val="en-US"/>
        </w:rPr>
        <w:t xml:space="preserve">recorded </w:t>
      </w:r>
      <w:r w:rsidR="00A37061">
        <w:rPr>
          <w:rFonts w:ascii="Tahoma" w:hAnsi="Tahoma" w:cs="Tahoma"/>
          <w:sz w:val="24"/>
          <w:szCs w:val="24"/>
          <w:lang w:val="en-US"/>
        </w:rPr>
        <w:t xml:space="preserve">bearish sentiments. All </w:t>
      </w:r>
      <w:r w:rsidR="00383DBC">
        <w:rPr>
          <w:rFonts w:ascii="Tahoma" w:hAnsi="Tahoma" w:cs="Tahoma"/>
          <w:sz w:val="24"/>
          <w:szCs w:val="24"/>
          <w:lang w:val="en-US"/>
        </w:rPr>
        <w:t>S</w:t>
      </w:r>
      <w:r w:rsidR="00A37061">
        <w:rPr>
          <w:rFonts w:ascii="Tahoma" w:hAnsi="Tahoma" w:cs="Tahoma"/>
          <w:sz w:val="24"/>
          <w:szCs w:val="24"/>
          <w:lang w:val="en-US"/>
        </w:rPr>
        <w:t xml:space="preserve">hare </w:t>
      </w:r>
      <w:r w:rsidR="00383DBC">
        <w:rPr>
          <w:rFonts w:ascii="Tahoma" w:hAnsi="Tahoma" w:cs="Tahoma"/>
          <w:sz w:val="24"/>
          <w:szCs w:val="24"/>
          <w:lang w:val="en-US"/>
        </w:rPr>
        <w:t>I</w:t>
      </w:r>
      <w:r w:rsidR="00A37061">
        <w:rPr>
          <w:rFonts w:ascii="Tahoma" w:hAnsi="Tahoma" w:cs="Tahoma"/>
          <w:sz w:val="24"/>
          <w:szCs w:val="24"/>
          <w:lang w:val="en-US"/>
        </w:rPr>
        <w:t xml:space="preserve">ndex, </w:t>
      </w:r>
      <w:r w:rsidR="00383DBC">
        <w:rPr>
          <w:rFonts w:ascii="Tahoma" w:hAnsi="Tahoma" w:cs="Tahoma"/>
          <w:sz w:val="24"/>
          <w:szCs w:val="24"/>
          <w:lang w:val="en-US"/>
        </w:rPr>
        <w:t>T</w:t>
      </w:r>
      <w:r w:rsidR="00A37061">
        <w:rPr>
          <w:rFonts w:ascii="Tahoma" w:hAnsi="Tahoma" w:cs="Tahoma"/>
          <w:sz w:val="24"/>
          <w:szCs w:val="24"/>
          <w:lang w:val="en-US"/>
        </w:rPr>
        <w:t xml:space="preserve">op 10 </w:t>
      </w:r>
      <w:r w:rsidR="00383DBC">
        <w:rPr>
          <w:rFonts w:ascii="Tahoma" w:hAnsi="Tahoma" w:cs="Tahoma"/>
          <w:sz w:val="24"/>
          <w:szCs w:val="24"/>
          <w:lang w:val="en-US"/>
        </w:rPr>
        <w:t>I</w:t>
      </w:r>
      <w:r w:rsidR="00A37061">
        <w:rPr>
          <w:rFonts w:ascii="Tahoma" w:hAnsi="Tahoma" w:cs="Tahoma"/>
          <w:sz w:val="24"/>
          <w:szCs w:val="24"/>
          <w:lang w:val="en-US"/>
        </w:rPr>
        <w:t xml:space="preserve">ndex, </w:t>
      </w:r>
      <w:r w:rsidR="00383DBC">
        <w:rPr>
          <w:rFonts w:ascii="Tahoma" w:hAnsi="Tahoma" w:cs="Tahoma"/>
          <w:sz w:val="24"/>
          <w:szCs w:val="24"/>
          <w:lang w:val="en-US"/>
        </w:rPr>
        <w:t>V</w:t>
      </w:r>
      <w:r w:rsidR="00A37061">
        <w:rPr>
          <w:rFonts w:ascii="Tahoma" w:hAnsi="Tahoma" w:cs="Tahoma"/>
          <w:sz w:val="24"/>
          <w:szCs w:val="24"/>
          <w:lang w:val="en-US"/>
        </w:rPr>
        <w:t xml:space="preserve">alue </w:t>
      </w:r>
      <w:r w:rsidR="00383DBC">
        <w:rPr>
          <w:rFonts w:ascii="Tahoma" w:hAnsi="Tahoma" w:cs="Tahoma"/>
          <w:sz w:val="24"/>
          <w:szCs w:val="24"/>
          <w:lang w:val="en-US"/>
        </w:rPr>
        <w:t>T</w:t>
      </w:r>
      <w:r w:rsidR="00BF28B5">
        <w:rPr>
          <w:rFonts w:ascii="Tahoma" w:hAnsi="Tahoma" w:cs="Tahoma"/>
          <w:sz w:val="24"/>
          <w:szCs w:val="24"/>
          <w:lang w:val="en-US"/>
        </w:rPr>
        <w:t>raded,</w:t>
      </w:r>
      <w:r w:rsidR="00A37061">
        <w:rPr>
          <w:rFonts w:ascii="Tahoma" w:hAnsi="Tahoma" w:cs="Tahoma"/>
          <w:sz w:val="24"/>
          <w:szCs w:val="24"/>
          <w:lang w:val="en-US"/>
        </w:rPr>
        <w:t xml:space="preserve"> and </w:t>
      </w:r>
      <w:r w:rsidR="00383DBC">
        <w:rPr>
          <w:rFonts w:ascii="Tahoma" w:hAnsi="Tahoma" w:cs="Tahoma"/>
          <w:sz w:val="24"/>
          <w:szCs w:val="24"/>
          <w:lang w:val="en-US"/>
        </w:rPr>
        <w:t>M</w:t>
      </w:r>
      <w:r w:rsidR="00A37061">
        <w:rPr>
          <w:rFonts w:ascii="Tahoma" w:hAnsi="Tahoma" w:cs="Tahoma"/>
          <w:sz w:val="24"/>
          <w:szCs w:val="24"/>
          <w:lang w:val="en-US"/>
        </w:rPr>
        <w:t xml:space="preserve">arket </w:t>
      </w:r>
      <w:r w:rsidR="00383DBC">
        <w:rPr>
          <w:rFonts w:ascii="Tahoma" w:hAnsi="Tahoma" w:cs="Tahoma"/>
          <w:sz w:val="24"/>
          <w:szCs w:val="24"/>
          <w:lang w:val="en-US"/>
        </w:rPr>
        <w:t>C</w:t>
      </w:r>
      <w:r w:rsidR="00A37061">
        <w:rPr>
          <w:rFonts w:ascii="Tahoma" w:hAnsi="Tahoma" w:cs="Tahoma"/>
          <w:sz w:val="24"/>
          <w:szCs w:val="24"/>
          <w:lang w:val="en-US"/>
        </w:rPr>
        <w:t xml:space="preserve">apitalization fell by </w:t>
      </w:r>
      <w:r w:rsidR="00DC08A3">
        <w:rPr>
          <w:rFonts w:ascii="Tahoma" w:hAnsi="Tahoma" w:cs="Tahoma"/>
          <w:sz w:val="24"/>
          <w:szCs w:val="24"/>
          <w:lang w:val="en-US"/>
        </w:rPr>
        <w:t xml:space="preserve">17.93%, 19.06%, 4.94% and 18.46%, </w:t>
      </w:r>
      <w:r w:rsidR="00A37061">
        <w:rPr>
          <w:rFonts w:ascii="Tahoma" w:hAnsi="Tahoma" w:cs="Tahoma"/>
          <w:sz w:val="24"/>
          <w:szCs w:val="24"/>
          <w:lang w:val="en-US"/>
        </w:rPr>
        <w:t>respectively</w:t>
      </w:r>
      <w:r w:rsidR="004D31CB">
        <w:rPr>
          <w:rFonts w:ascii="Tahoma" w:hAnsi="Tahoma" w:cs="Tahoma"/>
          <w:sz w:val="24"/>
          <w:szCs w:val="24"/>
          <w:lang w:val="en-US"/>
        </w:rPr>
        <w:t xml:space="preserve">, see table </w:t>
      </w:r>
      <w:r w:rsidR="002B0281">
        <w:rPr>
          <w:rFonts w:ascii="Tahoma" w:hAnsi="Tahoma" w:cs="Tahoma"/>
          <w:sz w:val="24"/>
          <w:szCs w:val="24"/>
          <w:lang w:val="en-US"/>
        </w:rPr>
        <w:t>6</w:t>
      </w:r>
      <w:r w:rsidR="004D31CB">
        <w:rPr>
          <w:rFonts w:ascii="Tahoma" w:hAnsi="Tahoma" w:cs="Tahoma"/>
          <w:sz w:val="24"/>
          <w:szCs w:val="24"/>
          <w:lang w:val="en-US"/>
        </w:rPr>
        <w:t xml:space="preserve">. </w:t>
      </w:r>
      <w:r w:rsidR="00DC08A3">
        <w:rPr>
          <w:rFonts w:ascii="Tahoma" w:hAnsi="Tahoma" w:cs="Tahoma"/>
          <w:sz w:val="24"/>
          <w:szCs w:val="24"/>
          <w:lang w:val="en-US"/>
        </w:rPr>
        <w:t xml:space="preserve">The downturn reflected </w:t>
      </w:r>
      <w:r w:rsidR="006C55A4">
        <w:rPr>
          <w:rFonts w:ascii="Tahoma" w:hAnsi="Tahoma" w:cs="Tahoma"/>
          <w:sz w:val="24"/>
          <w:szCs w:val="24"/>
          <w:lang w:val="en-US"/>
        </w:rPr>
        <w:t>a broad-based decline among major players, prominent loses losses were led by British American Tobacco Zimbabwe Limited, Delta and Hippo Valley Estates limited</w:t>
      </w:r>
      <w:r w:rsidR="004737D3">
        <w:rPr>
          <w:rFonts w:ascii="Tahoma" w:hAnsi="Tahoma" w:cs="Tahoma"/>
          <w:sz w:val="24"/>
          <w:szCs w:val="24"/>
          <w:lang w:val="en-US"/>
        </w:rPr>
        <w:t xml:space="preserve">. Old Mutual Top Ten Exchange Traded Fund (OMTT ETF) also announced </w:t>
      </w:r>
      <w:r w:rsidR="004737D3">
        <w:rPr>
          <w:rFonts w:ascii="Tahoma" w:hAnsi="Tahoma" w:cs="Tahoma"/>
          <w:sz w:val="24"/>
          <w:szCs w:val="24"/>
          <w:lang w:val="en-US"/>
        </w:rPr>
        <w:lastRenderedPageBreak/>
        <w:t xml:space="preserve">its decision to exit the market </w:t>
      </w:r>
      <w:r w:rsidR="00383DBC">
        <w:rPr>
          <w:rFonts w:ascii="Tahoma" w:hAnsi="Tahoma" w:cs="Tahoma"/>
          <w:sz w:val="24"/>
          <w:szCs w:val="24"/>
          <w:lang w:val="en-US"/>
        </w:rPr>
        <w:t>due to</w:t>
      </w:r>
      <w:r w:rsidR="004737D3">
        <w:rPr>
          <w:rFonts w:ascii="Tahoma" w:hAnsi="Tahoma" w:cs="Tahoma"/>
          <w:sz w:val="24"/>
          <w:szCs w:val="24"/>
          <w:lang w:val="en-US"/>
        </w:rPr>
        <w:t xml:space="preserve"> limited trading activity and cost-efficiency concerns.</w:t>
      </w:r>
    </w:p>
    <w:p w14:paraId="4FC9AADA" w14:textId="278F6E05"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w:t>
      </w:r>
      <w:r w:rsidR="009D4D20">
        <w:rPr>
          <w:rFonts w:ascii="Tahoma" w:hAnsi="Tahoma" w:cs="Tahoma"/>
          <w:sz w:val="24"/>
          <w:szCs w:val="24"/>
        </w:rPr>
        <w:t>2</w:t>
      </w:r>
      <w:r w:rsidRPr="00863A17">
        <w:rPr>
          <w:rFonts w:ascii="Tahoma" w:hAnsi="Tahoma" w:cs="Tahoma"/>
          <w:sz w:val="24"/>
          <w:szCs w:val="24"/>
        </w:rPr>
        <w:tab/>
      </w:r>
      <w:r w:rsidR="00505644">
        <w:rPr>
          <w:rFonts w:ascii="Tahoma" w:hAnsi="Tahoma" w:cs="Tahoma"/>
          <w:sz w:val="24"/>
          <w:szCs w:val="24"/>
        </w:rPr>
        <w:t>On</w:t>
      </w:r>
      <w:r w:rsidR="00FA2E40">
        <w:rPr>
          <w:rFonts w:ascii="Tahoma" w:hAnsi="Tahoma" w:cs="Tahoma"/>
          <w:sz w:val="24"/>
          <w:szCs w:val="24"/>
        </w:rPr>
        <w:t xml:space="preserve"> </w:t>
      </w:r>
      <w:r w:rsidR="00383DBC">
        <w:rPr>
          <w:rFonts w:ascii="Tahoma" w:hAnsi="Tahoma" w:cs="Tahoma"/>
          <w:sz w:val="24"/>
          <w:szCs w:val="24"/>
        </w:rPr>
        <w:t>YtD</w:t>
      </w:r>
      <w:r w:rsidR="00130CC2">
        <w:rPr>
          <w:rFonts w:ascii="Tahoma" w:hAnsi="Tahoma" w:cs="Tahoma"/>
          <w:sz w:val="24"/>
          <w:szCs w:val="24"/>
        </w:rPr>
        <w:t xml:space="preserve"> and </w:t>
      </w:r>
      <w:r w:rsidR="00383DBC">
        <w:rPr>
          <w:rFonts w:ascii="Tahoma" w:hAnsi="Tahoma" w:cs="Tahoma"/>
          <w:sz w:val="24"/>
          <w:szCs w:val="24"/>
        </w:rPr>
        <w:t>YoY basis</w:t>
      </w:r>
      <w:r w:rsidR="00130CC2">
        <w:rPr>
          <w:rFonts w:ascii="Tahoma" w:hAnsi="Tahoma" w:cs="Tahoma"/>
          <w:sz w:val="24"/>
          <w:szCs w:val="24"/>
        </w:rPr>
        <w:t>,</w:t>
      </w:r>
      <w:r w:rsidR="00542DE9">
        <w:rPr>
          <w:rFonts w:ascii="Tahoma" w:hAnsi="Tahoma" w:cs="Tahoma"/>
          <w:sz w:val="24"/>
          <w:szCs w:val="24"/>
        </w:rPr>
        <w:t xml:space="preserve"> all selected indices gai</w:t>
      </w:r>
      <w:bookmarkEnd w:id="67"/>
      <w:r w:rsidR="00BF28B5">
        <w:rPr>
          <w:rFonts w:ascii="Tahoma" w:hAnsi="Tahoma" w:cs="Tahoma"/>
          <w:sz w:val="24"/>
          <w:szCs w:val="24"/>
        </w:rPr>
        <w:t xml:space="preserve">ned except </w:t>
      </w:r>
      <w:r w:rsidR="00383DBC">
        <w:rPr>
          <w:rFonts w:ascii="Tahoma" w:hAnsi="Tahoma" w:cs="Tahoma"/>
          <w:sz w:val="24"/>
          <w:szCs w:val="24"/>
        </w:rPr>
        <w:t>V</w:t>
      </w:r>
      <w:r w:rsidR="00BF28B5">
        <w:rPr>
          <w:rFonts w:ascii="Tahoma" w:hAnsi="Tahoma" w:cs="Tahoma"/>
          <w:sz w:val="24"/>
          <w:szCs w:val="24"/>
        </w:rPr>
        <w:t xml:space="preserve">alue </w:t>
      </w:r>
      <w:r w:rsidR="00383DBC">
        <w:rPr>
          <w:rFonts w:ascii="Tahoma" w:hAnsi="Tahoma" w:cs="Tahoma"/>
          <w:sz w:val="24"/>
          <w:szCs w:val="24"/>
        </w:rPr>
        <w:t>T</w:t>
      </w:r>
      <w:r w:rsidR="00BF28B5">
        <w:rPr>
          <w:rFonts w:ascii="Tahoma" w:hAnsi="Tahoma" w:cs="Tahoma"/>
          <w:sz w:val="24"/>
          <w:szCs w:val="24"/>
        </w:rPr>
        <w:t xml:space="preserve">raded which dropped by </w:t>
      </w:r>
      <w:r w:rsidR="006C55A4">
        <w:rPr>
          <w:rFonts w:ascii="Tahoma" w:hAnsi="Tahoma" w:cs="Tahoma"/>
          <w:sz w:val="24"/>
          <w:szCs w:val="24"/>
        </w:rPr>
        <w:t>58.57% and 84.50% respectively.</w:t>
      </w:r>
    </w:p>
    <w:p w14:paraId="06AC5C05" w14:textId="6C381979" w:rsidR="00ED0A35" w:rsidRPr="00ED0A35" w:rsidRDefault="00595E97" w:rsidP="00ED0A35">
      <w:pPr>
        <w:pStyle w:val="ListofTables"/>
      </w:pPr>
      <w:bookmarkStart w:id="68" w:name="_Toc164072367"/>
      <w:bookmarkStart w:id="69" w:name="_Toc166658894"/>
      <w:bookmarkStart w:id="70" w:name="_Toc187672462"/>
      <w:r w:rsidRPr="0031015F">
        <w:t xml:space="preserve">Table </w:t>
      </w:r>
      <w:r w:rsidR="00B3127C">
        <w:t>6</w:t>
      </w:r>
      <w:r w:rsidRPr="0031015F">
        <w:t xml:space="preserve">: Zimbabwe Stock </w:t>
      </w:r>
      <w:r w:rsidR="00D30418" w:rsidRPr="0031015F">
        <w:t xml:space="preserve">Exchange </w:t>
      </w:r>
      <w:r w:rsidRPr="0031015F">
        <w:t>Movements</w:t>
      </w:r>
      <w:bookmarkEnd w:id="68"/>
      <w:bookmarkEnd w:id="69"/>
      <w:bookmarkEnd w:id="70"/>
    </w:p>
    <w:p w14:paraId="1D52D1BC" w14:textId="5730C4C6" w:rsidR="00E24E7D" w:rsidRDefault="00DC08A3" w:rsidP="00427CDA">
      <w:pPr>
        <w:spacing w:after="0"/>
        <w:ind w:left="720" w:hanging="720"/>
        <w:jc w:val="both"/>
        <w:rPr>
          <w:rFonts w:ascii="Tahoma" w:hAnsi="Tahoma" w:cs="Tahoma"/>
          <w:sz w:val="24"/>
          <w:szCs w:val="24"/>
        </w:rPr>
      </w:pPr>
      <w:r w:rsidRPr="00DC08A3">
        <w:rPr>
          <w:noProof/>
        </w:rPr>
        <w:drawing>
          <wp:inline distT="0" distB="0" distL="0" distR="0" wp14:anchorId="04F9D32C" wp14:editId="77B61D1B">
            <wp:extent cx="5731510" cy="1065530"/>
            <wp:effectExtent l="0" t="0" r="2540" b="1270"/>
            <wp:docPr id="144282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8866" name=""/>
                    <pic:cNvPicPr/>
                  </pic:nvPicPr>
                  <pic:blipFill>
                    <a:blip r:embed="rId21"/>
                    <a:stretch>
                      <a:fillRect/>
                    </a:stretch>
                  </pic:blipFill>
                  <pic:spPr>
                    <a:xfrm>
                      <a:off x="0" y="0"/>
                      <a:ext cx="5731510" cy="1065530"/>
                    </a:xfrm>
                    <a:prstGeom prst="rect">
                      <a:avLst/>
                    </a:prstGeom>
                  </pic:spPr>
                </pic:pic>
              </a:graphicData>
            </a:graphic>
          </wp:inline>
        </w:drawing>
      </w:r>
    </w:p>
    <w:p w14:paraId="0D44C954" w14:textId="7777777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(2024)</w:t>
      </w:r>
    </w:p>
    <w:p w14:paraId="22EC5F8D" w14:textId="4AA29C48" w:rsidR="00184FA3" w:rsidRPr="00863A17" w:rsidRDefault="00F67469" w:rsidP="003C1D2F">
      <w:pPr>
        <w:pStyle w:val="Heading2"/>
        <w:spacing w:before="0" w:after="240" w:line="240" w:lineRule="auto"/>
        <w:rPr>
          <w:rFonts w:cs="Tahoma"/>
          <w:b/>
          <w:color w:val="000000"/>
          <w:szCs w:val="24"/>
          <w:lang w:val="en-US"/>
        </w:rPr>
      </w:pPr>
      <w:bookmarkStart w:id="71" w:name="_Toc166607904"/>
      <w:bookmarkStart w:id="72" w:name="_Toc188955368"/>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71"/>
      <w:r w:rsidR="00184FA3" w:rsidRPr="00863A17">
        <w:rPr>
          <w:rFonts w:cs="Tahoma"/>
          <w:b/>
          <w:color w:val="000000"/>
          <w:szCs w:val="24"/>
          <w:lang w:val="en-US"/>
        </w:rPr>
        <w:t xml:space="preserve"> </w:t>
      </w:r>
      <w:r w:rsidR="00C10E3B">
        <w:rPr>
          <w:rFonts w:cs="Tahoma"/>
          <w:b/>
          <w:color w:val="000000"/>
          <w:szCs w:val="24"/>
          <w:lang w:val="en-US"/>
        </w:rPr>
        <w:t>(VFEX)</w:t>
      </w:r>
      <w:bookmarkEnd w:id="72"/>
    </w:p>
    <w:p w14:paraId="611A7B5D" w14:textId="0E80CC49"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bookmarkStart w:id="73" w:name="_Hlk179978821"/>
      <w:r w:rsidR="00C10E3B">
        <w:rPr>
          <w:rFonts w:ascii="Tahoma" w:hAnsi="Tahoma" w:cs="Tahoma"/>
          <w:sz w:val="24"/>
          <w:szCs w:val="24"/>
          <w:lang w:val="en-US"/>
        </w:rPr>
        <w:t>T</w:t>
      </w:r>
      <w:r w:rsidR="00427CDA">
        <w:rPr>
          <w:rFonts w:ascii="Tahoma" w:hAnsi="Tahoma" w:cs="Tahoma"/>
          <w:sz w:val="24"/>
          <w:szCs w:val="24"/>
          <w:lang w:val="en-US"/>
        </w:rPr>
        <w:t>he V</w:t>
      </w:r>
      <w:r w:rsidR="00EE1EEF">
        <w:rPr>
          <w:rFonts w:ascii="Tahoma" w:hAnsi="Tahoma" w:cs="Tahoma"/>
          <w:sz w:val="24"/>
          <w:szCs w:val="24"/>
          <w:lang w:val="en-US"/>
        </w:rPr>
        <w:t xml:space="preserve">FEX </w:t>
      </w:r>
      <w:r w:rsidR="00932158">
        <w:rPr>
          <w:rFonts w:ascii="Tahoma" w:hAnsi="Tahoma" w:cs="Tahoma"/>
          <w:sz w:val="24"/>
          <w:szCs w:val="24"/>
          <w:lang w:val="en-US"/>
        </w:rPr>
        <w:t xml:space="preserve">recorded a bullish trend in December </w:t>
      </w:r>
      <w:r w:rsidR="00C10E3B">
        <w:rPr>
          <w:rFonts w:ascii="Tahoma" w:hAnsi="Tahoma" w:cs="Tahoma"/>
          <w:sz w:val="24"/>
          <w:szCs w:val="24"/>
          <w:lang w:val="en-US"/>
        </w:rPr>
        <w:t xml:space="preserve">2024, with </w:t>
      </w:r>
      <w:r w:rsidR="00383DBC">
        <w:rPr>
          <w:rFonts w:ascii="Tahoma" w:hAnsi="Tahoma" w:cs="Tahoma"/>
          <w:sz w:val="24"/>
          <w:szCs w:val="24"/>
          <w:lang w:val="en-US"/>
        </w:rPr>
        <w:t>A</w:t>
      </w:r>
      <w:r w:rsidR="00C10E3B">
        <w:rPr>
          <w:rFonts w:ascii="Tahoma" w:hAnsi="Tahoma" w:cs="Tahoma"/>
          <w:sz w:val="24"/>
          <w:szCs w:val="24"/>
          <w:lang w:val="en-US"/>
        </w:rPr>
        <w:t xml:space="preserve">ll </w:t>
      </w:r>
      <w:r w:rsidR="00383DBC">
        <w:rPr>
          <w:rFonts w:ascii="Tahoma" w:hAnsi="Tahoma" w:cs="Tahoma"/>
          <w:sz w:val="24"/>
          <w:szCs w:val="24"/>
          <w:lang w:val="en-US"/>
        </w:rPr>
        <w:t xml:space="preserve">Share Index </w:t>
      </w:r>
      <w:r w:rsidR="00932158">
        <w:rPr>
          <w:rFonts w:ascii="Tahoma" w:hAnsi="Tahoma" w:cs="Tahoma"/>
          <w:sz w:val="24"/>
          <w:szCs w:val="24"/>
          <w:lang w:val="en-US"/>
        </w:rPr>
        <w:t xml:space="preserve">gaining 1.86%, </w:t>
      </w:r>
      <w:r w:rsidR="00383DBC">
        <w:rPr>
          <w:rFonts w:ascii="Tahoma" w:hAnsi="Tahoma" w:cs="Tahoma"/>
          <w:sz w:val="24"/>
          <w:szCs w:val="24"/>
          <w:lang w:val="en-US"/>
        </w:rPr>
        <w:t>V</w:t>
      </w:r>
      <w:r w:rsidR="00932158">
        <w:rPr>
          <w:rFonts w:ascii="Tahoma" w:hAnsi="Tahoma" w:cs="Tahoma"/>
          <w:sz w:val="24"/>
          <w:szCs w:val="24"/>
          <w:lang w:val="en-US"/>
        </w:rPr>
        <w:t xml:space="preserve">alue </w:t>
      </w:r>
      <w:r w:rsidR="00383DBC">
        <w:rPr>
          <w:rFonts w:ascii="Tahoma" w:hAnsi="Tahoma" w:cs="Tahoma"/>
          <w:sz w:val="24"/>
          <w:szCs w:val="24"/>
          <w:lang w:val="en-US"/>
        </w:rPr>
        <w:t>T</w:t>
      </w:r>
      <w:r w:rsidR="00932158">
        <w:rPr>
          <w:rFonts w:ascii="Tahoma" w:hAnsi="Tahoma" w:cs="Tahoma"/>
          <w:sz w:val="24"/>
          <w:szCs w:val="24"/>
          <w:lang w:val="en-US"/>
        </w:rPr>
        <w:t xml:space="preserve">raded </w:t>
      </w:r>
      <w:r w:rsidR="00383DBC">
        <w:rPr>
          <w:rFonts w:ascii="Tahoma" w:hAnsi="Tahoma" w:cs="Tahoma"/>
          <w:sz w:val="24"/>
          <w:szCs w:val="24"/>
          <w:lang w:val="en-US"/>
        </w:rPr>
        <w:t>added</w:t>
      </w:r>
      <w:r w:rsidR="00932158">
        <w:rPr>
          <w:rFonts w:ascii="Tahoma" w:hAnsi="Tahoma" w:cs="Tahoma"/>
          <w:sz w:val="24"/>
          <w:szCs w:val="24"/>
          <w:lang w:val="en-US"/>
        </w:rPr>
        <w:t xml:space="preserve"> 366.69% and</w:t>
      </w:r>
      <w:r w:rsidR="00C10E3B">
        <w:rPr>
          <w:rFonts w:ascii="Tahoma" w:hAnsi="Tahoma" w:cs="Tahoma"/>
          <w:sz w:val="24"/>
          <w:szCs w:val="24"/>
          <w:lang w:val="en-US"/>
        </w:rPr>
        <w:t xml:space="preserve"> </w:t>
      </w:r>
      <w:r w:rsidR="00383DBC">
        <w:rPr>
          <w:rFonts w:ascii="Tahoma" w:hAnsi="Tahoma" w:cs="Tahoma"/>
          <w:sz w:val="24"/>
          <w:szCs w:val="24"/>
          <w:lang w:val="en-US"/>
        </w:rPr>
        <w:t>M</w:t>
      </w:r>
      <w:r w:rsidR="00C10E3B">
        <w:rPr>
          <w:rFonts w:ascii="Tahoma" w:hAnsi="Tahoma" w:cs="Tahoma"/>
          <w:sz w:val="24"/>
          <w:szCs w:val="24"/>
          <w:lang w:val="en-US"/>
        </w:rPr>
        <w:t xml:space="preserve">arket </w:t>
      </w:r>
      <w:r w:rsidR="00383DBC">
        <w:rPr>
          <w:rFonts w:ascii="Tahoma" w:hAnsi="Tahoma" w:cs="Tahoma"/>
          <w:sz w:val="24"/>
          <w:szCs w:val="24"/>
          <w:lang w:val="en-US"/>
        </w:rPr>
        <w:t>C</w:t>
      </w:r>
      <w:r w:rsidR="00C10E3B">
        <w:rPr>
          <w:rFonts w:ascii="Tahoma" w:hAnsi="Tahoma" w:cs="Tahoma"/>
          <w:sz w:val="24"/>
          <w:szCs w:val="24"/>
          <w:lang w:val="en-US"/>
        </w:rPr>
        <w:t xml:space="preserve">apitalization </w:t>
      </w:r>
      <w:r w:rsidR="00383DBC">
        <w:rPr>
          <w:rFonts w:ascii="Tahoma" w:hAnsi="Tahoma" w:cs="Tahoma"/>
          <w:sz w:val="24"/>
          <w:szCs w:val="24"/>
          <w:lang w:val="en-US"/>
        </w:rPr>
        <w:t xml:space="preserve">increased </w:t>
      </w:r>
      <w:r w:rsidR="00C10E3B">
        <w:rPr>
          <w:rFonts w:ascii="Tahoma" w:hAnsi="Tahoma" w:cs="Tahoma"/>
          <w:sz w:val="24"/>
          <w:szCs w:val="24"/>
          <w:lang w:val="en-US"/>
        </w:rPr>
        <w:t xml:space="preserve">by </w:t>
      </w:r>
      <w:r w:rsidR="00307C72">
        <w:rPr>
          <w:rFonts w:ascii="Tahoma" w:hAnsi="Tahoma" w:cs="Tahoma"/>
          <w:sz w:val="24"/>
          <w:szCs w:val="24"/>
          <w:lang w:val="en-US"/>
        </w:rPr>
        <w:t>3.4</w:t>
      </w:r>
      <w:r w:rsidR="00C10E3B">
        <w:rPr>
          <w:rFonts w:ascii="Tahoma" w:hAnsi="Tahoma" w:cs="Tahoma"/>
          <w:sz w:val="24"/>
          <w:szCs w:val="24"/>
          <w:lang w:val="en-US"/>
        </w:rPr>
        <w:t>%.</w:t>
      </w:r>
      <w:r w:rsidR="001C6D0E">
        <w:rPr>
          <w:rFonts w:ascii="Tahoma" w:hAnsi="Tahoma" w:cs="Tahoma"/>
          <w:sz w:val="24"/>
          <w:szCs w:val="24"/>
          <w:lang w:val="en-US"/>
        </w:rPr>
        <w:t xml:space="preserve"> </w:t>
      </w:r>
      <w:r w:rsidR="00307C72">
        <w:rPr>
          <w:rFonts w:ascii="Tahoma" w:hAnsi="Tahoma" w:cs="Tahoma"/>
          <w:sz w:val="24"/>
          <w:szCs w:val="24"/>
          <w:lang w:val="en-US"/>
        </w:rPr>
        <w:t>African Markets (2024) stated that VFEX achieved a record-breaking</w:t>
      </w:r>
      <w:r w:rsidR="00383DBC">
        <w:rPr>
          <w:rFonts w:ascii="Tahoma" w:hAnsi="Tahoma" w:cs="Tahoma"/>
          <w:sz w:val="24"/>
          <w:szCs w:val="24"/>
          <w:lang w:val="en-US"/>
        </w:rPr>
        <w:t xml:space="preserve"> </w:t>
      </w:r>
      <w:r w:rsidR="00307C72">
        <w:rPr>
          <w:rFonts w:ascii="Tahoma" w:hAnsi="Tahoma" w:cs="Tahoma"/>
          <w:sz w:val="24"/>
          <w:szCs w:val="24"/>
          <w:lang w:val="en-US"/>
        </w:rPr>
        <w:t xml:space="preserve">turn over </w:t>
      </w:r>
      <w:r w:rsidR="008A1757">
        <w:rPr>
          <w:rFonts w:ascii="Tahoma" w:hAnsi="Tahoma" w:cs="Tahoma"/>
          <w:sz w:val="24"/>
          <w:szCs w:val="24"/>
          <w:lang w:val="en-US"/>
        </w:rPr>
        <w:t>reflecting</w:t>
      </w:r>
      <w:r w:rsidR="00307C72">
        <w:rPr>
          <w:rFonts w:ascii="Tahoma" w:hAnsi="Tahoma" w:cs="Tahoma"/>
          <w:sz w:val="24"/>
          <w:szCs w:val="24"/>
          <w:lang w:val="en-US"/>
        </w:rPr>
        <w:t xml:space="preserve"> increased investor confidence and growing appetite for dollar-based trading opportunities in the region</w:t>
      </w:r>
      <w:r w:rsidR="008A1757">
        <w:rPr>
          <w:rFonts w:ascii="Tahoma" w:hAnsi="Tahoma" w:cs="Tahoma"/>
          <w:sz w:val="24"/>
          <w:szCs w:val="24"/>
          <w:lang w:val="en-US"/>
        </w:rPr>
        <w:t>, due to blue-chip counters, increased listings, recent efforts to enhance liquidity, transparency and tax incentives to attract international investments. With this achievement VFEX has proved its resilience and potential to become a major financial hub in Africa.</w:t>
      </w:r>
      <w:r w:rsidR="004514A3">
        <w:rPr>
          <w:rFonts w:ascii="Tahoma" w:hAnsi="Tahoma" w:cs="Tahoma"/>
          <w:sz w:val="24"/>
          <w:szCs w:val="24"/>
          <w:lang w:val="en-US"/>
        </w:rPr>
        <w:t xml:space="preserve"> </w:t>
      </w:r>
    </w:p>
    <w:p w14:paraId="4FFB8224" w14:textId="23E81D9A"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w:t>
      </w:r>
      <w:r w:rsidR="009D4D20">
        <w:rPr>
          <w:rFonts w:ascii="Tahoma" w:hAnsi="Tahoma" w:cs="Tahoma"/>
          <w:sz w:val="24"/>
          <w:szCs w:val="24"/>
          <w:lang w:val="en-US"/>
        </w:rPr>
        <w:t>2</w:t>
      </w:r>
      <w:r w:rsidR="00F67469" w:rsidRPr="00863A17">
        <w:rPr>
          <w:rFonts w:ascii="Tahoma" w:hAnsi="Tahoma" w:cs="Tahoma"/>
          <w:sz w:val="24"/>
          <w:szCs w:val="24"/>
          <w:lang w:val="en-US"/>
        </w:rPr>
        <w:tab/>
      </w:r>
      <w:r w:rsidR="004A2699">
        <w:rPr>
          <w:rFonts w:ascii="Tahoma" w:hAnsi="Tahoma" w:cs="Tahoma"/>
          <w:sz w:val="24"/>
          <w:szCs w:val="24"/>
          <w:lang w:val="en-US"/>
        </w:rPr>
        <w:t>On a YtD</w:t>
      </w:r>
      <w:r w:rsidR="00526479">
        <w:rPr>
          <w:rFonts w:ascii="Tahoma" w:hAnsi="Tahoma" w:cs="Tahoma"/>
          <w:sz w:val="24"/>
          <w:szCs w:val="24"/>
          <w:lang w:val="en-US"/>
        </w:rPr>
        <w:t xml:space="preserve"> and YoY </w:t>
      </w:r>
      <w:r w:rsidR="00EB6377">
        <w:rPr>
          <w:rFonts w:ascii="Tahoma" w:hAnsi="Tahoma" w:cs="Tahoma"/>
          <w:sz w:val="24"/>
          <w:szCs w:val="24"/>
          <w:lang w:val="en-US"/>
        </w:rPr>
        <w:t>basis, all</w:t>
      </w:r>
      <w:r w:rsidR="00D472E8">
        <w:rPr>
          <w:rFonts w:ascii="Tahoma" w:hAnsi="Tahoma" w:cs="Tahoma"/>
          <w:sz w:val="24"/>
          <w:szCs w:val="24"/>
          <w:lang w:val="en-US"/>
        </w:rPr>
        <w:t xml:space="preserve"> share index, v</w:t>
      </w:r>
      <w:r w:rsidR="009D7A60">
        <w:rPr>
          <w:rFonts w:ascii="Tahoma" w:hAnsi="Tahoma" w:cs="Tahoma"/>
          <w:sz w:val="24"/>
          <w:szCs w:val="24"/>
          <w:lang w:val="en-US"/>
        </w:rPr>
        <w:t xml:space="preserve">alue </w:t>
      </w:r>
      <w:r w:rsidR="00630988">
        <w:rPr>
          <w:rFonts w:ascii="Tahoma" w:hAnsi="Tahoma" w:cs="Tahoma"/>
          <w:sz w:val="24"/>
          <w:szCs w:val="24"/>
          <w:lang w:val="en-US"/>
        </w:rPr>
        <w:t>traded,</w:t>
      </w:r>
      <w:r w:rsidR="00D472E8">
        <w:rPr>
          <w:rFonts w:ascii="Tahoma" w:hAnsi="Tahoma" w:cs="Tahoma"/>
          <w:sz w:val="24"/>
          <w:szCs w:val="24"/>
          <w:lang w:val="en-US"/>
        </w:rPr>
        <w:t xml:space="preserve"> and m</w:t>
      </w:r>
      <w:r w:rsidR="004A2699">
        <w:rPr>
          <w:rFonts w:ascii="Tahoma" w:hAnsi="Tahoma" w:cs="Tahoma"/>
          <w:sz w:val="24"/>
          <w:szCs w:val="24"/>
          <w:lang w:val="en-US"/>
        </w:rPr>
        <w:t xml:space="preserve">arket </w:t>
      </w:r>
      <w:r w:rsidR="00D472E8">
        <w:rPr>
          <w:rFonts w:ascii="Tahoma" w:hAnsi="Tahoma" w:cs="Tahoma"/>
          <w:sz w:val="24"/>
          <w:szCs w:val="24"/>
          <w:lang w:val="en-US"/>
        </w:rPr>
        <w:t>c</w:t>
      </w:r>
      <w:r w:rsidR="004A2699">
        <w:rPr>
          <w:rFonts w:ascii="Tahoma" w:hAnsi="Tahoma" w:cs="Tahoma"/>
          <w:sz w:val="24"/>
          <w:szCs w:val="24"/>
          <w:lang w:val="en-US"/>
        </w:rPr>
        <w:t xml:space="preserve">apitalization </w:t>
      </w:r>
      <w:r w:rsidR="00526479">
        <w:rPr>
          <w:rFonts w:ascii="Tahoma" w:hAnsi="Tahoma" w:cs="Tahoma"/>
          <w:sz w:val="24"/>
          <w:szCs w:val="24"/>
          <w:lang w:val="en-US"/>
        </w:rPr>
        <w:t>gained</w:t>
      </w:r>
      <w:r w:rsidR="00630988">
        <w:rPr>
          <w:rFonts w:ascii="Tahoma" w:hAnsi="Tahoma" w:cs="Tahoma"/>
          <w:sz w:val="24"/>
          <w:szCs w:val="24"/>
          <w:lang w:val="en-US"/>
        </w:rPr>
        <w:t xml:space="preserve"> </w:t>
      </w:r>
      <w:r w:rsidR="009726C7">
        <w:rPr>
          <w:rFonts w:ascii="Tahoma" w:hAnsi="Tahoma" w:cs="Tahoma"/>
          <w:sz w:val="24"/>
          <w:szCs w:val="24"/>
          <w:lang w:val="en-US"/>
        </w:rPr>
        <w:t xml:space="preserve">as shown </w:t>
      </w:r>
      <w:r w:rsidR="00383DBC">
        <w:rPr>
          <w:rFonts w:ascii="Tahoma" w:hAnsi="Tahoma" w:cs="Tahoma"/>
          <w:sz w:val="24"/>
          <w:szCs w:val="24"/>
          <w:lang w:val="en-US"/>
        </w:rPr>
        <w:t>in</w:t>
      </w:r>
      <w:r w:rsidR="009726C7">
        <w:rPr>
          <w:rFonts w:ascii="Tahoma" w:hAnsi="Tahoma" w:cs="Tahoma"/>
          <w:sz w:val="24"/>
          <w:szCs w:val="24"/>
          <w:lang w:val="en-US"/>
        </w:rPr>
        <w:t xml:space="preserve"> </w:t>
      </w:r>
      <w:r w:rsidR="00383DBC">
        <w:rPr>
          <w:rFonts w:ascii="Tahoma" w:hAnsi="Tahoma" w:cs="Tahoma"/>
          <w:sz w:val="24"/>
          <w:szCs w:val="24"/>
          <w:lang w:val="en-US"/>
        </w:rPr>
        <w:t>T</w:t>
      </w:r>
      <w:r w:rsidR="009726C7">
        <w:rPr>
          <w:rFonts w:ascii="Tahoma" w:hAnsi="Tahoma" w:cs="Tahoma"/>
          <w:sz w:val="24"/>
          <w:szCs w:val="24"/>
          <w:lang w:val="en-US"/>
        </w:rPr>
        <w:t>able 7.</w:t>
      </w:r>
    </w:p>
    <w:p w14:paraId="7EBC735E" w14:textId="1CD25E5F" w:rsidR="00E57C56" w:rsidRDefault="00D30418" w:rsidP="00246949">
      <w:pPr>
        <w:pStyle w:val="ListofTables"/>
      </w:pPr>
      <w:bookmarkStart w:id="74" w:name="_Toc164072368"/>
      <w:bookmarkStart w:id="75" w:name="_Toc166658895"/>
      <w:bookmarkStart w:id="76" w:name="_Toc187672463"/>
      <w:bookmarkEnd w:id="73"/>
      <w:r w:rsidRPr="0031015F">
        <w:t xml:space="preserve">Table </w:t>
      </w:r>
      <w:r w:rsidR="00B3127C">
        <w:t>7</w:t>
      </w:r>
      <w:r w:rsidRPr="0031015F">
        <w:t>: Victoria Falls Stock Exchange Movements</w:t>
      </w:r>
      <w:bookmarkEnd w:id="74"/>
      <w:bookmarkEnd w:id="75"/>
      <w:bookmarkEnd w:id="76"/>
    </w:p>
    <w:p w14:paraId="1EA2EA9E" w14:textId="5AF5544F" w:rsidR="00AB0841" w:rsidRPr="00863A17" w:rsidRDefault="00932158" w:rsidP="00FF0FB8">
      <w:pPr>
        <w:spacing w:after="0"/>
        <w:rPr>
          <w:rFonts w:ascii="Tahoma" w:hAnsi="Tahoma" w:cs="Tahoma"/>
          <w:sz w:val="24"/>
          <w:szCs w:val="24"/>
          <w:lang w:val="en-US"/>
        </w:rPr>
      </w:pPr>
      <w:r w:rsidRPr="00932158">
        <w:rPr>
          <w:noProof/>
        </w:rPr>
        <w:drawing>
          <wp:inline distT="0" distB="0" distL="0" distR="0" wp14:anchorId="10B04374" wp14:editId="7BB9DBDF">
            <wp:extent cx="5731510" cy="1001395"/>
            <wp:effectExtent l="0" t="0" r="2540" b="8255"/>
            <wp:docPr id="48582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1307" name=""/>
                    <pic:cNvPicPr/>
                  </pic:nvPicPr>
                  <pic:blipFill>
                    <a:blip r:embed="rId22"/>
                    <a:stretch>
                      <a:fillRect/>
                    </a:stretch>
                  </pic:blipFill>
                  <pic:spPr>
                    <a:xfrm>
                      <a:off x="0" y="0"/>
                      <a:ext cx="5731510" cy="1001395"/>
                    </a:xfrm>
                    <a:prstGeom prst="rect">
                      <a:avLst/>
                    </a:prstGeom>
                  </pic:spPr>
                </pic:pic>
              </a:graphicData>
            </a:graphic>
          </wp:inline>
        </w:drawing>
      </w:r>
    </w:p>
    <w:p w14:paraId="6B0F6079" w14:textId="77777777"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3F1F46" w:rsidRPr="00863A17">
        <w:rPr>
          <w:rFonts w:ascii="Tahoma" w:hAnsi="Tahoma" w:cs="Tahoma"/>
          <w:i/>
          <w:sz w:val="24"/>
          <w:szCs w:val="24"/>
          <w:lang w:val="en-US"/>
        </w:rPr>
        <w:t>4</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122B974C" w14:textId="77777777" w:rsidR="00E2017D" w:rsidRDefault="00E2017D">
      <w:pPr>
        <w:rPr>
          <w:rFonts w:ascii="Tahoma" w:hAnsi="Tahoma" w:cs="Tahoma"/>
          <w:iCs/>
          <w:sz w:val="24"/>
          <w:szCs w:val="24"/>
          <w:lang w:val="en-US"/>
        </w:rPr>
      </w:pPr>
    </w:p>
    <w:p w14:paraId="34F5DA1B" w14:textId="77777777" w:rsidR="00E2017D" w:rsidRDefault="00E2017D">
      <w:pPr>
        <w:rPr>
          <w:rFonts w:ascii="Tahoma" w:hAnsi="Tahoma" w:cs="Tahoma"/>
          <w:iCs/>
          <w:sz w:val="24"/>
          <w:szCs w:val="24"/>
          <w:lang w:val="en-US"/>
        </w:rPr>
      </w:pPr>
    </w:p>
    <w:p w14:paraId="44B817E1" w14:textId="77777777" w:rsidR="00E2017D" w:rsidRDefault="00E2017D">
      <w:pPr>
        <w:rPr>
          <w:rFonts w:ascii="Tahoma" w:hAnsi="Tahoma" w:cs="Tahoma"/>
          <w:iCs/>
          <w:sz w:val="24"/>
          <w:szCs w:val="24"/>
          <w:lang w:val="en-US"/>
        </w:rPr>
      </w:pPr>
    </w:p>
    <w:p w14:paraId="1D23D26A" w14:textId="77777777" w:rsidR="00E2017D" w:rsidRDefault="00E2017D">
      <w:pPr>
        <w:rPr>
          <w:rFonts w:ascii="Tahoma" w:hAnsi="Tahoma" w:cs="Tahoma"/>
          <w:iCs/>
          <w:sz w:val="24"/>
          <w:szCs w:val="24"/>
          <w:lang w:val="en-US"/>
        </w:rPr>
      </w:pPr>
    </w:p>
    <w:p w14:paraId="3726D254" w14:textId="77777777" w:rsidR="00E2017D" w:rsidRDefault="00E2017D">
      <w:pPr>
        <w:rPr>
          <w:rFonts w:ascii="Tahoma" w:hAnsi="Tahoma" w:cs="Tahoma"/>
          <w:iCs/>
          <w:sz w:val="24"/>
          <w:szCs w:val="24"/>
          <w:lang w:val="en-US"/>
        </w:rPr>
      </w:pPr>
    </w:p>
    <w:p w14:paraId="1A6FD8CC" w14:textId="77777777" w:rsidR="00E2017D" w:rsidRDefault="00E2017D">
      <w:pPr>
        <w:rPr>
          <w:rFonts w:ascii="Tahoma" w:hAnsi="Tahoma" w:cs="Tahoma"/>
          <w:iCs/>
          <w:sz w:val="24"/>
          <w:szCs w:val="24"/>
          <w:lang w:val="en-US"/>
        </w:rPr>
      </w:pPr>
    </w:p>
    <w:p w14:paraId="2CB837DE" w14:textId="77777777" w:rsidR="00452C25" w:rsidRDefault="00452C25">
      <w:pPr>
        <w:rPr>
          <w:rFonts w:ascii="Tahoma" w:hAnsi="Tahoma" w:cs="Tahoma"/>
          <w:iCs/>
          <w:sz w:val="24"/>
          <w:szCs w:val="24"/>
          <w:lang w:val="en-US"/>
        </w:rPr>
      </w:pPr>
    </w:p>
    <w:p w14:paraId="1D3B5266" w14:textId="77777777" w:rsidR="00EF3AD6" w:rsidRPr="00A64F64" w:rsidRDefault="00FC703F" w:rsidP="004B15EE">
      <w:pPr>
        <w:pStyle w:val="Heading1"/>
        <w:spacing w:before="0" w:after="240" w:line="240" w:lineRule="auto"/>
        <w:rPr>
          <w:rFonts w:cs="Tahoma"/>
          <w:bCs/>
          <w:color w:val="000000"/>
          <w:szCs w:val="24"/>
          <w:lang w:val="en-US"/>
        </w:rPr>
      </w:pPr>
      <w:bookmarkStart w:id="77" w:name="_Toc166607905"/>
      <w:bookmarkStart w:id="78" w:name="_Toc188955369"/>
      <w:r w:rsidRPr="00A64F64">
        <w:rPr>
          <w:rFonts w:cs="Tahoma"/>
          <w:bCs/>
          <w:color w:val="000000"/>
          <w:szCs w:val="24"/>
          <w:lang w:val="en-US"/>
        </w:rPr>
        <w:lastRenderedPageBreak/>
        <w:t>9.0</w:t>
      </w:r>
      <w:r w:rsidRPr="00A64F64">
        <w:rPr>
          <w:rFonts w:cs="Tahoma"/>
          <w:bCs/>
          <w:color w:val="000000"/>
          <w:szCs w:val="24"/>
          <w:lang w:val="en-US"/>
        </w:rPr>
        <w:tab/>
        <w:t>Recommendations</w:t>
      </w:r>
      <w:bookmarkEnd w:id="77"/>
      <w:bookmarkEnd w:id="78"/>
      <w:r w:rsidRPr="00A64F64">
        <w:rPr>
          <w:rFonts w:cs="Tahoma"/>
          <w:bCs/>
          <w:color w:val="000000"/>
          <w:szCs w:val="24"/>
          <w:lang w:val="en-US"/>
        </w:rPr>
        <w:t xml:space="preserve"> </w:t>
      </w:r>
    </w:p>
    <w:p w14:paraId="07D4E33B" w14:textId="77777777" w:rsidR="00790EF8" w:rsidRDefault="00EC6C43" w:rsidP="00E83A04">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The following reco</w:t>
      </w:r>
      <w:r w:rsidR="00A43C6F">
        <w:rPr>
          <w:rFonts w:ascii="Tahoma" w:hAnsi="Tahoma" w:cs="Tahoma"/>
          <w:sz w:val="24"/>
          <w:szCs w:val="24"/>
          <w:lang w:val="en-US"/>
        </w:rPr>
        <w:t>mmendations are being proposed:</w:t>
      </w:r>
    </w:p>
    <w:p w14:paraId="474FBF2D" w14:textId="4E4E978D" w:rsidR="00861362" w:rsidRPr="00861362" w:rsidRDefault="00861362" w:rsidP="00861362">
      <w:pPr>
        <w:ind w:left="720" w:hanging="720"/>
        <w:rPr>
          <w:rFonts w:ascii="Tahoma" w:hAnsi="Tahoma" w:cs="Tahoma"/>
          <w:b/>
          <w:bCs/>
          <w:sz w:val="24"/>
          <w:szCs w:val="24"/>
          <w:lang w:val="en-GB"/>
        </w:rPr>
      </w:pPr>
      <w:r>
        <w:rPr>
          <w:rFonts w:ascii="Tahoma" w:hAnsi="Tahoma" w:cs="Tahoma"/>
          <w:b/>
          <w:bCs/>
          <w:sz w:val="24"/>
          <w:szCs w:val="24"/>
          <w:lang w:val="en-GB"/>
        </w:rPr>
        <w:t>9.1.1</w:t>
      </w:r>
      <w:r>
        <w:rPr>
          <w:rFonts w:ascii="Tahoma" w:hAnsi="Tahoma" w:cs="Tahoma"/>
          <w:b/>
          <w:bCs/>
          <w:sz w:val="24"/>
          <w:szCs w:val="24"/>
          <w:lang w:val="en-GB"/>
        </w:rPr>
        <w:tab/>
      </w:r>
      <w:r w:rsidRPr="00861362">
        <w:rPr>
          <w:rFonts w:ascii="Tahoma" w:hAnsi="Tahoma" w:cs="Tahoma"/>
          <w:b/>
          <w:bCs/>
          <w:sz w:val="24"/>
          <w:szCs w:val="24"/>
          <w:lang w:val="en-GB"/>
        </w:rPr>
        <w:t>Policy Adjustments for Economic Growth and Stability</w:t>
      </w:r>
    </w:p>
    <w:p w14:paraId="5965F664" w14:textId="4579872F" w:rsidR="00861362" w:rsidRPr="00797969" w:rsidRDefault="00861362" w:rsidP="00797969">
      <w:pPr>
        <w:ind w:left="720"/>
        <w:jc w:val="both"/>
        <w:rPr>
          <w:rFonts w:ascii="Tahoma" w:hAnsi="Tahoma" w:cs="Tahoma"/>
          <w:sz w:val="24"/>
          <w:szCs w:val="24"/>
          <w:lang w:val="en-GB"/>
        </w:rPr>
      </w:pPr>
      <w:r w:rsidRPr="00861362">
        <w:rPr>
          <w:rFonts w:ascii="Tahoma" w:hAnsi="Tahoma" w:cs="Tahoma"/>
          <w:b/>
          <w:bCs/>
          <w:sz w:val="24"/>
          <w:szCs w:val="24"/>
          <w:lang w:val="en-GB"/>
        </w:rPr>
        <w:t>Global Economic Developments</w:t>
      </w:r>
      <w:r w:rsidRPr="00797969">
        <w:rPr>
          <w:rFonts w:ascii="Tahoma" w:hAnsi="Tahoma" w:cs="Tahoma"/>
          <w:sz w:val="24"/>
          <w:szCs w:val="24"/>
          <w:lang w:val="en-GB"/>
        </w:rPr>
        <w:t xml:space="preserve">: </w:t>
      </w:r>
      <w:r>
        <w:rPr>
          <w:rFonts w:ascii="Tahoma" w:hAnsi="Tahoma" w:cs="Tahoma"/>
          <w:sz w:val="24"/>
          <w:szCs w:val="24"/>
          <w:lang w:val="en-GB"/>
        </w:rPr>
        <w:t xml:space="preserve">The country </w:t>
      </w:r>
      <w:r w:rsidRPr="00797969">
        <w:rPr>
          <w:rFonts w:ascii="Tahoma" w:hAnsi="Tahoma" w:cs="Tahoma"/>
          <w:sz w:val="24"/>
          <w:szCs w:val="24"/>
          <w:lang w:val="en-GB"/>
        </w:rPr>
        <w:t>should remain vigilant about global economic trends, especially post-election policy shifts in the U.S. that may impact global trade and financial markets. Developing contingency measures, such as diversifying trade partners and enhancing regional trade, can mitigate potential external shocks.</w:t>
      </w:r>
    </w:p>
    <w:p w14:paraId="37AA3A63" w14:textId="77777777" w:rsidR="00861362" w:rsidRPr="00797969" w:rsidRDefault="00861362" w:rsidP="00797969">
      <w:pPr>
        <w:ind w:left="720"/>
        <w:jc w:val="both"/>
        <w:rPr>
          <w:rFonts w:ascii="Tahoma" w:hAnsi="Tahoma" w:cs="Tahoma"/>
          <w:sz w:val="24"/>
          <w:szCs w:val="24"/>
          <w:lang w:val="en-GB"/>
        </w:rPr>
      </w:pPr>
      <w:r w:rsidRPr="00861362">
        <w:rPr>
          <w:rFonts w:ascii="Tahoma" w:hAnsi="Tahoma" w:cs="Tahoma"/>
          <w:b/>
          <w:bCs/>
          <w:sz w:val="24"/>
          <w:szCs w:val="24"/>
          <w:lang w:val="en-GB"/>
        </w:rPr>
        <w:t>Domestic Economic Growth</w:t>
      </w:r>
      <w:r w:rsidRPr="00797969">
        <w:rPr>
          <w:rFonts w:ascii="Tahoma" w:hAnsi="Tahoma" w:cs="Tahoma"/>
          <w:sz w:val="24"/>
          <w:szCs w:val="24"/>
          <w:lang w:val="en-GB"/>
        </w:rPr>
        <w:t>: The government should sustain efforts to improve agricultural productivity and electricity generation, leveraging the La Niña phenomenon while expanding ICT and mining to support the 6% growth target in 2025.</w:t>
      </w:r>
    </w:p>
    <w:p w14:paraId="188EBC90" w14:textId="1BB11873" w:rsidR="00861362" w:rsidRPr="00861362" w:rsidRDefault="00861362" w:rsidP="00861362">
      <w:pPr>
        <w:ind w:left="720" w:hanging="720"/>
        <w:rPr>
          <w:rFonts w:ascii="Tahoma" w:hAnsi="Tahoma" w:cs="Tahoma"/>
          <w:b/>
          <w:bCs/>
          <w:sz w:val="24"/>
          <w:szCs w:val="24"/>
          <w:lang w:val="en-GB"/>
        </w:rPr>
      </w:pPr>
      <w:r>
        <w:rPr>
          <w:rFonts w:ascii="Tahoma" w:hAnsi="Tahoma" w:cs="Tahoma"/>
          <w:b/>
          <w:bCs/>
          <w:sz w:val="24"/>
          <w:szCs w:val="24"/>
          <w:lang w:val="en-GB"/>
        </w:rPr>
        <w:t>9.1.2</w:t>
      </w:r>
      <w:r>
        <w:rPr>
          <w:rFonts w:ascii="Tahoma" w:hAnsi="Tahoma" w:cs="Tahoma"/>
          <w:b/>
          <w:bCs/>
          <w:sz w:val="24"/>
          <w:szCs w:val="24"/>
          <w:lang w:val="en-GB"/>
        </w:rPr>
        <w:tab/>
      </w:r>
      <w:r w:rsidRPr="00861362">
        <w:rPr>
          <w:rFonts w:ascii="Tahoma" w:hAnsi="Tahoma" w:cs="Tahoma"/>
          <w:b/>
          <w:bCs/>
          <w:sz w:val="24"/>
          <w:szCs w:val="24"/>
          <w:lang w:val="en-GB"/>
        </w:rPr>
        <w:t>Strengthening Trade Performance</w:t>
      </w:r>
    </w:p>
    <w:p w14:paraId="36E49690" w14:textId="3148110F"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There is need to enhance the competitiveness of export-oriented industries, particularly gold and tobacco, by improving value addition and exploring new markets.</w:t>
      </w:r>
    </w:p>
    <w:p w14:paraId="7A70D944" w14:textId="2679CBDB"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There is need to review import substitution policies to reduce reliance on imports, particularly for critical commodity like maize, by fostering local production.</w:t>
      </w:r>
    </w:p>
    <w:p w14:paraId="564C066E" w14:textId="2174AB1A"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There is need to promote regional trade agreements to access preferential tariffs and increase Zimbabwe’s export base.</w:t>
      </w:r>
    </w:p>
    <w:p w14:paraId="3D9F8633" w14:textId="5660DC8E" w:rsidR="00861362" w:rsidRPr="00861362" w:rsidRDefault="00861362" w:rsidP="00861362">
      <w:pPr>
        <w:ind w:left="720" w:hanging="720"/>
        <w:rPr>
          <w:rFonts w:ascii="Tahoma" w:hAnsi="Tahoma" w:cs="Tahoma"/>
          <w:b/>
          <w:bCs/>
          <w:sz w:val="24"/>
          <w:szCs w:val="24"/>
          <w:lang w:val="en-GB"/>
        </w:rPr>
      </w:pPr>
      <w:r>
        <w:rPr>
          <w:rFonts w:ascii="Tahoma" w:hAnsi="Tahoma" w:cs="Tahoma"/>
          <w:b/>
          <w:bCs/>
          <w:sz w:val="24"/>
          <w:szCs w:val="24"/>
          <w:lang w:val="en-GB"/>
        </w:rPr>
        <w:t>9.1.</w:t>
      </w:r>
      <w:r w:rsidRPr="00861362">
        <w:rPr>
          <w:rFonts w:ascii="Tahoma" w:hAnsi="Tahoma" w:cs="Tahoma"/>
          <w:b/>
          <w:bCs/>
          <w:sz w:val="24"/>
          <w:szCs w:val="24"/>
          <w:lang w:val="en-GB"/>
        </w:rPr>
        <w:t>3 Exchange Rate Stabilization</w:t>
      </w:r>
    </w:p>
    <w:p w14:paraId="2BEC1D02" w14:textId="07569E30"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There is need to maintain fiscal discipline and transparent monetary policies to strengthen the ZWG.</w:t>
      </w:r>
    </w:p>
    <w:p w14:paraId="1C219E56" w14:textId="7E3ECD55"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Government should encourage citizen engagement and financial literacy campaigns to foster trust in official exchange mechanisms and promote local currency usage.</w:t>
      </w:r>
    </w:p>
    <w:p w14:paraId="50C3FD18" w14:textId="1B326537" w:rsidR="00861362" w:rsidRPr="00861362" w:rsidRDefault="00861362" w:rsidP="00861362">
      <w:pPr>
        <w:ind w:left="720" w:hanging="720"/>
        <w:rPr>
          <w:rFonts w:ascii="Tahoma" w:hAnsi="Tahoma" w:cs="Tahoma"/>
          <w:b/>
          <w:bCs/>
          <w:sz w:val="24"/>
          <w:szCs w:val="24"/>
          <w:lang w:val="en-GB"/>
        </w:rPr>
      </w:pPr>
      <w:r>
        <w:rPr>
          <w:rFonts w:ascii="Tahoma" w:hAnsi="Tahoma" w:cs="Tahoma"/>
          <w:b/>
          <w:bCs/>
          <w:sz w:val="24"/>
          <w:szCs w:val="24"/>
          <w:lang w:val="en-GB"/>
        </w:rPr>
        <w:t>9.1.</w:t>
      </w:r>
      <w:r w:rsidRPr="00861362">
        <w:rPr>
          <w:rFonts w:ascii="Tahoma" w:hAnsi="Tahoma" w:cs="Tahoma"/>
          <w:b/>
          <w:bCs/>
          <w:sz w:val="24"/>
          <w:szCs w:val="24"/>
          <w:lang w:val="en-GB"/>
        </w:rPr>
        <w:t>4 Inflation Management</w:t>
      </w:r>
    </w:p>
    <w:p w14:paraId="09D14FDF" w14:textId="573027AD" w:rsidR="00861362" w:rsidRPr="00797969" w:rsidRDefault="00861362" w:rsidP="00797969">
      <w:pPr>
        <w:ind w:left="720"/>
        <w:jc w:val="both"/>
        <w:rPr>
          <w:rFonts w:ascii="Tahoma" w:hAnsi="Tahoma" w:cs="Tahoma"/>
          <w:sz w:val="24"/>
          <w:szCs w:val="24"/>
          <w:lang w:val="en-GB"/>
        </w:rPr>
      </w:pPr>
      <w:r>
        <w:rPr>
          <w:rFonts w:ascii="Tahoma" w:hAnsi="Tahoma" w:cs="Tahoma"/>
          <w:sz w:val="24"/>
          <w:szCs w:val="24"/>
          <w:lang w:val="en-GB"/>
        </w:rPr>
        <w:t>There is need to f</w:t>
      </w:r>
      <w:r w:rsidRPr="00797969">
        <w:rPr>
          <w:rFonts w:ascii="Tahoma" w:hAnsi="Tahoma" w:cs="Tahoma"/>
          <w:sz w:val="24"/>
          <w:szCs w:val="24"/>
          <w:lang w:val="en-GB"/>
        </w:rPr>
        <w:t>ocus on controlling inflation drivers, especially food and energy prices, by increasing investments in renewable energy and agricultural resilience programs.</w:t>
      </w:r>
    </w:p>
    <w:p w14:paraId="3DF1E2CC" w14:textId="718DA5F4" w:rsidR="00861362" w:rsidRPr="00797969" w:rsidRDefault="00861362" w:rsidP="00797969">
      <w:pPr>
        <w:ind w:left="720"/>
        <w:jc w:val="both"/>
        <w:rPr>
          <w:rFonts w:ascii="Tahoma" w:hAnsi="Tahoma" w:cs="Tahoma"/>
          <w:sz w:val="24"/>
          <w:szCs w:val="24"/>
          <w:lang w:val="en-GB"/>
        </w:rPr>
      </w:pPr>
      <w:r>
        <w:rPr>
          <w:rFonts w:ascii="Tahoma" w:hAnsi="Tahoma" w:cs="Tahoma"/>
          <w:sz w:val="24"/>
          <w:szCs w:val="24"/>
          <w:lang w:val="en-GB"/>
        </w:rPr>
        <w:t>Government should s</w:t>
      </w:r>
      <w:r w:rsidRPr="00797969">
        <w:rPr>
          <w:rFonts w:ascii="Tahoma" w:hAnsi="Tahoma" w:cs="Tahoma"/>
          <w:sz w:val="24"/>
          <w:szCs w:val="24"/>
          <w:lang w:val="en-GB"/>
        </w:rPr>
        <w:t>trengthen supply chain mechanisms to ensure the availability of essential goods and services at stable prices.</w:t>
      </w:r>
    </w:p>
    <w:p w14:paraId="2FB5E2D2" w14:textId="77777777" w:rsidR="00861362" w:rsidRDefault="00861362" w:rsidP="00861362">
      <w:pPr>
        <w:ind w:left="720" w:hanging="720"/>
        <w:rPr>
          <w:rFonts w:ascii="Tahoma" w:hAnsi="Tahoma" w:cs="Tahoma"/>
          <w:b/>
          <w:bCs/>
          <w:sz w:val="24"/>
          <w:szCs w:val="24"/>
          <w:lang w:val="en-GB"/>
        </w:rPr>
      </w:pPr>
    </w:p>
    <w:p w14:paraId="0BCE56C1" w14:textId="77777777" w:rsidR="00861362" w:rsidRDefault="00861362" w:rsidP="00861362">
      <w:pPr>
        <w:ind w:left="720" w:hanging="720"/>
        <w:rPr>
          <w:rFonts w:ascii="Tahoma" w:hAnsi="Tahoma" w:cs="Tahoma"/>
          <w:b/>
          <w:bCs/>
          <w:sz w:val="24"/>
          <w:szCs w:val="24"/>
          <w:lang w:val="en-GB"/>
        </w:rPr>
      </w:pPr>
    </w:p>
    <w:p w14:paraId="03967C36" w14:textId="2B0B6AFF" w:rsidR="00861362" w:rsidRPr="00861362" w:rsidRDefault="007B6F4C" w:rsidP="00861362">
      <w:pPr>
        <w:ind w:left="720" w:hanging="720"/>
        <w:rPr>
          <w:rFonts w:ascii="Tahoma" w:hAnsi="Tahoma" w:cs="Tahoma"/>
          <w:b/>
          <w:bCs/>
          <w:sz w:val="24"/>
          <w:szCs w:val="24"/>
          <w:lang w:val="en-GB"/>
        </w:rPr>
      </w:pPr>
      <w:r>
        <w:rPr>
          <w:rFonts w:ascii="Tahoma" w:hAnsi="Tahoma" w:cs="Tahoma"/>
          <w:b/>
          <w:bCs/>
          <w:sz w:val="24"/>
          <w:szCs w:val="24"/>
          <w:lang w:val="en-GB"/>
        </w:rPr>
        <w:lastRenderedPageBreak/>
        <w:t>9.1.</w:t>
      </w:r>
      <w:r w:rsidR="00861362" w:rsidRPr="00861362">
        <w:rPr>
          <w:rFonts w:ascii="Tahoma" w:hAnsi="Tahoma" w:cs="Tahoma"/>
          <w:b/>
          <w:bCs/>
          <w:sz w:val="24"/>
          <w:szCs w:val="24"/>
          <w:lang w:val="en-GB"/>
        </w:rPr>
        <w:t>5</w:t>
      </w:r>
      <w:r>
        <w:rPr>
          <w:rFonts w:ascii="Tahoma" w:hAnsi="Tahoma" w:cs="Tahoma"/>
          <w:b/>
          <w:bCs/>
          <w:sz w:val="24"/>
          <w:szCs w:val="24"/>
          <w:lang w:val="en-GB"/>
        </w:rPr>
        <w:tab/>
      </w:r>
      <w:r w:rsidR="00861362" w:rsidRPr="00861362">
        <w:rPr>
          <w:rFonts w:ascii="Tahoma" w:hAnsi="Tahoma" w:cs="Tahoma"/>
          <w:b/>
          <w:bCs/>
          <w:sz w:val="24"/>
          <w:szCs w:val="24"/>
          <w:lang w:val="en-GB"/>
        </w:rPr>
        <w:t>Monetary and Financial Sector Recommendations</w:t>
      </w:r>
    </w:p>
    <w:p w14:paraId="3F27DDC3" w14:textId="11C85586"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 xml:space="preserve">Interest Rates: </w:t>
      </w:r>
      <w:r>
        <w:rPr>
          <w:rFonts w:ascii="Tahoma" w:hAnsi="Tahoma" w:cs="Tahoma"/>
          <w:sz w:val="24"/>
          <w:szCs w:val="24"/>
          <w:lang w:val="en-GB"/>
        </w:rPr>
        <w:t>There is need to s</w:t>
      </w:r>
      <w:r w:rsidRPr="00797969">
        <w:rPr>
          <w:rFonts w:ascii="Tahoma" w:hAnsi="Tahoma" w:cs="Tahoma"/>
          <w:sz w:val="24"/>
          <w:szCs w:val="24"/>
          <w:lang w:val="en-GB"/>
        </w:rPr>
        <w:t>trike a balance between encouraging savings through higher deposit rates and avoiding excessively high lending rates that may deter investment and business growth.</w:t>
      </w:r>
    </w:p>
    <w:p w14:paraId="777359E1" w14:textId="2C8551C2"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 xml:space="preserve">Broad Money Supply: </w:t>
      </w:r>
      <w:r>
        <w:rPr>
          <w:rFonts w:ascii="Tahoma" w:hAnsi="Tahoma" w:cs="Tahoma"/>
          <w:sz w:val="24"/>
          <w:szCs w:val="24"/>
          <w:lang w:val="en-GB"/>
        </w:rPr>
        <w:t>There is need to m</w:t>
      </w:r>
      <w:r w:rsidRPr="00797969">
        <w:rPr>
          <w:rFonts w:ascii="Tahoma" w:hAnsi="Tahoma" w:cs="Tahoma"/>
          <w:sz w:val="24"/>
          <w:szCs w:val="24"/>
          <w:lang w:val="en-GB"/>
        </w:rPr>
        <w:t>onitor money supply growth to avoid inflationary pressures while ensuring adequate liquidity to support economic activities.</w:t>
      </w:r>
    </w:p>
    <w:p w14:paraId="1F4BF6FD" w14:textId="688EE541" w:rsidR="00861362" w:rsidRPr="00861362" w:rsidRDefault="007B6F4C" w:rsidP="00861362">
      <w:pPr>
        <w:ind w:left="720" w:hanging="720"/>
        <w:rPr>
          <w:rFonts w:ascii="Tahoma" w:hAnsi="Tahoma" w:cs="Tahoma"/>
          <w:b/>
          <w:bCs/>
          <w:sz w:val="24"/>
          <w:szCs w:val="24"/>
          <w:lang w:val="en-GB"/>
        </w:rPr>
      </w:pPr>
      <w:r>
        <w:rPr>
          <w:rFonts w:ascii="Tahoma" w:hAnsi="Tahoma" w:cs="Tahoma"/>
          <w:b/>
          <w:bCs/>
          <w:sz w:val="24"/>
          <w:szCs w:val="24"/>
          <w:lang w:val="en-GB"/>
        </w:rPr>
        <w:t>9.1.</w:t>
      </w:r>
      <w:r w:rsidR="00861362" w:rsidRPr="00861362">
        <w:rPr>
          <w:rFonts w:ascii="Tahoma" w:hAnsi="Tahoma" w:cs="Tahoma"/>
          <w:b/>
          <w:bCs/>
          <w:sz w:val="24"/>
          <w:szCs w:val="24"/>
          <w:lang w:val="en-GB"/>
        </w:rPr>
        <w:t>6 Capital Market Development</w:t>
      </w:r>
    </w:p>
    <w:p w14:paraId="404F1144" w14:textId="4E91D66B"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ZSE Performance:</w:t>
      </w:r>
      <w:r w:rsidR="007B6F4C">
        <w:rPr>
          <w:rFonts w:ascii="Tahoma" w:hAnsi="Tahoma" w:cs="Tahoma"/>
          <w:sz w:val="24"/>
          <w:szCs w:val="24"/>
          <w:lang w:val="en-GB"/>
        </w:rPr>
        <w:t xml:space="preserve"> There is need to a</w:t>
      </w:r>
      <w:r w:rsidRPr="00797969">
        <w:rPr>
          <w:rFonts w:ascii="Tahoma" w:hAnsi="Tahoma" w:cs="Tahoma"/>
          <w:sz w:val="24"/>
          <w:szCs w:val="24"/>
          <w:lang w:val="en-GB"/>
        </w:rPr>
        <w:t>ddress bearish trends by improving investor confidence through regulatory reforms, enhanced corporate governance, and promoting new listings of high-growth sectors.</w:t>
      </w:r>
    </w:p>
    <w:p w14:paraId="345630E0" w14:textId="58EEE7AC" w:rsidR="00861362" w:rsidRPr="00797969" w:rsidRDefault="00861362" w:rsidP="00797969">
      <w:pPr>
        <w:ind w:left="720"/>
        <w:jc w:val="both"/>
        <w:rPr>
          <w:rFonts w:ascii="Tahoma" w:hAnsi="Tahoma" w:cs="Tahoma"/>
          <w:sz w:val="24"/>
          <w:szCs w:val="24"/>
          <w:lang w:val="en-GB"/>
        </w:rPr>
      </w:pPr>
      <w:r w:rsidRPr="00797969">
        <w:rPr>
          <w:rFonts w:ascii="Tahoma" w:hAnsi="Tahoma" w:cs="Tahoma"/>
          <w:sz w:val="24"/>
          <w:szCs w:val="24"/>
          <w:lang w:val="en-GB"/>
        </w:rPr>
        <w:t xml:space="preserve">VFEX Growth: </w:t>
      </w:r>
      <w:r w:rsidR="007B6F4C">
        <w:rPr>
          <w:rFonts w:ascii="Tahoma" w:hAnsi="Tahoma" w:cs="Tahoma"/>
          <w:sz w:val="24"/>
          <w:szCs w:val="24"/>
          <w:lang w:val="en-GB"/>
        </w:rPr>
        <w:t>There is need to c</w:t>
      </w:r>
      <w:r w:rsidRPr="00797969">
        <w:rPr>
          <w:rFonts w:ascii="Tahoma" w:hAnsi="Tahoma" w:cs="Tahoma"/>
          <w:sz w:val="24"/>
          <w:szCs w:val="24"/>
          <w:lang w:val="en-GB"/>
        </w:rPr>
        <w:t>apitalize on the VFEX's success by attracting more foreign investments through enhanced tax incentives, better liquidity, and improved market transparency.</w:t>
      </w:r>
    </w:p>
    <w:p w14:paraId="699DCCAD" w14:textId="722474FF" w:rsidR="00861362" w:rsidRPr="00861362" w:rsidRDefault="007B6F4C" w:rsidP="00861362">
      <w:pPr>
        <w:ind w:left="720" w:hanging="720"/>
        <w:rPr>
          <w:rFonts w:ascii="Tahoma" w:hAnsi="Tahoma" w:cs="Tahoma"/>
          <w:b/>
          <w:bCs/>
          <w:sz w:val="24"/>
          <w:szCs w:val="24"/>
          <w:lang w:val="en-GB"/>
        </w:rPr>
      </w:pPr>
      <w:r>
        <w:rPr>
          <w:rFonts w:ascii="Tahoma" w:hAnsi="Tahoma" w:cs="Tahoma"/>
          <w:b/>
          <w:bCs/>
          <w:sz w:val="24"/>
          <w:szCs w:val="24"/>
          <w:lang w:val="en-GB"/>
        </w:rPr>
        <w:t>9.1.</w:t>
      </w:r>
      <w:r w:rsidR="00861362" w:rsidRPr="00861362">
        <w:rPr>
          <w:rFonts w:ascii="Tahoma" w:hAnsi="Tahoma" w:cs="Tahoma"/>
          <w:b/>
          <w:bCs/>
          <w:sz w:val="24"/>
          <w:szCs w:val="24"/>
          <w:lang w:val="en-GB"/>
        </w:rPr>
        <w:t>7</w:t>
      </w:r>
      <w:r>
        <w:rPr>
          <w:rFonts w:ascii="Tahoma" w:hAnsi="Tahoma" w:cs="Tahoma"/>
          <w:b/>
          <w:bCs/>
          <w:sz w:val="24"/>
          <w:szCs w:val="24"/>
          <w:lang w:val="en-GB"/>
        </w:rPr>
        <w:tab/>
      </w:r>
      <w:r w:rsidR="00861362" w:rsidRPr="00861362">
        <w:rPr>
          <w:rFonts w:ascii="Tahoma" w:hAnsi="Tahoma" w:cs="Tahoma"/>
          <w:b/>
          <w:bCs/>
          <w:sz w:val="24"/>
          <w:szCs w:val="24"/>
          <w:lang w:val="en-GB"/>
        </w:rPr>
        <w:t>Commodity Market and Price Stability</w:t>
      </w:r>
    </w:p>
    <w:p w14:paraId="65C1F7BD" w14:textId="748E7030" w:rsidR="00861362" w:rsidRPr="00797969" w:rsidRDefault="007B6F4C" w:rsidP="00797969">
      <w:pPr>
        <w:ind w:left="720"/>
        <w:jc w:val="both"/>
        <w:rPr>
          <w:rFonts w:ascii="Tahoma" w:hAnsi="Tahoma" w:cs="Tahoma"/>
          <w:sz w:val="24"/>
          <w:szCs w:val="24"/>
          <w:lang w:val="en-GB"/>
        </w:rPr>
      </w:pPr>
      <w:r w:rsidRPr="00797969">
        <w:rPr>
          <w:rFonts w:ascii="Tahoma" w:hAnsi="Tahoma" w:cs="Tahoma"/>
          <w:sz w:val="24"/>
          <w:szCs w:val="24"/>
          <w:lang w:val="en-GB"/>
        </w:rPr>
        <w:t>The country should l</w:t>
      </w:r>
      <w:r w:rsidR="00861362" w:rsidRPr="00797969">
        <w:rPr>
          <w:rFonts w:ascii="Tahoma" w:hAnsi="Tahoma" w:cs="Tahoma"/>
          <w:sz w:val="24"/>
          <w:szCs w:val="24"/>
          <w:lang w:val="en-GB"/>
        </w:rPr>
        <w:t>everage opportunities in rising agricultural commodity prices due to El Niño by investing in climate-resilient farming techniques and modernizing irrigation infrastructure.</w:t>
      </w:r>
    </w:p>
    <w:p w14:paraId="5D4A0744" w14:textId="5F62CA4D" w:rsidR="00861362" w:rsidRPr="00797969" w:rsidRDefault="007B6F4C" w:rsidP="00797969">
      <w:pPr>
        <w:ind w:left="720"/>
        <w:jc w:val="both"/>
        <w:rPr>
          <w:rFonts w:ascii="Tahoma" w:hAnsi="Tahoma" w:cs="Tahoma"/>
          <w:sz w:val="24"/>
          <w:szCs w:val="24"/>
          <w:lang w:val="en-GB"/>
        </w:rPr>
      </w:pPr>
      <w:r w:rsidRPr="00797969">
        <w:rPr>
          <w:rFonts w:ascii="Tahoma" w:hAnsi="Tahoma" w:cs="Tahoma"/>
          <w:sz w:val="24"/>
          <w:szCs w:val="24"/>
          <w:lang w:val="en-GB"/>
        </w:rPr>
        <w:t>Zimbabwe should e</w:t>
      </w:r>
      <w:r w:rsidR="00861362" w:rsidRPr="00797969">
        <w:rPr>
          <w:rFonts w:ascii="Tahoma" w:hAnsi="Tahoma" w:cs="Tahoma"/>
          <w:sz w:val="24"/>
          <w:szCs w:val="24"/>
          <w:lang w:val="en-GB"/>
        </w:rPr>
        <w:t>ngage with international bodies like OPEC+ to advocate for stable oil prices while diversifying energy sources to reduce vulnerability to global oil price volatility.</w:t>
      </w:r>
    </w:p>
    <w:p w14:paraId="7C05B456" w14:textId="3FDDA29E" w:rsidR="00861362" w:rsidRPr="00861362" w:rsidRDefault="007B6F4C" w:rsidP="00861362">
      <w:pPr>
        <w:ind w:left="720" w:hanging="720"/>
        <w:rPr>
          <w:rFonts w:ascii="Tahoma" w:hAnsi="Tahoma" w:cs="Tahoma"/>
          <w:b/>
          <w:bCs/>
          <w:sz w:val="24"/>
          <w:szCs w:val="24"/>
          <w:lang w:val="en-GB"/>
        </w:rPr>
      </w:pPr>
      <w:r>
        <w:rPr>
          <w:rFonts w:ascii="Tahoma" w:hAnsi="Tahoma" w:cs="Tahoma"/>
          <w:b/>
          <w:bCs/>
          <w:sz w:val="24"/>
          <w:szCs w:val="24"/>
          <w:lang w:val="en-GB"/>
        </w:rPr>
        <w:t>9.1.</w:t>
      </w:r>
      <w:r w:rsidR="00861362" w:rsidRPr="00861362">
        <w:rPr>
          <w:rFonts w:ascii="Tahoma" w:hAnsi="Tahoma" w:cs="Tahoma"/>
          <w:b/>
          <w:bCs/>
          <w:sz w:val="24"/>
          <w:szCs w:val="24"/>
          <w:lang w:val="en-GB"/>
        </w:rPr>
        <w:t>8 Social and Infrastructure Investment</w:t>
      </w:r>
    </w:p>
    <w:p w14:paraId="01E43205" w14:textId="30AF5552" w:rsidR="00861362" w:rsidRPr="00797969" w:rsidRDefault="007B6F4C" w:rsidP="00797969">
      <w:pPr>
        <w:ind w:left="720"/>
        <w:jc w:val="both"/>
        <w:rPr>
          <w:rFonts w:ascii="Tahoma" w:hAnsi="Tahoma" w:cs="Tahoma"/>
          <w:sz w:val="24"/>
          <w:szCs w:val="24"/>
          <w:lang w:val="en-GB"/>
        </w:rPr>
      </w:pPr>
      <w:r w:rsidRPr="00797969">
        <w:rPr>
          <w:rFonts w:ascii="Tahoma" w:hAnsi="Tahoma" w:cs="Tahoma"/>
          <w:sz w:val="24"/>
          <w:szCs w:val="24"/>
          <w:lang w:val="en-GB"/>
        </w:rPr>
        <w:t>There is need to a</w:t>
      </w:r>
      <w:r w:rsidR="00861362" w:rsidRPr="00797969">
        <w:rPr>
          <w:rFonts w:ascii="Tahoma" w:hAnsi="Tahoma" w:cs="Tahoma"/>
          <w:sz w:val="24"/>
          <w:szCs w:val="24"/>
          <w:lang w:val="en-GB"/>
        </w:rPr>
        <w:t>ddress social inflation drivers by expanding access to affordable housing, energy, and essential services.</w:t>
      </w:r>
    </w:p>
    <w:p w14:paraId="2A5F9726" w14:textId="0524A5D5" w:rsidR="00861362" w:rsidRPr="00797969" w:rsidRDefault="007B6F4C" w:rsidP="00797969">
      <w:pPr>
        <w:ind w:left="720"/>
        <w:jc w:val="both"/>
        <w:rPr>
          <w:rFonts w:ascii="Tahoma" w:hAnsi="Tahoma" w:cs="Tahoma"/>
          <w:sz w:val="24"/>
          <w:szCs w:val="24"/>
          <w:lang w:val="en-GB"/>
        </w:rPr>
      </w:pPr>
      <w:r w:rsidRPr="00797969">
        <w:rPr>
          <w:rFonts w:ascii="Tahoma" w:hAnsi="Tahoma" w:cs="Tahoma"/>
          <w:sz w:val="24"/>
          <w:szCs w:val="24"/>
          <w:lang w:val="en-GB"/>
        </w:rPr>
        <w:t>The country should i</w:t>
      </w:r>
      <w:r w:rsidR="00861362" w:rsidRPr="00797969">
        <w:rPr>
          <w:rFonts w:ascii="Tahoma" w:hAnsi="Tahoma" w:cs="Tahoma"/>
          <w:sz w:val="24"/>
          <w:szCs w:val="24"/>
          <w:lang w:val="en-GB"/>
        </w:rPr>
        <w:t>nvest in transport and utility infrastructure to support economic activities, reduce production costs, and attract investments.</w:t>
      </w:r>
    </w:p>
    <w:p w14:paraId="423574C4" w14:textId="21A5E876" w:rsidR="00A35184" w:rsidRDefault="00790EF8" w:rsidP="00797969">
      <w:r>
        <w:rPr>
          <w:lang w:val="en-US"/>
        </w:rPr>
        <w:br w:type="page"/>
      </w:r>
    </w:p>
    <w:bookmarkStart w:id="79" w:name="_Toc188955370" w:displacedByCustomXml="next"/>
    <w:sdt>
      <w:sdtPr>
        <w:rPr>
          <w:rFonts w:ascii="Calibri" w:eastAsia="Calibri" w:hAnsi="Calibri"/>
          <w:b w:val="0"/>
          <w:sz w:val="22"/>
          <w:szCs w:val="22"/>
          <w:lang w:val="en-GB"/>
        </w:rPr>
        <w:id w:val="-235097665"/>
        <w:docPartObj>
          <w:docPartGallery w:val="Bibliographies"/>
          <w:docPartUnique/>
        </w:docPartObj>
      </w:sdtPr>
      <w:sdtEndPr>
        <w:rPr>
          <w:lang w:val="en-ZW"/>
        </w:rPr>
      </w:sdtEndPr>
      <w:sdtContent>
        <w:p w14:paraId="462EFE88" w14:textId="3153DAD3" w:rsidR="00554386" w:rsidRPr="00554386" w:rsidRDefault="00554386" w:rsidP="00797969">
          <w:pPr>
            <w:pStyle w:val="Heading1"/>
            <w:spacing w:before="0" w:after="240"/>
            <w:jc w:val="both"/>
          </w:pPr>
          <w:r w:rsidRPr="00554386">
            <w:t>References</w:t>
          </w:r>
          <w:bookmarkEnd w:id="79"/>
        </w:p>
        <w:sdt>
          <w:sdtPr>
            <w:id w:val="-573587230"/>
            <w:bibliography/>
          </w:sdtPr>
          <w:sdtContent>
            <w:p w14:paraId="7BCFAD06" w14:textId="77777777" w:rsidR="00554386" w:rsidRPr="00554386" w:rsidRDefault="00554386" w:rsidP="00797969">
              <w:pPr>
                <w:pStyle w:val="Bibliography"/>
                <w:ind w:left="720" w:hanging="720"/>
                <w:jc w:val="both"/>
                <w:rPr>
                  <w:rFonts w:ascii="Tahoma" w:hAnsi="Tahoma" w:cs="Tahoma"/>
                  <w:noProof/>
                  <w:kern w:val="0"/>
                  <w:sz w:val="24"/>
                  <w:szCs w:val="24"/>
                  <w:lang w:val="en-GB"/>
                </w:rPr>
              </w:pPr>
              <w:r w:rsidRPr="00554386">
                <w:rPr>
                  <w:rFonts w:ascii="Tahoma" w:hAnsi="Tahoma" w:cs="Tahoma"/>
                  <w:sz w:val="24"/>
                  <w:szCs w:val="24"/>
                </w:rPr>
                <w:fldChar w:fldCharType="begin"/>
              </w:r>
              <w:r w:rsidRPr="00554386">
                <w:rPr>
                  <w:rFonts w:ascii="Tahoma" w:hAnsi="Tahoma" w:cs="Tahoma"/>
                  <w:sz w:val="24"/>
                  <w:szCs w:val="24"/>
                </w:rPr>
                <w:instrText>BIBLIOGRAPHY</w:instrText>
              </w:r>
              <w:r w:rsidRPr="00554386">
                <w:rPr>
                  <w:rFonts w:ascii="Tahoma" w:hAnsi="Tahoma" w:cs="Tahoma"/>
                  <w:sz w:val="24"/>
                  <w:szCs w:val="24"/>
                </w:rPr>
                <w:fldChar w:fldCharType="separate"/>
              </w:r>
              <w:r w:rsidRPr="00554386">
                <w:rPr>
                  <w:rFonts w:ascii="Tahoma" w:hAnsi="Tahoma" w:cs="Tahoma"/>
                  <w:noProof/>
                  <w:sz w:val="24"/>
                  <w:szCs w:val="24"/>
                  <w:lang w:val="en-GB"/>
                </w:rPr>
                <w:t xml:space="preserve">ACY Securities. (2024, December). </w:t>
              </w:r>
              <w:r w:rsidRPr="00554386">
                <w:rPr>
                  <w:rFonts w:ascii="Tahoma" w:hAnsi="Tahoma" w:cs="Tahoma"/>
                  <w:i/>
                  <w:iCs/>
                  <w:noProof/>
                  <w:sz w:val="24"/>
                  <w:szCs w:val="24"/>
                  <w:lang w:val="en-GB"/>
                </w:rPr>
                <w:t>Commodity Outlook December 2024</w:t>
              </w:r>
              <w:r w:rsidRPr="00554386">
                <w:rPr>
                  <w:rFonts w:ascii="Tahoma" w:hAnsi="Tahoma" w:cs="Tahoma"/>
                  <w:noProof/>
                  <w:sz w:val="24"/>
                  <w:szCs w:val="24"/>
                  <w:lang w:val="en-GB"/>
                </w:rPr>
                <w:t>. Retrieved from ACY Securities: https://acy.com/en/market-news/market-analysis/commodity-market-outlook-december-2024-103544/</w:t>
              </w:r>
            </w:p>
            <w:p w14:paraId="692DCB71"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African Markets. (2024:, December). </w:t>
              </w:r>
              <w:r w:rsidRPr="00554386">
                <w:rPr>
                  <w:rFonts w:ascii="Tahoma" w:hAnsi="Tahoma" w:cs="Tahoma"/>
                  <w:i/>
                  <w:iCs/>
                  <w:noProof/>
                  <w:sz w:val="24"/>
                  <w:szCs w:val="24"/>
                  <w:lang w:val="en-GB"/>
                </w:rPr>
                <w:t>African Markets</w:t>
              </w:r>
              <w:r w:rsidRPr="00554386">
                <w:rPr>
                  <w:rFonts w:ascii="Tahoma" w:hAnsi="Tahoma" w:cs="Tahoma"/>
                  <w:noProof/>
                  <w:sz w:val="24"/>
                  <w:szCs w:val="24"/>
                  <w:lang w:val="en-GB"/>
                </w:rPr>
                <w:t>. Retrieved from Stock Markets: https://www.african-markets.com/en/stock-markets/zse/zimbabwe-vfex-records-historic-turnover-boosting-market-confidence</w:t>
              </w:r>
            </w:p>
            <w:p w14:paraId="1CE2AF74"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IMF. (2024). </w:t>
              </w:r>
              <w:r w:rsidRPr="00554386">
                <w:rPr>
                  <w:rFonts w:ascii="Tahoma" w:hAnsi="Tahoma" w:cs="Tahoma"/>
                  <w:i/>
                  <w:iCs/>
                  <w:noProof/>
                  <w:sz w:val="24"/>
                  <w:szCs w:val="24"/>
                  <w:lang w:val="en-GB"/>
                </w:rPr>
                <w:t>World Economic Outlook, October 2024; Global prospects and Policies: Chapter 1.</w:t>
              </w:r>
              <w:r w:rsidRPr="00554386">
                <w:rPr>
                  <w:rFonts w:ascii="Tahoma" w:hAnsi="Tahoma" w:cs="Tahoma"/>
                  <w:noProof/>
                  <w:sz w:val="24"/>
                  <w:szCs w:val="24"/>
                  <w:lang w:val="en-GB"/>
                </w:rPr>
                <w:t xml:space="preserve"> International Monetary Fund.</w:t>
              </w:r>
            </w:p>
            <w:p w14:paraId="3F71C337"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RBZ. (2024). </w:t>
              </w:r>
              <w:r w:rsidRPr="00554386">
                <w:rPr>
                  <w:rFonts w:ascii="Tahoma" w:hAnsi="Tahoma" w:cs="Tahoma"/>
                  <w:i/>
                  <w:iCs/>
                  <w:noProof/>
                  <w:sz w:val="24"/>
                  <w:szCs w:val="24"/>
                  <w:lang w:val="en-GB"/>
                </w:rPr>
                <w:t>Exchange Rates</w:t>
              </w:r>
              <w:r w:rsidRPr="00554386">
                <w:rPr>
                  <w:rFonts w:ascii="Tahoma" w:hAnsi="Tahoma" w:cs="Tahoma"/>
                  <w:noProof/>
                  <w:sz w:val="24"/>
                  <w:szCs w:val="24"/>
                  <w:lang w:val="en-GB"/>
                </w:rPr>
                <w:t>. Retrieved from Reserve Bank of Zimbabwe: https://www.rbz.co.zw/index.php/research/markets/exchange-rates</w:t>
              </w:r>
            </w:p>
            <w:p w14:paraId="0A5AF92A"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Reserve Bank of Zimbabwe. (2024). </w:t>
              </w:r>
              <w:r w:rsidRPr="00554386">
                <w:rPr>
                  <w:rFonts w:ascii="Tahoma" w:hAnsi="Tahoma" w:cs="Tahoma"/>
                  <w:i/>
                  <w:iCs/>
                  <w:noProof/>
                  <w:sz w:val="24"/>
                  <w:szCs w:val="24"/>
                  <w:lang w:val="en-GB"/>
                </w:rPr>
                <w:t>Monthly Economic Review: October 2024.</w:t>
              </w:r>
              <w:r w:rsidRPr="00554386">
                <w:rPr>
                  <w:rFonts w:ascii="Tahoma" w:hAnsi="Tahoma" w:cs="Tahoma"/>
                  <w:noProof/>
                  <w:sz w:val="24"/>
                  <w:szCs w:val="24"/>
                  <w:lang w:val="en-GB"/>
                </w:rPr>
                <w:t xml:space="preserve"> RBZ.</w:t>
              </w:r>
            </w:p>
            <w:p w14:paraId="5F156E1D"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Reserve Bank of Zimbabwe. (2024). </w:t>
              </w:r>
              <w:r w:rsidRPr="00554386">
                <w:rPr>
                  <w:rFonts w:ascii="Tahoma" w:hAnsi="Tahoma" w:cs="Tahoma"/>
                  <w:i/>
                  <w:iCs/>
                  <w:noProof/>
                  <w:sz w:val="24"/>
                  <w:szCs w:val="24"/>
                  <w:lang w:val="en-GB"/>
                </w:rPr>
                <w:t>Weekely Economic Highlights, 13 December 2024, Vol 26 No 50.</w:t>
              </w:r>
              <w:r w:rsidRPr="00554386">
                <w:rPr>
                  <w:rFonts w:ascii="Tahoma" w:hAnsi="Tahoma" w:cs="Tahoma"/>
                  <w:noProof/>
                  <w:sz w:val="24"/>
                  <w:szCs w:val="24"/>
                  <w:lang w:val="en-GB"/>
                </w:rPr>
                <w:t xml:space="preserve"> Reserve Bank of Zimbabwe.</w:t>
              </w:r>
            </w:p>
            <w:p w14:paraId="542E2EAB"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Trading Economics. (2024). </w:t>
              </w:r>
              <w:r w:rsidRPr="00554386">
                <w:rPr>
                  <w:rFonts w:ascii="Tahoma" w:hAnsi="Tahoma" w:cs="Tahoma"/>
                  <w:i/>
                  <w:iCs/>
                  <w:noProof/>
                  <w:sz w:val="24"/>
                  <w:szCs w:val="24"/>
                  <w:lang w:val="en-GB"/>
                </w:rPr>
                <w:t>Commodities</w:t>
              </w:r>
              <w:r w:rsidRPr="00554386">
                <w:rPr>
                  <w:rFonts w:ascii="Tahoma" w:hAnsi="Tahoma" w:cs="Tahoma"/>
                  <w:noProof/>
                  <w:sz w:val="24"/>
                  <w:szCs w:val="24"/>
                  <w:lang w:val="en-GB"/>
                </w:rPr>
                <w:t>. Retrieved from Trading Economics: https://tradingeconomics.com/commodity/crude-oil</w:t>
              </w:r>
            </w:p>
            <w:p w14:paraId="0AC131B0"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VFEX. (2024). </w:t>
              </w:r>
              <w:r w:rsidRPr="00554386">
                <w:rPr>
                  <w:rFonts w:ascii="Tahoma" w:hAnsi="Tahoma" w:cs="Tahoma"/>
                  <w:i/>
                  <w:iCs/>
                  <w:noProof/>
                  <w:sz w:val="24"/>
                  <w:szCs w:val="24"/>
                  <w:lang w:val="en-GB"/>
                </w:rPr>
                <w:t>Main Dashboard</w:t>
              </w:r>
              <w:r w:rsidRPr="00554386">
                <w:rPr>
                  <w:rFonts w:ascii="Tahoma" w:hAnsi="Tahoma" w:cs="Tahoma"/>
                  <w:noProof/>
                  <w:sz w:val="24"/>
                  <w:szCs w:val="24"/>
                  <w:lang w:val="en-GB"/>
                </w:rPr>
                <w:t>. Retrieved from Victoria Falls Stock Exchange: https://www.vfex.exchange/</w:t>
              </w:r>
            </w:p>
            <w:p w14:paraId="309BDF11"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ZimStat. (2024). </w:t>
              </w:r>
              <w:r w:rsidRPr="00554386">
                <w:rPr>
                  <w:rFonts w:ascii="Tahoma" w:hAnsi="Tahoma" w:cs="Tahoma"/>
                  <w:i/>
                  <w:iCs/>
                  <w:noProof/>
                  <w:sz w:val="24"/>
                  <w:szCs w:val="24"/>
                  <w:lang w:val="en-GB"/>
                </w:rPr>
                <w:t>Inflation Rates</w:t>
              </w:r>
              <w:r w:rsidRPr="00554386">
                <w:rPr>
                  <w:rFonts w:ascii="Tahoma" w:hAnsi="Tahoma" w:cs="Tahoma"/>
                  <w:noProof/>
                  <w:sz w:val="24"/>
                  <w:szCs w:val="24"/>
                  <w:lang w:val="en-GB"/>
                </w:rPr>
                <w:t>. Retrieved from Zimbabwe Statistics Agency: https://www.zimstat.co.zw/</w:t>
              </w:r>
            </w:p>
            <w:p w14:paraId="66C95681" w14:textId="77777777" w:rsidR="00554386" w:rsidRPr="00554386" w:rsidRDefault="00554386" w:rsidP="00797969">
              <w:pPr>
                <w:pStyle w:val="Bibliography"/>
                <w:ind w:left="720" w:hanging="720"/>
                <w:jc w:val="both"/>
                <w:rPr>
                  <w:rFonts w:ascii="Tahoma" w:hAnsi="Tahoma" w:cs="Tahoma"/>
                  <w:noProof/>
                  <w:sz w:val="24"/>
                  <w:szCs w:val="24"/>
                  <w:lang w:val="en-GB"/>
                </w:rPr>
              </w:pPr>
              <w:r w:rsidRPr="00554386">
                <w:rPr>
                  <w:rFonts w:ascii="Tahoma" w:hAnsi="Tahoma" w:cs="Tahoma"/>
                  <w:noProof/>
                  <w:sz w:val="24"/>
                  <w:szCs w:val="24"/>
                  <w:lang w:val="en-GB"/>
                </w:rPr>
                <w:t xml:space="preserve">ZSE. (2024). </w:t>
              </w:r>
              <w:r w:rsidRPr="00554386">
                <w:rPr>
                  <w:rFonts w:ascii="Tahoma" w:hAnsi="Tahoma" w:cs="Tahoma"/>
                  <w:i/>
                  <w:iCs/>
                  <w:noProof/>
                  <w:sz w:val="24"/>
                  <w:szCs w:val="24"/>
                  <w:lang w:val="en-GB"/>
                </w:rPr>
                <w:t>Main Dashboard</w:t>
              </w:r>
              <w:r w:rsidRPr="00554386">
                <w:rPr>
                  <w:rFonts w:ascii="Tahoma" w:hAnsi="Tahoma" w:cs="Tahoma"/>
                  <w:noProof/>
                  <w:sz w:val="24"/>
                  <w:szCs w:val="24"/>
                  <w:lang w:val="en-GB"/>
                </w:rPr>
                <w:t>. Retrieved from Zimbabwe Stock Exchange: https://www.zse.co.zw/</w:t>
              </w:r>
            </w:p>
            <w:p w14:paraId="13E77ABB" w14:textId="41D20698" w:rsidR="00554386" w:rsidRDefault="00554386" w:rsidP="00797969">
              <w:pPr>
                <w:jc w:val="both"/>
              </w:pPr>
              <w:r w:rsidRPr="00554386">
                <w:rPr>
                  <w:rFonts w:ascii="Tahoma" w:hAnsi="Tahoma" w:cs="Tahoma"/>
                  <w:b/>
                  <w:bCs/>
                  <w:sz w:val="24"/>
                  <w:szCs w:val="24"/>
                </w:rPr>
                <w:fldChar w:fldCharType="end"/>
              </w:r>
            </w:p>
          </w:sdtContent>
        </w:sdt>
      </w:sdtContent>
    </w:sdt>
    <w:p w14:paraId="4DDA6CFA" w14:textId="77777777" w:rsidR="009428C2" w:rsidRDefault="009428C2" w:rsidP="009428C2"/>
    <w:p w14:paraId="4F93A396" w14:textId="77777777" w:rsidR="009428C2" w:rsidRDefault="009428C2" w:rsidP="009428C2"/>
    <w:p w14:paraId="6DF7997D" w14:textId="77777777" w:rsidR="0017300E" w:rsidRPr="0017300E" w:rsidRDefault="0017300E" w:rsidP="0017300E">
      <w:pPr>
        <w:rPr>
          <w:rFonts w:ascii="Tahoma" w:hAnsi="Tahoma" w:cs="Tahoma"/>
          <w:sz w:val="24"/>
          <w:szCs w:val="24"/>
        </w:rPr>
      </w:pPr>
    </w:p>
    <w:p w14:paraId="4EC8551C" w14:textId="77777777" w:rsidR="009C724B" w:rsidRPr="0008009F" w:rsidRDefault="009C724B" w:rsidP="009C724B">
      <w:pPr>
        <w:pStyle w:val="ListParagraph"/>
        <w:ind w:left="0"/>
        <w:jc w:val="right"/>
        <w:rPr>
          <w:rFonts w:ascii="Tahoma" w:hAnsi="Tahoma" w:cs="Tahoma"/>
          <w:sz w:val="24"/>
          <w:szCs w:val="24"/>
          <w:lang w:val="en-US"/>
        </w:rPr>
      </w:pPr>
      <w:r w:rsidRPr="0008009F">
        <w:rPr>
          <w:rFonts w:ascii="Tahoma" w:hAnsi="Tahoma" w:cs="Tahoma"/>
          <w:b/>
          <w:iCs/>
          <w:sz w:val="24"/>
          <w:szCs w:val="24"/>
          <w:lang w:val="en-US"/>
        </w:rPr>
        <w:t>NECF Secretariat, 202</w:t>
      </w:r>
      <w:r>
        <w:rPr>
          <w:rFonts w:ascii="Tahoma" w:hAnsi="Tahoma" w:cs="Tahoma"/>
          <w:b/>
          <w:iCs/>
          <w:sz w:val="24"/>
          <w:szCs w:val="24"/>
          <w:lang w:val="en-US"/>
        </w:rPr>
        <w:t>4</w:t>
      </w:r>
    </w:p>
    <w:p w14:paraId="7675E105" w14:textId="77777777" w:rsidR="00EF3AD6" w:rsidRPr="0017300E" w:rsidRDefault="00EF3AD6" w:rsidP="0017300E">
      <w:pPr>
        <w:pStyle w:val="ListParagraph"/>
        <w:ind w:left="0"/>
        <w:rPr>
          <w:rFonts w:ascii="Tahoma" w:hAnsi="Tahoma" w:cs="Tahoma"/>
          <w:sz w:val="24"/>
          <w:szCs w:val="24"/>
          <w:lang w:val="en-US"/>
        </w:rPr>
      </w:pPr>
    </w:p>
    <w:sectPr w:rsidR="00EF3AD6" w:rsidRPr="0017300E" w:rsidSect="006D22C2">
      <w:head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4CF56" w14:textId="77777777" w:rsidR="00DC59AF" w:rsidRDefault="00DC59AF" w:rsidP="00654F03">
      <w:pPr>
        <w:spacing w:after="0" w:line="240" w:lineRule="auto"/>
      </w:pPr>
      <w:r>
        <w:separator/>
      </w:r>
    </w:p>
    <w:p w14:paraId="20C303A4" w14:textId="77777777" w:rsidR="00DC59AF" w:rsidRDefault="00DC59AF"/>
    <w:p w14:paraId="746F658B" w14:textId="77777777" w:rsidR="00DC59AF" w:rsidRDefault="00DC59AF" w:rsidP="00D751E8"/>
  </w:endnote>
  <w:endnote w:type="continuationSeparator" w:id="0">
    <w:p w14:paraId="7FA91914" w14:textId="77777777" w:rsidR="00DC59AF" w:rsidRDefault="00DC59AF" w:rsidP="00654F03">
      <w:pPr>
        <w:spacing w:after="0" w:line="240" w:lineRule="auto"/>
      </w:pPr>
      <w:r>
        <w:continuationSeparator/>
      </w:r>
    </w:p>
    <w:p w14:paraId="153415F8" w14:textId="77777777" w:rsidR="00DC59AF" w:rsidRDefault="00DC59AF"/>
    <w:p w14:paraId="0A3B8EC2" w14:textId="77777777" w:rsidR="00DC59AF" w:rsidRDefault="00DC59AF"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1071772"/>
      <w:docPartObj>
        <w:docPartGallery w:val="Page Numbers (Bottom of Page)"/>
        <w:docPartUnique/>
      </w:docPartObj>
    </w:sdtPr>
    <w:sdtEndPr>
      <w:rPr>
        <w:color w:val="7F7F7F" w:themeColor="background1" w:themeShade="7F"/>
        <w:spacing w:val="60"/>
      </w:rPr>
    </w:sdtEndPr>
    <w:sdtContent>
      <w:p w14:paraId="7E5F8CF6" w14:textId="5D54C03B" w:rsidR="00237F4C" w:rsidRDefault="00237F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p>
    </w:sdtContent>
  </w:sdt>
  <w:p w14:paraId="55377235" w14:textId="77777777" w:rsidR="006E77DB" w:rsidRDefault="006E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A4C32" w14:textId="77777777" w:rsidR="00DC59AF" w:rsidRDefault="00DC59AF" w:rsidP="00654F03">
      <w:pPr>
        <w:spacing w:after="0" w:line="240" w:lineRule="auto"/>
      </w:pPr>
      <w:r>
        <w:separator/>
      </w:r>
    </w:p>
    <w:p w14:paraId="0BFA04CA" w14:textId="77777777" w:rsidR="00DC59AF" w:rsidRDefault="00DC59AF"/>
    <w:p w14:paraId="11967F12" w14:textId="77777777" w:rsidR="00DC59AF" w:rsidRDefault="00DC59AF" w:rsidP="00D751E8"/>
  </w:footnote>
  <w:footnote w:type="continuationSeparator" w:id="0">
    <w:p w14:paraId="6448F50A" w14:textId="77777777" w:rsidR="00DC59AF" w:rsidRDefault="00DC59AF" w:rsidP="00654F03">
      <w:pPr>
        <w:spacing w:after="0" w:line="240" w:lineRule="auto"/>
      </w:pPr>
      <w:r>
        <w:continuationSeparator/>
      </w:r>
    </w:p>
    <w:p w14:paraId="5DED5D2B" w14:textId="77777777" w:rsidR="00DC59AF" w:rsidRDefault="00DC59AF"/>
    <w:p w14:paraId="761C20F8" w14:textId="77777777" w:rsidR="00DC59AF" w:rsidRDefault="00DC59AF" w:rsidP="00D751E8"/>
  </w:footnote>
  <w:footnote w:id="1">
    <w:p w14:paraId="395F19B0" w14:textId="372BBC14" w:rsidR="000529F0" w:rsidRPr="00797969" w:rsidRDefault="000529F0">
      <w:pPr>
        <w:pStyle w:val="FootnoteText"/>
        <w:rPr>
          <w:lang w:val="en-GB"/>
        </w:rPr>
      </w:pPr>
      <w:r>
        <w:rPr>
          <w:rStyle w:val="FootnoteReference"/>
        </w:rPr>
        <w:footnoteRef/>
      </w:r>
      <w:r>
        <w:t xml:space="preserve"> </w:t>
      </w:r>
      <w:r>
        <w:rPr>
          <w:lang w:val="en-GB"/>
        </w:rPr>
        <w:t xml:space="preserve">The </w:t>
      </w:r>
      <w:r w:rsidRPr="000529F0">
        <w:t>global growth projections by KPMG International Global Growth Outlook for 2024 differ slightly by 0.1% from the IMF WEO Outlook projections</w:t>
      </w:r>
      <w:r>
        <w:t xml:space="preserve">, see Figure 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882A" w14:textId="77777777" w:rsidR="006E77DB" w:rsidRDefault="006E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7B9E"/>
    <w:multiLevelType w:val="multilevel"/>
    <w:tmpl w:val="645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3C6"/>
    <w:multiLevelType w:val="multilevel"/>
    <w:tmpl w:val="8EB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12217"/>
    <w:multiLevelType w:val="multilevel"/>
    <w:tmpl w:val="2B4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A3E6660"/>
    <w:multiLevelType w:val="multilevel"/>
    <w:tmpl w:val="8A265644"/>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205C2267"/>
    <w:multiLevelType w:val="multilevel"/>
    <w:tmpl w:val="1C1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3A3"/>
    <w:multiLevelType w:val="multilevel"/>
    <w:tmpl w:val="7116B1E8"/>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241D1541"/>
    <w:multiLevelType w:val="multilevel"/>
    <w:tmpl w:val="4208BFCE"/>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BAD3FAB"/>
    <w:multiLevelType w:val="multilevel"/>
    <w:tmpl w:val="78E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85661"/>
    <w:multiLevelType w:val="multilevel"/>
    <w:tmpl w:val="11FC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420B6531"/>
    <w:multiLevelType w:val="multilevel"/>
    <w:tmpl w:val="C3B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D60D7"/>
    <w:multiLevelType w:val="multilevel"/>
    <w:tmpl w:val="AEB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E3BB8"/>
    <w:multiLevelType w:val="multilevel"/>
    <w:tmpl w:val="8C58B400"/>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472808B8"/>
    <w:multiLevelType w:val="multilevel"/>
    <w:tmpl w:val="504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53A49"/>
    <w:multiLevelType w:val="multilevel"/>
    <w:tmpl w:val="73B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07FA1"/>
    <w:multiLevelType w:val="multilevel"/>
    <w:tmpl w:val="0998752C"/>
    <w:lvl w:ilvl="0">
      <w:start w:val="9"/>
      <w:numFmt w:val="decimal"/>
      <w:lvlText w:val="%1"/>
      <w:lvlJc w:val="left"/>
      <w:pPr>
        <w:ind w:left="750" w:hanging="750"/>
      </w:pPr>
      <w:rPr>
        <w:rFonts w:hint="default"/>
        <w:b/>
      </w:rPr>
    </w:lvl>
    <w:lvl w:ilvl="1">
      <w:start w:val="1"/>
      <w:numFmt w:val="decimal"/>
      <w:lvlText w:val="%1.%2"/>
      <w:lvlJc w:val="left"/>
      <w:pPr>
        <w:ind w:left="750" w:hanging="750"/>
      </w:pPr>
      <w:rPr>
        <w:rFonts w:hint="default"/>
        <w:b/>
      </w:rPr>
    </w:lvl>
    <w:lvl w:ilvl="2">
      <w:start w:val="12"/>
      <w:numFmt w:val="decimal"/>
      <w:lvlText w:val="%1.%2.%3"/>
      <w:lvlJc w:val="left"/>
      <w:pPr>
        <w:ind w:left="750" w:hanging="75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4D8F35C4"/>
    <w:multiLevelType w:val="multilevel"/>
    <w:tmpl w:val="A21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21E4E"/>
    <w:multiLevelType w:val="multilevel"/>
    <w:tmpl w:val="BEF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043B2"/>
    <w:multiLevelType w:val="multilevel"/>
    <w:tmpl w:val="879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9761C"/>
    <w:multiLevelType w:val="multilevel"/>
    <w:tmpl w:val="C4B25906"/>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5816130F"/>
    <w:multiLevelType w:val="multilevel"/>
    <w:tmpl w:val="D4C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68420762"/>
    <w:multiLevelType w:val="multilevel"/>
    <w:tmpl w:val="CB2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D5971"/>
    <w:multiLevelType w:val="multilevel"/>
    <w:tmpl w:val="FCD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A712E"/>
    <w:multiLevelType w:val="multilevel"/>
    <w:tmpl w:val="807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06518"/>
    <w:multiLevelType w:val="multilevel"/>
    <w:tmpl w:val="3F7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90935534">
    <w:abstractNumId w:val="24"/>
  </w:num>
  <w:num w:numId="2" w16cid:durableId="874923556">
    <w:abstractNumId w:val="29"/>
  </w:num>
  <w:num w:numId="3" w16cid:durableId="284166034">
    <w:abstractNumId w:val="8"/>
  </w:num>
  <w:num w:numId="4" w16cid:durableId="497965357">
    <w:abstractNumId w:val="9"/>
  </w:num>
  <w:num w:numId="5" w16cid:durableId="1683242485">
    <w:abstractNumId w:val="12"/>
  </w:num>
  <w:num w:numId="6" w16cid:durableId="228807139">
    <w:abstractNumId w:val="3"/>
  </w:num>
  <w:num w:numId="7" w16cid:durableId="807742019">
    <w:abstractNumId w:val="27"/>
  </w:num>
  <w:num w:numId="8" w16cid:durableId="217713302">
    <w:abstractNumId w:val="0"/>
  </w:num>
  <w:num w:numId="9" w16cid:durableId="777798105">
    <w:abstractNumId w:val="13"/>
  </w:num>
  <w:num w:numId="10" w16cid:durableId="845637487">
    <w:abstractNumId w:val="23"/>
  </w:num>
  <w:num w:numId="11" w16cid:durableId="1402485173">
    <w:abstractNumId w:val="25"/>
  </w:num>
  <w:num w:numId="12" w16cid:durableId="1922179601">
    <w:abstractNumId w:val="2"/>
  </w:num>
  <w:num w:numId="13" w16cid:durableId="2066027949">
    <w:abstractNumId w:val="5"/>
  </w:num>
  <w:num w:numId="14" w16cid:durableId="1202086439">
    <w:abstractNumId w:val="19"/>
  </w:num>
  <w:num w:numId="15" w16cid:durableId="2034727699">
    <w:abstractNumId w:val="7"/>
  </w:num>
  <w:num w:numId="16" w16cid:durableId="1999307851">
    <w:abstractNumId w:val="4"/>
  </w:num>
  <w:num w:numId="17" w16cid:durableId="1513496899">
    <w:abstractNumId w:val="18"/>
  </w:num>
  <w:num w:numId="18" w16cid:durableId="1192720116">
    <w:abstractNumId w:val="22"/>
  </w:num>
  <w:num w:numId="19" w16cid:durableId="163521430">
    <w:abstractNumId w:val="15"/>
  </w:num>
  <w:num w:numId="20" w16cid:durableId="1683387789">
    <w:abstractNumId w:val="6"/>
  </w:num>
  <w:num w:numId="21" w16cid:durableId="1413702704">
    <w:abstractNumId w:val="17"/>
  </w:num>
  <w:num w:numId="22" w16cid:durableId="1416243717">
    <w:abstractNumId w:val="21"/>
  </w:num>
  <w:num w:numId="23" w16cid:durableId="1319769345">
    <w:abstractNumId w:val="20"/>
  </w:num>
  <w:num w:numId="24" w16cid:durableId="1342929491">
    <w:abstractNumId w:val="28"/>
  </w:num>
  <w:num w:numId="25" w16cid:durableId="1994328467">
    <w:abstractNumId w:val="1"/>
  </w:num>
  <w:num w:numId="26" w16cid:durableId="1225801342">
    <w:abstractNumId w:val="26"/>
  </w:num>
  <w:num w:numId="27" w16cid:durableId="1069420952">
    <w:abstractNumId w:val="10"/>
  </w:num>
  <w:num w:numId="28" w16cid:durableId="1187138513">
    <w:abstractNumId w:val="11"/>
  </w:num>
  <w:num w:numId="29" w16cid:durableId="441346677">
    <w:abstractNumId w:val="14"/>
  </w:num>
  <w:num w:numId="30" w16cid:durableId="269432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0C72"/>
    <w:rsid w:val="00001AB7"/>
    <w:rsid w:val="000038E5"/>
    <w:rsid w:val="00003AB2"/>
    <w:rsid w:val="00004DDD"/>
    <w:rsid w:val="000054C7"/>
    <w:rsid w:val="000063E5"/>
    <w:rsid w:val="00006C30"/>
    <w:rsid w:val="0000732F"/>
    <w:rsid w:val="00010505"/>
    <w:rsid w:val="00010C2D"/>
    <w:rsid w:val="000123EE"/>
    <w:rsid w:val="0001267B"/>
    <w:rsid w:val="000129B7"/>
    <w:rsid w:val="00013442"/>
    <w:rsid w:val="0001510C"/>
    <w:rsid w:val="00017757"/>
    <w:rsid w:val="00020012"/>
    <w:rsid w:val="00022600"/>
    <w:rsid w:val="00022BFE"/>
    <w:rsid w:val="000250F2"/>
    <w:rsid w:val="00026A42"/>
    <w:rsid w:val="0003098D"/>
    <w:rsid w:val="00030CEE"/>
    <w:rsid w:val="00031044"/>
    <w:rsid w:val="0003115B"/>
    <w:rsid w:val="000312F5"/>
    <w:rsid w:val="000313AF"/>
    <w:rsid w:val="00031E9A"/>
    <w:rsid w:val="0003253B"/>
    <w:rsid w:val="0003293A"/>
    <w:rsid w:val="000338D4"/>
    <w:rsid w:val="0003407B"/>
    <w:rsid w:val="000346FD"/>
    <w:rsid w:val="00036597"/>
    <w:rsid w:val="00036704"/>
    <w:rsid w:val="0003672E"/>
    <w:rsid w:val="000376E5"/>
    <w:rsid w:val="00041010"/>
    <w:rsid w:val="0004125F"/>
    <w:rsid w:val="00041EA2"/>
    <w:rsid w:val="00043173"/>
    <w:rsid w:val="000469C1"/>
    <w:rsid w:val="00046B8A"/>
    <w:rsid w:val="00047DEA"/>
    <w:rsid w:val="00050765"/>
    <w:rsid w:val="000529F0"/>
    <w:rsid w:val="000534B5"/>
    <w:rsid w:val="00056BC8"/>
    <w:rsid w:val="00056C3C"/>
    <w:rsid w:val="00056CEF"/>
    <w:rsid w:val="00060BA3"/>
    <w:rsid w:val="0006371A"/>
    <w:rsid w:val="00064B59"/>
    <w:rsid w:val="00066B05"/>
    <w:rsid w:val="00067C6D"/>
    <w:rsid w:val="00070950"/>
    <w:rsid w:val="00071182"/>
    <w:rsid w:val="0007119B"/>
    <w:rsid w:val="00071565"/>
    <w:rsid w:val="000732CC"/>
    <w:rsid w:val="000735EE"/>
    <w:rsid w:val="00074C3E"/>
    <w:rsid w:val="0007507E"/>
    <w:rsid w:val="0007510B"/>
    <w:rsid w:val="000751D2"/>
    <w:rsid w:val="00077E32"/>
    <w:rsid w:val="0008009F"/>
    <w:rsid w:val="00081C1C"/>
    <w:rsid w:val="00083ABE"/>
    <w:rsid w:val="00083E6C"/>
    <w:rsid w:val="00084409"/>
    <w:rsid w:val="0008600D"/>
    <w:rsid w:val="00086539"/>
    <w:rsid w:val="00086A1B"/>
    <w:rsid w:val="00086F82"/>
    <w:rsid w:val="0008784D"/>
    <w:rsid w:val="00087AC2"/>
    <w:rsid w:val="00087E0F"/>
    <w:rsid w:val="00090D37"/>
    <w:rsid w:val="00093CAE"/>
    <w:rsid w:val="00096221"/>
    <w:rsid w:val="0009726E"/>
    <w:rsid w:val="0009768B"/>
    <w:rsid w:val="000A2C99"/>
    <w:rsid w:val="000A50AA"/>
    <w:rsid w:val="000A5880"/>
    <w:rsid w:val="000A7B2C"/>
    <w:rsid w:val="000B0224"/>
    <w:rsid w:val="000B0C38"/>
    <w:rsid w:val="000B183B"/>
    <w:rsid w:val="000B4023"/>
    <w:rsid w:val="000B5F4D"/>
    <w:rsid w:val="000B622D"/>
    <w:rsid w:val="000B63CE"/>
    <w:rsid w:val="000B6AA5"/>
    <w:rsid w:val="000B6E25"/>
    <w:rsid w:val="000B790A"/>
    <w:rsid w:val="000C07CA"/>
    <w:rsid w:val="000C1657"/>
    <w:rsid w:val="000C2206"/>
    <w:rsid w:val="000C29DA"/>
    <w:rsid w:val="000C2AA3"/>
    <w:rsid w:val="000C2D96"/>
    <w:rsid w:val="000C3268"/>
    <w:rsid w:val="000C412D"/>
    <w:rsid w:val="000C447C"/>
    <w:rsid w:val="000C5E77"/>
    <w:rsid w:val="000C78EC"/>
    <w:rsid w:val="000D1368"/>
    <w:rsid w:val="000D1AB4"/>
    <w:rsid w:val="000D22EE"/>
    <w:rsid w:val="000D2543"/>
    <w:rsid w:val="000D4C34"/>
    <w:rsid w:val="000D5212"/>
    <w:rsid w:val="000E0195"/>
    <w:rsid w:val="000E2BAB"/>
    <w:rsid w:val="000E31C4"/>
    <w:rsid w:val="000E3511"/>
    <w:rsid w:val="000E455D"/>
    <w:rsid w:val="000E6686"/>
    <w:rsid w:val="000F14FE"/>
    <w:rsid w:val="000F316D"/>
    <w:rsid w:val="000F32A6"/>
    <w:rsid w:val="000F38C3"/>
    <w:rsid w:val="000F392D"/>
    <w:rsid w:val="000F5180"/>
    <w:rsid w:val="000F54F6"/>
    <w:rsid w:val="000F7929"/>
    <w:rsid w:val="000F7BEA"/>
    <w:rsid w:val="001000B2"/>
    <w:rsid w:val="00100AD4"/>
    <w:rsid w:val="001016F9"/>
    <w:rsid w:val="00101BC7"/>
    <w:rsid w:val="00101D9E"/>
    <w:rsid w:val="001029E1"/>
    <w:rsid w:val="00102E39"/>
    <w:rsid w:val="00103E4D"/>
    <w:rsid w:val="00104DFE"/>
    <w:rsid w:val="0010522F"/>
    <w:rsid w:val="00105DA8"/>
    <w:rsid w:val="00105EB6"/>
    <w:rsid w:val="00106B15"/>
    <w:rsid w:val="00106B69"/>
    <w:rsid w:val="00106F16"/>
    <w:rsid w:val="0011131C"/>
    <w:rsid w:val="00111B0D"/>
    <w:rsid w:val="00113183"/>
    <w:rsid w:val="0011335B"/>
    <w:rsid w:val="00114482"/>
    <w:rsid w:val="00115C8C"/>
    <w:rsid w:val="00115D09"/>
    <w:rsid w:val="0011714C"/>
    <w:rsid w:val="00117473"/>
    <w:rsid w:val="0012148A"/>
    <w:rsid w:val="001217A1"/>
    <w:rsid w:val="00122C08"/>
    <w:rsid w:val="00123F0C"/>
    <w:rsid w:val="0012708C"/>
    <w:rsid w:val="00130CC2"/>
    <w:rsid w:val="00132EAF"/>
    <w:rsid w:val="00133028"/>
    <w:rsid w:val="00133F55"/>
    <w:rsid w:val="00134E84"/>
    <w:rsid w:val="001354A1"/>
    <w:rsid w:val="00136197"/>
    <w:rsid w:val="00137BB3"/>
    <w:rsid w:val="0014428B"/>
    <w:rsid w:val="00144B5F"/>
    <w:rsid w:val="00145005"/>
    <w:rsid w:val="00145C78"/>
    <w:rsid w:val="00146AB0"/>
    <w:rsid w:val="00146D0A"/>
    <w:rsid w:val="00146D2D"/>
    <w:rsid w:val="00150B6E"/>
    <w:rsid w:val="00152873"/>
    <w:rsid w:val="00160959"/>
    <w:rsid w:val="00161D6E"/>
    <w:rsid w:val="00165790"/>
    <w:rsid w:val="00165A7C"/>
    <w:rsid w:val="00170788"/>
    <w:rsid w:val="0017160E"/>
    <w:rsid w:val="00171A37"/>
    <w:rsid w:val="00172873"/>
    <w:rsid w:val="0017300E"/>
    <w:rsid w:val="0017376E"/>
    <w:rsid w:val="00174CBF"/>
    <w:rsid w:val="00181085"/>
    <w:rsid w:val="001810AD"/>
    <w:rsid w:val="001840D4"/>
    <w:rsid w:val="00184FA3"/>
    <w:rsid w:val="0018530E"/>
    <w:rsid w:val="0018664B"/>
    <w:rsid w:val="00187505"/>
    <w:rsid w:val="00187582"/>
    <w:rsid w:val="00190FD1"/>
    <w:rsid w:val="001910FB"/>
    <w:rsid w:val="00193B40"/>
    <w:rsid w:val="001946C3"/>
    <w:rsid w:val="00194CA9"/>
    <w:rsid w:val="0019671B"/>
    <w:rsid w:val="00196B3C"/>
    <w:rsid w:val="00197CDC"/>
    <w:rsid w:val="00197E46"/>
    <w:rsid w:val="001A0156"/>
    <w:rsid w:val="001A02C9"/>
    <w:rsid w:val="001A488A"/>
    <w:rsid w:val="001A746E"/>
    <w:rsid w:val="001B17C0"/>
    <w:rsid w:val="001B195C"/>
    <w:rsid w:val="001B3048"/>
    <w:rsid w:val="001B3D5A"/>
    <w:rsid w:val="001B5559"/>
    <w:rsid w:val="001B5A7B"/>
    <w:rsid w:val="001B5C7B"/>
    <w:rsid w:val="001B624E"/>
    <w:rsid w:val="001C152E"/>
    <w:rsid w:val="001C160D"/>
    <w:rsid w:val="001C3D17"/>
    <w:rsid w:val="001C3F65"/>
    <w:rsid w:val="001C439F"/>
    <w:rsid w:val="001C46C6"/>
    <w:rsid w:val="001C5C16"/>
    <w:rsid w:val="001C6200"/>
    <w:rsid w:val="001C6748"/>
    <w:rsid w:val="001C6D0E"/>
    <w:rsid w:val="001D0A18"/>
    <w:rsid w:val="001D2904"/>
    <w:rsid w:val="001D30EF"/>
    <w:rsid w:val="001D740D"/>
    <w:rsid w:val="001E6283"/>
    <w:rsid w:val="001E6E33"/>
    <w:rsid w:val="001E7A8A"/>
    <w:rsid w:val="001F0303"/>
    <w:rsid w:val="001F1A94"/>
    <w:rsid w:val="001F2D81"/>
    <w:rsid w:val="001F4FFB"/>
    <w:rsid w:val="00200D47"/>
    <w:rsid w:val="002019B5"/>
    <w:rsid w:val="00201F25"/>
    <w:rsid w:val="0020440A"/>
    <w:rsid w:val="0020598F"/>
    <w:rsid w:val="00206550"/>
    <w:rsid w:val="0020788D"/>
    <w:rsid w:val="002100F7"/>
    <w:rsid w:val="00210685"/>
    <w:rsid w:val="00211AC2"/>
    <w:rsid w:val="002120A6"/>
    <w:rsid w:val="0021269E"/>
    <w:rsid w:val="0021615D"/>
    <w:rsid w:val="00222F0C"/>
    <w:rsid w:val="00223152"/>
    <w:rsid w:val="00223F21"/>
    <w:rsid w:val="00224681"/>
    <w:rsid w:val="00224959"/>
    <w:rsid w:val="0022734D"/>
    <w:rsid w:val="0023127A"/>
    <w:rsid w:val="00231396"/>
    <w:rsid w:val="00235667"/>
    <w:rsid w:val="0023673D"/>
    <w:rsid w:val="0023756F"/>
    <w:rsid w:val="00237F4C"/>
    <w:rsid w:val="0024058F"/>
    <w:rsid w:val="00241F4E"/>
    <w:rsid w:val="00242F69"/>
    <w:rsid w:val="00243665"/>
    <w:rsid w:val="00243C51"/>
    <w:rsid w:val="002448A6"/>
    <w:rsid w:val="00244E77"/>
    <w:rsid w:val="00245A55"/>
    <w:rsid w:val="00245AD4"/>
    <w:rsid w:val="002461D6"/>
    <w:rsid w:val="00246949"/>
    <w:rsid w:val="002473F1"/>
    <w:rsid w:val="00247F83"/>
    <w:rsid w:val="00250A42"/>
    <w:rsid w:val="00250D1B"/>
    <w:rsid w:val="00251269"/>
    <w:rsid w:val="002525BF"/>
    <w:rsid w:val="00252C38"/>
    <w:rsid w:val="0025382A"/>
    <w:rsid w:val="00253E89"/>
    <w:rsid w:val="00253FAC"/>
    <w:rsid w:val="00254DF0"/>
    <w:rsid w:val="0025517A"/>
    <w:rsid w:val="002555BE"/>
    <w:rsid w:val="0025612B"/>
    <w:rsid w:val="002569B2"/>
    <w:rsid w:val="00256E40"/>
    <w:rsid w:val="00261A5B"/>
    <w:rsid w:val="002653B7"/>
    <w:rsid w:val="00265AEC"/>
    <w:rsid w:val="002668B7"/>
    <w:rsid w:val="002739B4"/>
    <w:rsid w:val="00280519"/>
    <w:rsid w:val="00281635"/>
    <w:rsid w:val="00281EE3"/>
    <w:rsid w:val="00283000"/>
    <w:rsid w:val="00286562"/>
    <w:rsid w:val="00286DD4"/>
    <w:rsid w:val="00287F5F"/>
    <w:rsid w:val="002908F2"/>
    <w:rsid w:val="00291B44"/>
    <w:rsid w:val="00292C22"/>
    <w:rsid w:val="002934CA"/>
    <w:rsid w:val="00293EBD"/>
    <w:rsid w:val="00293F04"/>
    <w:rsid w:val="0029429F"/>
    <w:rsid w:val="00296FDF"/>
    <w:rsid w:val="002A2E6B"/>
    <w:rsid w:val="002A3CAC"/>
    <w:rsid w:val="002A4DB7"/>
    <w:rsid w:val="002A7B6D"/>
    <w:rsid w:val="002B0281"/>
    <w:rsid w:val="002B11BD"/>
    <w:rsid w:val="002B2341"/>
    <w:rsid w:val="002B2FE8"/>
    <w:rsid w:val="002B60E5"/>
    <w:rsid w:val="002B6209"/>
    <w:rsid w:val="002B637D"/>
    <w:rsid w:val="002B7529"/>
    <w:rsid w:val="002B7F4B"/>
    <w:rsid w:val="002C1E2D"/>
    <w:rsid w:val="002C46A0"/>
    <w:rsid w:val="002C6020"/>
    <w:rsid w:val="002D0E61"/>
    <w:rsid w:val="002D227F"/>
    <w:rsid w:val="002D3344"/>
    <w:rsid w:val="002D3BAB"/>
    <w:rsid w:val="002D42BB"/>
    <w:rsid w:val="002D4758"/>
    <w:rsid w:val="002D478F"/>
    <w:rsid w:val="002D4973"/>
    <w:rsid w:val="002D7468"/>
    <w:rsid w:val="002D7D4E"/>
    <w:rsid w:val="002E1398"/>
    <w:rsid w:val="002E3ED2"/>
    <w:rsid w:val="002E4030"/>
    <w:rsid w:val="002E6010"/>
    <w:rsid w:val="002E6211"/>
    <w:rsid w:val="002F0E69"/>
    <w:rsid w:val="002F1286"/>
    <w:rsid w:val="002F1AD6"/>
    <w:rsid w:val="002F3502"/>
    <w:rsid w:val="002F476B"/>
    <w:rsid w:val="002F6DA3"/>
    <w:rsid w:val="00300BB3"/>
    <w:rsid w:val="003015C7"/>
    <w:rsid w:val="003016BC"/>
    <w:rsid w:val="00303E26"/>
    <w:rsid w:val="00307C72"/>
    <w:rsid w:val="00307F4A"/>
    <w:rsid w:val="0031015F"/>
    <w:rsid w:val="00310BED"/>
    <w:rsid w:val="003120EE"/>
    <w:rsid w:val="00313C3E"/>
    <w:rsid w:val="0031428C"/>
    <w:rsid w:val="00314D22"/>
    <w:rsid w:val="00320F64"/>
    <w:rsid w:val="00324047"/>
    <w:rsid w:val="00324070"/>
    <w:rsid w:val="00325ECA"/>
    <w:rsid w:val="003270C4"/>
    <w:rsid w:val="00331834"/>
    <w:rsid w:val="003318ED"/>
    <w:rsid w:val="00332F5E"/>
    <w:rsid w:val="00334A6E"/>
    <w:rsid w:val="00335FD6"/>
    <w:rsid w:val="00336354"/>
    <w:rsid w:val="00340BCF"/>
    <w:rsid w:val="00341953"/>
    <w:rsid w:val="00347439"/>
    <w:rsid w:val="00352C0D"/>
    <w:rsid w:val="00354CAD"/>
    <w:rsid w:val="00355310"/>
    <w:rsid w:val="00360073"/>
    <w:rsid w:val="00362187"/>
    <w:rsid w:val="003642DC"/>
    <w:rsid w:val="00364947"/>
    <w:rsid w:val="00365637"/>
    <w:rsid w:val="003661D8"/>
    <w:rsid w:val="00370049"/>
    <w:rsid w:val="00374FDC"/>
    <w:rsid w:val="003756E7"/>
    <w:rsid w:val="00375F22"/>
    <w:rsid w:val="00376204"/>
    <w:rsid w:val="00377FEB"/>
    <w:rsid w:val="00380DDB"/>
    <w:rsid w:val="00382F7E"/>
    <w:rsid w:val="003833D6"/>
    <w:rsid w:val="00383DBC"/>
    <w:rsid w:val="00385A53"/>
    <w:rsid w:val="00386A89"/>
    <w:rsid w:val="00392F38"/>
    <w:rsid w:val="003944CA"/>
    <w:rsid w:val="00395F28"/>
    <w:rsid w:val="003976F2"/>
    <w:rsid w:val="003A04F3"/>
    <w:rsid w:val="003A19AF"/>
    <w:rsid w:val="003A3074"/>
    <w:rsid w:val="003A52BC"/>
    <w:rsid w:val="003A5A87"/>
    <w:rsid w:val="003A5E3C"/>
    <w:rsid w:val="003B03B6"/>
    <w:rsid w:val="003B500E"/>
    <w:rsid w:val="003B6963"/>
    <w:rsid w:val="003B7840"/>
    <w:rsid w:val="003C07C8"/>
    <w:rsid w:val="003C0D94"/>
    <w:rsid w:val="003C1D2F"/>
    <w:rsid w:val="003C31F7"/>
    <w:rsid w:val="003C3CA1"/>
    <w:rsid w:val="003C53A3"/>
    <w:rsid w:val="003C5DC8"/>
    <w:rsid w:val="003C7C0E"/>
    <w:rsid w:val="003D080C"/>
    <w:rsid w:val="003D0C8C"/>
    <w:rsid w:val="003D1B81"/>
    <w:rsid w:val="003D3E43"/>
    <w:rsid w:val="003D514B"/>
    <w:rsid w:val="003D7035"/>
    <w:rsid w:val="003D7E2A"/>
    <w:rsid w:val="003E051C"/>
    <w:rsid w:val="003E2138"/>
    <w:rsid w:val="003E301F"/>
    <w:rsid w:val="003E53B2"/>
    <w:rsid w:val="003E5C08"/>
    <w:rsid w:val="003E7C62"/>
    <w:rsid w:val="003E7EEF"/>
    <w:rsid w:val="003F123A"/>
    <w:rsid w:val="003F15BF"/>
    <w:rsid w:val="003F1CAE"/>
    <w:rsid w:val="003F1F46"/>
    <w:rsid w:val="003F21EB"/>
    <w:rsid w:val="003F476D"/>
    <w:rsid w:val="003F481A"/>
    <w:rsid w:val="0040072A"/>
    <w:rsid w:val="0040272E"/>
    <w:rsid w:val="0040512D"/>
    <w:rsid w:val="004052E4"/>
    <w:rsid w:val="00405F3C"/>
    <w:rsid w:val="00407605"/>
    <w:rsid w:val="00410952"/>
    <w:rsid w:val="004149E4"/>
    <w:rsid w:val="0041518E"/>
    <w:rsid w:val="0041581E"/>
    <w:rsid w:val="00417DAD"/>
    <w:rsid w:val="00420CB9"/>
    <w:rsid w:val="00421D20"/>
    <w:rsid w:val="004246F6"/>
    <w:rsid w:val="00424868"/>
    <w:rsid w:val="00424F97"/>
    <w:rsid w:val="00425721"/>
    <w:rsid w:val="00427C53"/>
    <w:rsid w:val="00427CDA"/>
    <w:rsid w:val="00430808"/>
    <w:rsid w:val="00431F13"/>
    <w:rsid w:val="0043763F"/>
    <w:rsid w:val="00437A2F"/>
    <w:rsid w:val="00437E4E"/>
    <w:rsid w:val="004416F2"/>
    <w:rsid w:val="00442387"/>
    <w:rsid w:val="0044325B"/>
    <w:rsid w:val="00443D80"/>
    <w:rsid w:val="00445ADE"/>
    <w:rsid w:val="00446A6B"/>
    <w:rsid w:val="004477A2"/>
    <w:rsid w:val="004514A3"/>
    <w:rsid w:val="00452C25"/>
    <w:rsid w:val="00453CD8"/>
    <w:rsid w:val="004542F6"/>
    <w:rsid w:val="00455958"/>
    <w:rsid w:val="00455BB9"/>
    <w:rsid w:val="004563C8"/>
    <w:rsid w:val="0045689A"/>
    <w:rsid w:val="004600C3"/>
    <w:rsid w:val="004602CD"/>
    <w:rsid w:val="00460D78"/>
    <w:rsid w:val="0046189B"/>
    <w:rsid w:val="004624DA"/>
    <w:rsid w:val="00463A60"/>
    <w:rsid w:val="00466CF2"/>
    <w:rsid w:val="00467E7F"/>
    <w:rsid w:val="0047159F"/>
    <w:rsid w:val="004723DA"/>
    <w:rsid w:val="00472DF5"/>
    <w:rsid w:val="004737D3"/>
    <w:rsid w:val="00474E3B"/>
    <w:rsid w:val="004751AB"/>
    <w:rsid w:val="004761DA"/>
    <w:rsid w:val="00476214"/>
    <w:rsid w:val="00476766"/>
    <w:rsid w:val="00477E68"/>
    <w:rsid w:val="0048110F"/>
    <w:rsid w:val="0048248B"/>
    <w:rsid w:val="0048263C"/>
    <w:rsid w:val="0048370E"/>
    <w:rsid w:val="0048527C"/>
    <w:rsid w:val="004853CA"/>
    <w:rsid w:val="00487413"/>
    <w:rsid w:val="004874EA"/>
    <w:rsid w:val="00491236"/>
    <w:rsid w:val="004914BB"/>
    <w:rsid w:val="00491F1C"/>
    <w:rsid w:val="00492502"/>
    <w:rsid w:val="00494824"/>
    <w:rsid w:val="00495C20"/>
    <w:rsid w:val="00496A39"/>
    <w:rsid w:val="004A2699"/>
    <w:rsid w:val="004A269E"/>
    <w:rsid w:val="004A636E"/>
    <w:rsid w:val="004B15EE"/>
    <w:rsid w:val="004B2536"/>
    <w:rsid w:val="004B3B72"/>
    <w:rsid w:val="004B3C36"/>
    <w:rsid w:val="004B51EB"/>
    <w:rsid w:val="004B7945"/>
    <w:rsid w:val="004C15AC"/>
    <w:rsid w:val="004C52BB"/>
    <w:rsid w:val="004C564F"/>
    <w:rsid w:val="004C5BDE"/>
    <w:rsid w:val="004C5EBF"/>
    <w:rsid w:val="004C6210"/>
    <w:rsid w:val="004C6A79"/>
    <w:rsid w:val="004C7E36"/>
    <w:rsid w:val="004D0F9B"/>
    <w:rsid w:val="004D2836"/>
    <w:rsid w:val="004D31CB"/>
    <w:rsid w:val="004D32BD"/>
    <w:rsid w:val="004D35AC"/>
    <w:rsid w:val="004D4BEA"/>
    <w:rsid w:val="004D4E48"/>
    <w:rsid w:val="004D577F"/>
    <w:rsid w:val="004D5D49"/>
    <w:rsid w:val="004D7E96"/>
    <w:rsid w:val="004E37A1"/>
    <w:rsid w:val="004E5ABD"/>
    <w:rsid w:val="004E5DF5"/>
    <w:rsid w:val="004E5FEA"/>
    <w:rsid w:val="004E71C0"/>
    <w:rsid w:val="004E7861"/>
    <w:rsid w:val="004F153F"/>
    <w:rsid w:val="004F4308"/>
    <w:rsid w:val="004F47ED"/>
    <w:rsid w:val="004F680D"/>
    <w:rsid w:val="004F77B5"/>
    <w:rsid w:val="00500F38"/>
    <w:rsid w:val="00505299"/>
    <w:rsid w:val="00505644"/>
    <w:rsid w:val="00510452"/>
    <w:rsid w:val="00510A42"/>
    <w:rsid w:val="0051154E"/>
    <w:rsid w:val="00512965"/>
    <w:rsid w:val="005135DD"/>
    <w:rsid w:val="00514497"/>
    <w:rsid w:val="00515620"/>
    <w:rsid w:val="00516FE0"/>
    <w:rsid w:val="00520398"/>
    <w:rsid w:val="005219CF"/>
    <w:rsid w:val="005225AD"/>
    <w:rsid w:val="00525461"/>
    <w:rsid w:val="00526479"/>
    <w:rsid w:val="005306BE"/>
    <w:rsid w:val="00530EE9"/>
    <w:rsid w:val="00531A3E"/>
    <w:rsid w:val="00532CBC"/>
    <w:rsid w:val="00533363"/>
    <w:rsid w:val="00534F79"/>
    <w:rsid w:val="005358BF"/>
    <w:rsid w:val="00535D08"/>
    <w:rsid w:val="00535EF4"/>
    <w:rsid w:val="005360D6"/>
    <w:rsid w:val="00542DE9"/>
    <w:rsid w:val="00543B7F"/>
    <w:rsid w:val="00546CD8"/>
    <w:rsid w:val="00547030"/>
    <w:rsid w:val="00550A4C"/>
    <w:rsid w:val="00550C96"/>
    <w:rsid w:val="005512A6"/>
    <w:rsid w:val="005527BF"/>
    <w:rsid w:val="00554386"/>
    <w:rsid w:val="00555C23"/>
    <w:rsid w:val="00556E35"/>
    <w:rsid w:val="005621AD"/>
    <w:rsid w:val="00562318"/>
    <w:rsid w:val="005632D6"/>
    <w:rsid w:val="00563B95"/>
    <w:rsid w:val="005645F7"/>
    <w:rsid w:val="00564B53"/>
    <w:rsid w:val="005652FF"/>
    <w:rsid w:val="00567040"/>
    <w:rsid w:val="0056797E"/>
    <w:rsid w:val="005708CC"/>
    <w:rsid w:val="00572287"/>
    <w:rsid w:val="0057438A"/>
    <w:rsid w:val="00575C43"/>
    <w:rsid w:val="0057611D"/>
    <w:rsid w:val="00576A12"/>
    <w:rsid w:val="00577520"/>
    <w:rsid w:val="00582AA6"/>
    <w:rsid w:val="005833C4"/>
    <w:rsid w:val="0058797A"/>
    <w:rsid w:val="00587D5F"/>
    <w:rsid w:val="005916C9"/>
    <w:rsid w:val="005930D4"/>
    <w:rsid w:val="00594BC4"/>
    <w:rsid w:val="005954DA"/>
    <w:rsid w:val="00595E97"/>
    <w:rsid w:val="00596876"/>
    <w:rsid w:val="0059695C"/>
    <w:rsid w:val="00596D27"/>
    <w:rsid w:val="00597BF2"/>
    <w:rsid w:val="005A041F"/>
    <w:rsid w:val="005A05DE"/>
    <w:rsid w:val="005A1CCE"/>
    <w:rsid w:val="005A42D0"/>
    <w:rsid w:val="005A44FC"/>
    <w:rsid w:val="005A77BC"/>
    <w:rsid w:val="005A7E05"/>
    <w:rsid w:val="005B02E0"/>
    <w:rsid w:val="005B491C"/>
    <w:rsid w:val="005B5A9A"/>
    <w:rsid w:val="005B616A"/>
    <w:rsid w:val="005B67F0"/>
    <w:rsid w:val="005B7691"/>
    <w:rsid w:val="005C0350"/>
    <w:rsid w:val="005C05AB"/>
    <w:rsid w:val="005C07A4"/>
    <w:rsid w:val="005C14E0"/>
    <w:rsid w:val="005C2848"/>
    <w:rsid w:val="005C5497"/>
    <w:rsid w:val="005C6375"/>
    <w:rsid w:val="005D1A74"/>
    <w:rsid w:val="005D2E94"/>
    <w:rsid w:val="005D4799"/>
    <w:rsid w:val="005D76CA"/>
    <w:rsid w:val="005D7A0F"/>
    <w:rsid w:val="005D7B8C"/>
    <w:rsid w:val="005E2242"/>
    <w:rsid w:val="005E293E"/>
    <w:rsid w:val="005E3EC9"/>
    <w:rsid w:val="005E45D1"/>
    <w:rsid w:val="005E7963"/>
    <w:rsid w:val="005E7FCC"/>
    <w:rsid w:val="005F0769"/>
    <w:rsid w:val="005F16B4"/>
    <w:rsid w:val="005F1D93"/>
    <w:rsid w:val="005F2050"/>
    <w:rsid w:val="005F29F5"/>
    <w:rsid w:val="005F30E0"/>
    <w:rsid w:val="005F45A5"/>
    <w:rsid w:val="005F4E8D"/>
    <w:rsid w:val="005F5AF8"/>
    <w:rsid w:val="005F76C6"/>
    <w:rsid w:val="006002B0"/>
    <w:rsid w:val="00601251"/>
    <w:rsid w:val="00601473"/>
    <w:rsid w:val="00601F9E"/>
    <w:rsid w:val="006046B2"/>
    <w:rsid w:val="00605582"/>
    <w:rsid w:val="00606C6F"/>
    <w:rsid w:val="00606D9C"/>
    <w:rsid w:val="00610CF9"/>
    <w:rsid w:val="00611424"/>
    <w:rsid w:val="00612036"/>
    <w:rsid w:val="006147E3"/>
    <w:rsid w:val="0062024E"/>
    <w:rsid w:val="00621AD9"/>
    <w:rsid w:val="00623F3A"/>
    <w:rsid w:val="00624B94"/>
    <w:rsid w:val="006258C5"/>
    <w:rsid w:val="006271AB"/>
    <w:rsid w:val="006307F6"/>
    <w:rsid w:val="00630831"/>
    <w:rsid w:val="00630988"/>
    <w:rsid w:val="006311F9"/>
    <w:rsid w:val="006315D8"/>
    <w:rsid w:val="00631976"/>
    <w:rsid w:val="00632011"/>
    <w:rsid w:val="00632EC8"/>
    <w:rsid w:val="006350ED"/>
    <w:rsid w:val="0063529F"/>
    <w:rsid w:val="00636D7C"/>
    <w:rsid w:val="00637666"/>
    <w:rsid w:val="00637AE0"/>
    <w:rsid w:val="006421CB"/>
    <w:rsid w:val="00642C66"/>
    <w:rsid w:val="00642E80"/>
    <w:rsid w:val="00645ACC"/>
    <w:rsid w:val="0064604B"/>
    <w:rsid w:val="0064734D"/>
    <w:rsid w:val="00647E48"/>
    <w:rsid w:val="00647FF8"/>
    <w:rsid w:val="006503EF"/>
    <w:rsid w:val="006508CC"/>
    <w:rsid w:val="00651D77"/>
    <w:rsid w:val="00652559"/>
    <w:rsid w:val="00653B58"/>
    <w:rsid w:val="00654F03"/>
    <w:rsid w:val="0065553A"/>
    <w:rsid w:val="00656774"/>
    <w:rsid w:val="00656DC6"/>
    <w:rsid w:val="00656EBE"/>
    <w:rsid w:val="006574DF"/>
    <w:rsid w:val="0065787E"/>
    <w:rsid w:val="00657D43"/>
    <w:rsid w:val="00660AE3"/>
    <w:rsid w:val="00660C80"/>
    <w:rsid w:val="00662678"/>
    <w:rsid w:val="00664692"/>
    <w:rsid w:val="0066487F"/>
    <w:rsid w:val="00665449"/>
    <w:rsid w:val="0066679D"/>
    <w:rsid w:val="006671C9"/>
    <w:rsid w:val="00670A4D"/>
    <w:rsid w:val="00670F3B"/>
    <w:rsid w:val="00670FF1"/>
    <w:rsid w:val="00671788"/>
    <w:rsid w:val="00672D6D"/>
    <w:rsid w:val="00673D93"/>
    <w:rsid w:val="00675296"/>
    <w:rsid w:val="00676C2B"/>
    <w:rsid w:val="006809E5"/>
    <w:rsid w:val="00681642"/>
    <w:rsid w:val="00682520"/>
    <w:rsid w:val="0068460A"/>
    <w:rsid w:val="00684D03"/>
    <w:rsid w:val="00685ABF"/>
    <w:rsid w:val="00686026"/>
    <w:rsid w:val="006878D3"/>
    <w:rsid w:val="0068792E"/>
    <w:rsid w:val="00694B57"/>
    <w:rsid w:val="00697921"/>
    <w:rsid w:val="006A126A"/>
    <w:rsid w:val="006A16E0"/>
    <w:rsid w:val="006A397F"/>
    <w:rsid w:val="006A3BF9"/>
    <w:rsid w:val="006A505B"/>
    <w:rsid w:val="006A628E"/>
    <w:rsid w:val="006A6773"/>
    <w:rsid w:val="006B3019"/>
    <w:rsid w:val="006B3D94"/>
    <w:rsid w:val="006B5677"/>
    <w:rsid w:val="006B5C5F"/>
    <w:rsid w:val="006B6338"/>
    <w:rsid w:val="006B6F31"/>
    <w:rsid w:val="006C1DD6"/>
    <w:rsid w:val="006C2DE1"/>
    <w:rsid w:val="006C48F4"/>
    <w:rsid w:val="006C526D"/>
    <w:rsid w:val="006C55A4"/>
    <w:rsid w:val="006C744B"/>
    <w:rsid w:val="006D1B5C"/>
    <w:rsid w:val="006D22C2"/>
    <w:rsid w:val="006D311F"/>
    <w:rsid w:val="006D36BE"/>
    <w:rsid w:val="006D4D2B"/>
    <w:rsid w:val="006D57D8"/>
    <w:rsid w:val="006D75CE"/>
    <w:rsid w:val="006D7B79"/>
    <w:rsid w:val="006E3327"/>
    <w:rsid w:val="006E4498"/>
    <w:rsid w:val="006E5CA8"/>
    <w:rsid w:val="006E5F38"/>
    <w:rsid w:val="006E77DB"/>
    <w:rsid w:val="006F1347"/>
    <w:rsid w:val="006F3264"/>
    <w:rsid w:val="006F52AC"/>
    <w:rsid w:val="006F6612"/>
    <w:rsid w:val="006F66BD"/>
    <w:rsid w:val="006F6A12"/>
    <w:rsid w:val="006F7725"/>
    <w:rsid w:val="00700AAA"/>
    <w:rsid w:val="00710140"/>
    <w:rsid w:val="00710494"/>
    <w:rsid w:val="00711F6D"/>
    <w:rsid w:val="0071392A"/>
    <w:rsid w:val="007141D0"/>
    <w:rsid w:val="00714516"/>
    <w:rsid w:val="00715890"/>
    <w:rsid w:val="007161E9"/>
    <w:rsid w:val="00716F4B"/>
    <w:rsid w:val="007209A1"/>
    <w:rsid w:val="00721162"/>
    <w:rsid w:val="00721CC2"/>
    <w:rsid w:val="00723630"/>
    <w:rsid w:val="007245DF"/>
    <w:rsid w:val="00730BB2"/>
    <w:rsid w:val="0073192D"/>
    <w:rsid w:val="00731D17"/>
    <w:rsid w:val="00732393"/>
    <w:rsid w:val="00732CDB"/>
    <w:rsid w:val="007330F5"/>
    <w:rsid w:val="00733755"/>
    <w:rsid w:val="0074450F"/>
    <w:rsid w:val="00744659"/>
    <w:rsid w:val="00744B31"/>
    <w:rsid w:val="0074576F"/>
    <w:rsid w:val="00745D87"/>
    <w:rsid w:val="00746F8E"/>
    <w:rsid w:val="00747DDF"/>
    <w:rsid w:val="00750E65"/>
    <w:rsid w:val="0075234A"/>
    <w:rsid w:val="0075270F"/>
    <w:rsid w:val="0075339B"/>
    <w:rsid w:val="0076001D"/>
    <w:rsid w:val="00761C54"/>
    <w:rsid w:val="007625FE"/>
    <w:rsid w:val="0076325F"/>
    <w:rsid w:val="00763655"/>
    <w:rsid w:val="00763A9E"/>
    <w:rsid w:val="00764844"/>
    <w:rsid w:val="0076540F"/>
    <w:rsid w:val="007663A2"/>
    <w:rsid w:val="0077058D"/>
    <w:rsid w:val="00770EBD"/>
    <w:rsid w:val="007723FC"/>
    <w:rsid w:val="00773D98"/>
    <w:rsid w:val="007746E2"/>
    <w:rsid w:val="0077695D"/>
    <w:rsid w:val="007778EE"/>
    <w:rsid w:val="00780641"/>
    <w:rsid w:val="00781066"/>
    <w:rsid w:val="007829BA"/>
    <w:rsid w:val="007841AD"/>
    <w:rsid w:val="00790899"/>
    <w:rsid w:val="00790EF8"/>
    <w:rsid w:val="00792B1A"/>
    <w:rsid w:val="00793F8C"/>
    <w:rsid w:val="00794057"/>
    <w:rsid w:val="00796037"/>
    <w:rsid w:val="00796FAC"/>
    <w:rsid w:val="00797969"/>
    <w:rsid w:val="007A0D34"/>
    <w:rsid w:val="007A33C0"/>
    <w:rsid w:val="007A3D03"/>
    <w:rsid w:val="007A3E1D"/>
    <w:rsid w:val="007A7031"/>
    <w:rsid w:val="007A7388"/>
    <w:rsid w:val="007B1554"/>
    <w:rsid w:val="007B1E38"/>
    <w:rsid w:val="007B3539"/>
    <w:rsid w:val="007B3908"/>
    <w:rsid w:val="007B3F1B"/>
    <w:rsid w:val="007B43A5"/>
    <w:rsid w:val="007B4687"/>
    <w:rsid w:val="007B4DB8"/>
    <w:rsid w:val="007B6F4C"/>
    <w:rsid w:val="007C0100"/>
    <w:rsid w:val="007C099C"/>
    <w:rsid w:val="007C0EE4"/>
    <w:rsid w:val="007C3AF3"/>
    <w:rsid w:val="007C3F2A"/>
    <w:rsid w:val="007C558F"/>
    <w:rsid w:val="007C67A7"/>
    <w:rsid w:val="007C6C40"/>
    <w:rsid w:val="007C738E"/>
    <w:rsid w:val="007D2866"/>
    <w:rsid w:val="007D2FF3"/>
    <w:rsid w:val="007D58BC"/>
    <w:rsid w:val="007D5EB6"/>
    <w:rsid w:val="007D7062"/>
    <w:rsid w:val="007E1E9C"/>
    <w:rsid w:val="007E26B5"/>
    <w:rsid w:val="007E3794"/>
    <w:rsid w:val="007E39CC"/>
    <w:rsid w:val="007E5259"/>
    <w:rsid w:val="007E5A06"/>
    <w:rsid w:val="007E5DEF"/>
    <w:rsid w:val="007F0423"/>
    <w:rsid w:val="007F0AE8"/>
    <w:rsid w:val="007F2566"/>
    <w:rsid w:val="007F2795"/>
    <w:rsid w:val="007F2AD2"/>
    <w:rsid w:val="007F4864"/>
    <w:rsid w:val="007F731D"/>
    <w:rsid w:val="007F7CE4"/>
    <w:rsid w:val="008012AA"/>
    <w:rsid w:val="008026AB"/>
    <w:rsid w:val="00804E08"/>
    <w:rsid w:val="00807514"/>
    <w:rsid w:val="0081139C"/>
    <w:rsid w:val="00811E5E"/>
    <w:rsid w:val="00812D86"/>
    <w:rsid w:val="0081507F"/>
    <w:rsid w:val="00815F2D"/>
    <w:rsid w:val="008162BA"/>
    <w:rsid w:val="008174D1"/>
    <w:rsid w:val="00817BA6"/>
    <w:rsid w:val="008237EF"/>
    <w:rsid w:val="00823AEF"/>
    <w:rsid w:val="00824F12"/>
    <w:rsid w:val="00825361"/>
    <w:rsid w:val="008256D2"/>
    <w:rsid w:val="00825B6E"/>
    <w:rsid w:val="00826D84"/>
    <w:rsid w:val="008274AE"/>
    <w:rsid w:val="00830FD6"/>
    <w:rsid w:val="0083213C"/>
    <w:rsid w:val="00833C46"/>
    <w:rsid w:val="00835057"/>
    <w:rsid w:val="00835B9A"/>
    <w:rsid w:val="008372AF"/>
    <w:rsid w:val="00840D04"/>
    <w:rsid w:val="00842AA1"/>
    <w:rsid w:val="00843009"/>
    <w:rsid w:val="00846A2F"/>
    <w:rsid w:val="008471C2"/>
    <w:rsid w:val="008474B3"/>
    <w:rsid w:val="00850A2A"/>
    <w:rsid w:val="00851D39"/>
    <w:rsid w:val="008522A9"/>
    <w:rsid w:val="00853E84"/>
    <w:rsid w:val="008541A6"/>
    <w:rsid w:val="0085444B"/>
    <w:rsid w:val="00857FD6"/>
    <w:rsid w:val="00860F23"/>
    <w:rsid w:val="00861362"/>
    <w:rsid w:val="0086152C"/>
    <w:rsid w:val="0086233B"/>
    <w:rsid w:val="00863A17"/>
    <w:rsid w:val="00863E04"/>
    <w:rsid w:val="00866209"/>
    <w:rsid w:val="008663C5"/>
    <w:rsid w:val="00866860"/>
    <w:rsid w:val="00867523"/>
    <w:rsid w:val="00870C37"/>
    <w:rsid w:val="00872EF1"/>
    <w:rsid w:val="00873DFE"/>
    <w:rsid w:val="008767BC"/>
    <w:rsid w:val="00880BE0"/>
    <w:rsid w:val="0088180C"/>
    <w:rsid w:val="008865D2"/>
    <w:rsid w:val="00887E9B"/>
    <w:rsid w:val="008904B8"/>
    <w:rsid w:val="008907F2"/>
    <w:rsid w:val="00891F8B"/>
    <w:rsid w:val="00894694"/>
    <w:rsid w:val="0089508C"/>
    <w:rsid w:val="00897CB3"/>
    <w:rsid w:val="008A0F87"/>
    <w:rsid w:val="008A1757"/>
    <w:rsid w:val="008A3AD2"/>
    <w:rsid w:val="008A6BBF"/>
    <w:rsid w:val="008A7422"/>
    <w:rsid w:val="008B04E7"/>
    <w:rsid w:val="008B0E32"/>
    <w:rsid w:val="008B12BC"/>
    <w:rsid w:val="008B17C7"/>
    <w:rsid w:val="008B1903"/>
    <w:rsid w:val="008B1AC1"/>
    <w:rsid w:val="008B2E08"/>
    <w:rsid w:val="008B450A"/>
    <w:rsid w:val="008B5704"/>
    <w:rsid w:val="008B578C"/>
    <w:rsid w:val="008B582A"/>
    <w:rsid w:val="008B5A07"/>
    <w:rsid w:val="008C11EB"/>
    <w:rsid w:val="008C157D"/>
    <w:rsid w:val="008C1656"/>
    <w:rsid w:val="008C29B4"/>
    <w:rsid w:val="008C5898"/>
    <w:rsid w:val="008C7178"/>
    <w:rsid w:val="008C7B6C"/>
    <w:rsid w:val="008D0614"/>
    <w:rsid w:val="008D50BD"/>
    <w:rsid w:val="008D5936"/>
    <w:rsid w:val="008D6D88"/>
    <w:rsid w:val="008D70BE"/>
    <w:rsid w:val="008E06E7"/>
    <w:rsid w:val="008E1069"/>
    <w:rsid w:val="008E12C7"/>
    <w:rsid w:val="008E4B6F"/>
    <w:rsid w:val="008E4B72"/>
    <w:rsid w:val="008E4FF1"/>
    <w:rsid w:val="008E7F02"/>
    <w:rsid w:val="008F1C4F"/>
    <w:rsid w:val="008F35EF"/>
    <w:rsid w:val="008F4843"/>
    <w:rsid w:val="008F4B14"/>
    <w:rsid w:val="008F4EA1"/>
    <w:rsid w:val="008F5908"/>
    <w:rsid w:val="0090162B"/>
    <w:rsid w:val="009029E7"/>
    <w:rsid w:val="00902C42"/>
    <w:rsid w:val="00902FBD"/>
    <w:rsid w:val="009034D4"/>
    <w:rsid w:val="0090418A"/>
    <w:rsid w:val="009053C6"/>
    <w:rsid w:val="00905B1B"/>
    <w:rsid w:val="00906D64"/>
    <w:rsid w:val="00907F53"/>
    <w:rsid w:val="00910D86"/>
    <w:rsid w:val="00913A1B"/>
    <w:rsid w:val="00916161"/>
    <w:rsid w:val="00916319"/>
    <w:rsid w:val="00917258"/>
    <w:rsid w:val="0091755A"/>
    <w:rsid w:val="009176AF"/>
    <w:rsid w:val="00917862"/>
    <w:rsid w:val="00920BA3"/>
    <w:rsid w:val="00923EB1"/>
    <w:rsid w:val="009241BD"/>
    <w:rsid w:val="009271BB"/>
    <w:rsid w:val="00930242"/>
    <w:rsid w:val="0093090F"/>
    <w:rsid w:val="009319C9"/>
    <w:rsid w:val="00932158"/>
    <w:rsid w:val="00932A16"/>
    <w:rsid w:val="0093372C"/>
    <w:rsid w:val="00934976"/>
    <w:rsid w:val="00934D46"/>
    <w:rsid w:val="009369AC"/>
    <w:rsid w:val="009379B9"/>
    <w:rsid w:val="009428C2"/>
    <w:rsid w:val="00943A82"/>
    <w:rsid w:val="0094561A"/>
    <w:rsid w:val="00945E19"/>
    <w:rsid w:val="00945F9D"/>
    <w:rsid w:val="00946E24"/>
    <w:rsid w:val="00952886"/>
    <w:rsid w:val="0095350E"/>
    <w:rsid w:val="00953C1E"/>
    <w:rsid w:val="009555CB"/>
    <w:rsid w:val="009610A0"/>
    <w:rsid w:val="00961E32"/>
    <w:rsid w:val="00963BCE"/>
    <w:rsid w:val="00965A1C"/>
    <w:rsid w:val="009705F8"/>
    <w:rsid w:val="00970F27"/>
    <w:rsid w:val="00971A5B"/>
    <w:rsid w:val="009726C7"/>
    <w:rsid w:val="00972E0C"/>
    <w:rsid w:val="009744EB"/>
    <w:rsid w:val="00974680"/>
    <w:rsid w:val="00975533"/>
    <w:rsid w:val="009760E3"/>
    <w:rsid w:val="009766D1"/>
    <w:rsid w:val="00976EA8"/>
    <w:rsid w:val="00977371"/>
    <w:rsid w:val="00980031"/>
    <w:rsid w:val="0098200F"/>
    <w:rsid w:val="00982A75"/>
    <w:rsid w:val="00982CFF"/>
    <w:rsid w:val="00984949"/>
    <w:rsid w:val="00985D76"/>
    <w:rsid w:val="00986C6F"/>
    <w:rsid w:val="009871D5"/>
    <w:rsid w:val="00990B3E"/>
    <w:rsid w:val="0099115D"/>
    <w:rsid w:val="009916D5"/>
    <w:rsid w:val="00991FA8"/>
    <w:rsid w:val="00992519"/>
    <w:rsid w:val="009950A4"/>
    <w:rsid w:val="00997574"/>
    <w:rsid w:val="00997E78"/>
    <w:rsid w:val="009A1C8E"/>
    <w:rsid w:val="009A23A4"/>
    <w:rsid w:val="009A28B6"/>
    <w:rsid w:val="009B03F6"/>
    <w:rsid w:val="009B052B"/>
    <w:rsid w:val="009B2E51"/>
    <w:rsid w:val="009B6068"/>
    <w:rsid w:val="009B650C"/>
    <w:rsid w:val="009B669F"/>
    <w:rsid w:val="009B75D9"/>
    <w:rsid w:val="009C0034"/>
    <w:rsid w:val="009C1166"/>
    <w:rsid w:val="009C3F8A"/>
    <w:rsid w:val="009C5B15"/>
    <w:rsid w:val="009C724B"/>
    <w:rsid w:val="009D123E"/>
    <w:rsid w:val="009D2297"/>
    <w:rsid w:val="009D2B26"/>
    <w:rsid w:val="009D3EE9"/>
    <w:rsid w:val="009D4508"/>
    <w:rsid w:val="009D473A"/>
    <w:rsid w:val="009D4D20"/>
    <w:rsid w:val="009D594C"/>
    <w:rsid w:val="009D7A60"/>
    <w:rsid w:val="009E0AFC"/>
    <w:rsid w:val="009E0D68"/>
    <w:rsid w:val="009E14A2"/>
    <w:rsid w:val="009E1523"/>
    <w:rsid w:val="009E206D"/>
    <w:rsid w:val="009E324E"/>
    <w:rsid w:val="009E3526"/>
    <w:rsid w:val="009E4A5D"/>
    <w:rsid w:val="009E5E72"/>
    <w:rsid w:val="009E62AF"/>
    <w:rsid w:val="009E7083"/>
    <w:rsid w:val="009F03CB"/>
    <w:rsid w:val="009F0698"/>
    <w:rsid w:val="009F1FF3"/>
    <w:rsid w:val="009F4C6F"/>
    <w:rsid w:val="009F5CE5"/>
    <w:rsid w:val="009F6949"/>
    <w:rsid w:val="009F69E5"/>
    <w:rsid w:val="009F6F2D"/>
    <w:rsid w:val="009F795E"/>
    <w:rsid w:val="009F7A4B"/>
    <w:rsid w:val="00A02B17"/>
    <w:rsid w:val="00A02DA1"/>
    <w:rsid w:val="00A03033"/>
    <w:rsid w:val="00A0364A"/>
    <w:rsid w:val="00A054C3"/>
    <w:rsid w:val="00A05A61"/>
    <w:rsid w:val="00A06EBA"/>
    <w:rsid w:val="00A1045C"/>
    <w:rsid w:val="00A10F57"/>
    <w:rsid w:val="00A11FA3"/>
    <w:rsid w:val="00A12048"/>
    <w:rsid w:val="00A123CC"/>
    <w:rsid w:val="00A13732"/>
    <w:rsid w:val="00A1478A"/>
    <w:rsid w:val="00A15789"/>
    <w:rsid w:val="00A16BE8"/>
    <w:rsid w:val="00A21CB5"/>
    <w:rsid w:val="00A223C6"/>
    <w:rsid w:val="00A2259D"/>
    <w:rsid w:val="00A23DC9"/>
    <w:rsid w:val="00A2473B"/>
    <w:rsid w:val="00A254A1"/>
    <w:rsid w:val="00A26B7B"/>
    <w:rsid w:val="00A30D6D"/>
    <w:rsid w:val="00A31AE0"/>
    <w:rsid w:val="00A31AEF"/>
    <w:rsid w:val="00A3277F"/>
    <w:rsid w:val="00A35184"/>
    <w:rsid w:val="00A35634"/>
    <w:rsid w:val="00A37061"/>
    <w:rsid w:val="00A41D77"/>
    <w:rsid w:val="00A42011"/>
    <w:rsid w:val="00A43157"/>
    <w:rsid w:val="00A43C6F"/>
    <w:rsid w:val="00A4420E"/>
    <w:rsid w:val="00A445AE"/>
    <w:rsid w:val="00A44AC7"/>
    <w:rsid w:val="00A4641E"/>
    <w:rsid w:val="00A501EF"/>
    <w:rsid w:val="00A51547"/>
    <w:rsid w:val="00A521E9"/>
    <w:rsid w:val="00A54384"/>
    <w:rsid w:val="00A55EE7"/>
    <w:rsid w:val="00A571B2"/>
    <w:rsid w:val="00A5720C"/>
    <w:rsid w:val="00A5731E"/>
    <w:rsid w:val="00A57724"/>
    <w:rsid w:val="00A60CE8"/>
    <w:rsid w:val="00A61A16"/>
    <w:rsid w:val="00A63272"/>
    <w:rsid w:val="00A64F64"/>
    <w:rsid w:val="00A6586D"/>
    <w:rsid w:val="00A65D00"/>
    <w:rsid w:val="00A669AD"/>
    <w:rsid w:val="00A72F1B"/>
    <w:rsid w:val="00A741D6"/>
    <w:rsid w:val="00A7445A"/>
    <w:rsid w:val="00A74A5F"/>
    <w:rsid w:val="00A74E0C"/>
    <w:rsid w:val="00A758E2"/>
    <w:rsid w:val="00A761D1"/>
    <w:rsid w:val="00A76401"/>
    <w:rsid w:val="00A76C61"/>
    <w:rsid w:val="00A7764C"/>
    <w:rsid w:val="00A77B48"/>
    <w:rsid w:val="00A820F1"/>
    <w:rsid w:val="00A82135"/>
    <w:rsid w:val="00A8286A"/>
    <w:rsid w:val="00A82F07"/>
    <w:rsid w:val="00A84BD0"/>
    <w:rsid w:val="00A86549"/>
    <w:rsid w:val="00A866F0"/>
    <w:rsid w:val="00A90DAA"/>
    <w:rsid w:val="00A913CF"/>
    <w:rsid w:val="00A92BE1"/>
    <w:rsid w:val="00A92C33"/>
    <w:rsid w:val="00A92D2C"/>
    <w:rsid w:val="00A92D41"/>
    <w:rsid w:val="00A937B8"/>
    <w:rsid w:val="00AA0759"/>
    <w:rsid w:val="00AA284A"/>
    <w:rsid w:val="00AA3A3B"/>
    <w:rsid w:val="00AA4A6E"/>
    <w:rsid w:val="00AB0841"/>
    <w:rsid w:val="00AB0BD6"/>
    <w:rsid w:val="00AB120F"/>
    <w:rsid w:val="00AB4D3A"/>
    <w:rsid w:val="00AB665D"/>
    <w:rsid w:val="00AB70DE"/>
    <w:rsid w:val="00AB7531"/>
    <w:rsid w:val="00AB7F32"/>
    <w:rsid w:val="00AC0D70"/>
    <w:rsid w:val="00AC2CDA"/>
    <w:rsid w:val="00AC3249"/>
    <w:rsid w:val="00AC3BAD"/>
    <w:rsid w:val="00AC4BB6"/>
    <w:rsid w:val="00AC62CB"/>
    <w:rsid w:val="00AC77F7"/>
    <w:rsid w:val="00AD05AA"/>
    <w:rsid w:val="00AD55C5"/>
    <w:rsid w:val="00AD7826"/>
    <w:rsid w:val="00AE068D"/>
    <w:rsid w:val="00AE4A62"/>
    <w:rsid w:val="00AE4C1F"/>
    <w:rsid w:val="00AE4C4E"/>
    <w:rsid w:val="00AE68CA"/>
    <w:rsid w:val="00AF19B8"/>
    <w:rsid w:val="00AF211E"/>
    <w:rsid w:val="00AF44CA"/>
    <w:rsid w:val="00AF57FE"/>
    <w:rsid w:val="00AF6FB2"/>
    <w:rsid w:val="00B00382"/>
    <w:rsid w:val="00B00A82"/>
    <w:rsid w:val="00B02A7C"/>
    <w:rsid w:val="00B0635A"/>
    <w:rsid w:val="00B06DC1"/>
    <w:rsid w:val="00B10BB2"/>
    <w:rsid w:val="00B1273E"/>
    <w:rsid w:val="00B13388"/>
    <w:rsid w:val="00B13FFB"/>
    <w:rsid w:val="00B14F38"/>
    <w:rsid w:val="00B15352"/>
    <w:rsid w:val="00B1678A"/>
    <w:rsid w:val="00B16DBC"/>
    <w:rsid w:val="00B17B93"/>
    <w:rsid w:val="00B17E7D"/>
    <w:rsid w:val="00B20D8D"/>
    <w:rsid w:val="00B20E1F"/>
    <w:rsid w:val="00B2171F"/>
    <w:rsid w:val="00B21A1F"/>
    <w:rsid w:val="00B22E03"/>
    <w:rsid w:val="00B25019"/>
    <w:rsid w:val="00B25DF2"/>
    <w:rsid w:val="00B260D7"/>
    <w:rsid w:val="00B268D1"/>
    <w:rsid w:val="00B30DA8"/>
    <w:rsid w:val="00B3127C"/>
    <w:rsid w:val="00B32FF3"/>
    <w:rsid w:val="00B353E8"/>
    <w:rsid w:val="00B357AC"/>
    <w:rsid w:val="00B36D27"/>
    <w:rsid w:val="00B36FB5"/>
    <w:rsid w:val="00B37BF8"/>
    <w:rsid w:val="00B37DC1"/>
    <w:rsid w:val="00B42282"/>
    <w:rsid w:val="00B42926"/>
    <w:rsid w:val="00B42E80"/>
    <w:rsid w:val="00B42F0A"/>
    <w:rsid w:val="00B459DB"/>
    <w:rsid w:val="00B45B57"/>
    <w:rsid w:val="00B500DB"/>
    <w:rsid w:val="00B501A2"/>
    <w:rsid w:val="00B52354"/>
    <w:rsid w:val="00B52B54"/>
    <w:rsid w:val="00B533D2"/>
    <w:rsid w:val="00B54741"/>
    <w:rsid w:val="00B54C6F"/>
    <w:rsid w:val="00B57B19"/>
    <w:rsid w:val="00B646B4"/>
    <w:rsid w:val="00B64D24"/>
    <w:rsid w:val="00B65977"/>
    <w:rsid w:val="00B66407"/>
    <w:rsid w:val="00B66820"/>
    <w:rsid w:val="00B673FB"/>
    <w:rsid w:val="00B7041E"/>
    <w:rsid w:val="00B741A1"/>
    <w:rsid w:val="00B74727"/>
    <w:rsid w:val="00B80293"/>
    <w:rsid w:val="00B80637"/>
    <w:rsid w:val="00B80EA7"/>
    <w:rsid w:val="00B80EC5"/>
    <w:rsid w:val="00B83700"/>
    <w:rsid w:val="00B853F6"/>
    <w:rsid w:val="00B860C5"/>
    <w:rsid w:val="00B86E0B"/>
    <w:rsid w:val="00B90E60"/>
    <w:rsid w:val="00B90F27"/>
    <w:rsid w:val="00B91522"/>
    <w:rsid w:val="00B934DF"/>
    <w:rsid w:val="00B93EEE"/>
    <w:rsid w:val="00B968F0"/>
    <w:rsid w:val="00B97DEF"/>
    <w:rsid w:val="00BA01CB"/>
    <w:rsid w:val="00BA281B"/>
    <w:rsid w:val="00BA3693"/>
    <w:rsid w:val="00BA495A"/>
    <w:rsid w:val="00BA580D"/>
    <w:rsid w:val="00BA6525"/>
    <w:rsid w:val="00BA6671"/>
    <w:rsid w:val="00BA6BB3"/>
    <w:rsid w:val="00BB097C"/>
    <w:rsid w:val="00BB45D5"/>
    <w:rsid w:val="00BB518F"/>
    <w:rsid w:val="00BB6E27"/>
    <w:rsid w:val="00BC1A8E"/>
    <w:rsid w:val="00BC1B0C"/>
    <w:rsid w:val="00BC1F33"/>
    <w:rsid w:val="00BC4213"/>
    <w:rsid w:val="00BC5636"/>
    <w:rsid w:val="00BC5A90"/>
    <w:rsid w:val="00BC5E57"/>
    <w:rsid w:val="00BC6C25"/>
    <w:rsid w:val="00BC7AAF"/>
    <w:rsid w:val="00BD09BA"/>
    <w:rsid w:val="00BD0F65"/>
    <w:rsid w:val="00BD45F4"/>
    <w:rsid w:val="00BD710B"/>
    <w:rsid w:val="00BD72A6"/>
    <w:rsid w:val="00BD7421"/>
    <w:rsid w:val="00BE1203"/>
    <w:rsid w:val="00BE12FE"/>
    <w:rsid w:val="00BE1F73"/>
    <w:rsid w:val="00BE25EC"/>
    <w:rsid w:val="00BE4E14"/>
    <w:rsid w:val="00BE5948"/>
    <w:rsid w:val="00BE64E8"/>
    <w:rsid w:val="00BE6AA3"/>
    <w:rsid w:val="00BF02CC"/>
    <w:rsid w:val="00BF0451"/>
    <w:rsid w:val="00BF058F"/>
    <w:rsid w:val="00BF28B5"/>
    <w:rsid w:val="00BF3E47"/>
    <w:rsid w:val="00BF41C8"/>
    <w:rsid w:val="00BF7149"/>
    <w:rsid w:val="00BF727A"/>
    <w:rsid w:val="00C00CE3"/>
    <w:rsid w:val="00C017BF"/>
    <w:rsid w:val="00C01CAA"/>
    <w:rsid w:val="00C01E32"/>
    <w:rsid w:val="00C03AF8"/>
    <w:rsid w:val="00C05DD6"/>
    <w:rsid w:val="00C06295"/>
    <w:rsid w:val="00C075DB"/>
    <w:rsid w:val="00C07FC0"/>
    <w:rsid w:val="00C10419"/>
    <w:rsid w:val="00C10E3B"/>
    <w:rsid w:val="00C13C50"/>
    <w:rsid w:val="00C15011"/>
    <w:rsid w:val="00C1543E"/>
    <w:rsid w:val="00C15442"/>
    <w:rsid w:val="00C15AC0"/>
    <w:rsid w:val="00C15C2B"/>
    <w:rsid w:val="00C22794"/>
    <w:rsid w:val="00C22B1B"/>
    <w:rsid w:val="00C25C31"/>
    <w:rsid w:val="00C262AF"/>
    <w:rsid w:val="00C26C2E"/>
    <w:rsid w:val="00C26D0C"/>
    <w:rsid w:val="00C27B1C"/>
    <w:rsid w:val="00C3348F"/>
    <w:rsid w:val="00C3466F"/>
    <w:rsid w:val="00C35A81"/>
    <w:rsid w:val="00C35B21"/>
    <w:rsid w:val="00C36C70"/>
    <w:rsid w:val="00C37681"/>
    <w:rsid w:val="00C3794E"/>
    <w:rsid w:val="00C40B41"/>
    <w:rsid w:val="00C43994"/>
    <w:rsid w:val="00C4486D"/>
    <w:rsid w:val="00C453B6"/>
    <w:rsid w:val="00C456DD"/>
    <w:rsid w:val="00C473FA"/>
    <w:rsid w:val="00C50076"/>
    <w:rsid w:val="00C505A0"/>
    <w:rsid w:val="00C514A7"/>
    <w:rsid w:val="00C52811"/>
    <w:rsid w:val="00C52828"/>
    <w:rsid w:val="00C52C3C"/>
    <w:rsid w:val="00C52D80"/>
    <w:rsid w:val="00C5355A"/>
    <w:rsid w:val="00C539D8"/>
    <w:rsid w:val="00C53DD7"/>
    <w:rsid w:val="00C544A4"/>
    <w:rsid w:val="00C54991"/>
    <w:rsid w:val="00C54DA2"/>
    <w:rsid w:val="00C56F60"/>
    <w:rsid w:val="00C60C1E"/>
    <w:rsid w:val="00C629A1"/>
    <w:rsid w:val="00C6411B"/>
    <w:rsid w:val="00C65CC6"/>
    <w:rsid w:val="00C66097"/>
    <w:rsid w:val="00C67132"/>
    <w:rsid w:val="00C67198"/>
    <w:rsid w:val="00C6736E"/>
    <w:rsid w:val="00C675CD"/>
    <w:rsid w:val="00C67BE7"/>
    <w:rsid w:val="00C70688"/>
    <w:rsid w:val="00C708EB"/>
    <w:rsid w:val="00C71CF1"/>
    <w:rsid w:val="00C73B5B"/>
    <w:rsid w:val="00C73F3A"/>
    <w:rsid w:val="00C74887"/>
    <w:rsid w:val="00C75970"/>
    <w:rsid w:val="00C766D0"/>
    <w:rsid w:val="00C817CC"/>
    <w:rsid w:val="00C82267"/>
    <w:rsid w:val="00C82689"/>
    <w:rsid w:val="00C840CA"/>
    <w:rsid w:val="00C846A6"/>
    <w:rsid w:val="00C8553D"/>
    <w:rsid w:val="00C87EA9"/>
    <w:rsid w:val="00C92835"/>
    <w:rsid w:val="00C928AA"/>
    <w:rsid w:val="00C928EA"/>
    <w:rsid w:val="00C93843"/>
    <w:rsid w:val="00C94F65"/>
    <w:rsid w:val="00C95D38"/>
    <w:rsid w:val="00C96FA1"/>
    <w:rsid w:val="00CA0358"/>
    <w:rsid w:val="00CA19E2"/>
    <w:rsid w:val="00CB0647"/>
    <w:rsid w:val="00CB2650"/>
    <w:rsid w:val="00CB6A80"/>
    <w:rsid w:val="00CB73B4"/>
    <w:rsid w:val="00CB78E8"/>
    <w:rsid w:val="00CC0A83"/>
    <w:rsid w:val="00CC1429"/>
    <w:rsid w:val="00CC16ED"/>
    <w:rsid w:val="00CC34C5"/>
    <w:rsid w:val="00CC5796"/>
    <w:rsid w:val="00CC5C99"/>
    <w:rsid w:val="00CD06BB"/>
    <w:rsid w:val="00CD2224"/>
    <w:rsid w:val="00CD2D9C"/>
    <w:rsid w:val="00CD41A9"/>
    <w:rsid w:val="00CD54F7"/>
    <w:rsid w:val="00CD7410"/>
    <w:rsid w:val="00CE3603"/>
    <w:rsid w:val="00CE404B"/>
    <w:rsid w:val="00CE55D3"/>
    <w:rsid w:val="00CE5F58"/>
    <w:rsid w:val="00CE68CE"/>
    <w:rsid w:val="00CF05A5"/>
    <w:rsid w:val="00CF0857"/>
    <w:rsid w:val="00CF1F80"/>
    <w:rsid w:val="00CF366C"/>
    <w:rsid w:val="00CF510F"/>
    <w:rsid w:val="00CF53E2"/>
    <w:rsid w:val="00CF642B"/>
    <w:rsid w:val="00CF7A33"/>
    <w:rsid w:val="00D006C3"/>
    <w:rsid w:val="00D0095B"/>
    <w:rsid w:val="00D00A39"/>
    <w:rsid w:val="00D016AA"/>
    <w:rsid w:val="00D02F71"/>
    <w:rsid w:val="00D04600"/>
    <w:rsid w:val="00D054EE"/>
    <w:rsid w:val="00D075FF"/>
    <w:rsid w:val="00D10063"/>
    <w:rsid w:val="00D10CF7"/>
    <w:rsid w:val="00D11597"/>
    <w:rsid w:val="00D13A69"/>
    <w:rsid w:val="00D20E30"/>
    <w:rsid w:val="00D23E29"/>
    <w:rsid w:val="00D24E19"/>
    <w:rsid w:val="00D250BF"/>
    <w:rsid w:val="00D250F3"/>
    <w:rsid w:val="00D2512D"/>
    <w:rsid w:val="00D2737C"/>
    <w:rsid w:val="00D275B9"/>
    <w:rsid w:val="00D30418"/>
    <w:rsid w:val="00D31BED"/>
    <w:rsid w:val="00D32E2B"/>
    <w:rsid w:val="00D350EC"/>
    <w:rsid w:val="00D36E5D"/>
    <w:rsid w:val="00D37A58"/>
    <w:rsid w:val="00D37B9E"/>
    <w:rsid w:val="00D4107C"/>
    <w:rsid w:val="00D41EFE"/>
    <w:rsid w:val="00D42BC4"/>
    <w:rsid w:val="00D42FB8"/>
    <w:rsid w:val="00D439AB"/>
    <w:rsid w:val="00D450EF"/>
    <w:rsid w:val="00D4512C"/>
    <w:rsid w:val="00D46304"/>
    <w:rsid w:val="00D46F37"/>
    <w:rsid w:val="00D471E4"/>
    <w:rsid w:val="00D472E8"/>
    <w:rsid w:val="00D478BF"/>
    <w:rsid w:val="00D50A5E"/>
    <w:rsid w:val="00D51501"/>
    <w:rsid w:val="00D51BD2"/>
    <w:rsid w:val="00D5379F"/>
    <w:rsid w:val="00D537F4"/>
    <w:rsid w:val="00D5422A"/>
    <w:rsid w:val="00D5747C"/>
    <w:rsid w:val="00D60946"/>
    <w:rsid w:val="00D60E8F"/>
    <w:rsid w:val="00D6287E"/>
    <w:rsid w:val="00D63077"/>
    <w:rsid w:val="00D64D53"/>
    <w:rsid w:val="00D66089"/>
    <w:rsid w:val="00D66735"/>
    <w:rsid w:val="00D67263"/>
    <w:rsid w:val="00D70A94"/>
    <w:rsid w:val="00D724A7"/>
    <w:rsid w:val="00D73153"/>
    <w:rsid w:val="00D735AB"/>
    <w:rsid w:val="00D746AA"/>
    <w:rsid w:val="00D74B46"/>
    <w:rsid w:val="00D7503A"/>
    <w:rsid w:val="00D751E8"/>
    <w:rsid w:val="00D75883"/>
    <w:rsid w:val="00D761E3"/>
    <w:rsid w:val="00D767B8"/>
    <w:rsid w:val="00D811C9"/>
    <w:rsid w:val="00D81672"/>
    <w:rsid w:val="00D8200D"/>
    <w:rsid w:val="00D849E0"/>
    <w:rsid w:val="00D84A1F"/>
    <w:rsid w:val="00D861FB"/>
    <w:rsid w:val="00D87988"/>
    <w:rsid w:val="00D87BD3"/>
    <w:rsid w:val="00D90198"/>
    <w:rsid w:val="00D9193B"/>
    <w:rsid w:val="00D91A7C"/>
    <w:rsid w:val="00D93647"/>
    <w:rsid w:val="00D93B0D"/>
    <w:rsid w:val="00D93E18"/>
    <w:rsid w:val="00D94417"/>
    <w:rsid w:val="00D95FE1"/>
    <w:rsid w:val="00D9640B"/>
    <w:rsid w:val="00D97A60"/>
    <w:rsid w:val="00DA1E9E"/>
    <w:rsid w:val="00DA29D2"/>
    <w:rsid w:val="00DA2C89"/>
    <w:rsid w:val="00DA33E4"/>
    <w:rsid w:val="00DA458A"/>
    <w:rsid w:val="00DA4812"/>
    <w:rsid w:val="00DA5ADC"/>
    <w:rsid w:val="00DA6063"/>
    <w:rsid w:val="00DA7560"/>
    <w:rsid w:val="00DB1D93"/>
    <w:rsid w:val="00DB2373"/>
    <w:rsid w:val="00DB2E6D"/>
    <w:rsid w:val="00DB2E84"/>
    <w:rsid w:val="00DB3190"/>
    <w:rsid w:val="00DB3C2A"/>
    <w:rsid w:val="00DB40B1"/>
    <w:rsid w:val="00DB437E"/>
    <w:rsid w:val="00DB4775"/>
    <w:rsid w:val="00DB4BB9"/>
    <w:rsid w:val="00DB67ED"/>
    <w:rsid w:val="00DB7120"/>
    <w:rsid w:val="00DC04A4"/>
    <w:rsid w:val="00DC08A3"/>
    <w:rsid w:val="00DC4765"/>
    <w:rsid w:val="00DC59AF"/>
    <w:rsid w:val="00DC5CBE"/>
    <w:rsid w:val="00DC6631"/>
    <w:rsid w:val="00DC6D5C"/>
    <w:rsid w:val="00DC7AC6"/>
    <w:rsid w:val="00DC7E5C"/>
    <w:rsid w:val="00DC7FB3"/>
    <w:rsid w:val="00DD3406"/>
    <w:rsid w:val="00DE15B4"/>
    <w:rsid w:val="00DE3766"/>
    <w:rsid w:val="00DE49CE"/>
    <w:rsid w:val="00DE5B29"/>
    <w:rsid w:val="00DE61F7"/>
    <w:rsid w:val="00DF01A6"/>
    <w:rsid w:val="00DF0399"/>
    <w:rsid w:val="00DF0401"/>
    <w:rsid w:val="00DF0833"/>
    <w:rsid w:val="00DF0F77"/>
    <w:rsid w:val="00DF45B9"/>
    <w:rsid w:val="00DF46D7"/>
    <w:rsid w:val="00DF4D1B"/>
    <w:rsid w:val="00E0023D"/>
    <w:rsid w:val="00E00EB5"/>
    <w:rsid w:val="00E01071"/>
    <w:rsid w:val="00E01DCE"/>
    <w:rsid w:val="00E05277"/>
    <w:rsid w:val="00E05443"/>
    <w:rsid w:val="00E05A07"/>
    <w:rsid w:val="00E05AFB"/>
    <w:rsid w:val="00E06872"/>
    <w:rsid w:val="00E100AD"/>
    <w:rsid w:val="00E103FD"/>
    <w:rsid w:val="00E12824"/>
    <w:rsid w:val="00E12C8C"/>
    <w:rsid w:val="00E12D13"/>
    <w:rsid w:val="00E148D0"/>
    <w:rsid w:val="00E1754A"/>
    <w:rsid w:val="00E176F5"/>
    <w:rsid w:val="00E1788E"/>
    <w:rsid w:val="00E17B28"/>
    <w:rsid w:val="00E2017D"/>
    <w:rsid w:val="00E21FB8"/>
    <w:rsid w:val="00E220C4"/>
    <w:rsid w:val="00E22B52"/>
    <w:rsid w:val="00E2424C"/>
    <w:rsid w:val="00E24D4D"/>
    <w:rsid w:val="00E24E7D"/>
    <w:rsid w:val="00E25542"/>
    <w:rsid w:val="00E25CB0"/>
    <w:rsid w:val="00E25E5A"/>
    <w:rsid w:val="00E31148"/>
    <w:rsid w:val="00E31210"/>
    <w:rsid w:val="00E32789"/>
    <w:rsid w:val="00E32B87"/>
    <w:rsid w:val="00E35C9E"/>
    <w:rsid w:val="00E36073"/>
    <w:rsid w:val="00E36299"/>
    <w:rsid w:val="00E367E0"/>
    <w:rsid w:val="00E36CF6"/>
    <w:rsid w:val="00E4218B"/>
    <w:rsid w:val="00E42653"/>
    <w:rsid w:val="00E4337A"/>
    <w:rsid w:val="00E43FD7"/>
    <w:rsid w:val="00E44341"/>
    <w:rsid w:val="00E44B27"/>
    <w:rsid w:val="00E454DC"/>
    <w:rsid w:val="00E46909"/>
    <w:rsid w:val="00E53413"/>
    <w:rsid w:val="00E5407F"/>
    <w:rsid w:val="00E54A43"/>
    <w:rsid w:val="00E54C7E"/>
    <w:rsid w:val="00E55353"/>
    <w:rsid w:val="00E563ED"/>
    <w:rsid w:val="00E5681C"/>
    <w:rsid w:val="00E57953"/>
    <w:rsid w:val="00E57C56"/>
    <w:rsid w:val="00E61821"/>
    <w:rsid w:val="00E62FD6"/>
    <w:rsid w:val="00E63964"/>
    <w:rsid w:val="00E63C0D"/>
    <w:rsid w:val="00E645F0"/>
    <w:rsid w:val="00E65332"/>
    <w:rsid w:val="00E65B67"/>
    <w:rsid w:val="00E65FAE"/>
    <w:rsid w:val="00E65FDE"/>
    <w:rsid w:val="00E664AA"/>
    <w:rsid w:val="00E70553"/>
    <w:rsid w:val="00E709C2"/>
    <w:rsid w:val="00E71AD8"/>
    <w:rsid w:val="00E71E67"/>
    <w:rsid w:val="00E724A6"/>
    <w:rsid w:val="00E7419F"/>
    <w:rsid w:val="00E76009"/>
    <w:rsid w:val="00E76745"/>
    <w:rsid w:val="00E76846"/>
    <w:rsid w:val="00E80DFA"/>
    <w:rsid w:val="00E81D19"/>
    <w:rsid w:val="00E821BC"/>
    <w:rsid w:val="00E824A8"/>
    <w:rsid w:val="00E83A04"/>
    <w:rsid w:val="00E83BE5"/>
    <w:rsid w:val="00E861B5"/>
    <w:rsid w:val="00E8709B"/>
    <w:rsid w:val="00E8798E"/>
    <w:rsid w:val="00E87DBE"/>
    <w:rsid w:val="00E90960"/>
    <w:rsid w:val="00E90A43"/>
    <w:rsid w:val="00E90F26"/>
    <w:rsid w:val="00E923FE"/>
    <w:rsid w:val="00E93420"/>
    <w:rsid w:val="00E934C0"/>
    <w:rsid w:val="00E93DB0"/>
    <w:rsid w:val="00E943B5"/>
    <w:rsid w:val="00EA13CB"/>
    <w:rsid w:val="00EA24D8"/>
    <w:rsid w:val="00EA59EC"/>
    <w:rsid w:val="00EA59F9"/>
    <w:rsid w:val="00EA7D21"/>
    <w:rsid w:val="00EB0818"/>
    <w:rsid w:val="00EB0D9F"/>
    <w:rsid w:val="00EB11EA"/>
    <w:rsid w:val="00EB16D2"/>
    <w:rsid w:val="00EB1B60"/>
    <w:rsid w:val="00EB1E82"/>
    <w:rsid w:val="00EB2799"/>
    <w:rsid w:val="00EB381C"/>
    <w:rsid w:val="00EB3B35"/>
    <w:rsid w:val="00EB6377"/>
    <w:rsid w:val="00EC05CD"/>
    <w:rsid w:val="00EC0618"/>
    <w:rsid w:val="00EC074A"/>
    <w:rsid w:val="00EC35B9"/>
    <w:rsid w:val="00EC3D0A"/>
    <w:rsid w:val="00EC512C"/>
    <w:rsid w:val="00EC62B2"/>
    <w:rsid w:val="00EC632F"/>
    <w:rsid w:val="00EC6C43"/>
    <w:rsid w:val="00EC7280"/>
    <w:rsid w:val="00EC7B62"/>
    <w:rsid w:val="00ED0A35"/>
    <w:rsid w:val="00ED18BB"/>
    <w:rsid w:val="00ED3991"/>
    <w:rsid w:val="00ED402A"/>
    <w:rsid w:val="00ED6A04"/>
    <w:rsid w:val="00EE1EEF"/>
    <w:rsid w:val="00EE2480"/>
    <w:rsid w:val="00EE339B"/>
    <w:rsid w:val="00EE5E37"/>
    <w:rsid w:val="00EE6387"/>
    <w:rsid w:val="00EE71C0"/>
    <w:rsid w:val="00EF0A5F"/>
    <w:rsid w:val="00EF0F8C"/>
    <w:rsid w:val="00EF15A0"/>
    <w:rsid w:val="00EF25BB"/>
    <w:rsid w:val="00EF3588"/>
    <w:rsid w:val="00EF37FE"/>
    <w:rsid w:val="00EF38D0"/>
    <w:rsid w:val="00EF3AD6"/>
    <w:rsid w:val="00EF48FE"/>
    <w:rsid w:val="00EF7AF6"/>
    <w:rsid w:val="00F008A4"/>
    <w:rsid w:val="00F00CB6"/>
    <w:rsid w:val="00F022D2"/>
    <w:rsid w:val="00F03170"/>
    <w:rsid w:val="00F038FB"/>
    <w:rsid w:val="00F03F6C"/>
    <w:rsid w:val="00F04170"/>
    <w:rsid w:val="00F0484B"/>
    <w:rsid w:val="00F05BD5"/>
    <w:rsid w:val="00F0619B"/>
    <w:rsid w:val="00F06BF0"/>
    <w:rsid w:val="00F1031C"/>
    <w:rsid w:val="00F1158D"/>
    <w:rsid w:val="00F116AC"/>
    <w:rsid w:val="00F16CEF"/>
    <w:rsid w:val="00F16F6C"/>
    <w:rsid w:val="00F226F3"/>
    <w:rsid w:val="00F22A6E"/>
    <w:rsid w:val="00F233ED"/>
    <w:rsid w:val="00F24206"/>
    <w:rsid w:val="00F24D1D"/>
    <w:rsid w:val="00F27F0F"/>
    <w:rsid w:val="00F335FD"/>
    <w:rsid w:val="00F340C5"/>
    <w:rsid w:val="00F342E3"/>
    <w:rsid w:val="00F4230A"/>
    <w:rsid w:val="00F44EFC"/>
    <w:rsid w:val="00F45CD9"/>
    <w:rsid w:val="00F46929"/>
    <w:rsid w:val="00F4708E"/>
    <w:rsid w:val="00F471BC"/>
    <w:rsid w:val="00F50599"/>
    <w:rsid w:val="00F50A35"/>
    <w:rsid w:val="00F5173C"/>
    <w:rsid w:val="00F51CA1"/>
    <w:rsid w:val="00F51F34"/>
    <w:rsid w:val="00F5266F"/>
    <w:rsid w:val="00F53DB2"/>
    <w:rsid w:val="00F5598A"/>
    <w:rsid w:val="00F570D8"/>
    <w:rsid w:val="00F5751C"/>
    <w:rsid w:val="00F57AA6"/>
    <w:rsid w:val="00F57D6B"/>
    <w:rsid w:val="00F6081E"/>
    <w:rsid w:val="00F6183C"/>
    <w:rsid w:val="00F63304"/>
    <w:rsid w:val="00F6371C"/>
    <w:rsid w:val="00F64E19"/>
    <w:rsid w:val="00F65CAE"/>
    <w:rsid w:val="00F67469"/>
    <w:rsid w:val="00F71110"/>
    <w:rsid w:val="00F71A8A"/>
    <w:rsid w:val="00F71C25"/>
    <w:rsid w:val="00F740B6"/>
    <w:rsid w:val="00F7468F"/>
    <w:rsid w:val="00F80F39"/>
    <w:rsid w:val="00F80F54"/>
    <w:rsid w:val="00F83B1B"/>
    <w:rsid w:val="00F84DF8"/>
    <w:rsid w:val="00F84FC8"/>
    <w:rsid w:val="00F863CE"/>
    <w:rsid w:val="00F875D5"/>
    <w:rsid w:val="00F8761B"/>
    <w:rsid w:val="00F905F1"/>
    <w:rsid w:val="00F9212A"/>
    <w:rsid w:val="00F94586"/>
    <w:rsid w:val="00F94945"/>
    <w:rsid w:val="00F94CB3"/>
    <w:rsid w:val="00F95202"/>
    <w:rsid w:val="00FA064F"/>
    <w:rsid w:val="00FA2E40"/>
    <w:rsid w:val="00FA3069"/>
    <w:rsid w:val="00FA366A"/>
    <w:rsid w:val="00FA3C4E"/>
    <w:rsid w:val="00FA5612"/>
    <w:rsid w:val="00FA61F1"/>
    <w:rsid w:val="00FA7297"/>
    <w:rsid w:val="00FA7739"/>
    <w:rsid w:val="00FA77E0"/>
    <w:rsid w:val="00FB01B7"/>
    <w:rsid w:val="00FB01E1"/>
    <w:rsid w:val="00FB0E59"/>
    <w:rsid w:val="00FB1CBF"/>
    <w:rsid w:val="00FB6E90"/>
    <w:rsid w:val="00FC08D7"/>
    <w:rsid w:val="00FC1039"/>
    <w:rsid w:val="00FC1C6C"/>
    <w:rsid w:val="00FC4690"/>
    <w:rsid w:val="00FC5380"/>
    <w:rsid w:val="00FC703F"/>
    <w:rsid w:val="00FC71BF"/>
    <w:rsid w:val="00FC73A2"/>
    <w:rsid w:val="00FC73FE"/>
    <w:rsid w:val="00FC7C5C"/>
    <w:rsid w:val="00FD0116"/>
    <w:rsid w:val="00FD11C4"/>
    <w:rsid w:val="00FD537C"/>
    <w:rsid w:val="00FD5EE2"/>
    <w:rsid w:val="00FD77E9"/>
    <w:rsid w:val="00FD7F0C"/>
    <w:rsid w:val="00FE055F"/>
    <w:rsid w:val="00FE1211"/>
    <w:rsid w:val="00FE31EE"/>
    <w:rsid w:val="00FE3C24"/>
    <w:rsid w:val="00FE4782"/>
    <w:rsid w:val="00FE4A95"/>
    <w:rsid w:val="00FE6C9F"/>
    <w:rsid w:val="00FF0FB8"/>
    <w:rsid w:val="00FF16B2"/>
    <w:rsid w:val="00FF2011"/>
    <w:rsid w:val="00FF25A3"/>
    <w:rsid w:val="00FF51C6"/>
    <w:rsid w:val="00FF5F65"/>
    <w:rsid w:val="00FF7839"/>
    <w:rsid w:val="00FF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B377"/>
  <w15:chartTrackingRefBased/>
  <w15:docId w15:val="{170BA443-B887-428F-824F-E0D25A1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D3"/>
    <w:pPr>
      <w:spacing w:after="160" w:line="259" w:lineRule="auto"/>
    </w:pPr>
    <w:rPr>
      <w:kern w:val="2"/>
      <w:sz w:val="22"/>
      <w:szCs w:val="22"/>
      <w:lang w:val="en-ZW"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paragraph" w:styleId="Heading4">
    <w:name w:val="heading 4"/>
    <w:basedOn w:val="Normal"/>
    <w:next w:val="Normal"/>
    <w:link w:val="Heading4Char"/>
    <w:uiPriority w:val="9"/>
    <w:semiHidden/>
    <w:unhideWhenUsed/>
    <w:qFormat/>
    <w:rsid w:val="000054C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val="en-ZW"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val="en-ZW"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paragraph" w:styleId="NormalWeb">
    <w:name w:val="Normal (Web)"/>
    <w:basedOn w:val="Normal"/>
    <w:uiPriority w:val="99"/>
    <w:semiHidden/>
    <w:unhideWhenUsed/>
    <w:rsid w:val="0020788D"/>
    <w:rPr>
      <w:rFonts w:ascii="Times New Roman" w:hAnsi="Times New Roman"/>
      <w:sz w:val="24"/>
      <w:szCs w:val="24"/>
    </w:rPr>
  </w:style>
  <w:style w:type="character" w:customStyle="1" w:styleId="Heading4Char">
    <w:name w:val="Heading 4 Char"/>
    <w:basedOn w:val="DefaultParagraphFont"/>
    <w:link w:val="Heading4"/>
    <w:uiPriority w:val="9"/>
    <w:semiHidden/>
    <w:rsid w:val="000054C7"/>
    <w:rPr>
      <w:rFonts w:asciiTheme="majorHAnsi" w:eastAsiaTheme="majorEastAsia" w:hAnsiTheme="majorHAnsi" w:cstheme="majorBidi"/>
      <w:i/>
      <w:iCs/>
      <w:color w:val="0F4761" w:themeColor="accent1" w:themeShade="BF"/>
      <w:kern w:val="2"/>
      <w:sz w:val="22"/>
      <w:szCs w:val="22"/>
      <w:lang w:val="en-ZW" w:eastAsia="en-US"/>
    </w:rPr>
  </w:style>
  <w:style w:type="paragraph" w:styleId="FootnoteText">
    <w:name w:val="footnote text"/>
    <w:basedOn w:val="Normal"/>
    <w:link w:val="FootnoteTextChar"/>
    <w:uiPriority w:val="99"/>
    <w:semiHidden/>
    <w:unhideWhenUsed/>
    <w:rsid w:val="000529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29F0"/>
    <w:rPr>
      <w:kern w:val="2"/>
      <w:lang w:val="en-ZW" w:eastAsia="en-US"/>
    </w:rPr>
  </w:style>
  <w:style w:type="character" w:styleId="FootnoteReference">
    <w:name w:val="footnote reference"/>
    <w:basedOn w:val="DefaultParagraphFont"/>
    <w:uiPriority w:val="99"/>
    <w:semiHidden/>
    <w:unhideWhenUsed/>
    <w:rsid w:val="000529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364">
      <w:bodyDiv w:val="1"/>
      <w:marLeft w:val="0"/>
      <w:marRight w:val="0"/>
      <w:marTop w:val="0"/>
      <w:marBottom w:val="0"/>
      <w:divBdr>
        <w:top w:val="none" w:sz="0" w:space="0" w:color="auto"/>
        <w:left w:val="none" w:sz="0" w:space="0" w:color="auto"/>
        <w:bottom w:val="none" w:sz="0" w:space="0" w:color="auto"/>
        <w:right w:val="none" w:sz="0" w:space="0" w:color="auto"/>
      </w:divBdr>
    </w:div>
    <w:div w:id="72745349">
      <w:bodyDiv w:val="1"/>
      <w:marLeft w:val="0"/>
      <w:marRight w:val="0"/>
      <w:marTop w:val="0"/>
      <w:marBottom w:val="0"/>
      <w:divBdr>
        <w:top w:val="none" w:sz="0" w:space="0" w:color="auto"/>
        <w:left w:val="none" w:sz="0" w:space="0" w:color="auto"/>
        <w:bottom w:val="none" w:sz="0" w:space="0" w:color="auto"/>
        <w:right w:val="none" w:sz="0" w:space="0" w:color="auto"/>
      </w:divBdr>
    </w:div>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5875712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02542723">
      <w:bodyDiv w:val="1"/>
      <w:marLeft w:val="0"/>
      <w:marRight w:val="0"/>
      <w:marTop w:val="0"/>
      <w:marBottom w:val="0"/>
      <w:divBdr>
        <w:top w:val="none" w:sz="0" w:space="0" w:color="auto"/>
        <w:left w:val="none" w:sz="0" w:space="0" w:color="auto"/>
        <w:bottom w:val="none" w:sz="0" w:space="0" w:color="auto"/>
        <w:right w:val="none" w:sz="0" w:space="0" w:color="auto"/>
      </w:divBdr>
    </w:div>
    <w:div w:id="340671189">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02018243">
      <w:bodyDiv w:val="1"/>
      <w:marLeft w:val="0"/>
      <w:marRight w:val="0"/>
      <w:marTop w:val="0"/>
      <w:marBottom w:val="0"/>
      <w:divBdr>
        <w:top w:val="none" w:sz="0" w:space="0" w:color="auto"/>
        <w:left w:val="none" w:sz="0" w:space="0" w:color="auto"/>
        <w:bottom w:val="none" w:sz="0" w:space="0" w:color="auto"/>
        <w:right w:val="none" w:sz="0" w:space="0" w:color="auto"/>
      </w:divBdr>
    </w:div>
    <w:div w:id="509834341">
      <w:bodyDiv w:val="1"/>
      <w:marLeft w:val="0"/>
      <w:marRight w:val="0"/>
      <w:marTop w:val="0"/>
      <w:marBottom w:val="0"/>
      <w:divBdr>
        <w:top w:val="none" w:sz="0" w:space="0" w:color="auto"/>
        <w:left w:val="none" w:sz="0" w:space="0" w:color="auto"/>
        <w:bottom w:val="none" w:sz="0" w:space="0" w:color="auto"/>
        <w:right w:val="none" w:sz="0" w:space="0" w:color="auto"/>
      </w:divBdr>
    </w:div>
    <w:div w:id="517933771">
      <w:bodyDiv w:val="1"/>
      <w:marLeft w:val="0"/>
      <w:marRight w:val="0"/>
      <w:marTop w:val="0"/>
      <w:marBottom w:val="0"/>
      <w:divBdr>
        <w:top w:val="none" w:sz="0" w:space="0" w:color="auto"/>
        <w:left w:val="none" w:sz="0" w:space="0" w:color="auto"/>
        <w:bottom w:val="none" w:sz="0" w:space="0" w:color="auto"/>
        <w:right w:val="none" w:sz="0" w:space="0" w:color="auto"/>
      </w:divBdr>
    </w:div>
    <w:div w:id="525943812">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23775281">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766267803">
      <w:bodyDiv w:val="1"/>
      <w:marLeft w:val="0"/>
      <w:marRight w:val="0"/>
      <w:marTop w:val="0"/>
      <w:marBottom w:val="0"/>
      <w:divBdr>
        <w:top w:val="none" w:sz="0" w:space="0" w:color="auto"/>
        <w:left w:val="none" w:sz="0" w:space="0" w:color="auto"/>
        <w:bottom w:val="none" w:sz="0" w:space="0" w:color="auto"/>
        <w:right w:val="none" w:sz="0" w:space="0" w:color="auto"/>
      </w:divBdr>
    </w:div>
    <w:div w:id="778526624">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47389224">
      <w:bodyDiv w:val="1"/>
      <w:marLeft w:val="0"/>
      <w:marRight w:val="0"/>
      <w:marTop w:val="0"/>
      <w:marBottom w:val="0"/>
      <w:divBdr>
        <w:top w:val="none" w:sz="0" w:space="0" w:color="auto"/>
        <w:left w:val="none" w:sz="0" w:space="0" w:color="auto"/>
        <w:bottom w:val="none" w:sz="0" w:space="0" w:color="auto"/>
        <w:right w:val="none" w:sz="0" w:space="0" w:color="auto"/>
      </w:divBdr>
    </w:div>
    <w:div w:id="950480770">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31495598">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59080764">
      <w:bodyDiv w:val="1"/>
      <w:marLeft w:val="0"/>
      <w:marRight w:val="0"/>
      <w:marTop w:val="0"/>
      <w:marBottom w:val="0"/>
      <w:divBdr>
        <w:top w:val="none" w:sz="0" w:space="0" w:color="auto"/>
        <w:left w:val="none" w:sz="0" w:space="0" w:color="auto"/>
        <w:bottom w:val="none" w:sz="0" w:space="0" w:color="auto"/>
        <w:right w:val="none" w:sz="0" w:space="0" w:color="auto"/>
      </w:divBdr>
    </w:div>
    <w:div w:id="1163012317">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253125103">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39625693">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392459328">
      <w:bodyDiv w:val="1"/>
      <w:marLeft w:val="0"/>
      <w:marRight w:val="0"/>
      <w:marTop w:val="0"/>
      <w:marBottom w:val="0"/>
      <w:divBdr>
        <w:top w:val="none" w:sz="0" w:space="0" w:color="auto"/>
        <w:left w:val="none" w:sz="0" w:space="0" w:color="auto"/>
        <w:bottom w:val="none" w:sz="0" w:space="0" w:color="auto"/>
        <w:right w:val="none" w:sz="0" w:space="0" w:color="auto"/>
      </w:divBdr>
    </w:div>
    <w:div w:id="1411003019">
      <w:bodyDiv w:val="1"/>
      <w:marLeft w:val="0"/>
      <w:marRight w:val="0"/>
      <w:marTop w:val="0"/>
      <w:marBottom w:val="0"/>
      <w:divBdr>
        <w:top w:val="none" w:sz="0" w:space="0" w:color="auto"/>
        <w:left w:val="none" w:sz="0" w:space="0" w:color="auto"/>
        <w:bottom w:val="none" w:sz="0" w:space="0" w:color="auto"/>
        <w:right w:val="none" w:sz="0" w:space="0" w:color="auto"/>
      </w:divBdr>
    </w:div>
    <w:div w:id="1435977873">
      <w:bodyDiv w:val="1"/>
      <w:marLeft w:val="0"/>
      <w:marRight w:val="0"/>
      <w:marTop w:val="0"/>
      <w:marBottom w:val="0"/>
      <w:divBdr>
        <w:top w:val="none" w:sz="0" w:space="0" w:color="auto"/>
        <w:left w:val="none" w:sz="0" w:space="0" w:color="auto"/>
        <w:bottom w:val="none" w:sz="0" w:space="0" w:color="auto"/>
        <w:right w:val="none" w:sz="0" w:space="0" w:color="auto"/>
      </w:divBdr>
    </w:div>
    <w:div w:id="1486971228">
      <w:bodyDiv w:val="1"/>
      <w:marLeft w:val="0"/>
      <w:marRight w:val="0"/>
      <w:marTop w:val="0"/>
      <w:marBottom w:val="0"/>
      <w:divBdr>
        <w:top w:val="none" w:sz="0" w:space="0" w:color="auto"/>
        <w:left w:val="none" w:sz="0" w:space="0" w:color="auto"/>
        <w:bottom w:val="none" w:sz="0" w:space="0" w:color="auto"/>
        <w:right w:val="none" w:sz="0" w:space="0" w:color="auto"/>
      </w:divBdr>
    </w:div>
    <w:div w:id="1523319756">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76552003">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47052246">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82270363">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724594113">
      <w:bodyDiv w:val="1"/>
      <w:marLeft w:val="0"/>
      <w:marRight w:val="0"/>
      <w:marTop w:val="0"/>
      <w:marBottom w:val="0"/>
      <w:divBdr>
        <w:top w:val="none" w:sz="0" w:space="0" w:color="auto"/>
        <w:left w:val="none" w:sz="0" w:space="0" w:color="auto"/>
        <w:bottom w:val="none" w:sz="0" w:space="0" w:color="auto"/>
        <w:right w:val="none" w:sz="0" w:space="0" w:color="auto"/>
      </w:divBdr>
    </w:div>
    <w:div w:id="1727609123">
      <w:bodyDiv w:val="1"/>
      <w:marLeft w:val="0"/>
      <w:marRight w:val="0"/>
      <w:marTop w:val="0"/>
      <w:marBottom w:val="0"/>
      <w:divBdr>
        <w:top w:val="none" w:sz="0" w:space="0" w:color="auto"/>
        <w:left w:val="none" w:sz="0" w:space="0" w:color="auto"/>
        <w:bottom w:val="none" w:sz="0" w:space="0" w:color="auto"/>
        <w:right w:val="none" w:sz="0" w:space="0" w:color="auto"/>
      </w:divBdr>
    </w:div>
    <w:div w:id="1727685012">
      <w:bodyDiv w:val="1"/>
      <w:marLeft w:val="0"/>
      <w:marRight w:val="0"/>
      <w:marTop w:val="0"/>
      <w:marBottom w:val="0"/>
      <w:divBdr>
        <w:top w:val="none" w:sz="0" w:space="0" w:color="auto"/>
        <w:left w:val="none" w:sz="0" w:space="0" w:color="auto"/>
        <w:bottom w:val="none" w:sz="0" w:space="0" w:color="auto"/>
        <w:right w:val="none" w:sz="0" w:space="0" w:color="auto"/>
      </w:divBdr>
    </w:div>
    <w:div w:id="1727757928">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27637351">
      <w:bodyDiv w:val="1"/>
      <w:marLeft w:val="0"/>
      <w:marRight w:val="0"/>
      <w:marTop w:val="0"/>
      <w:marBottom w:val="0"/>
      <w:divBdr>
        <w:top w:val="none" w:sz="0" w:space="0" w:color="auto"/>
        <w:left w:val="none" w:sz="0" w:space="0" w:color="auto"/>
        <w:bottom w:val="none" w:sz="0" w:space="0" w:color="auto"/>
        <w:right w:val="none" w:sz="0" w:space="0" w:color="auto"/>
      </w:divBdr>
    </w:div>
    <w:div w:id="2032146891">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'[MEB Database.xlsx]Global Output'!$B$154</c:f>
              <c:strCache>
                <c:ptCount val="1"/>
                <c:pt idx="0">
                  <c:v>World Output (IMF, October 2024)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Database.xlsx]Global Output'!$A$155:$A$157</c:f>
              <c:numCache>
                <c:formatCode>General</c:formatCode>
                <c:ptCount val="3"/>
                <c:pt idx="0">
                  <c:v>2024</c:v>
                </c:pt>
                <c:pt idx="1">
                  <c:v>2025</c:v>
                </c:pt>
                <c:pt idx="2">
                  <c:v>2026</c:v>
                </c:pt>
              </c:numCache>
            </c:numRef>
          </c:cat>
          <c:val>
            <c:numRef>
              <c:f>'[MEB Database.xlsx]Global Output'!$B$155:$B$157</c:f>
              <c:numCache>
                <c:formatCode>General</c:formatCode>
                <c:ptCount val="3"/>
                <c:pt idx="0">
                  <c:v>3.2</c:v>
                </c:pt>
                <c:pt idx="1">
                  <c:v>3.2</c:v>
                </c:pt>
              </c:numCache>
            </c:numRef>
          </c:val>
          <c:extLst>
            <c:ext xmlns:c16="http://schemas.microsoft.com/office/drawing/2014/chart" uri="{C3380CC4-5D6E-409C-BE32-E72D297353CC}">
              <c16:uniqueId val="{00000000-B078-42C8-B31A-3FA8FC6DA9CB}"/>
            </c:ext>
          </c:extLst>
        </c:ser>
        <c:ser>
          <c:idx val="1"/>
          <c:order val="1"/>
          <c:tx>
            <c:strRef>
              <c:f>'[MEB Database.xlsx]Global Output'!$C$154</c:f>
              <c:strCache>
                <c:ptCount val="1"/>
                <c:pt idx="0">
                  <c:v>KPMG International, December 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Database.xlsx]Global Output'!$A$155:$A$157</c:f>
              <c:numCache>
                <c:formatCode>General</c:formatCode>
                <c:ptCount val="3"/>
                <c:pt idx="0">
                  <c:v>2024</c:v>
                </c:pt>
                <c:pt idx="1">
                  <c:v>2025</c:v>
                </c:pt>
                <c:pt idx="2">
                  <c:v>2026</c:v>
                </c:pt>
              </c:numCache>
            </c:numRef>
          </c:cat>
          <c:val>
            <c:numRef>
              <c:f>'[MEB Database.xlsx]Global Output'!$C$155:$C$157</c:f>
              <c:numCache>
                <c:formatCode>General</c:formatCode>
                <c:ptCount val="3"/>
                <c:pt idx="0">
                  <c:v>3.1</c:v>
                </c:pt>
                <c:pt idx="1">
                  <c:v>3.2</c:v>
                </c:pt>
                <c:pt idx="2">
                  <c:v>3</c:v>
                </c:pt>
              </c:numCache>
            </c:numRef>
          </c:val>
          <c:extLst>
            <c:ext xmlns:c16="http://schemas.microsoft.com/office/drawing/2014/chart" uri="{C3380CC4-5D6E-409C-BE32-E72D297353CC}">
              <c16:uniqueId val="{00000001-B078-42C8-B31A-3FA8FC6DA9CB}"/>
            </c:ext>
          </c:extLst>
        </c:ser>
        <c:dLbls>
          <c:dLblPos val="outEnd"/>
          <c:showLegendKey val="0"/>
          <c:showVal val="1"/>
          <c:showCatName val="0"/>
          <c:showSerName val="0"/>
          <c:showPercent val="0"/>
          <c:showBubbleSize val="0"/>
        </c:dLbls>
        <c:gapWidth val="219"/>
        <c:overlap val="-27"/>
        <c:axId val="1238452799"/>
        <c:axId val="1238439839"/>
      </c:barChart>
      <c:catAx>
        <c:axId val="123845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39839"/>
        <c:crosses val="autoZero"/>
        <c:auto val="1"/>
        <c:lblAlgn val="ctr"/>
        <c:lblOffset val="100"/>
        <c:noMultiLvlLbl val="0"/>
      </c:catAx>
      <c:valAx>
        <c:axId val="1238439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52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'[MEB Database.xlsx]Global Inflation'!$A$126</c:f>
              <c:strCache>
                <c:ptCount val="1"/>
                <c:pt idx="0">
                  <c:v>World Consumer Prices (IMF, October 2024)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Database.xlsx]Global Inflation'!$B$125:$D$125</c:f>
              <c:numCache>
                <c:formatCode>General</c:formatCode>
                <c:ptCount val="3"/>
                <c:pt idx="0">
                  <c:v>2024</c:v>
                </c:pt>
                <c:pt idx="1">
                  <c:v>2025</c:v>
                </c:pt>
                <c:pt idx="2">
                  <c:v>2026</c:v>
                </c:pt>
              </c:numCache>
            </c:numRef>
          </c:cat>
          <c:val>
            <c:numRef>
              <c:f>'[MEB Database.xlsx]Global Inflation'!$B$126:$D$126</c:f>
              <c:numCache>
                <c:formatCode>General</c:formatCode>
                <c:ptCount val="3"/>
                <c:pt idx="0">
                  <c:v>5.8</c:v>
                </c:pt>
                <c:pt idx="1">
                  <c:v>4.3</c:v>
                </c:pt>
              </c:numCache>
            </c:numRef>
          </c:val>
          <c:extLst>
            <c:ext xmlns:c16="http://schemas.microsoft.com/office/drawing/2014/chart" uri="{C3380CC4-5D6E-409C-BE32-E72D297353CC}">
              <c16:uniqueId val="{00000000-750B-4913-8F52-E73446752D31}"/>
            </c:ext>
          </c:extLst>
        </c:ser>
        <c:ser>
          <c:idx val="1"/>
          <c:order val="1"/>
          <c:tx>
            <c:strRef>
              <c:f>'[MEB Database.xlsx]Global Inflation'!$A$127</c:f>
              <c:strCache>
                <c:ptCount val="1"/>
                <c:pt idx="0">
                  <c:v>Global Inflation (KPMG International, 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Database.xlsx]Global Inflation'!$B$125:$D$125</c:f>
              <c:numCache>
                <c:formatCode>General</c:formatCode>
                <c:ptCount val="3"/>
                <c:pt idx="0">
                  <c:v>2024</c:v>
                </c:pt>
                <c:pt idx="1">
                  <c:v>2025</c:v>
                </c:pt>
                <c:pt idx="2">
                  <c:v>2026</c:v>
                </c:pt>
              </c:numCache>
            </c:numRef>
          </c:cat>
          <c:val>
            <c:numRef>
              <c:f>'[MEB Database.xlsx]Global Inflation'!$B$127:$D$127</c:f>
              <c:numCache>
                <c:formatCode>General</c:formatCode>
                <c:ptCount val="3"/>
                <c:pt idx="0">
                  <c:v>4.5</c:v>
                </c:pt>
                <c:pt idx="1">
                  <c:v>3.5</c:v>
                </c:pt>
                <c:pt idx="2">
                  <c:v>3.2</c:v>
                </c:pt>
              </c:numCache>
            </c:numRef>
          </c:val>
          <c:extLst>
            <c:ext xmlns:c16="http://schemas.microsoft.com/office/drawing/2014/chart" uri="{C3380CC4-5D6E-409C-BE32-E72D297353CC}">
              <c16:uniqueId val="{00000001-750B-4913-8F52-E73446752D31}"/>
            </c:ext>
          </c:extLst>
        </c:ser>
        <c:dLbls>
          <c:dLblPos val="outEnd"/>
          <c:showLegendKey val="0"/>
          <c:showVal val="1"/>
          <c:showCatName val="0"/>
          <c:showSerName val="0"/>
          <c:showPercent val="0"/>
          <c:showBubbleSize val="0"/>
        </c:dLbls>
        <c:gapWidth val="219"/>
        <c:overlap val="-27"/>
        <c:axId val="1228493872"/>
        <c:axId val="1228495792"/>
      </c:barChart>
      <c:catAx>
        <c:axId val="122849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495792"/>
        <c:crosses val="autoZero"/>
        <c:auto val="1"/>
        <c:lblAlgn val="ctr"/>
        <c:lblOffset val="100"/>
        <c:noMultiLvlLbl val="0"/>
      </c:catAx>
      <c:valAx>
        <c:axId val="1228495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493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'[MEB Database.xlsx]Merchandise Trade'!$B$59</c:f>
              <c:strCache>
                <c:ptCount val="1"/>
                <c:pt idx="0">
                  <c:v>Exports(USD Million)</c:v>
                </c:pt>
              </c:strCache>
            </c:strRef>
          </c:tx>
          <c:spPr>
            <a:noFill/>
            <a:ln w="25400" cap="flat" cmpd="sng" algn="ctr">
              <a:solidFill>
                <a:schemeClr val="accent1"/>
              </a:solidFill>
              <a:miter lim="800000"/>
            </a:ln>
            <a:effectLst/>
          </c:spPr>
          <c:invertIfNegative val="0"/>
          <c:dLbls>
            <c:delete val="1"/>
          </c:dLbls>
          <c:cat>
            <c:numRef>
              <c:f>'[MEB Database.xlsx]Merchandise Trade'!$A$65:$A$77</c:f>
              <c:numCache>
                <c:formatCode>mmm\-yy</c:formatCode>
                <c:ptCount val="13"/>
                <c:pt idx="0">
                  <c:v>45200</c:v>
                </c:pt>
                <c:pt idx="1">
                  <c:v>45231</c:v>
                </c:pt>
                <c:pt idx="2">
                  <c:v>45261</c:v>
                </c:pt>
                <c:pt idx="3">
                  <c:v>45292</c:v>
                </c:pt>
                <c:pt idx="4">
                  <c:v>45323</c:v>
                </c:pt>
                <c:pt idx="5">
                  <c:v>45352</c:v>
                </c:pt>
                <c:pt idx="6">
                  <c:v>45383</c:v>
                </c:pt>
                <c:pt idx="7">
                  <c:v>45413</c:v>
                </c:pt>
                <c:pt idx="8">
                  <c:v>45444</c:v>
                </c:pt>
                <c:pt idx="9">
                  <c:v>45474</c:v>
                </c:pt>
                <c:pt idx="10">
                  <c:v>45505</c:v>
                </c:pt>
                <c:pt idx="11">
                  <c:v>45536</c:v>
                </c:pt>
                <c:pt idx="12">
                  <c:v>45566</c:v>
                </c:pt>
              </c:numCache>
            </c:numRef>
          </c:cat>
          <c:val>
            <c:numRef>
              <c:f>'[MEB Database.xlsx]Merchandise Trade'!$B$65:$B$77</c:f>
              <c:numCache>
                <c:formatCode>#,##0.00</c:formatCode>
                <c:ptCount val="13"/>
                <c:pt idx="0">
                  <c:v>831.86684200000002</c:v>
                </c:pt>
                <c:pt idx="1">
                  <c:v>681.28519700000004</c:v>
                </c:pt>
                <c:pt idx="2">
                  <c:v>550.63546699999995</c:v>
                </c:pt>
                <c:pt idx="3">
                  <c:v>540.89453400000002</c:v>
                </c:pt>
                <c:pt idx="4">
                  <c:v>645.01450299999999</c:v>
                </c:pt>
                <c:pt idx="5">
                  <c:v>534.69318499999997</c:v>
                </c:pt>
                <c:pt idx="6">
                  <c:v>513.5</c:v>
                </c:pt>
                <c:pt idx="7">
                  <c:v>583</c:v>
                </c:pt>
                <c:pt idx="8">
                  <c:v>524.70000000000005</c:v>
                </c:pt>
                <c:pt idx="9">
                  <c:v>548.29999999999995</c:v>
                </c:pt>
                <c:pt idx="10">
                  <c:v>674</c:v>
                </c:pt>
                <c:pt idx="11">
                  <c:v>575</c:v>
                </c:pt>
                <c:pt idx="12" formatCode="0.00">
                  <c:v>698.1</c:v>
                </c:pt>
              </c:numCache>
            </c:numRef>
          </c:val>
          <c:extLst>
            <c:ext xmlns:c16="http://schemas.microsoft.com/office/drawing/2014/chart" uri="{C3380CC4-5D6E-409C-BE32-E72D297353CC}">
              <c16:uniqueId val="{0000000B-D996-4501-BE2D-550611C08474}"/>
            </c:ext>
          </c:extLst>
        </c:ser>
        <c:ser>
          <c:idx val="1"/>
          <c:order val="1"/>
          <c:tx>
            <c:strRef>
              <c:f>'[MEB Database.xlsx]Merchandise Trade'!$C$59</c:f>
              <c:strCache>
                <c:ptCount val="1"/>
                <c:pt idx="0">
                  <c:v>Imports(USD Million)</c:v>
                </c:pt>
              </c:strCache>
            </c:strRef>
          </c:tx>
          <c:spPr>
            <a:noFill/>
            <a:ln w="25400" cap="flat" cmpd="sng" algn="ctr">
              <a:solidFill>
                <a:schemeClr val="accent2"/>
              </a:solidFill>
              <a:miter lim="800000"/>
            </a:ln>
            <a:effectLst/>
          </c:spPr>
          <c:invertIfNegative val="0"/>
          <c:dLbls>
            <c:delete val="1"/>
          </c:dLbls>
          <c:cat>
            <c:numRef>
              <c:f>'[MEB Database.xlsx]Merchandise Trade'!$A$65:$A$77</c:f>
              <c:numCache>
                <c:formatCode>mmm\-yy</c:formatCode>
                <c:ptCount val="13"/>
                <c:pt idx="0">
                  <c:v>45200</c:v>
                </c:pt>
                <c:pt idx="1">
                  <c:v>45231</c:v>
                </c:pt>
                <c:pt idx="2">
                  <c:v>45261</c:v>
                </c:pt>
                <c:pt idx="3">
                  <c:v>45292</c:v>
                </c:pt>
                <c:pt idx="4">
                  <c:v>45323</c:v>
                </c:pt>
                <c:pt idx="5">
                  <c:v>45352</c:v>
                </c:pt>
                <c:pt idx="6">
                  <c:v>45383</c:v>
                </c:pt>
                <c:pt idx="7">
                  <c:v>45413</c:v>
                </c:pt>
                <c:pt idx="8">
                  <c:v>45444</c:v>
                </c:pt>
                <c:pt idx="9">
                  <c:v>45474</c:v>
                </c:pt>
                <c:pt idx="10">
                  <c:v>45505</c:v>
                </c:pt>
                <c:pt idx="11">
                  <c:v>45536</c:v>
                </c:pt>
                <c:pt idx="12">
                  <c:v>45566</c:v>
                </c:pt>
              </c:numCache>
            </c:numRef>
          </c:cat>
          <c:val>
            <c:numRef>
              <c:f>'[MEB Database.xlsx]Merchandise Trade'!$C$65:$C$77</c:f>
              <c:numCache>
                <c:formatCode>#,##0.00</c:formatCode>
                <c:ptCount val="13"/>
                <c:pt idx="0">
                  <c:v>901.21399899999994</c:v>
                </c:pt>
                <c:pt idx="1">
                  <c:v>824.85674800000004</c:v>
                </c:pt>
                <c:pt idx="2">
                  <c:v>814.64909899999998</c:v>
                </c:pt>
                <c:pt idx="3">
                  <c:v>691.53958</c:v>
                </c:pt>
                <c:pt idx="4">
                  <c:v>729.62664400000006</c:v>
                </c:pt>
                <c:pt idx="5">
                  <c:v>718.95693600000004</c:v>
                </c:pt>
                <c:pt idx="6">
                  <c:v>711.7</c:v>
                </c:pt>
                <c:pt idx="7">
                  <c:v>734.1</c:v>
                </c:pt>
                <c:pt idx="8">
                  <c:v>743.6</c:v>
                </c:pt>
                <c:pt idx="9">
                  <c:v>823.1</c:v>
                </c:pt>
                <c:pt idx="10">
                  <c:v>872.8</c:v>
                </c:pt>
                <c:pt idx="11">
                  <c:v>782.6</c:v>
                </c:pt>
                <c:pt idx="12">
                  <c:v>835.8</c:v>
                </c:pt>
              </c:numCache>
            </c:numRef>
          </c:val>
          <c:extLst>
            <c:ext xmlns:c16="http://schemas.microsoft.com/office/drawing/2014/chart" uri="{C3380CC4-5D6E-409C-BE32-E72D297353CC}">
              <c16:uniqueId val="{0000000C-D996-4501-BE2D-550611C08474}"/>
            </c:ext>
          </c:extLst>
        </c:ser>
        <c:ser>
          <c:idx val="2"/>
          <c:order val="2"/>
          <c:tx>
            <c:strRef>
              <c:f>'[MEB Database.xlsx]Merchandise Trade'!$D$59</c:f>
              <c:strCache>
                <c:ptCount val="1"/>
                <c:pt idx="0">
                  <c:v>Trade Balance (USD Million)</c:v>
                </c:pt>
              </c:strCache>
            </c:strRef>
          </c:tx>
          <c:spPr>
            <a:noFill/>
            <a:ln w="25400" cap="flat" cmpd="sng" algn="ctr">
              <a:solidFill>
                <a:schemeClr val="accent3"/>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Database.xlsx]Merchandise Trade'!$A$65:$A$77</c:f>
              <c:numCache>
                <c:formatCode>mmm\-yy</c:formatCode>
                <c:ptCount val="13"/>
                <c:pt idx="0">
                  <c:v>45200</c:v>
                </c:pt>
                <c:pt idx="1">
                  <c:v>45231</c:v>
                </c:pt>
                <c:pt idx="2">
                  <c:v>45261</c:v>
                </c:pt>
                <c:pt idx="3">
                  <c:v>45292</c:v>
                </c:pt>
                <c:pt idx="4">
                  <c:v>45323</c:v>
                </c:pt>
                <c:pt idx="5">
                  <c:v>45352</c:v>
                </c:pt>
                <c:pt idx="6">
                  <c:v>45383</c:v>
                </c:pt>
                <c:pt idx="7">
                  <c:v>45413</c:v>
                </c:pt>
                <c:pt idx="8">
                  <c:v>45444</c:v>
                </c:pt>
                <c:pt idx="9">
                  <c:v>45474</c:v>
                </c:pt>
                <c:pt idx="10">
                  <c:v>45505</c:v>
                </c:pt>
                <c:pt idx="11">
                  <c:v>45536</c:v>
                </c:pt>
                <c:pt idx="12">
                  <c:v>45566</c:v>
                </c:pt>
              </c:numCache>
            </c:numRef>
          </c:cat>
          <c:val>
            <c:numRef>
              <c:f>'[MEB Database.xlsx]Merchandise Trade'!$D$65:$D$77</c:f>
              <c:numCache>
                <c:formatCode>#,##0.00</c:formatCode>
                <c:ptCount val="13"/>
                <c:pt idx="0">
                  <c:v>-69.347156999999925</c:v>
                </c:pt>
                <c:pt idx="1">
                  <c:v>-143.571551</c:v>
                </c:pt>
                <c:pt idx="2">
                  <c:v>-264.01363200000003</c:v>
                </c:pt>
                <c:pt idx="3">
                  <c:v>-150.64504599999998</c:v>
                </c:pt>
                <c:pt idx="4">
                  <c:v>-84.612141000000065</c:v>
                </c:pt>
                <c:pt idx="5">
                  <c:v>-184.26375100000007</c:v>
                </c:pt>
                <c:pt idx="6">
                  <c:v>-198.20000000000005</c:v>
                </c:pt>
                <c:pt idx="7">
                  <c:v>-151.10000000000002</c:v>
                </c:pt>
                <c:pt idx="8">
                  <c:v>-218.89999999999998</c:v>
                </c:pt>
                <c:pt idx="9">
                  <c:v>-274.80000000000007</c:v>
                </c:pt>
                <c:pt idx="10">
                  <c:v>-198.79999999999995</c:v>
                </c:pt>
                <c:pt idx="11">
                  <c:v>-207.60000000000002</c:v>
                </c:pt>
                <c:pt idx="12">
                  <c:v>-137.69999999999993</c:v>
                </c:pt>
              </c:numCache>
            </c:numRef>
          </c:val>
          <c:extLst>
            <c:ext xmlns:c16="http://schemas.microsoft.com/office/drawing/2014/chart" uri="{C3380CC4-5D6E-409C-BE32-E72D297353CC}">
              <c16:uniqueId val="{0000000D-D996-4501-BE2D-550611C08474}"/>
            </c:ext>
          </c:extLst>
        </c:ser>
        <c:dLbls>
          <c:dLblPos val="outEnd"/>
          <c:showLegendKey val="0"/>
          <c:showVal val="1"/>
          <c:showCatName val="0"/>
          <c:showSerName val="0"/>
          <c:showPercent val="0"/>
          <c:showBubbleSize val="0"/>
        </c:dLbls>
        <c:gapWidth val="164"/>
        <c:overlap val="-35"/>
        <c:axId val="1460376464"/>
        <c:axId val="1460359664"/>
      </c:barChart>
      <c:dateAx>
        <c:axId val="1460376464"/>
        <c:scaling>
          <c:orientation val="minMax"/>
        </c:scaling>
        <c:delete val="0"/>
        <c:axPos val="b"/>
        <c:numFmt formatCode="mmm\-yy" sourceLinked="1"/>
        <c:majorTickMark val="out"/>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60359664"/>
        <c:crosses val="autoZero"/>
        <c:auto val="1"/>
        <c:lblOffset val="100"/>
        <c:baseTimeUnit val="months"/>
      </c:dateAx>
      <c:valAx>
        <c:axId val="146035966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60376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'[MEB Database.xlsx]ZWG USD Exch Rates'!$B$136</c:f>
              <c:strCache>
                <c:ptCount val="1"/>
                <c:pt idx="0">
                  <c:v>Official Rate</c:v>
                </c:pt>
              </c:strCache>
            </c:strRef>
          </c:tx>
          <c:spPr>
            <a:ln w="28575" cap="rnd">
              <a:solidFill>
                <a:schemeClr val="accent1"/>
              </a:solidFill>
              <a:round/>
            </a:ln>
            <a:effectLst/>
          </c:spPr>
          <c:marker>
            <c:symbol val="none"/>
          </c:marker>
          <c:cat>
            <c:numRef>
              <c:f>'[MEB Database.xlsx]ZWG USD Exch Rates'!$A$137:$A$155</c:f>
              <c:numCache>
                <c:formatCode>[$-3009]dd\-mmm\-yy;@</c:formatCode>
                <c:ptCount val="19"/>
                <c:pt idx="0">
                  <c:v>45628</c:v>
                </c:pt>
                <c:pt idx="1">
                  <c:v>45629</c:v>
                </c:pt>
                <c:pt idx="2">
                  <c:v>45630</c:v>
                </c:pt>
                <c:pt idx="3">
                  <c:v>45631</c:v>
                </c:pt>
                <c:pt idx="4">
                  <c:v>45632</c:v>
                </c:pt>
                <c:pt idx="5">
                  <c:v>45635</c:v>
                </c:pt>
                <c:pt idx="6">
                  <c:v>45636</c:v>
                </c:pt>
                <c:pt idx="7">
                  <c:v>45637</c:v>
                </c:pt>
                <c:pt idx="8">
                  <c:v>45638</c:v>
                </c:pt>
                <c:pt idx="9">
                  <c:v>45639</c:v>
                </c:pt>
                <c:pt idx="10">
                  <c:v>45642</c:v>
                </c:pt>
                <c:pt idx="11">
                  <c:v>45643</c:v>
                </c:pt>
                <c:pt idx="12">
                  <c:v>45644</c:v>
                </c:pt>
                <c:pt idx="13">
                  <c:v>45645</c:v>
                </c:pt>
                <c:pt idx="14">
                  <c:v>45646</c:v>
                </c:pt>
                <c:pt idx="15">
                  <c:v>45650</c:v>
                </c:pt>
                <c:pt idx="16">
                  <c:v>45653</c:v>
                </c:pt>
                <c:pt idx="17">
                  <c:v>45656</c:v>
                </c:pt>
                <c:pt idx="18">
                  <c:v>45657</c:v>
                </c:pt>
              </c:numCache>
            </c:numRef>
          </c:cat>
          <c:val>
            <c:numRef>
              <c:f>'[MEB Database.xlsx]ZWG USD Exch Rates'!$B$137:$B$155</c:f>
              <c:numCache>
                <c:formatCode>0.00</c:formatCode>
                <c:ptCount val="19"/>
                <c:pt idx="0">
                  <c:v>25.5672</c:v>
                </c:pt>
                <c:pt idx="1">
                  <c:v>25.601400000000002</c:v>
                </c:pt>
                <c:pt idx="2">
                  <c:v>25.5639</c:v>
                </c:pt>
                <c:pt idx="3">
                  <c:v>25.605</c:v>
                </c:pt>
                <c:pt idx="4">
                  <c:v>25.613199999999999</c:v>
                </c:pt>
                <c:pt idx="5">
                  <c:v>25.647300000000001</c:v>
                </c:pt>
                <c:pt idx="6">
                  <c:v>25.659700000000001</c:v>
                </c:pt>
                <c:pt idx="7">
                  <c:v>25.662099999999999</c:v>
                </c:pt>
                <c:pt idx="8">
                  <c:v>25.678100000000001</c:v>
                </c:pt>
                <c:pt idx="9">
                  <c:v>25.695399999999999</c:v>
                </c:pt>
                <c:pt idx="10">
                  <c:v>25.710799999999999</c:v>
                </c:pt>
                <c:pt idx="11">
                  <c:v>25.723400000000002</c:v>
                </c:pt>
                <c:pt idx="12">
                  <c:v>25.732399999999998</c:v>
                </c:pt>
                <c:pt idx="13">
                  <c:v>25.741599999999998</c:v>
                </c:pt>
                <c:pt idx="14">
                  <c:v>25.7639</c:v>
                </c:pt>
                <c:pt idx="15">
                  <c:v>25.769200000000001</c:v>
                </c:pt>
                <c:pt idx="16">
                  <c:v>25.781300000000002</c:v>
                </c:pt>
                <c:pt idx="17">
                  <c:v>25.786899999999999</c:v>
                </c:pt>
                <c:pt idx="18">
                  <c:v>25.798500000000001</c:v>
                </c:pt>
              </c:numCache>
            </c:numRef>
          </c:val>
          <c:smooth val="0"/>
          <c:extLst>
            <c:ext xmlns:c16="http://schemas.microsoft.com/office/drawing/2014/chart" uri="{C3380CC4-5D6E-409C-BE32-E72D297353CC}">
              <c16:uniqueId val="{00000000-48F2-4808-BFB2-F2D94C33E0E2}"/>
            </c:ext>
          </c:extLst>
        </c:ser>
        <c:ser>
          <c:idx val="1"/>
          <c:order val="1"/>
          <c:tx>
            <c:strRef>
              <c:f>'[MEB Database.xlsx]ZWG USD Exch Rates'!$C$136</c:f>
              <c:strCache>
                <c:ptCount val="1"/>
                <c:pt idx="0">
                  <c:v>Parallel Market Rate</c:v>
                </c:pt>
              </c:strCache>
            </c:strRef>
          </c:tx>
          <c:spPr>
            <a:ln w="28575" cap="rnd">
              <a:solidFill>
                <a:schemeClr val="accent2"/>
              </a:solidFill>
              <a:round/>
            </a:ln>
            <a:effectLst/>
          </c:spPr>
          <c:marker>
            <c:symbol val="none"/>
          </c:marker>
          <c:cat>
            <c:numRef>
              <c:f>'[MEB Database.xlsx]ZWG USD Exch Rates'!$A$137:$A$155</c:f>
              <c:numCache>
                <c:formatCode>[$-3009]dd\-mmm\-yy;@</c:formatCode>
                <c:ptCount val="19"/>
                <c:pt idx="0">
                  <c:v>45628</c:v>
                </c:pt>
                <c:pt idx="1">
                  <c:v>45629</c:v>
                </c:pt>
                <c:pt idx="2">
                  <c:v>45630</c:v>
                </c:pt>
                <c:pt idx="3">
                  <c:v>45631</c:v>
                </c:pt>
                <c:pt idx="4">
                  <c:v>45632</c:v>
                </c:pt>
                <c:pt idx="5">
                  <c:v>45635</c:v>
                </c:pt>
                <c:pt idx="6">
                  <c:v>45636</c:v>
                </c:pt>
                <c:pt idx="7">
                  <c:v>45637</c:v>
                </c:pt>
                <c:pt idx="8">
                  <c:v>45638</c:v>
                </c:pt>
                <c:pt idx="9">
                  <c:v>45639</c:v>
                </c:pt>
                <c:pt idx="10">
                  <c:v>45642</c:v>
                </c:pt>
                <c:pt idx="11">
                  <c:v>45643</c:v>
                </c:pt>
                <c:pt idx="12">
                  <c:v>45644</c:v>
                </c:pt>
                <c:pt idx="13">
                  <c:v>45645</c:v>
                </c:pt>
                <c:pt idx="14">
                  <c:v>45646</c:v>
                </c:pt>
                <c:pt idx="15">
                  <c:v>45650</c:v>
                </c:pt>
                <c:pt idx="16">
                  <c:v>45653</c:v>
                </c:pt>
                <c:pt idx="17">
                  <c:v>45656</c:v>
                </c:pt>
                <c:pt idx="18">
                  <c:v>45657</c:v>
                </c:pt>
              </c:numCache>
            </c:numRef>
          </c:cat>
          <c:val>
            <c:numRef>
              <c:f>'[MEB Database.xlsx]ZWG USD Exch Rates'!$C$137:$C$155</c:f>
              <c:numCache>
                <c:formatCode>0.00</c:formatCode>
                <c:ptCount val="19"/>
                <c:pt idx="0">
                  <c:v>38</c:v>
                </c:pt>
                <c:pt idx="1">
                  <c:v>38</c:v>
                </c:pt>
                <c:pt idx="2">
                  <c:v>38</c:v>
                </c:pt>
                <c:pt idx="3">
                  <c:v>38</c:v>
                </c:pt>
                <c:pt idx="4">
                  <c:v>38</c:v>
                </c:pt>
                <c:pt idx="5">
                  <c:v>38</c:v>
                </c:pt>
                <c:pt idx="6">
                  <c:v>38</c:v>
                </c:pt>
                <c:pt idx="7">
                  <c:v>38</c:v>
                </c:pt>
                <c:pt idx="8">
                  <c:v>38</c:v>
                </c:pt>
                <c:pt idx="9">
                  <c:v>38</c:v>
                </c:pt>
                <c:pt idx="10">
                  <c:v>38</c:v>
                </c:pt>
                <c:pt idx="11">
                  <c:v>38</c:v>
                </c:pt>
                <c:pt idx="12">
                  <c:v>38</c:v>
                </c:pt>
                <c:pt idx="13">
                  <c:v>38</c:v>
                </c:pt>
                <c:pt idx="14">
                  <c:v>38</c:v>
                </c:pt>
                <c:pt idx="15">
                  <c:v>38</c:v>
                </c:pt>
                <c:pt idx="16">
                  <c:v>38</c:v>
                </c:pt>
                <c:pt idx="17">
                  <c:v>38</c:v>
                </c:pt>
                <c:pt idx="18">
                  <c:v>38</c:v>
                </c:pt>
              </c:numCache>
            </c:numRef>
          </c:val>
          <c:smooth val="0"/>
          <c:extLst>
            <c:ext xmlns:c16="http://schemas.microsoft.com/office/drawing/2014/chart" uri="{C3380CC4-5D6E-409C-BE32-E72D297353CC}">
              <c16:uniqueId val="{00000001-48F2-4808-BFB2-F2D94C33E0E2}"/>
            </c:ext>
          </c:extLst>
        </c:ser>
        <c:dLbls>
          <c:showLegendKey val="0"/>
          <c:showVal val="0"/>
          <c:showCatName val="0"/>
          <c:showSerName val="0"/>
          <c:showPercent val="0"/>
          <c:showBubbleSize val="0"/>
        </c:dLbls>
        <c:marker val="1"/>
        <c:smooth val="0"/>
        <c:axId val="1201951519"/>
        <c:axId val="1201952479"/>
      </c:lineChart>
      <c:lineChart>
        <c:grouping val="standard"/>
        <c:varyColors val="0"/>
        <c:ser>
          <c:idx val="2"/>
          <c:order val="2"/>
          <c:tx>
            <c:strRef>
              <c:f>'[MEB Database.xlsx]ZWG USD Exch Rates'!$D$136</c:f>
              <c:strCache>
                <c:ptCount val="1"/>
                <c:pt idx="0">
                  <c:v>Exchange Rate Premium</c:v>
                </c:pt>
              </c:strCache>
            </c:strRef>
          </c:tx>
          <c:spPr>
            <a:ln w="28575" cap="rnd">
              <a:solidFill>
                <a:schemeClr val="accent3"/>
              </a:solidFill>
              <a:round/>
            </a:ln>
            <a:effectLst/>
          </c:spPr>
          <c:marker>
            <c:symbol val="none"/>
          </c:marker>
          <c:cat>
            <c:numRef>
              <c:f>'[MEB Database.xlsx]ZWG USD Exch Rates'!$A$137:$A$155</c:f>
              <c:numCache>
                <c:formatCode>[$-3009]dd\-mmm\-yy;@</c:formatCode>
                <c:ptCount val="19"/>
                <c:pt idx="0">
                  <c:v>45628</c:v>
                </c:pt>
                <c:pt idx="1">
                  <c:v>45629</c:v>
                </c:pt>
                <c:pt idx="2">
                  <c:v>45630</c:v>
                </c:pt>
                <c:pt idx="3">
                  <c:v>45631</c:v>
                </c:pt>
                <c:pt idx="4">
                  <c:v>45632</c:v>
                </c:pt>
                <c:pt idx="5">
                  <c:v>45635</c:v>
                </c:pt>
                <c:pt idx="6">
                  <c:v>45636</c:v>
                </c:pt>
                <c:pt idx="7">
                  <c:v>45637</c:v>
                </c:pt>
                <c:pt idx="8">
                  <c:v>45638</c:v>
                </c:pt>
                <c:pt idx="9">
                  <c:v>45639</c:v>
                </c:pt>
                <c:pt idx="10">
                  <c:v>45642</c:v>
                </c:pt>
                <c:pt idx="11">
                  <c:v>45643</c:v>
                </c:pt>
                <c:pt idx="12">
                  <c:v>45644</c:v>
                </c:pt>
                <c:pt idx="13">
                  <c:v>45645</c:v>
                </c:pt>
                <c:pt idx="14">
                  <c:v>45646</c:v>
                </c:pt>
                <c:pt idx="15">
                  <c:v>45650</c:v>
                </c:pt>
                <c:pt idx="16">
                  <c:v>45653</c:v>
                </c:pt>
                <c:pt idx="17">
                  <c:v>45656</c:v>
                </c:pt>
                <c:pt idx="18">
                  <c:v>45657</c:v>
                </c:pt>
              </c:numCache>
            </c:numRef>
          </c:cat>
          <c:val>
            <c:numRef>
              <c:f>'[MEB Database.xlsx]ZWG USD Exch Rates'!$D$137:$D$155</c:f>
              <c:numCache>
                <c:formatCode>0.00</c:formatCode>
                <c:ptCount val="19"/>
                <c:pt idx="0">
                  <c:v>48.627929534716358</c:v>
                </c:pt>
                <c:pt idx="1">
                  <c:v>48.429382768129855</c:v>
                </c:pt>
                <c:pt idx="2">
                  <c:v>48.647115659191279</c:v>
                </c:pt>
                <c:pt idx="3">
                  <c:v>48.408513962116771</c:v>
                </c:pt>
                <c:pt idx="4">
                  <c:v>48.361001358674436</c:v>
                </c:pt>
                <c:pt idx="5">
                  <c:v>48.163744331762011</c:v>
                </c:pt>
                <c:pt idx="6">
                  <c:v>48.092144491167076</c:v>
                </c:pt>
                <c:pt idx="7">
                  <c:v>48.078294449791727</c:v>
                </c:pt>
                <c:pt idx="8">
                  <c:v>47.986027003555556</c:v>
                </c:pt>
                <c:pt idx="9">
                  <c:v>47.886392116876955</c:v>
                </c:pt>
                <c:pt idx="10">
                  <c:v>47.797812592373639</c:v>
                </c:pt>
                <c:pt idx="11">
                  <c:v>47.725417324303933</c:v>
                </c:pt>
                <c:pt idx="12">
                  <c:v>47.673749825123203</c:v>
                </c:pt>
                <c:pt idx="13">
                  <c:v>47.620971501382989</c:v>
                </c:pt>
                <c:pt idx="14">
                  <c:v>47.493197846599315</c:v>
                </c:pt>
                <c:pt idx="15">
                  <c:v>47.462862642224039</c:v>
                </c:pt>
                <c:pt idx="16">
                  <c:v>47.393653539581003</c:v>
                </c:pt>
                <c:pt idx="17">
                  <c:v>47.361644866191753</c:v>
                </c:pt>
                <c:pt idx="18">
                  <c:v>47.295385390623487</c:v>
                </c:pt>
              </c:numCache>
            </c:numRef>
          </c:val>
          <c:smooth val="0"/>
          <c:extLst>
            <c:ext xmlns:c16="http://schemas.microsoft.com/office/drawing/2014/chart" uri="{C3380CC4-5D6E-409C-BE32-E72D297353CC}">
              <c16:uniqueId val="{00000002-48F2-4808-BFB2-F2D94C33E0E2}"/>
            </c:ext>
          </c:extLst>
        </c:ser>
        <c:dLbls>
          <c:showLegendKey val="0"/>
          <c:showVal val="0"/>
          <c:showCatName val="0"/>
          <c:showSerName val="0"/>
          <c:showPercent val="0"/>
          <c:showBubbleSize val="0"/>
        </c:dLbls>
        <c:marker val="1"/>
        <c:smooth val="0"/>
        <c:axId val="79165151"/>
        <c:axId val="79165631"/>
      </c:lineChart>
      <c:dateAx>
        <c:axId val="1201951519"/>
        <c:scaling>
          <c:orientation val="minMax"/>
        </c:scaling>
        <c:delete val="0"/>
        <c:axPos val="b"/>
        <c:numFmt formatCode="[$-3009]d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952479"/>
        <c:crosses val="autoZero"/>
        <c:auto val="1"/>
        <c:lblOffset val="100"/>
        <c:baseTimeUnit val="days"/>
      </c:dateAx>
      <c:valAx>
        <c:axId val="1201952479"/>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951519"/>
        <c:crosses val="autoZero"/>
        <c:crossBetween val="between"/>
      </c:valAx>
      <c:valAx>
        <c:axId val="79165631"/>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5151"/>
        <c:crosses val="max"/>
        <c:crossBetween val="between"/>
      </c:valAx>
      <c:dateAx>
        <c:axId val="79165151"/>
        <c:scaling>
          <c:orientation val="minMax"/>
        </c:scaling>
        <c:delete val="1"/>
        <c:axPos val="b"/>
        <c:numFmt formatCode="[$-3009]dd\-mmm\-yy;@" sourceLinked="1"/>
        <c:majorTickMark val="out"/>
        <c:minorTickMark val="none"/>
        <c:tickLblPos val="nextTo"/>
        <c:crossAx val="79165631"/>
        <c:crosses val="autoZero"/>
        <c:auto val="1"/>
        <c:lblOffset val="100"/>
        <c:baseTimeUnit val="days"/>
      </c:date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'[MEB Database.xlsx]Zim Inflation'!$B$292</c:f>
              <c:strCache>
                <c:ptCount val="1"/>
                <c:pt idx="0">
                  <c:v>ZWG Inflation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'[MEB Database.xlsx]Zim Inflation'!$A$293:$A$300</c:f>
              <c:numCache>
                <c:formatCode>mmm\-yy</c:formatCode>
                <c:ptCount val="8"/>
                <c:pt idx="0">
                  <c:v>45413</c:v>
                </c:pt>
                <c:pt idx="1">
                  <c:v>45444</c:v>
                </c:pt>
                <c:pt idx="2">
                  <c:v>45474</c:v>
                </c:pt>
                <c:pt idx="3">
                  <c:v>45505</c:v>
                </c:pt>
                <c:pt idx="4">
                  <c:v>45536</c:v>
                </c:pt>
                <c:pt idx="5">
                  <c:v>45566</c:v>
                </c:pt>
                <c:pt idx="6">
                  <c:v>45597</c:v>
                </c:pt>
                <c:pt idx="7">
                  <c:v>45627</c:v>
                </c:pt>
              </c:numCache>
            </c:numRef>
          </c:xVal>
          <c:yVal>
            <c:numRef>
              <c:f>'[MEB Database.xlsx]Zim Inflation'!$B$293:$B$300</c:f>
              <c:numCache>
                <c:formatCode>General</c:formatCode>
                <c:ptCount val="8"/>
                <c:pt idx="0">
                  <c:v>-2.4</c:v>
                </c:pt>
                <c:pt idx="1">
                  <c:v>0</c:v>
                </c:pt>
                <c:pt idx="2">
                  <c:v>-0.1</c:v>
                </c:pt>
                <c:pt idx="3">
                  <c:v>1.4</c:v>
                </c:pt>
                <c:pt idx="4" formatCode="0.0">
                  <c:v>5.7762813859791864</c:v>
                </c:pt>
                <c:pt idx="5" formatCode="0.0">
                  <c:v>37.200000000000003</c:v>
                </c:pt>
                <c:pt idx="6">
                  <c:v>11.7</c:v>
                </c:pt>
                <c:pt idx="7" formatCode="0.00">
                  <c:v>3.6728383023600455</c:v>
                </c:pt>
              </c:numCache>
            </c:numRef>
          </c:yVal>
          <c:smooth val="0"/>
          <c:extLst>
            <c:ext xmlns:c16="http://schemas.microsoft.com/office/drawing/2014/chart" uri="{C3380CC4-5D6E-409C-BE32-E72D297353CC}">
              <c16:uniqueId val="{00000000-1455-4CBA-818C-890AFD20A47A}"/>
            </c:ext>
          </c:extLst>
        </c:ser>
        <c:dLbls>
          <c:dLblPos val="t"/>
          <c:showLegendKey val="0"/>
          <c:showVal val="1"/>
          <c:showCatName val="0"/>
          <c:showSerName val="0"/>
          <c:showPercent val="0"/>
          <c:showBubbleSize val="0"/>
        </c:dLbls>
        <c:axId val="1637316031"/>
        <c:axId val="1637314367"/>
      </c:scatterChart>
      <c:valAx>
        <c:axId val="1637316031"/>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4367"/>
        <c:crosses val="autoZero"/>
        <c:crossBetween val="midCat"/>
      </c:valAx>
      <c:valAx>
        <c:axId val="1637314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6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InternetSite</b:SourceType>
    <b:Guid>{131591B7-3098-4E06-B9DB-40C9AD93D63A}</b:Guid>
    <b:Title>Exchange Rates</b:Title>
    <b:Year>2024</b:Year>
    <b:Author>
      <b:Author>
        <b:Corporate>RBZ</b:Corporate>
      </b:Author>
    </b:Author>
    <b:InternetSiteTitle>Reserve Bank of Zimbabwe</b:InternetSiteTitle>
    <b:URL>https://www.rbz.co.zw/index.php/research/markets/exchange-rates</b:URL>
    <b:RefOrder>1</b:RefOrder>
  </b:Source>
  <b:Source>
    <b:Tag>Tra24</b:Tag>
    <b:SourceType>InternetSite</b:SourceType>
    <b:Guid>{8F5E9987-C62C-47B0-8A36-1187F2EFE3CE}</b:Guid>
    <b:Author>
      <b:Author>
        <b:Corporate>Trading Economics</b:Corporate>
      </b:Author>
    </b:Author>
    <b:Title>Commodities</b:Title>
    <b:InternetSiteTitle>Trading  Economics</b:InternetSiteTitle>
    <b:Year>2024</b:Year>
    <b:URL>https://tradingeconomics.com/commodity/crude-oil</b:URL>
    <b:RefOrder>2</b:RefOrder>
  </b:Source>
  <b:Source>
    <b:Tag>VFE24</b:Tag>
    <b:SourceType>InternetSite</b:SourceType>
    <b:Guid>{1E964840-8E12-4650-8E6C-64330FB07471}</b:Guid>
    <b:Author>
      <b:Author>
        <b:Corporate>VFEX</b:Corporate>
      </b:Author>
    </b:Author>
    <b:Title>Main Dashboard</b:Title>
    <b:InternetSiteTitle>Victoria Falls Stock Exchange</b:InternetSiteTitle>
    <b:Year>2024</b:Year>
    <b:URL>https://www.vfex.exchange/</b:URL>
    <b:RefOrder>3</b:RefOrder>
  </b:Source>
  <b:Source>
    <b:Tag>ZSE24</b:Tag>
    <b:SourceType>InternetSite</b:SourceType>
    <b:Guid>{40B098F4-EC97-445A-813A-899416F4B52B}</b:Guid>
    <b:Author>
      <b:Author>
        <b:Corporate>ZSE</b:Corporate>
      </b:Author>
    </b:Author>
    <b:Title>Main Dashboard</b:Title>
    <b:InternetSiteTitle>Zimbabwe Stock Exchange</b:InternetSiteTitle>
    <b:Year>2024</b:Year>
    <b:URL>https://www.zse.co.zw/</b:URL>
    <b:RefOrder>4</b:RefOrder>
  </b:Source>
  <b:Source>
    <b:Tag>Zim24</b:Tag>
    <b:SourceType>InternetSite</b:SourceType>
    <b:Guid>{4C57281A-E62E-4D20-922B-C504FA489846}</b:Guid>
    <b:Author>
      <b:Author>
        <b:Corporate>ZimStat</b:Corporate>
      </b:Author>
    </b:Author>
    <b:Title>Inflation Rates</b:Title>
    <b:InternetSiteTitle>Zimbabwe Statistics Agency</b:InternetSiteTitle>
    <b:Year>2024</b:Year>
    <b:URL>https://www.zimstat.co.zw/</b:URL>
    <b:RefOrder>5</b:RefOrder>
  </b:Source>
  <b:Source>
    <b:Tag>IMF24</b:Tag>
    <b:SourceType>Book</b:SourceType>
    <b:Guid>{8A8C0E7B-BE26-47E6-9B86-F7A3732992D2}</b:Guid>
    <b:Author>
      <b:Author>
        <b:Corporate>IMF</b:Corporate>
      </b:Author>
    </b:Author>
    <b:Title>World Economic Outlook, October 2024; Global prospects and Policies: Chapter 1</b:Title>
    <b:Year>2024</b:Year>
    <b:Publisher>International Monetary Fund</b:Publisher>
    <b:RefOrder>6</b:RefOrder>
  </b:Source>
  <b:Source>
    <b:Tag>Afr24</b:Tag>
    <b:SourceType>InternetSite</b:SourceType>
    <b:Guid>{C7B307B2-3BE5-4485-8759-4F8182E24CEB}</b:Guid>
    <b:Author>
      <b:Author>
        <b:Corporate>African Markets</b:Corporate>
      </b:Author>
    </b:Author>
    <b:Title>African Markets</b:Title>
    <b:Year>2024:</b:Year>
    <b:Month>December</b:Month>
    <b:InternetSiteTitle>Stock Markets</b:InternetSiteTitle>
    <b:URL>https://www.african-markets.com/en/stock-markets/zse/zimbabwe-vfex-records-historic-turnover-boosting-market-confidence</b:URL>
    <b:RefOrder>7</b:RefOrder>
  </b:Source>
  <b:Source>
    <b:Tag>ACY24</b:Tag>
    <b:SourceType>InternetSite</b:SourceType>
    <b:Guid>{7161DFFA-54FA-4343-AF59-4C850BD41C81}</b:Guid>
    <b:Author>
      <b:Author>
        <b:Corporate>ACY Securities</b:Corporate>
      </b:Author>
    </b:Author>
    <b:Title>Commodity Outlook December 2024</b:Title>
    <b:Year>2024</b:Year>
    <b:InternetSiteTitle>ACY Securities</b:InternetSiteTitle>
    <b:Month>December</b:Month>
    <b:URL>https://acy.com/en/market-news/market-analysis/commodity-market-outlook-december-2024-103544/</b:URL>
    <b:RefOrder>8</b:RefOrder>
  </b:Source>
  <b:Source>
    <b:Tag>Res24</b:Tag>
    <b:SourceType>Report</b:SourceType>
    <b:Guid>{E18F450E-7367-471B-9B4E-5C3103463911}</b:Guid>
    <b:Author>
      <b:Author>
        <b:Corporate>Reserve Bank of Zimbabwe</b:Corporate>
      </b:Author>
    </b:Author>
    <b:Title>Monthly Economic Review: October 2024</b:Title>
    <b:Year>2024</b:Year>
    <b:Publisher>RBZ</b:Publisher>
    <b:RefOrder>9</b:RefOrder>
  </b:Source>
  <b:Source>
    <b:Tag>Res241</b:Tag>
    <b:SourceType>Report</b:SourceType>
    <b:Guid>{E06F67F7-D47A-4299-AA0F-57124C84CDCA}</b:Guid>
    <b:Author>
      <b:Author>
        <b:Corporate>Reserve Bank of Zimbabwe</b:Corporate>
      </b:Author>
    </b:Author>
    <b:Title>Weekely Economic Highlights, 13 December 2024, Vol 26 No 50</b:Title>
    <b:Year>2024</b:Year>
    <b:Publisher>Reserve Bank of Zimbabwe</b:Publisher>
    <b:RefOrder>10</b:RefOrder>
  </b:Source>
</b:Sources>
</file>

<file path=customXml/itemProps1.xml><?xml version="1.0" encoding="utf-8"?>
<ds:datastoreItem xmlns:ds="http://schemas.openxmlformats.org/officeDocument/2006/customXml" ds:itemID="{5B7DFF21-B599-448A-B19D-CEB15B3C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4620</TotalTime>
  <Pages>18</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23241</CharactersWithSpaces>
  <SharedDoc>false</SharedDoc>
  <HLinks>
    <vt:vector size="198" baseType="variant">
      <vt:variant>
        <vt:i4>1310782</vt:i4>
      </vt:variant>
      <vt:variant>
        <vt:i4>200</vt:i4>
      </vt:variant>
      <vt:variant>
        <vt:i4>0</vt:i4>
      </vt:variant>
      <vt:variant>
        <vt:i4>5</vt:i4>
      </vt:variant>
      <vt:variant>
        <vt:lpwstr/>
      </vt:variant>
      <vt:variant>
        <vt:lpwstr>_Toc181785691</vt:lpwstr>
      </vt:variant>
      <vt:variant>
        <vt:i4>1310782</vt:i4>
      </vt:variant>
      <vt:variant>
        <vt:i4>194</vt:i4>
      </vt:variant>
      <vt:variant>
        <vt:i4>0</vt:i4>
      </vt:variant>
      <vt:variant>
        <vt:i4>5</vt:i4>
      </vt:variant>
      <vt:variant>
        <vt:lpwstr/>
      </vt:variant>
      <vt:variant>
        <vt:lpwstr>_Toc181785690</vt:lpwstr>
      </vt:variant>
      <vt:variant>
        <vt:i4>1376318</vt:i4>
      </vt:variant>
      <vt:variant>
        <vt:i4>188</vt:i4>
      </vt:variant>
      <vt:variant>
        <vt:i4>0</vt:i4>
      </vt:variant>
      <vt:variant>
        <vt:i4>5</vt:i4>
      </vt:variant>
      <vt:variant>
        <vt:lpwstr/>
      </vt:variant>
      <vt:variant>
        <vt:lpwstr>_Toc181785689</vt:lpwstr>
      </vt:variant>
      <vt:variant>
        <vt:i4>1376318</vt:i4>
      </vt:variant>
      <vt:variant>
        <vt:i4>182</vt:i4>
      </vt:variant>
      <vt:variant>
        <vt:i4>0</vt:i4>
      </vt:variant>
      <vt:variant>
        <vt:i4>5</vt:i4>
      </vt:variant>
      <vt:variant>
        <vt:lpwstr/>
      </vt:variant>
      <vt:variant>
        <vt:lpwstr>_Toc181785688</vt:lpwstr>
      </vt:variant>
      <vt:variant>
        <vt:i4>1376318</vt:i4>
      </vt:variant>
      <vt:variant>
        <vt:i4>176</vt:i4>
      </vt:variant>
      <vt:variant>
        <vt:i4>0</vt:i4>
      </vt:variant>
      <vt:variant>
        <vt:i4>5</vt:i4>
      </vt:variant>
      <vt:variant>
        <vt:lpwstr/>
      </vt:variant>
      <vt:variant>
        <vt:lpwstr>_Toc181785687</vt:lpwstr>
      </vt:variant>
      <vt:variant>
        <vt:i4>1376318</vt:i4>
      </vt:variant>
      <vt:variant>
        <vt:i4>170</vt:i4>
      </vt:variant>
      <vt:variant>
        <vt:i4>0</vt:i4>
      </vt:variant>
      <vt:variant>
        <vt:i4>5</vt:i4>
      </vt:variant>
      <vt:variant>
        <vt:lpwstr/>
      </vt:variant>
      <vt:variant>
        <vt:lpwstr>_Toc181785686</vt:lpwstr>
      </vt:variant>
      <vt:variant>
        <vt:i4>1376319</vt:i4>
      </vt:variant>
      <vt:variant>
        <vt:i4>161</vt:i4>
      </vt:variant>
      <vt:variant>
        <vt:i4>0</vt:i4>
      </vt:variant>
      <vt:variant>
        <vt:i4>5</vt:i4>
      </vt:variant>
      <vt:variant>
        <vt:lpwstr/>
      </vt:variant>
      <vt:variant>
        <vt:lpwstr>_Toc181785785</vt:lpwstr>
      </vt:variant>
      <vt:variant>
        <vt:i4>1376319</vt:i4>
      </vt:variant>
      <vt:variant>
        <vt:i4>155</vt:i4>
      </vt:variant>
      <vt:variant>
        <vt:i4>0</vt:i4>
      </vt:variant>
      <vt:variant>
        <vt:i4>5</vt:i4>
      </vt:variant>
      <vt:variant>
        <vt:lpwstr/>
      </vt:variant>
      <vt:variant>
        <vt:lpwstr>_Toc181785784</vt:lpwstr>
      </vt:variant>
      <vt:variant>
        <vt:i4>1376319</vt:i4>
      </vt:variant>
      <vt:variant>
        <vt:i4>149</vt:i4>
      </vt:variant>
      <vt:variant>
        <vt:i4>0</vt:i4>
      </vt:variant>
      <vt:variant>
        <vt:i4>5</vt:i4>
      </vt:variant>
      <vt:variant>
        <vt:lpwstr/>
      </vt:variant>
      <vt:variant>
        <vt:lpwstr>_Toc181785783</vt:lpwstr>
      </vt:variant>
      <vt:variant>
        <vt:i4>1376319</vt:i4>
      </vt:variant>
      <vt:variant>
        <vt:i4>143</vt:i4>
      </vt:variant>
      <vt:variant>
        <vt:i4>0</vt:i4>
      </vt:variant>
      <vt:variant>
        <vt:i4>5</vt:i4>
      </vt:variant>
      <vt:variant>
        <vt:lpwstr/>
      </vt:variant>
      <vt:variant>
        <vt:lpwstr>_Toc181785782</vt:lpwstr>
      </vt:variant>
      <vt:variant>
        <vt:i4>1376319</vt:i4>
      </vt:variant>
      <vt:variant>
        <vt:i4>137</vt:i4>
      </vt:variant>
      <vt:variant>
        <vt:i4>0</vt:i4>
      </vt:variant>
      <vt:variant>
        <vt:i4>5</vt:i4>
      </vt:variant>
      <vt:variant>
        <vt:lpwstr/>
      </vt:variant>
      <vt:variant>
        <vt:lpwstr>_Toc181785781</vt:lpwstr>
      </vt:variant>
      <vt:variant>
        <vt:i4>1376319</vt:i4>
      </vt:variant>
      <vt:variant>
        <vt:i4>131</vt:i4>
      </vt:variant>
      <vt:variant>
        <vt:i4>0</vt:i4>
      </vt:variant>
      <vt:variant>
        <vt:i4>5</vt:i4>
      </vt:variant>
      <vt:variant>
        <vt:lpwstr/>
      </vt:variant>
      <vt:variant>
        <vt:lpwstr>_Toc181785780</vt:lpwstr>
      </vt:variant>
      <vt:variant>
        <vt:i4>1703999</vt:i4>
      </vt:variant>
      <vt:variant>
        <vt:i4>125</vt:i4>
      </vt:variant>
      <vt:variant>
        <vt:i4>0</vt:i4>
      </vt:variant>
      <vt:variant>
        <vt:i4>5</vt:i4>
      </vt:variant>
      <vt:variant>
        <vt:lpwstr/>
      </vt:variant>
      <vt:variant>
        <vt:lpwstr>_Toc181785779</vt:lpwstr>
      </vt:variant>
      <vt:variant>
        <vt:i4>1703997</vt:i4>
      </vt:variant>
      <vt:variant>
        <vt:i4>116</vt:i4>
      </vt:variant>
      <vt:variant>
        <vt:i4>0</vt:i4>
      </vt:variant>
      <vt:variant>
        <vt:i4>5</vt:i4>
      </vt:variant>
      <vt:variant>
        <vt:lpwstr/>
      </vt:variant>
      <vt:variant>
        <vt:lpwstr>_Toc181785577</vt:lpwstr>
      </vt:variant>
      <vt:variant>
        <vt:i4>1703997</vt:i4>
      </vt:variant>
      <vt:variant>
        <vt:i4>110</vt:i4>
      </vt:variant>
      <vt:variant>
        <vt:i4>0</vt:i4>
      </vt:variant>
      <vt:variant>
        <vt:i4>5</vt:i4>
      </vt:variant>
      <vt:variant>
        <vt:lpwstr/>
      </vt:variant>
      <vt:variant>
        <vt:lpwstr>_Toc181785576</vt:lpwstr>
      </vt:variant>
      <vt:variant>
        <vt:i4>1703997</vt:i4>
      </vt:variant>
      <vt:variant>
        <vt:i4>104</vt:i4>
      </vt:variant>
      <vt:variant>
        <vt:i4>0</vt:i4>
      </vt:variant>
      <vt:variant>
        <vt:i4>5</vt:i4>
      </vt:variant>
      <vt:variant>
        <vt:lpwstr/>
      </vt:variant>
      <vt:variant>
        <vt:lpwstr>_Toc181785575</vt:lpwstr>
      </vt:variant>
      <vt:variant>
        <vt:i4>1703997</vt:i4>
      </vt:variant>
      <vt:variant>
        <vt:i4>98</vt:i4>
      </vt:variant>
      <vt:variant>
        <vt:i4>0</vt:i4>
      </vt:variant>
      <vt:variant>
        <vt:i4>5</vt:i4>
      </vt:variant>
      <vt:variant>
        <vt:lpwstr/>
      </vt:variant>
      <vt:variant>
        <vt:lpwstr>_Toc181785574</vt:lpwstr>
      </vt:variant>
      <vt:variant>
        <vt:i4>1703997</vt:i4>
      </vt:variant>
      <vt:variant>
        <vt:i4>92</vt:i4>
      </vt:variant>
      <vt:variant>
        <vt:i4>0</vt:i4>
      </vt:variant>
      <vt:variant>
        <vt:i4>5</vt:i4>
      </vt:variant>
      <vt:variant>
        <vt:lpwstr/>
      </vt:variant>
      <vt:variant>
        <vt:lpwstr>_Toc181785573</vt:lpwstr>
      </vt:variant>
      <vt:variant>
        <vt:i4>1703997</vt:i4>
      </vt:variant>
      <vt:variant>
        <vt:i4>86</vt:i4>
      </vt:variant>
      <vt:variant>
        <vt:i4>0</vt:i4>
      </vt:variant>
      <vt:variant>
        <vt:i4>5</vt:i4>
      </vt:variant>
      <vt:variant>
        <vt:lpwstr/>
      </vt:variant>
      <vt:variant>
        <vt:lpwstr>_Toc181785572</vt:lpwstr>
      </vt:variant>
      <vt:variant>
        <vt:i4>1703997</vt:i4>
      </vt:variant>
      <vt:variant>
        <vt:i4>80</vt:i4>
      </vt:variant>
      <vt:variant>
        <vt:i4>0</vt:i4>
      </vt:variant>
      <vt:variant>
        <vt:i4>5</vt:i4>
      </vt:variant>
      <vt:variant>
        <vt:lpwstr/>
      </vt:variant>
      <vt:variant>
        <vt:lpwstr>_Toc181785571</vt:lpwstr>
      </vt:variant>
      <vt:variant>
        <vt:i4>1703997</vt:i4>
      </vt:variant>
      <vt:variant>
        <vt:i4>74</vt:i4>
      </vt:variant>
      <vt:variant>
        <vt:i4>0</vt:i4>
      </vt:variant>
      <vt:variant>
        <vt:i4>5</vt:i4>
      </vt:variant>
      <vt:variant>
        <vt:lpwstr/>
      </vt:variant>
      <vt:variant>
        <vt:lpwstr>_Toc181785570</vt:lpwstr>
      </vt:variant>
      <vt:variant>
        <vt:i4>1769533</vt:i4>
      </vt:variant>
      <vt:variant>
        <vt:i4>68</vt:i4>
      </vt:variant>
      <vt:variant>
        <vt:i4>0</vt:i4>
      </vt:variant>
      <vt:variant>
        <vt:i4>5</vt:i4>
      </vt:variant>
      <vt:variant>
        <vt:lpwstr/>
      </vt:variant>
      <vt:variant>
        <vt:lpwstr>_Toc181785569</vt:lpwstr>
      </vt:variant>
      <vt:variant>
        <vt:i4>1769533</vt:i4>
      </vt:variant>
      <vt:variant>
        <vt:i4>62</vt:i4>
      </vt:variant>
      <vt:variant>
        <vt:i4>0</vt:i4>
      </vt:variant>
      <vt:variant>
        <vt:i4>5</vt:i4>
      </vt:variant>
      <vt:variant>
        <vt:lpwstr/>
      </vt:variant>
      <vt:variant>
        <vt:lpwstr>_Toc181785568</vt:lpwstr>
      </vt:variant>
      <vt:variant>
        <vt:i4>1769533</vt:i4>
      </vt:variant>
      <vt:variant>
        <vt:i4>56</vt:i4>
      </vt:variant>
      <vt:variant>
        <vt:i4>0</vt:i4>
      </vt:variant>
      <vt:variant>
        <vt:i4>5</vt:i4>
      </vt:variant>
      <vt:variant>
        <vt:lpwstr/>
      </vt:variant>
      <vt:variant>
        <vt:lpwstr>_Toc181785567</vt:lpwstr>
      </vt:variant>
      <vt:variant>
        <vt:i4>1769533</vt:i4>
      </vt:variant>
      <vt:variant>
        <vt:i4>50</vt:i4>
      </vt:variant>
      <vt:variant>
        <vt:i4>0</vt:i4>
      </vt:variant>
      <vt:variant>
        <vt:i4>5</vt:i4>
      </vt:variant>
      <vt:variant>
        <vt:lpwstr/>
      </vt:variant>
      <vt:variant>
        <vt:lpwstr>_Toc181785566</vt:lpwstr>
      </vt:variant>
      <vt:variant>
        <vt:i4>1769533</vt:i4>
      </vt:variant>
      <vt:variant>
        <vt:i4>44</vt:i4>
      </vt:variant>
      <vt:variant>
        <vt:i4>0</vt:i4>
      </vt:variant>
      <vt:variant>
        <vt:i4>5</vt:i4>
      </vt:variant>
      <vt:variant>
        <vt:lpwstr/>
      </vt:variant>
      <vt:variant>
        <vt:lpwstr>_Toc181785565</vt:lpwstr>
      </vt:variant>
      <vt:variant>
        <vt:i4>1769533</vt:i4>
      </vt:variant>
      <vt:variant>
        <vt:i4>38</vt:i4>
      </vt:variant>
      <vt:variant>
        <vt:i4>0</vt:i4>
      </vt:variant>
      <vt:variant>
        <vt:i4>5</vt:i4>
      </vt:variant>
      <vt:variant>
        <vt:lpwstr/>
      </vt:variant>
      <vt:variant>
        <vt:lpwstr>_Toc181785564</vt:lpwstr>
      </vt:variant>
      <vt:variant>
        <vt:i4>1769533</vt:i4>
      </vt:variant>
      <vt:variant>
        <vt:i4>32</vt:i4>
      </vt:variant>
      <vt:variant>
        <vt:i4>0</vt:i4>
      </vt:variant>
      <vt:variant>
        <vt:i4>5</vt:i4>
      </vt:variant>
      <vt:variant>
        <vt:lpwstr/>
      </vt:variant>
      <vt:variant>
        <vt:lpwstr>_Toc181785563</vt:lpwstr>
      </vt:variant>
      <vt:variant>
        <vt:i4>1769533</vt:i4>
      </vt:variant>
      <vt:variant>
        <vt:i4>26</vt:i4>
      </vt:variant>
      <vt:variant>
        <vt:i4>0</vt:i4>
      </vt:variant>
      <vt:variant>
        <vt:i4>5</vt:i4>
      </vt:variant>
      <vt:variant>
        <vt:lpwstr/>
      </vt:variant>
      <vt:variant>
        <vt:lpwstr>_Toc181785562</vt:lpwstr>
      </vt:variant>
      <vt:variant>
        <vt:i4>1769533</vt:i4>
      </vt:variant>
      <vt:variant>
        <vt:i4>20</vt:i4>
      </vt:variant>
      <vt:variant>
        <vt:i4>0</vt:i4>
      </vt:variant>
      <vt:variant>
        <vt:i4>5</vt:i4>
      </vt:variant>
      <vt:variant>
        <vt:lpwstr/>
      </vt:variant>
      <vt:variant>
        <vt:lpwstr>_Toc181785561</vt:lpwstr>
      </vt:variant>
      <vt:variant>
        <vt:i4>1769533</vt:i4>
      </vt:variant>
      <vt:variant>
        <vt:i4>14</vt:i4>
      </vt:variant>
      <vt:variant>
        <vt:i4>0</vt:i4>
      </vt:variant>
      <vt:variant>
        <vt:i4>5</vt:i4>
      </vt:variant>
      <vt:variant>
        <vt:lpwstr/>
      </vt:variant>
      <vt:variant>
        <vt:lpwstr>_Toc181785560</vt:lpwstr>
      </vt:variant>
      <vt:variant>
        <vt:i4>1572925</vt:i4>
      </vt:variant>
      <vt:variant>
        <vt:i4>8</vt:i4>
      </vt:variant>
      <vt:variant>
        <vt:i4>0</vt:i4>
      </vt:variant>
      <vt:variant>
        <vt:i4>5</vt:i4>
      </vt:variant>
      <vt:variant>
        <vt:lpwstr/>
      </vt:variant>
      <vt:variant>
        <vt:lpwstr>_Toc181785559</vt:lpwstr>
      </vt:variant>
      <vt:variant>
        <vt:i4>1572925</vt:i4>
      </vt:variant>
      <vt:variant>
        <vt:i4>2</vt:i4>
      </vt:variant>
      <vt:variant>
        <vt:i4>0</vt:i4>
      </vt:variant>
      <vt:variant>
        <vt:i4>5</vt:i4>
      </vt:variant>
      <vt:variant>
        <vt:lpwstr/>
      </vt:variant>
      <vt:variant>
        <vt:lpwstr>_Toc181785558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272</cp:revision>
  <dcterms:created xsi:type="dcterms:W3CDTF">2024-11-11T07:23:00Z</dcterms:created>
  <dcterms:modified xsi:type="dcterms:W3CDTF">2025-01-29T14:02:00Z</dcterms:modified>
</cp:coreProperties>
</file>