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56375"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2156EEC"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4D3166" w14:textId="405219EE" w:rsidR="00B357AC" w:rsidRPr="00863A17" w:rsidRDefault="00664692"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4AB23E5F" wp14:editId="2BA3A733">
            <wp:extent cx="3133725" cy="1895475"/>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7B6CCB7A"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17C6F4B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46A6F1D0"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D97908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A906E54"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61E5337A" w14:textId="549CE0DB"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0F4BA8B"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7A53D90" w14:textId="6C022160" w:rsidR="00B357AC" w:rsidRPr="007E39CC" w:rsidRDefault="00C7400F"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FEBRUARY</w:t>
      </w:r>
      <w:r w:rsidR="00F8250D" w:rsidRPr="007E39CC">
        <w:rPr>
          <w:rFonts w:ascii="Tahoma" w:hAnsi="Tahoma" w:cs="Tahoma"/>
          <w:b/>
          <w:sz w:val="32"/>
          <w:szCs w:val="32"/>
          <w:lang w:val="en-US"/>
        </w:rPr>
        <w:t xml:space="preserve"> 202</w:t>
      </w:r>
      <w:r w:rsidR="00F8250D">
        <w:rPr>
          <w:rFonts w:ascii="Tahoma" w:hAnsi="Tahoma" w:cs="Tahoma"/>
          <w:b/>
          <w:sz w:val="32"/>
          <w:szCs w:val="32"/>
          <w:lang w:val="en-US"/>
        </w:rPr>
        <w:t>5</w:t>
      </w:r>
    </w:p>
    <w:p w14:paraId="593799B3"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4510407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8515C8"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BA14E4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6440115"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09EA6AEF" w14:textId="77777777" w:rsidR="007E39CC" w:rsidRDefault="007E39CC" w:rsidP="007E39CC">
      <w:pPr>
        <w:pStyle w:val="Heading1"/>
        <w:spacing w:before="0" w:after="240"/>
        <w:rPr>
          <w:rFonts w:cs="Tahoma"/>
          <w:bCs/>
          <w:color w:val="000000"/>
          <w:szCs w:val="24"/>
          <w:lang w:val="en-US"/>
        </w:rPr>
      </w:pPr>
      <w:bookmarkStart w:id="0" w:name="_Toc166607888"/>
      <w:bookmarkStart w:id="1" w:name="_Toc194054087"/>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2706B5E9" w14:textId="21566663" w:rsidR="00F4230A" w:rsidRDefault="00F4230A" w:rsidP="00EA59F9">
      <w:pPr>
        <w:jc w:val="both"/>
        <w:rPr>
          <w:rFonts w:ascii="Tahoma" w:hAnsi="Tahoma" w:cs="Tahoma"/>
          <w:sz w:val="24"/>
          <w:szCs w:val="24"/>
          <w:lang w:val="en-US"/>
        </w:rPr>
      </w:pPr>
      <w:r w:rsidRPr="00F4230A">
        <w:rPr>
          <w:rFonts w:ascii="Tahoma" w:hAnsi="Tahoma" w:cs="Tahoma"/>
          <w:sz w:val="24"/>
          <w:szCs w:val="24"/>
          <w:lang w:val="en-US"/>
        </w:rPr>
        <w:t xml:space="preserve">This bulletin focuses on economic developments for the month ending </w:t>
      </w:r>
      <w:r w:rsidR="002B6552">
        <w:rPr>
          <w:rFonts w:ascii="Tahoma" w:hAnsi="Tahoma" w:cs="Tahoma"/>
          <w:sz w:val="24"/>
          <w:szCs w:val="24"/>
          <w:lang w:val="en-US"/>
        </w:rPr>
        <w:t>28</w:t>
      </w:r>
      <w:r w:rsidRPr="00F4230A">
        <w:rPr>
          <w:rFonts w:ascii="Tahoma" w:hAnsi="Tahoma" w:cs="Tahoma"/>
          <w:sz w:val="24"/>
          <w:szCs w:val="24"/>
          <w:lang w:val="en-US"/>
        </w:rPr>
        <w:t xml:space="preserve"> </w:t>
      </w:r>
      <w:r w:rsidR="002B6552">
        <w:rPr>
          <w:rFonts w:ascii="Tahoma" w:hAnsi="Tahoma" w:cs="Tahoma"/>
          <w:sz w:val="24"/>
          <w:szCs w:val="24"/>
          <w:lang w:val="en-US"/>
        </w:rPr>
        <w:t>February</w:t>
      </w:r>
      <w:r w:rsidR="00245606">
        <w:rPr>
          <w:rFonts w:ascii="Tahoma" w:hAnsi="Tahoma" w:cs="Tahoma"/>
          <w:sz w:val="24"/>
          <w:szCs w:val="24"/>
          <w:lang w:val="en-US"/>
        </w:rPr>
        <w:t xml:space="preserve"> </w:t>
      </w:r>
      <w:r w:rsidRPr="00F4230A">
        <w:rPr>
          <w:rFonts w:ascii="Tahoma" w:hAnsi="Tahoma" w:cs="Tahoma"/>
          <w:sz w:val="24"/>
          <w:szCs w:val="24"/>
          <w:lang w:val="en-US"/>
        </w:rPr>
        <w:t>202</w:t>
      </w:r>
      <w:r w:rsidR="00245606">
        <w:rPr>
          <w:rFonts w:ascii="Tahoma" w:hAnsi="Tahoma" w:cs="Tahoma"/>
          <w:sz w:val="24"/>
          <w:szCs w:val="24"/>
          <w:lang w:val="en-US"/>
        </w:rPr>
        <w:t xml:space="preserve">5 </w:t>
      </w:r>
      <w:r w:rsidRPr="00F4230A">
        <w:rPr>
          <w:rFonts w:ascii="Tahoma" w:hAnsi="Tahoma" w:cs="Tahoma"/>
          <w:sz w:val="24"/>
          <w:szCs w:val="24"/>
          <w:lang w:val="en-US"/>
        </w:rPr>
        <w:t xml:space="preserve">that </w:t>
      </w:r>
      <w:r w:rsidR="00E05A07" w:rsidRPr="00F4230A">
        <w:rPr>
          <w:rFonts w:ascii="Tahoma" w:hAnsi="Tahoma" w:cs="Tahoma"/>
          <w:sz w:val="24"/>
          <w:szCs w:val="24"/>
          <w:lang w:val="en-US"/>
        </w:rPr>
        <w:t>include</w:t>
      </w:r>
      <w:r w:rsidR="00E05A07">
        <w:rPr>
          <w:rFonts w:ascii="Tahoma" w:hAnsi="Tahoma" w:cs="Tahoma"/>
          <w:sz w:val="24"/>
          <w:szCs w:val="24"/>
          <w:lang w:val="en-US"/>
        </w:rPr>
        <w:t>,</w:t>
      </w:r>
      <w:r w:rsidRPr="00F4230A">
        <w:rPr>
          <w:rFonts w:ascii="Tahoma" w:hAnsi="Tahoma" w:cs="Tahoma"/>
          <w:sz w:val="24"/>
          <w:szCs w:val="24"/>
          <w:lang w:val="en-US"/>
        </w:rPr>
        <w:t xml:space="preserve"> </w:t>
      </w:r>
      <w:r w:rsidR="00E05A07">
        <w:rPr>
          <w:rFonts w:ascii="Tahoma" w:hAnsi="Tahoma" w:cs="Tahoma"/>
          <w:sz w:val="24"/>
          <w:szCs w:val="24"/>
          <w:lang w:val="en-US"/>
        </w:rPr>
        <w:t>w</w:t>
      </w:r>
      <w:r w:rsidRPr="00F4230A">
        <w:rPr>
          <w:rFonts w:ascii="Tahoma" w:hAnsi="Tahoma" w:cs="Tahoma"/>
          <w:sz w:val="24"/>
          <w:szCs w:val="24"/>
          <w:lang w:val="en-US"/>
        </w:rPr>
        <w:t>orld economic developments, international commodity prices, Zimbabwe Gross Domestic Product (GDP) growth updates, merchandise trade developments, exchange rate developments, inflation developments, monetary developments and stock market developments.</w:t>
      </w:r>
    </w:p>
    <w:p w14:paraId="704D92D8" w14:textId="77777777" w:rsidR="002B6552" w:rsidRPr="002B6552" w:rsidRDefault="002B6552" w:rsidP="002B6552">
      <w:pPr>
        <w:jc w:val="both"/>
        <w:rPr>
          <w:rFonts w:ascii="Tahoma" w:hAnsi="Tahoma" w:cs="Tahoma"/>
          <w:sz w:val="24"/>
          <w:szCs w:val="24"/>
          <w:lang w:val="en-US"/>
        </w:rPr>
      </w:pPr>
      <w:r w:rsidRPr="002B6552">
        <w:rPr>
          <w:rFonts w:ascii="Tahoma" w:hAnsi="Tahoma" w:cs="Tahoma"/>
          <w:sz w:val="24"/>
          <w:szCs w:val="24"/>
          <w:lang w:val="en-US"/>
        </w:rPr>
        <w:t>The global economy is expected to remain stable, with a projected growth rate of 3.3% in 2025 and 2026, building on a 3.2% growth rate in 2024. This stability is supported by declining inflation, softer commodity prices, and monetary easing. However, significant challenges persist, including ongoing conflicts, geopolitical tensions, trade restrictions, and climate risks. Global inflation is projected to decline to 4.2% in 2025 and 3.5% in 2026.</w:t>
      </w:r>
    </w:p>
    <w:p w14:paraId="6B074EBE" w14:textId="2D41F744" w:rsidR="002B6552" w:rsidRPr="002B6552" w:rsidRDefault="002B6552" w:rsidP="002B6552">
      <w:pPr>
        <w:jc w:val="both"/>
        <w:rPr>
          <w:rFonts w:ascii="Tahoma" w:hAnsi="Tahoma" w:cs="Tahoma"/>
          <w:sz w:val="24"/>
          <w:szCs w:val="24"/>
        </w:rPr>
      </w:pPr>
      <w:r w:rsidRPr="002B6552">
        <w:rPr>
          <w:rFonts w:ascii="Tahoma" w:hAnsi="Tahoma" w:cs="Tahoma"/>
          <w:sz w:val="24"/>
          <w:szCs w:val="24"/>
        </w:rPr>
        <w:t xml:space="preserve">Commodity prices have exhibited </w:t>
      </w:r>
      <w:r w:rsidR="00B83569">
        <w:rPr>
          <w:rFonts w:ascii="Tahoma" w:hAnsi="Tahoma" w:cs="Tahoma"/>
          <w:sz w:val="24"/>
          <w:szCs w:val="24"/>
        </w:rPr>
        <w:t>a mixed fortunes</w:t>
      </w:r>
      <w:r w:rsidR="00B83569" w:rsidRPr="002B6552">
        <w:rPr>
          <w:rFonts w:ascii="Tahoma" w:hAnsi="Tahoma" w:cs="Tahoma"/>
          <w:sz w:val="24"/>
          <w:szCs w:val="24"/>
        </w:rPr>
        <w:t xml:space="preserve"> </w:t>
      </w:r>
      <w:r w:rsidRPr="002B6552">
        <w:rPr>
          <w:rFonts w:ascii="Tahoma" w:hAnsi="Tahoma" w:cs="Tahoma"/>
          <w:sz w:val="24"/>
          <w:szCs w:val="24"/>
        </w:rPr>
        <w:t>trend, with agricultural commodities and crude oil experiencing declines on a month-on-month basis. Conversely, natural gas, aluminium, copper, nickel, and gold prices have increased by 25.95%, 0.49%, 5.92%, 2.36%, and 2.13%, respectively. The year-to-date trend mirrors these changes. The decline in oil prices can be attributed to slowing demand growth and increased production, while the surge in natural gas prices is driven by the global reliance on LNG as a transition fuel. Furthermore, demand for critical minerals is expected to continue rising, whereas international crop prices remain relatively low.</w:t>
      </w:r>
    </w:p>
    <w:p w14:paraId="1264CCFB" w14:textId="77777777" w:rsidR="002B6552" w:rsidRPr="002B6552" w:rsidRDefault="002B6552" w:rsidP="002B6552">
      <w:pPr>
        <w:jc w:val="both"/>
        <w:rPr>
          <w:rFonts w:ascii="Tahoma" w:hAnsi="Tahoma" w:cs="Tahoma"/>
          <w:sz w:val="24"/>
          <w:szCs w:val="24"/>
        </w:rPr>
      </w:pPr>
      <w:r w:rsidRPr="002B6552">
        <w:rPr>
          <w:rFonts w:ascii="Tahoma" w:hAnsi="Tahoma" w:cs="Tahoma"/>
          <w:sz w:val="24"/>
          <w:szCs w:val="24"/>
          <w:lang w:val="en-US"/>
        </w:rPr>
        <w:t>Zimbabwe's GDP growth</w:t>
      </w:r>
      <w:r w:rsidRPr="002B6552">
        <w:rPr>
          <w:rFonts w:ascii="Tahoma" w:hAnsi="Tahoma" w:cs="Tahoma"/>
          <w:sz w:val="24"/>
          <w:szCs w:val="24"/>
        </w:rPr>
        <w:t xml:space="preserve"> is predicted to rise by 6% due to a stronger agricultural season, following a 2% downturn in 2024. The current pricing and exchange rate stability are likely to support the projected growth trajectory</w:t>
      </w:r>
    </w:p>
    <w:p w14:paraId="401879B2" w14:textId="77777777" w:rsidR="002B6552" w:rsidRPr="002B6552" w:rsidRDefault="002B6552" w:rsidP="002B6552">
      <w:pPr>
        <w:jc w:val="both"/>
        <w:rPr>
          <w:rFonts w:ascii="Tahoma" w:hAnsi="Tahoma" w:cs="Tahoma"/>
          <w:sz w:val="24"/>
          <w:szCs w:val="24"/>
          <w:lang w:val="en-US"/>
        </w:rPr>
      </w:pPr>
      <w:r w:rsidRPr="002B6552">
        <w:rPr>
          <w:rFonts w:ascii="Tahoma" w:hAnsi="Tahoma" w:cs="Tahoma"/>
          <w:sz w:val="24"/>
          <w:szCs w:val="24"/>
          <w:lang w:val="en-US"/>
        </w:rPr>
        <w:t>Zimbabwe's merchandise trade in January 2025 totaled USD1.4 billion, a 11.4% decline from December 2024, but a 13.4% increase from January 2024. The trade deficit narrowed to USD96.8 million from USD196.9 million in December 2024. Exports totaled USD652 million, a 5.8% decline from December 2024, mainly due to lower gold, tobacco, and PGMs earnings, but 20.5% higher than in January 2024, with top destinations being the UAE, South Africa, and China. Meanwhile, imports totaled USD748.8 million, a 15.8% decline from December 2024, but a 7.9% increase from January 2024, with key imports including maize, diesel, petrol, and fertilizers, primarily from South Africa, China, Bahamas, and Mozambique.</w:t>
      </w:r>
    </w:p>
    <w:p w14:paraId="06018A91" w14:textId="61256E0F" w:rsidR="002B6552" w:rsidRPr="002B6552" w:rsidRDefault="002B6552" w:rsidP="002B6552">
      <w:pPr>
        <w:jc w:val="both"/>
        <w:rPr>
          <w:rFonts w:ascii="Tahoma" w:hAnsi="Tahoma" w:cs="Tahoma"/>
          <w:sz w:val="24"/>
          <w:szCs w:val="24"/>
        </w:rPr>
      </w:pPr>
      <w:r w:rsidRPr="002B6552">
        <w:rPr>
          <w:rFonts w:ascii="Tahoma" w:hAnsi="Tahoma" w:cs="Tahoma"/>
          <w:sz w:val="24"/>
          <w:szCs w:val="24"/>
        </w:rPr>
        <w:t xml:space="preserve">During the review period, the ZWG depreciated against major currencies, including the USD, GBP, EUR, and ZAR. However, the parallel market exchange rate slightly dropped, while the official exchange rate steadily increased, resulting in reduced exchange rate premium. This shift was attributed to the Reserve Bank of Zimbabwe's (RBZ) tight monetary stance. Meanwhile, the USD experienced mixed performance, depreciating against the GBP, EUR, and ZAR, but gaining against the EUR on a year-on-year basis. The USD's </w:t>
      </w:r>
      <w:r w:rsidR="00B83569">
        <w:rPr>
          <w:rFonts w:ascii="Tahoma" w:hAnsi="Tahoma" w:cs="Tahoma"/>
          <w:sz w:val="24"/>
          <w:szCs w:val="24"/>
        </w:rPr>
        <w:t>depreciation</w:t>
      </w:r>
      <w:r w:rsidRPr="002B6552">
        <w:rPr>
          <w:rFonts w:ascii="Tahoma" w:hAnsi="Tahoma" w:cs="Tahoma"/>
          <w:sz w:val="24"/>
          <w:szCs w:val="24"/>
        </w:rPr>
        <w:t xml:space="preserve"> is largely attributed to the impact of Trump's policies on business and consumer confidence.</w:t>
      </w:r>
    </w:p>
    <w:p w14:paraId="042D9B8B" w14:textId="77777777" w:rsidR="002B6552" w:rsidRPr="002B6552" w:rsidRDefault="002B6552" w:rsidP="002B6552">
      <w:pPr>
        <w:jc w:val="both"/>
        <w:rPr>
          <w:rFonts w:ascii="Tahoma" w:hAnsi="Tahoma" w:cs="Tahoma"/>
          <w:sz w:val="24"/>
          <w:szCs w:val="24"/>
        </w:rPr>
      </w:pPr>
      <w:r w:rsidRPr="002B6552">
        <w:rPr>
          <w:rFonts w:ascii="Tahoma" w:hAnsi="Tahoma" w:cs="Tahoma"/>
          <w:sz w:val="24"/>
          <w:szCs w:val="24"/>
        </w:rPr>
        <w:lastRenderedPageBreak/>
        <w:t>ZWG's month-on-month inflation rate experienced a significant decline, dropping from 10.5% to 0.5% and weighted inflation fell from 11.6% to 0.3% between January and February 2025. This sharp decrease indicates growing price stability as businesses and consumers adapt to market conditions. Food, beverages, housing, and utilities remain the primary drivers of inflation.</w:t>
      </w:r>
    </w:p>
    <w:p w14:paraId="64B4E62E" w14:textId="77777777" w:rsidR="002B6552" w:rsidRPr="002B6552" w:rsidRDefault="002B6552" w:rsidP="002B6552">
      <w:pPr>
        <w:jc w:val="both"/>
        <w:rPr>
          <w:rFonts w:ascii="Tahoma" w:hAnsi="Tahoma" w:cs="Tahoma"/>
          <w:sz w:val="24"/>
          <w:szCs w:val="24"/>
          <w:lang w:val="en-US"/>
        </w:rPr>
      </w:pPr>
      <w:r w:rsidRPr="002B6552">
        <w:rPr>
          <w:rFonts w:ascii="Tahoma" w:hAnsi="Tahoma" w:cs="Tahoma"/>
          <w:sz w:val="24"/>
          <w:szCs w:val="24"/>
          <w:lang w:val="en-US"/>
        </w:rPr>
        <w:t>Broad money stock stood at ZWG87.12 billion in January 2025, a 0.38% decline from ZWG87.45 billion recorded in December 2024. The foreign currency component of money supply grew by 0.62%. Money supply stock comprised of foreign deposits (84.08%), local currency deposits (115.8%) and local currency in circulation (0.12%). Money supply stock dropped by 0.38% in January 2025.</w:t>
      </w:r>
    </w:p>
    <w:p w14:paraId="0AEF65E1" w14:textId="73FC0F5C" w:rsidR="002B6552" w:rsidRPr="002B6552" w:rsidRDefault="002B6552" w:rsidP="002B6552">
      <w:pPr>
        <w:jc w:val="both"/>
        <w:rPr>
          <w:rFonts w:ascii="Tahoma" w:hAnsi="Tahoma" w:cs="Tahoma"/>
          <w:sz w:val="24"/>
          <w:szCs w:val="24"/>
          <w:lang w:val="en-US"/>
        </w:rPr>
      </w:pPr>
      <w:r w:rsidRPr="002B6552">
        <w:rPr>
          <w:rFonts w:ascii="Tahoma" w:hAnsi="Tahoma" w:cs="Tahoma"/>
          <w:sz w:val="24"/>
          <w:szCs w:val="24"/>
          <w:lang w:val="en-US"/>
        </w:rPr>
        <w:t xml:space="preserve">As of </w:t>
      </w:r>
      <w:r w:rsidR="00B83569">
        <w:rPr>
          <w:rFonts w:ascii="Tahoma" w:hAnsi="Tahoma" w:cs="Tahoma"/>
          <w:sz w:val="24"/>
          <w:szCs w:val="24"/>
          <w:lang w:val="en-US"/>
        </w:rPr>
        <w:t xml:space="preserve">28 </w:t>
      </w:r>
      <w:r w:rsidRPr="002B6552">
        <w:rPr>
          <w:rFonts w:ascii="Tahoma" w:hAnsi="Tahoma" w:cs="Tahoma"/>
          <w:sz w:val="24"/>
          <w:szCs w:val="24"/>
          <w:lang w:val="en-US"/>
        </w:rPr>
        <w:t>February 2025, the average deposit rates for local currency savings increased to a minimum of 3.81% and a maximum of 4.14%, while foreign currency deposit rates ranged from 1.69% to 1.72%. Lending rates on foreign currency were also adjusted, with increases in minimum rates for individuals (12.81%) and corporates (10.93%), and a decrease in maximum rates. Additionally, weighted lending rates for local currency were revised upward for both individuals and corporates.</w:t>
      </w:r>
    </w:p>
    <w:p w14:paraId="1D24232F" w14:textId="2E6AD15F" w:rsidR="002B6552" w:rsidRPr="002B6552" w:rsidRDefault="002B6552" w:rsidP="002B6552">
      <w:pPr>
        <w:jc w:val="both"/>
        <w:rPr>
          <w:rFonts w:ascii="Tahoma" w:hAnsi="Tahoma" w:cs="Tahoma"/>
          <w:sz w:val="24"/>
          <w:szCs w:val="24"/>
          <w:lang w:val="en-US"/>
        </w:rPr>
      </w:pPr>
      <w:r w:rsidRPr="002B6552">
        <w:rPr>
          <w:rFonts w:ascii="Tahoma" w:hAnsi="Tahoma" w:cs="Tahoma"/>
          <w:sz w:val="24"/>
          <w:szCs w:val="24"/>
          <w:lang w:val="en-US"/>
        </w:rPr>
        <w:t xml:space="preserve">The Zimbabwe Stock Exchange (ZSE) and Victoria Falls Stock Exchange (VFEX) both experienced bearish trends in February 2025. The ZSE's </w:t>
      </w:r>
      <w:r w:rsidR="00B83569" w:rsidRPr="002B6552">
        <w:rPr>
          <w:rFonts w:ascii="Tahoma" w:hAnsi="Tahoma" w:cs="Tahoma"/>
          <w:sz w:val="24"/>
          <w:szCs w:val="24"/>
          <w:lang w:val="en-US"/>
        </w:rPr>
        <w:t>All-Share Index</w:t>
      </w:r>
      <w:r w:rsidRPr="002B6552">
        <w:rPr>
          <w:rFonts w:ascii="Tahoma" w:hAnsi="Tahoma" w:cs="Tahoma"/>
          <w:sz w:val="24"/>
          <w:szCs w:val="24"/>
          <w:lang w:val="en-US"/>
        </w:rPr>
        <w:t xml:space="preserve">, </w:t>
      </w:r>
      <w:r w:rsidR="00B83569">
        <w:rPr>
          <w:rFonts w:ascii="Tahoma" w:hAnsi="Tahoma" w:cs="Tahoma"/>
          <w:sz w:val="24"/>
          <w:szCs w:val="24"/>
          <w:lang w:val="en-US"/>
        </w:rPr>
        <w:t>T</w:t>
      </w:r>
      <w:r w:rsidRPr="002B6552">
        <w:rPr>
          <w:rFonts w:ascii="Tahoma" w:hAnsi="Tahoma" w:cs="Tahoma"/>
          <w:sz w:val="24"/>
          <w:szCs w:val="24"/>
          <w:lang w:val="en-US"/>
        </w:rPr>
        <w:t xml:space="preserve">op 10 </w:t>
      </w:r>
      <w:r w:rsidR="00B83569">
        <w:rPr>
          <w:rFonts w:ascii="Tahoma" w:hAnsi="Tahoma" w:cs="Tahoma"/>
          <w:sz w:val="24"/>
          <w:szCs w:val="24"/>
          <w:lang w:val="en-US"/>
        </w:rPr>
        <w:t>I</w:t>
      </w:r>
      <w:r w:rsidRPr="002B6552">
        <w:rPr>
          <w:rFonts w:ascii="Tahoma" w:hAnsi="Tahoma" w:cs="Tahoma"/>
          <w:sz w:val="24"/>
          <w:szCs w:val="24"/>
          <w:lang w:val="en-US"/>
        </w:rPr>
        <w:t xml:space="preserve">ndex, and market capitalization declined, </w:t>
      </w:r>
      <w:r w:rsidR="00B83569">
        <w:rPr>
          <w:rFonts w:ascii="Tahoma" w:hAnsi="Tahoma" w:cs="Tahoma"/>
          <w:sz w:val="24"/>
          <w:szCs w:val="24"/>
          <w:lang w:val="en-US"/>
        </w:rPr>
        <w:t>however,</w:t>
      </w:r>
      <w:r w:rsidRPr="002B6552">
        <w:rPr>
          <w:rFonts w:ascii="Tahoma" w:hAnsi="Tahoma" w:cs="Tahoma"/>
          <w:sz w:val="24"/>
          <w:szCs w:val="24"/>
          <w:lang w:val="en-US"/>
        </w:rPr>
        <w:t xml:space="preserve"> value traded surged by 523.18%. The VFEX also saw declines in </w:t>
      </w:r>
      <w:r w:rsidR="00B83569">
        <w:rPr>
          <w:rFonts w:ascii="Tahoma" w:hAnsi="Tahoma" w:cs="Tahoma"/>
          <w:sz w:val="24"/>
          <w:szCs w:val="24"/>
          <w:lang w:val="en-US"/>
        </w:rPr>
        <w:t>the</w:t>
      </w:r>
      <w:r w:rsidRPr="002B6552">
        <w:rPr>
          <w:rFonts w:ascii="Tahoma" w:hAnsi="Tahoma" w:cs="Tahoma"/>
          <w:sz w:val="24"/>
          <w:szCs w:val="24"/>
          <w:lang w:val="en-US"/>
        </w:rPr>
        <w:t xml:space="preserve"> </w:t>
      </w:r>
      <w:r w:rsidR="00B83569" w:rsidRPr="002B6552">
        <w:rPr>
          <w:rFonts w:ascii="Tahoma" w:hAnsi="Tahoma" w:cs="Tahoma"/>
          <w:sz w:val="24"/>
          <w:szCs w:val="24"/>
          <w:lang w:val="en-US"/>
        </w:rPr>
        <w:t>All-Share Index</w:t>
      </w:r>
      <w:r w:rsidRPr="002B6552">
        <w:rPr>
          <w:rFonts w:ascii="Tahoma" w:hAnsi="Tahoma" w:cs="Tahoma"/>
          <w:sz w:val="24"/>
          <w:szCs w:val="24"/>
          <w:lang w:val="en-US"/>
        </w:rPr>
        <w:t>, value traded, and market capitalization, indicating a downturn in investor sentiment.</w:t>
      </w:r>
    </w:p>
    <w:p w14:paraId="275AA547" w14:textId="77777777" w:rsidR="001000B2" w:rsidRDefault="001000B2" w:rsidP="00EA59F9">
      <w:pPr>
        <w:jc w:val="both"/>
        <w:rPr>
          <w:rFonts w:ascii="Tahoma" w:hAnsi="Tahoma" w:cs="Tahoma"/>
          <w:sz w:val="24"/>
          <w:szCs w:val="24"/>
        </w:rPr>
      </w:pPr>
    </w:p>
    <w:p w14:paraId="59526FE3" w14:textId="77777777" w:rsidR="001000B2" w:rsidRDefault="001000B2" w:rsidP="00EA59F9">
      <w:pPr>
        <w:jc w:val="both"/>
        <w:rPr>
          <w:rFonts w:ascii="Tahoma" w:hAnsi="Tahoma" w:cs="Tahoma"/>
          <w:sz w:val="24"/>
          <w:szCs w:val="24"/>
        </w:rPr>
      </w:pPr>
    </w:p>
    <w:p w14:paraId="42CA2073" w14:textId="77777777" w:rsidR="001000B2" w:rsidRDefault="001000B2" w:rsidP="00EA59F9">
      <w:pPr>
        <w:jc w:val="both"/>
        <w:rPr>
          <w:rFonts w:ascii="Tahoma" w:hAnsi="Tahoma" w:cs="Tahoma"/>
          <w:sz w:val="24"/>
          <w:szCs w:val="24"/>
        </w:rPr>
      </w:pPr>
    </w:p>
    <w:p w14:paraId="080FF89D" w14:textId="77777777" w:rsidR="001000B2" w:rsidRDefault="001000B2" w:rsidP="00EA59F9">
      <w:pPr>
        <w:jc w:val="both"/>
        <w:rPr>
          <w:rFonts w:ascii="Tahoma" w:hAnsi="Tahoma" w:cs="Tahoma"/>
          <w:sz w:val="24"/>
          <w:szCs w:val="24"/>
        </w:rPr>
      </w:pPr>
    </w:p>
    <w:p w14:paraId="19BBE1F7" w14:textId="77777777" w:rsidR="00463A60" w:rsidRDefault="00463A60" w:rsidP="00EA59F9">
      <w:pPr>
        <w:jc w:val="both"/>
        <w:rPr>
          <w:rFonts w:ascii="Tahoma" w:hAnsi="Tahoma" w:cs="Tahoma"/>
          <w:sz w:val="24"/>
          <w:szCs w:val="24"/>
        </w:rPr>
      </w:pPr>
    </w:p>
    <w:p w14:paraId="292DA18D" w14:textId="77777777" w:rsidR="00463A60" w:rsidRDefault="00463A60" w:rsidP="00EA59F9">
      <w:pPr>
        <w:jc w:val="both"/>
        <w:rPr>
          <w:rFonts w:ascii="Tahoma" w:hAnsi="Tahoma" w:cs="Tahoma"/>
          <w:sz w:val="24"/>
          <w:szCs w:val="24"/>
        </w:rPr>
      </w:pPr>
    </w:p>
    <w:p w14:paraId="7E36C0E1" w14:textId="77777777" w:rsidR="001000B2" w:rsidRDefault="001000B2" w:rsidP="00EA59F9">
      <w:pPr>
        <w:jc w:val="both"/>
        <w:rPr>
          <w:rFonts w:ascii="Tahoma" w:hAnsi="Tahoma" w:cs="Tahoma"/>
          <w:sz w:val="24"/>
          <w:szCs w:val="24"/>
        </w:rPr>
      </w:pPr>
    </w:p>
    <w:p w14:paraId="0EE56824" w14:textId="77777777" w:rsidR="001000B2" w:rsidRDefault="001000B2" w:rsidP="00EA59F9">
      <w:pPr>
        <w:rPr>
          <w:rFonts w:ascii="Tahoma" w:hAnsi="Tahoma" w:cs="Tahoma"/>
          <w:sz w:val="24"/>
          <w:szCs w:val="24"/>
        </w:rPr>
      </w:pPr>
    </w:p>
    <w:p w14:paraId="03502207" w14:textId="77777777" w:rsidR="000A40EE" w:rsidRDefault="000A40EE" w:rsidP="00EA59F9">
      <w:pPr>
        <w:rPr>
          <w:lang w:val="en-US"/>
        </w:rPr>
      </w:pPr>
    </w:p>
    <w:p w14:paraId="4B0BF85E" w14:textId="77777777" w:rsidR="006E2C78" w:rsidRDefault="006E2C78" w:rsidP="00EA59F9">
      <w:pPr>
        <w:rPr>
          <w:lang w:val="en-US"/>
        </w:rPr>
      </w:pPr>
    </w:p>
    <w:p w14:paraId="3F40B795" w14:textId="77777777" w:rsidR="006E2C78" w:rsidRDefault="006E2C78" w:rsidP="00EA59F9">
      <w:pPr>
        <w:rPr>
          <w:lang w:val="en-US"/>
        </w:rPr>
      </w:pPr>
    </w:p>
    <w:p w14:paraId="26DA6310" w14:textId="77777777" w:rsidR="006E2C78" w:rsidRDefault="006E2C78" w:rsidP="00EA59F9">
      <w:pPr>
        <w:rPr>
          <w:lang w:val="en-US"/>
        </w:rPr>
      </w:pPr>
    </w:p>
    <w:p w14:paraId="4C817760" w14:textId="77777777" w:rsidR="006E2C78" w:rsidRDefault="006E2C78" w:rsidP="00EA59F9">
      <w:pPr>
        <w:rPr>
          <w:lang w:val="en-US"/>
        </w:rPr>
      </w:pPr>
    </w:p>
    <w:p w14:paraId="6D96433D" w14:textId="77777777" w:rsidR="006E2C78" w:rsidRPr="00EA59F9" w:rsidRDefault="006E2C78" w:rsidP="00EA59F9">
      <w:pPr>
        <w:rPr>
          <w:lang w:val="en-US"/>
        </w:rPr>
      </w:pPr>
    </w:p>
    <w:p w14:paraId="4B5AB6B3" w14:textId="7379471A" w:rsidR="00D46F37" w:rsidRPr="00F05BD5" w:rsidRDefault="00D46F37" w:rsidP="00F05BD5">
      <w:pPr>
        <w:spacing w:line="360" w:lineRule="auto"/>
        <w:rPr>
          <w:rFonts w:ascii="Tahoma" w:hAnsi="Tahoma" w:cs="Tahoma"/>
          <w:b/>
          <w:bCs/>
          <w:sz w:val="24"/>
          <w:szCs w:val="24"/>
        </w:rPr>
      </w:pPr>
      <w:r w:rsidRPr="00F05BD5">
        <w:rPr>
          <w:rFonts w:ascii="Tahoma" w:hAnsi="Tahoma" w:cs="Tahoma"/>
          <w:b/>
          <w:bCs/>
          <w:sz w:val="24"/>
          <w:szCs w:val="24"/>
        </w:rPr>
        <w:lastRenderedPageBreak/>
        <w:t>Table of Contents</w:t>
      </w:r>
    </w:p>
    <w:p w14:paraId="5BD27F95" w14:textId="5B72E973" w:rsidR="00987545" w:rsidRPr="00987545" w:rsidRDefault="00D46F37">
      <w:pPr>
        <w:pStyle w:val="TOC1"/>
        <w:tabs>
          <w:tab w:val="right" w:leader="dot" w:pos="9016"/>
        </w:tabs>
        <w:rPr>
          <w:rFonts w:ascii="Tahoma" w:eastAsiaTheme="minorEastAsia" w:hAnsi="Tahoma" w:cs="Tahoma"/>
          <w:noProof/>
          <w:sz w:val="24"/>
          <w:szCs w:val="24"/>
          <w:lang w:eastAsia="en-ZW"/>
          <w14:ligatures w14:val="standardContextual"/>
        </w:rPr>
      </w:pPr>
      <w:r w:rsidRPr="00987545">
        <w:rPr>
          <w:rFonts w:ascii="Tahoma" w:hAnsi="Tahoma" w:cs="Tahoma"/>
          <w:sz w:val="24"/>
          <w:szCs w:val="24"/>
        </w:rPr>
        <w:fldChar w:fldCharType="begin"/>
      </w:r>
      <w:r w:rsidRPr="00987545">
        <w:rPr>
          <w:rFonts w:ascii="Tahoma" w:hAnsi="Tahoma" w:cs="Tahoma"/>
          <w:sz w:val="24"/>
          <w:szCs w:val="24"/>
        </w:rPr>
        <w:instrText xml:space="preserve"> TOC \o "1-3" \h \z \u </w:instrText>
      </w:r>
      <w:r w:rsidRPr="00987545">
        <w:rPr>
          <w:rFonts w:ascii="Tahoma" w:hAnsi="Tahoma" w:cs="Tahoma"/>
          <w:sz w:val="24"/>
          <w:szCs w:val="24"/>
        </w:rPr>
        <w:fldChar w:fldCharType="separate"/>
      </w:r>
      <w:hyperlink w:anchor="_Toc194054087" w:history="1">
        <w:r w:rsidR="00987545" w:rsidRPr="00987545">
          <w:rPr>
            <w:rStyle w:val="Hyperlink"/>
            <w:rFonts w:ascii="Tahoma" w:hAnsi="Tahoma" w:cs="Tahoma"/>
            <w:noProof/>
            <w:sz w:val="24"/>
            <w:szCs w:val="24"/>
            <w:lang w:val="en-US"/>
          </w:rPr>
          <w:t>Executive Summary</w:t>
        </w:r>
        <w:r w:rsidR="00987545" w:rsidRPr="00987545">
          <w:rPr>
            <w:rFonts w:ascii="Tahoma" w:hAnsi="Tahoma" w:cs="Tahoma"/>
            <w:noProof/>
            <w:webHidden/>
            <w:sz w:val="24"/>
            <w:szCs w:val="24"/>
          </w:rPr>
          <w:tab/>
        </w:r>
        <w:r w:rsidR="00987545" w:rsidRPr="00987545">
          <w:rPr>
            <w:rFonts w:ascii="Tahoma" w:hAnsi="Tahoma" w:cs="Tahoma"/>
            <w:noProof/>
            <w:webHidden/>
            <w:sz w:val="24"/>
            <w:szCs w:val="24"/>
          </w:rPr>
          <w:fldChar w:fldCharType="begin"/>
        </w:r>
        <w:r w:rsidR="00987545" w:rsidRPr="00987545">
          <w:rPr>
            <w:rFonts w:ascii="Tahoma" w:hAnsi="Tahoma" w:cs="Tahoma"/>
            <w:noProof/>
            <w:webHidden/>
            <w:sz w:val="24"/>
            <w:szCs w:val="24"/>
          </w:rPr>
          <w:instrText xml:space="preserve"> PAGEREF _Toc194054087 \h </w:instrText>
        </w:r>
        <w:r w:rsidR="00987545" w:rsidRPr="00987545">
          <w:rPr>
            <w:rFonts w:ascii="Tahoma" w:hAnsi="Tahoma" w:cs="Tahoma"/>
            <w:noProof/>
            <w:webHidden/>
            <w:sz w:val="24"/>
            <w:szCs w:val="24"/>
          </w:rPr>
        </w:r>
        <w:r w:rsidR="00987545" w:rsidRPr="00987545">
          <w:rPr>
            <w:rFonts w:ascii="Tahoma" w:hAnsi="Tahoma" w:cs="Tahoma"/>
            <w:noProof/>
            <w:webHidden/>
            <w:sz w:val="24"/>
            <w:szCs w:val="24"/>
          </w:rPr>
          <w:fldChar w:fldCharType="separate"/>
        </w:r>
        <w:r w:rsidR="00987545" w:rsidRPr="00987545">
          <w:rPr>
            <w:rFonts w:ascii="Tahoma" w:hAnsi="Tahoma" w:cs="Tahoma"/>
            <w:noProof/>
            <w:webHidden/>
            <w:sz w:val="24"/>
            <w:szCs w:val="24"/>
          </w:rPr>
          <w:t>i</w:t>
        </w:r>
        <w:r w:rsidR="00987545" w:rsidRPr="00987545">
          <w:rPr>
            <w:rFonts w:ascii="Tahoma" w:hAnsi="Tahoma" w:cs="Tahoma"/>
            <w:noProof/>
            <w:webHidden/>
            <w:sz w:val="24"/>
            <w:szCs w:val="24"/>
          </w:rPr>
          <w:fldChar w:fldCharType="end"/>
        </w:r>
      </w:hyperlink>
    </w:p>
    <w:p w14:paraId="357564FA" w14:textId="606D2647"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088" w:history="1">
        <w:r w:rsidRPr="00987545">
          <w:rPr>
            <w:rStyle w:val="Hyperlink"/>
            <w:rFonts w:ascii="Tahoma" w:hAnsi="Tahoma" w:cs="Tahoma"/>
            <w:noProof/>
            <w:sz w:val="24"/>
            <w:szCs w:val="24"/>
            <w:lang w:val="en-US"/>
          </w:rPr>
          <w:t>1.0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World Economic Developments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_Toc194054088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1</w:t>
        </w:r>
        <w:r w:rsidRPr="00987545">
          <w:rPr>
            <w:rFonts w:ascii="Tahoma" w:hAnsi="Tahoma" w:cs="Tahoma"/>
            <w:noProof/>
            <w:webHidden/>
            <w:sz w:val="24"/>
            <w:szCs w:val="24"/>
          </w:rPr>
          <w:fldChar w:fldCharType="end"/>
        </w:r>
      </w:hyperlink>
    </w:p>
    <w:p w14:paraId="73AF893C" w14:textId="1D89C6BE" w:rsidR="00987545" w:rsidRPr="00987545" w:rsidRDefault="00987545">
      <w:pPr>
        <w:pStyle w:val="TOC2"/>
        <w:rPr>
          <w:rFonts w:eastAsiaTheme="minorEastAsia"/>
          <w:b w:val="0"/>
          <w:lang w:val="en-ZW" w:eastAsia="en-ZW"/>
          <w14:ligatures w14:val="standardContextual"/>
        </w:rPr>
      </w:pPr>
      <w:hyperlink w:anchor="_Toc194054089" w:history="1">
        <w:r w:rsidRPr="00987545">
          <w:rPr>
            <w:rStyle w:val="Hyperlink"/>
            <w:b w:val="0"/>
          </w:rPr>
          <w:t xml:space="preserve">1.1 </w:t>
        </w:r>
        <w:r w:rsidRPr="00987545">
          <w:rPr>
            <w:rFonts w:eastAsiaTheme="minorEastAsia"/>
            <w:b w:val="0"/>
            <w:lang w:val="en-ZW" w:eastAsia="en-ZW"/>
            <w14:ligatures w14:val="standardContextual"/>
          </w:rPr>
          <w:tab/>
        </w:r>
        <w:r w:rsidRPr="00987545">
          <w:rPr>
            <w:rStyle w:val="Hyperlink"/>
            <w:b w:val="0"/>
          </w:rPr>
          <w:t>World Output</w:t>
        </w:r>
        <w:r w:rsidRPr="00987545">
          <w:rPr>
            <w:b w:val="0"/>
            <w:webHidden/>
          </w:rPr>
          <w:tab/>
        </w:r>
        <w:r w:rsidRPr="00987545">
          <w:rPr>
            <w:b w:val="0"/>
            <w:webHidden/>
          </w:rPr>
          <w:fldChar w:fldCharType="begin"/>
        </w:r>
        <w:r w:rsidRPr="00987545">
          <w:rPr>
            <w:b w:val="0"/>
            <w:webHidden/>
          </w:rPr>
          <w:instrText xml:space="preserve"> PAGEREF _Toc194054089 \h </w:instrText>
        </w:r>
        <w:r w:rsidRPr="00987545">
          <w:rPr>
            <w:b w:val="0"/>
            <w:webHidden/>
          </w:rPr>
        </w:r>
        <w:r w:rsidRPr="00987545">
          <w:rPr>
            <w:b w:val="0"/>
            <w:webHidden/>
          </w:rPr>
          <w:fldChar w:fldCharType="separate"/>
        </w:r>
        <w:r w:rsidRPr="00987545">
          <w:rPr>
            <w:b w:val="0"/>
            <w:webHidden/>
          </w:rPr>
          <w:t>1</w:t>
        </w:r>
        <w:r w:rsidRPr="00987545">
          <w:rPr>
            <w:b w:val="0"/>
            <w:webHidden/>
          </w:rPr>
          <w:fldChar w:fldCharType="end"/>
        </w:r>
      </w:hyperlink>
    </w:p>
    <w:p w14:paraId="3030A867" w14:textId="6935BAB3" w:rsidR="00987545" w:rsidRPr="00987545" w:rsidRDefault="00987545">
      <w:pPr>
        <w:pStyle w:val="TOC2"/>
        <w:rPr>
          <w:rFonts w:eastAsiaTheme="minorEastAsia"/>
          <w:b w:val="0"/>
          <w:lang w:val="en-ZW" w:eastAsia="en-ZW"/>
          <w14:ligatures w14:val="standardContextual"/>
        </w:rPr>
      </w:pPr>
      <w:hyperlink w:anchor="_Toc194054090" w:history="1">
        <w:r w:rsidRPr="00987545">
          <w:rPr>
            <w:rStyle w:val="Hyperlink"/>
            <w:b w:val="0"/>
          </w:rPr>
          <w:t>1.2</w:t>
        </w:r>
        <w:r w:rsidRPr="00987545">
          <w:rPr>
            <w:rFonts w:eastAsiaTheme="minorEastAsia"/>
            <w:b w:val="0"/>
            <w:lang w:val="en-ZW" w:eastAsia="en-ZW"/>
            <w14:ligatures w14:val="standardContextual"/>
          </w:rPr>
          <w:tab/>
        </w:r>
        <w:r w:rsidRPr="00987545">
          <w:rPr>
            <w:rStyle w:val="Hyperlink"/>
            <w:b w:val="0"/>
          </w:rPr>
          <w:t>Global Inflation Developments</w:t>
        </w:r>
        <w:r w:rsidRPr="00987545">
          <w:rPr>
            <w:b w:val="0"/>
            <w:webHidden/>
          </w:rPr>
          <w:tab/>
        </w:r>
        <w:r w:rsidRPr="00987545">
          <w:rPr>
            <w:b w:val="0"/>
            <w:webHidden/>
          </w:rPr>
          <w:fldChar w:fldCharType="begin"/>
        </w:r>
        <w:r w:rsidRPr="00987545">
          <w:rPr>
            <w:b w:val="0"/>
            <w:webHidden/>
          </w:rPr>
          <w:instrText xml:space="preserve"> PAGEREF _Toc194054090 \h </w:instrText>
        </w:r>
        <w:r w:rsidRPr="00987545">
          <w:rPr>
            <w:b w:val="0"/>
            <w:webHidden/>
          </w:rPr>
        </w:r>
        <w:r w:rsidRPr="00987545">
          <w:rPr>
            <w:b w:val="0"/>
            <w:webHidden/>
          </w:rPr>
          <w:fldChar w:fldCharType="separate"/>
        </w:r>
        <w:r w:rsidRPr="00987545">
          <w:rPr>
            <w:b w:val="0"/>
            <w:webHidden/>
          </w:rPr>
          <w:t>1</w:t>
        </w:r>
        <w:r w:rsidRPr="00987545">
          <w:rPr>
            <w:b w:val="0"/>
            <w:webHidden/>
          </w:rPr>
          <w:fldChar w:fldCharType="end"/>
        </w:r>
      </w:hyperlink>
    </w:p>
    <w:p w14:paraId="55B93695" w14:textId="6415B6B3"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091" w:history="1">
        <w:r w:rsidRPr="00987545">
          <w:rPr>
            <w:rStyle w:val="Hyperlink"/>
            <w:rFonts w:ascii="Tahoma" w:hAnsi="Tahoma" w:cs="Tahoma"/>
            <w:noProof/>
            <w:sz w:val="24"/>
            <w:szCs w:val="24"/>
            <w:lang w:val="en-US"/>
          </w:rPr>
          <w:t>2.0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International Commodity Prices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_Toc194054091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1</w:t>
        </w:r>
        <w:r w:rsidRPr="00987545">
          <w:rPr>
            <w:rFonts w:ascii="Tahoma" w:hAnsi="Tahoma" w:cs="Tahoma"/>
            <w:noProof/>
            <w:webHidden/>
            <w:sz w:val="24"/>
            <w:szCs w:val="24"/>
          </w:rPr>
          <w:fldChar w:fldCharType="end"/>
        </w:r>
      </w:hyperlink>
    </w:p>
    <w:p w14:paraId="3D6FD0B0" w14:textId="5BCF5BB7"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092" w:history="1">
        <w:r w:rsidRPr="00987545">
          <w:rPr>
            <w:rStyle w:val="Hyperlink"/>
            <w:rFonts w:ascii="Tahoma" w:hAnsi="Tahoma" w:cs="Tahoma"/>
            <w:noProof/>
            <w:sz w:val="24"/>
            <w:szCs w:val="24"/>
            <w:lang w:val="en-US"/>
          </w:rPr>
          <w:t>3.0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Zimbabwe GDP Growth Update</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_Toc194054092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2</w:t>
        </w:r>
        <w:r w:rsidRPr="00987545">
          <w:rPr>
            <w:rFonts w:ascii="Tahoma" w:hAnsi="Tahoma" w:cs="Tahoma"/>
            <w:noProof/>
            <w:webHidden/>
            <w:sz w:val="24"/>
            <w:szCs w:val="24"/>
          </w:rPr>
          <w:fldChar w:fldCharType="end"/>
        </w:r>
      </w:hyperlink>
    </w:p>
    <w:p w14:paraId="05A5D29F" w14:textId="500751E0"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093" w:history="1">
        <w:r w:rsidRPr="00987545">
          <w:rPr>
            <w:rStyle w:val="Hyperlink"/>
            <w:rFonts w:ascii="Tahoma" w:hAnsi="Tahoma" w:cs="Tahoma"/>
            <w:noProof/>
            <w:sz w:val="24"/>
            <w:szCs w:val="24"/>
            <w:lang w:val="en-US"/>
          </w:rPr>
          <w:t>4.0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Merchandise Trade Developments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_Toc194054093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2</w:t>
        </w:r>
        <w:r w:rsidRPr="00987545">
          <w:rPr>
            <w:rFonts w:ascii="Tahoma" w:hAnsi="Tahoma" w:cs="Tahoma"/>
            <w:noProof/>
            <w:webHidden/>
            <w:sz w:val="24"/>
            <w:szCs w:val="24"/>
          </w:rPr>
          <w:fldChar w:fldCharType="end"/>
        </w:r>
      </w:hyperlink>
    </w:p>
    <w:p w14:paraId="458DD9B4" w14:textId="7C49720D"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094" w:history="1">
        <w:r w:rsidRPr="00987545">
          <w:rPr>
            <w:rStyle w:val="Hyperlink"/>
            <w:rFonts w:ascii="Tahoma" w:hAnsi="Tahoma" w:cs="Tahoma"/>
            <w:noProof/>
            <w:sz w:val="24"/>
            <w:szCs w:val="24"/>
            <w:lang w:val="en-US"/>
          </w:rPr>
          <w:t>5.0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Exchange Rate Developments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_Toc194054094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3</w:t>
        </w:r>
        <w:r w:rsidRPr="00987545">
          <w:rPr>
            <w:rFonts w:ascii="Tahoma" w:hAnsi="Tahoma" w:cs="Tahoma"/>
            <w:noProof/>
            <w:webHidden/>
            <w:sz w:val="24"/>
            <w:szCs w:val="24"/>
          </w:rPr>
          <w:fldChar w:fldCharType="end"/>
        </w:r>
      </w:hyperlink>
    </w:p>
    <w:p w14:paraId="6DE5B437" w14:textId="3269C9E9" w:rsidR="00987545" w:rsidRPr="00987545" w:rsidRDefault="00987545">
      <w:pPr>
        <w:pStyle w:val="TOC2"/>
        <w:rPr>
          <w:rFonts w:eastAsiaTheme="minorEastAsia"/>
          <w:b w:val="0"/>
          <w:lang w:val="en-ZW" w:eastAsia="en-ZW"/>
          <w14:ligatures w14:val="standardContextual"/>
        </w:rPr>
      </w:pPr>
      <w:hyperlink w:anchor="_Toc194054095" w:history="1">
        <w:r w:rsidRPr="00987545">
          <w:rPr>
            <w:rStyle w:val="Hyperlink"/>
            <w:b w:val="0"/>
          </w:rPr>
          <w:t>5.1</w:t>
        </w:r>
        <w:r w:rsidRPr="00987545">
          <w:rPr>
            <w:rFonts w:eastAsiaTheme="minorEastAsia"/>
            <w:b w:val="0"/>
            <w:lang w:val="en-ZW" w:eastAsia="en-ZW"/>
            <w14:ligatures w14:val="standardContextual"/>
          </w:rPr>
          <w:tab/>
        </w:r>
        <w:r w:rsidRPr="00987545">
          <w:rPr>
            <w:rStyle w:val="Hyperlink"/>
            <w:b w:val="0"/>
          </w:rPr>
          <w:t>ZWG Exchange Rate Developments</w:t>
        </w:r>
        <w:r w:rsidRPr="00987545">
          <w:rPr>
            <w:b w:val="0"/>
            <w:webHidden/>
          </w:rPr>
          <w:tab/>
        </w:r>
        <w:r w:rsidRPr="00987545">
          <w:rPr>
            <w:b w:val="0"/>
            <w:webHidden/>
          </w:rPr>
          <w:fldChar w:fldCharType="begin"/>
        </w:r>
        <w:r w:rsidRPr="00987545">
          <w:rPr>
            <w:b w:val="0"/>
            <w:webHidden/>
          </w:rPr>
          <w:instrText xml:space="preserve"> PAGEREF _Toc194054095 \h </w:instrText>
        </w:r>
        <w:r w:rsidRPr="00987545">
          <w:rPr>
            <w:b w:val="0"/>
            <w:webHidden/>
          </w:rPr>
        </w:r>
        <w:r w:rsidRPr="00987545">
          <w:rPr>
            <w:b w:val="0"/>
            <w:webHidden/>
          </w:rPr>
          <w:fldChar w:fldCharType="separate"/>
        </w:r>
        <w:r w:rsidRPr="00987545">
          <w:rPr>
            <w:b w:val="0"/>
            <w:webHidden/>
          </w:rPr>
          <w:t>3</w:t>
        </w:r>
        <w:r w:rsidRPr="00987545">
          <w:rPr>
            <w:b w:val="0"/>
            <w:webHidden/>
          </w:rPr>
          <w:fldChar w:fldCharType="end"/>
        </w:r>
      </w:hyperlink>
    </w:p>
    <w:p w14:paraId="203F9C6A" w14:textId="2F42B3F4" w:rsidR="00987545" w:rsidRPr="00987545" w:rsidRDefault="00987545">
      <w:pPr>
        <w:pStyle w:val="TOC2"/>
        <w:rPr>
          <w:rFonts w:eastAsiaTheme="minorEastAsia"/>
          <w:b w:val="0"/>
          <w:lang w:val="en-ZW" w:eastAsia="en-ZW"/>
          <w14:ligatures w14:val="standardContextual"/>
        </w:rPr>
      </w:pPr>
      <w:hyperlink w:anchor="_Toc194054096" w:history="1">
        <w:r w:rsidRPr="00987545">
          <w:rPr>
            <w:rStyle w:val="Hyperlink"/>
            <w:b w:val="0"/>
          </w:rPr>
          <w:t>5.2</w:t>
        </w:r>
        <w:r w:rsidRPr="00987545">
          <w:rPr>
            <w:rFonts w:eastAsiaTheme="minorEastAsia"/>
            <w:b w:val="0"/>
            <w:lang w:val="en-ZW" w:eastAsia="en-ZW"/>
            <w14:ligatures w14:val="standardContextual"/>
          </w:rPr>
          <w:tab/>
        </w:r>
        <w:r w:rsidRPr="00987545">
          <w:rPr>
            <w:rStyle w:val="Hyperlink"/>
            <w:b w:val="0"/>
          </w:rPr>
          <w:t>Parallel Market Developments</w:t>
        </w:r>
        <w:r w:rsidRPr="00987545">
          <w:rPr>
            <w:b w:val="0"/>
            <w:webHidden/>
          </w:rPr>
          <w:tab/>
        </w:r>
        <w:r w:rsidRPr="00987545">
          <w:rPr>
            <w:b w:val="0"/>
            <w:webHidden/>
          </w:rPr>
          <w:fldChar w:fldCharType="begin"/>
        </w:r>
        <w:r w:rsidRPr="00987545">
          <w:rPr>
            <w:b w:val="0"/>
            <w:webHidden/>
          </w:rPr>
          <w:instrText xml:space="preserve"> PAGEREF _Toc194054096 \h </w:instrText>
        </w:r>
        <w:r w:rsidRPr="00987545">
          <w:rPr>
            <w:b w:val="0"/>
            <w:webHidden/>
          </w:rPr>
        </w:r>
        <w:r w:rsidRPr="00987545">
          <w:rPr>
            <w:b w:val="0"/>
            <w:webHidden/>
          </w:rPr>
          <w:fldChar w:fldCharType="separate"/>
        </w:r>
        <w:r w:rsidRPr="00987545">
          <w:rPr>
            <w:b w:val="0"/>
            <w:webHidden/>
          </w:rPr>
          <w:t>3</w:t>
        </w:r>
        <w:r w:rsidRPr="00987545">
          <w:rPr>
            <w:b w:val="0"/>
            <w:webHidden/>
          </w:rPr>
          <w:fldChar w:fldCharType="end"/>
        </w:r>
      </w:hyperlink>
    </w:p>
    <w:p w14:paraId="436060DB" w14:textId="6DC863FE" w:rsidR="00987545" w:rsidRPr="00987545" w:rsidRDefault="00987545">
      <w:pPr>
        <w:pStyle w:val="TOC2"/>
        <w:rPr>
          <w:rFonts w:eastAsiaTheme="minorEastAsia"/>
          <w:b w:val="0"/>
          <w:lang w:val="en-ZW" w:eastAsia="en-ZW"/>
          <w14:ligatures w14:val="standardContextual"/>
        </w:rPr>
      </w:pPr>
      <w:hyperlink w:anchor="_Toc194054097" w:history="1">
        <w:r w:rsidRPr="00987545">
          <w:rPr>
            <w:rStyle w:val="Hyperlink"/>
            <w:b w:val="0"/>
          </w:rPr>
          <w:t>5.3</w:t>
        </w:r>
        <w:r w:rsidRPr="00987545">
          <w:rPr>
            <w:rFonts w:eastAsiaTheme="minorEastAsia"/>
            <w:b w:val="0"/>
            <w:lang w:val="en-ZW" w:eastAsia="en-ZW"/>
            <w14:ligatures w14:val="standardContextual"/>
          </w:rPr>
          <w:tab/>
        </w:r>
        <w:r w:rsidRPr="00987545">
          <w:rPr>
            <w:rStyle w:val="Hyperlink"/>
            <w:b w:val="0"/>
          </w:rPr>
          <w:t>Cross Rate Developments</w:t>
        </w:r>
        <w:r w:rsidRPr="00987545">
          <w:rPr>
            <w:b w:val="0"/>
            <w:webHidden/>
          </w:rPr>
          <w:tab/>
        </w:r>
        <w:r w:rsidRPr="00987545">
          <w:rPr>
            <w:b w:val="0"/>
            <w:webHidden/>
          </w:rPr>
          <w:fldChar w:fldCharType="begin"/>
        </w:r>
        <w:r w:rsidRPr="00987545">
          <w:rPr>
            <w:b w:val="0"/>
            <w:webHidden/>
          </w:rPr>
          <w:instrText xml:space="preserve"> PAGEREF _Toc194054097 \h </w:instrText>
        </w:r>
        <w:r w:rsidRPr="00987545">
          <w:rPr>
            <w:b w:val="0"/>
            <w:webHidden/>
          </w:rPr>
        </w:r>
        <w:r w:rsidRPr="00987545">
          <w:rPr>
            <w:b w:val="0"/>
            <w:webHidden/>
          </w:rPr>
          <w:fldChar w:fldCharType="separate"/>
        </w:r>
        <w:r w:rsidRPr="00987545">
          <w:rPr>
            <w:b w:val="0"/>
            <w:webHidden/>
          </w:rPr>
          <w:t>4</w:t>
        </w:r>
        <w:r w:rsidRPr="00987545">
          <w:rPr>
            <w:b w:val="0"/>
            <w:webHidden/>
          </w:rPr>
          <w:fldChar w:fldCharType="end"/>
        </w:r>
      </w:hyperlink>
    </w:p>
    <w:p w14:paraId="63707CEF" w14:textId="52DEE937"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098" w:history="1">
        <w:r w:rsidRPr="00987545">
          <w:rPr>
            <w:rStyle w:val="Hyperlink"/>
            <w:rFonts w:ascii="Tahoma" w:hAnsi="Tahoma" w:cs="Tahoma"/>
            <w:noProof/>
            <w:sz w:val="24"/>
            <w:szCs w:val="24"/>
            <w:lang w:val="en-US"/>
          </w:rPr>
          <w:t>6.0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Inflation Developments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_Toc194054098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4</w:t>
        </w:r>
        <w:r w:rsidRPr="00987545">
          <w:rPr>
            <w:rFonts w:ascii="Tahoma" w:hAnsi="Tahoma" w:cs="Tahoma"/>
            <w:noProof/>
            <w:webHidden/>
            <w:sz w:val="24"/>
            <w:szCs w:val="24"/>
          </w:rPr>
          <w:fldChar w:fldCharType="end"/>
        </w:r>
      </w:hyperlink>
    </w:p>
    <w:p w14:paraId="6D75D2AF" w14:textId="4F634529"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099" w:history="1">
        <w:r w:rsidRPr="00987545">
          <w:rPr>
            <w:rStyle w:val="Hyperlink"/>
            <w:rFonts w:ascii="Tahoma" w:hAnsi="Tahoma" w:cs="Tahoma"/>
            <w:noProof/>
            <w:sz w:val="24"/>
            <w:szCs w:val="24"/>
            <w:lang w:val="en-US"/>
          </w:rPr>
          <w:t>7.0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Monetary Developments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_Toc194054099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6</w:t>
        </w:r>
        <w:r w:rsidRPr="00987545">
          <w:rPr>
            <w:rFonts w:ascii="Tahoma" w:hAnsi="Tahoma" w:cs="Tahoma"/>
            <w:noProof/>
            <w:webHidden/>
            <w:sz w:val="24"/>
            <w:szCs w:val="24"/>
          </w:rPr>
          <w:fldChar w:fldCharType="end"/>
        </w:r>
      </w:hyperlink>
    </w:p>
    <w:p w14:paraId="5C20790F" w14:textId="5FD78177" w:rsidR="00987545" w:rsidRPr="00987545" w:rsidRDefault="00987545">
      <w:pPr>
        <w:pStyle w:val="TOC2"/>
        <w:rPr>
          <w:rFonts w:eastAsiaTheme="minorEastAsia"/>
          <w:b w:val="0"/>
          <w:lang w:val="en-ZW" w:eastAsia="en-ZW"/>
          <w14:ligatures w14:val="standardContextual"/>
        </w:rPr>
      </w:pPr>
      <w:hyperlink w:anchor="_Toc194054100" w:history="1">
        <w:r w:rsidRPr="00987545">
          <w:rPr>
            <w:rStyle w:val="Hyperlink"/>
            <w:b w:val="0"/>
          </w:rPr>
          <w:t>7.1</w:t>
        </w:r>
        <w:r w:rsidRPr="00987545">
          <w:rPr>
            <w:rFonts w:eastAsiaTheme="minorEastAsia"/>
            <w:b w:val="0"/>
            <w:lang w:val="en-ZW" w:eastAsia="en-ZW"/>
            <w14:ligatures w14:val="standardContextual"/>
          </w:rPr>
          <w:tab/>
        </w:r>
        <w:r w:rsidRPr="00987545">
          <w:rPr>
            <w:rStyle w:val="Hyperlink"/>
            <w:b w:val="0"/>
          </w:rPr>
          <w:t>Money Supply</w:t>
        </w:r>
        <w:r w:rsidRPr="00987545">
          <w:rPr>
            <w:b w:val="0"/>
            <w:webHidden/>
          </w:rPr>
          <w:tab/>
        </w:r>
        <w:r w:rsidRPr="00987545">
          <w:rPr>
            <w:b w:val="0"/>
            <w:webHidden/>
          </w:rPr>
          <w:fldChar w:fldCharType="begin"/>
        </w:r>
        <w:r w:rsidRPr="00987545">
          <w:rPr>
            <w:b w:val="0"/>
            <w:webHidden/>
          </w:rPr>
          <w:instrText xml:space="preserve"> PAGEREF _Toc194054100 \h </w:instrText>
        </w:r>
        <w:r w:rsidRPr="00987545">
          <w:rPr>
            <w:b w:val="0"/>
            <w:webHidden/>
          </w:rPr>
        </w:r>
        <w:r w:rsidRPr="00987545">
          <w:rPr>
            <w:b w:val="0"/>
            <w:webHidden/>
          </w:rPr>
          <w:fldChar w:fldCharType="separate"/>
        </w:r>
        <w:r w:rsidRPr="00987545">
          <w:rPr>
            <w:b w:val="0"/>
            <w:webHidden/>
          </w:rPr>
          <w:t>6</w:t>
        </w:r>
        <w:r w:rsidRPr="00987545">
          <w:rPr>
            <w:b w:val="0"/>
            <w:webHidden/>
          </w:rPr>
          <w:fldChar w:fldCharType="end"/>
        </w:r>
      </w:hyperlink>
    </w:p>
    <w:p w14:paraId="64D12D75" w14:textId="5D6481E1" w:rsidR="00987545" w:rsidRPr="00987545" w:rsidRDefault="00987545">
      <w:pPr>
        <w:pStyle w:val="TOC2"/>
        <w:rPr>
          <w:rFonts w:eastAsiaTheme="minorEastAsia"/>
          <w:b w:val="0"/>
          <w:lang w:val="en-ZW" w:eastAsia="en-ZW"/>
          <w14:ligatures w14:val="standardContextual"/>
        </w:rPr>
      </w:pPr>
      <w:hyperlink w:anchor="_Toc194054101" w:history="1">
        <w:r w:rsidRPr="00987545">
          <w:rPr>
            <w:rStyle w:val="Hyperlink"/>
            <w:b w:val="0"/>
          </w:rPr>
          <w:t>7.2</w:t>
        </w:r>
        <w:r w:rsidRPr="00987545">
          <w:rPr>
            <w:rFonts w:eastAsiaTheme="minorEastAsia"/>
            <w:b w:val="0"/>
            <w:lang w:val="en-ZW" w:eastAsia="en-ZW"/>
            <w14:ligatures w14:val="standardContextual"/>
          </w:rPr>
          <w:tab/>
        </w:r>
        <w:r w:rsidRPr="00987545">
          <w:rPr>
            <w:rStyle w:val="Hyperlink"/>
            <w:b w:val="0"/>
          </w:rPr>
          <w:t>Interest Rates</w:t>
        </w:r>
        <w:r w:rsidRPr="00987545">
          <w:rPr>
            <w:b w:val="0"/>
            <w:webHidden/>
          </w:rPr>
          <w:tab/>
        </w:r>
        <w:r w:rsidRPr="00987545">
          <w:rPr>
            <w:b w:val="0"/>
            <w:webHidden/>
          </w:rPr>
          <w:fldChar w:fldCharType="begin"/>
        </w:r>
        <w:r w:rsidRPr="00987545">
          <w:rPr>
            <w:b w:val="0"/>
            <w:webHidden/>
          </w:rPr>
          <w:instrText xml:space="preserve"> PAGEREF _Toc194054101 \h </w:instrText>
        </w:r>
        <w:r w:rsidRPr="00987545">
          <w:rPr>
            <w:b w:val="0"/>
            <w:webHidden/>
          </w:rPr>
        </w:r>
        <w:r w:rsidRPr="00987545">
          <w:rPr>
            <w:b w:val="0"/>
            <w:webHidden/>
          </w:rPr>
          <w:fldChar w:fldCharType="separate"/>
        </w:r>
        <w:r w:rsidRPr="00987545">
          <w:rPr>
            <w:b w:val="0"/>
            <w:webHidden/>
          </w:rPr>
          <w:t>6</w:t>
        </w:r>
        <w:r w:rsidRPr="00987545">
          <w:rPr>
            <w:b w:val="0"/>
            <w:webHidden/>
          </w:rPr>
          <w:fldChar w:fldCharType="end"/>
        </w:r>
      </w:hyperlink>
    </w:p>
    <w:p w14:paraId="47C9C8C1" w14:textId="483AC27E"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102" w:history="1">
        <w:r w:rsidRPr="00987545">
          <w:rPr>
            <w:rStyle w:val="Hyperlink"/>
            <w:rFonts w:ascii="Tahoma" w:hAnsi="Tahoma" w:cs="Tahoma"/>
            <w:noProof/>
            <w:sz w:val="24"/>
            <w:szCs w:val="24"/>
            <w:lang w:val="en-US"/>
          </w:rPr>
          <w:t>8.0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Stock Market Developments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_Toc194054102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7</w:t>
        </w:r>
        <w:r w:rsidRPr="00987545">
          <w:rPr>
            <w:rFonts w:ascii="Tahoma" w:hAnsi="Tahoma" w:cs="Tahoma"/>
            <w:noProof/>
            <w:webHidden/>
            <w:sz w:val="24"/>
            <w:szCs w:val="24"/>
          </w:rPr>
          <w:fldChar w:fldCharType="end"/>
        </w:r>
      </w:hyperlink>
    </w:p>
    <w:p w14:paraId="2327797E" w14:textId="37872D91" w:rsidR="00987545" w:rsidRPr="00987545" w:rsidRDefault="00987545">
      <w:pPr>
        <w:pStyle w:val="TOC2"/>
        <w:rPr>
          <w:rFonts w:eastAsiaTheme="minorEastAsia"/>
          <w:b w:val="0"/>
          <w:lang w:val="en-ZW" w:eastAsia="en-ZW"/>
          <w14:ligatures w14:val="standardContextual"/>
        </w:rPr>
      </w:pPr>
      <w:hyperlink w:anchor="_Toc194054103" w:history="1">
        <w:r w:rsidRPr="00987545">
          <w:rPr>
            <w:rStyle w:val="Hyperlink"/>
            <w:b w:val="0"/>
          </w:rPr>
          <w:t>8.1</w:t>
        </w:r>
        <w:r w:rsidRPr="00987545">
          <w:rPr>
            <w:rFonts w:eastAsiaTheme="minorEastAsia"/>
            <w:b w:val="0"/>
            <w:lang w:val="en-ZW" w:eastAsia="en-ZW"/>
            <w14:ligatures w14:val="standardContextual"/>
          </w:rPr>
          <w:tab/>
        </w:r>
        <w:r w:rsidRPr="00987545">
          <w:rPr>
            <w:rStyle w:val="Hyperlink"/>
            <w:b w:val="0"/>
          </w:rPr>
          <w:t>Zimbabwe Stock Exchange (ZSE)</w:t>
        </w:r>
        <w:r w:rsidRPr="00987545">
          <w:rPr>
            <w:b w:val="0"/>
            <w:webHidden/>
          </w:rPr>
          <w:tab/>
        </w:r>
        <w:r w:rsidRPr="00987545">
          <w:rPr>
            <w:b w:val="0"/>
            <w:webHidden/>
          </w:rPr>
          <w:fldChar w:fldCharType="begin"/>
        </w:r>
        <w:r w:rsidRPr="00987545">
          <w:rPr>
            <w:b w:val="0"/>
            <w:webHidden/>
          </w:rPr>
          <w:instrText xml:space="preserve"> PAGEREF _Toc194054103 \h </w:instrText>
        </w:r>
        <w:r w:rsidRPr="00987545">
          <w:rPr>
            <w:b w:val="0"/>
            <w:webHidden/>
          </w:rPr>
        </w:r>
        <w:r w:rsidRPr="00987545">
          <w:rPr>
            <w:b w:val="0"/>
            <w:webHidden/>
          </w:rPr>
          <w:fldChar w:fldCharType="separate"/>
        </w:r>
        <w:r w:rsidRPr="00987545">
          <w:rPr>
            <w:b w:val="0"/>
            <w:webHidden/>
          </w:rPr>
          <w:t>7</w:t>
        </w:r>
        <w:r w:rsidRPr="00987545">
          <w:rPr>
            <w:b w:val="0"/>
            <w:webHidden/>
          </w:rPr>
          <w:fldChar w:fldCharType="end"/>
        </w:r>
      </w:hyperlink>
    </w:p>
    <w:p w14:paraId="3C6CA766" w14:textId="131D49C9" w:rsidR="00987545" w:rsidRPr="00987545" w:rsidRDefault="00987545">
      <w:pPr>
        <w:pStyle w:val="TOC2"/>
        <w:rPr>
          <w:rFonts w:eastAsiaTheme="minorEastAsia"/>
          <w:b w:val="0"/>
          <w:lang w:val="en-ZW" w:eastAsia="en-ZW"/>
          <w14:ligatures w14:val="standardContextual"/>
        </w:rPr>
      </w:pPr>
      <w:hyperlink w:anchor="_Toc194054104" w:history="1">
        <w:r w:rsidRPr="00987545">
          <w:rPr>
            <w:rStyle w:val="Hyperlink"/>
            <w:b w:val="0"/>
          </w:rPr>
          <w:t>8.2</w:t>
        </w:r>
        <w:r w:rsidRPr="00987545">
          <w:rPr>
            <w:rFonts w:eastAsiaTheme="minorEastAsia"/>
            <w:b w:val="0"/>
            <w:lang w:val="en-ZW" w:eastAsia="en-ZW"/>
            <w14:ligatures w14:val="standardContextual"/>
          </w:rPr>
          <w:tab/>
        </w:r>
        <w:r w:rsidRPr="00987545">
          <w:rPr>
            <w:rStyle w:val="Hyperlink"/>
            <w:b w:val="0"/>
          </w:rPr>
          <w:t>Victoria Falls Stock Exchange (VFEX)</w:t>
        </w:r>
        <w:r w:rsidRPr="00987545">
          <w:rPr>
            <w:b w:val="0"/>
            <w:webHidden/>
          </w:rPr>
          <w:tab/>
        </w:r>
        <w:r w:rsidRPr="00987545">
          <w:rPr>
            <w:b w:val="0"/>
            <w:webHidden/>
          </w:rPr>
          <w:fldChar w:fldCharType="begin"/>
        </w:r>
        <w:r w:rsidRPr="00987545">
          <w:rPr>
            <w:b w:val="0"/>
            <w:webHidden/>
          </w:rPr>
          <w:instrText xml:space="preserve"> PAGEREF _Toc194054104 \h </w:instrText>
        </w:r>
        <w:r w:rsidRPr="00987545">
          <w:rPr>
            <w:b w:val="0"/>
            <w:webHidden/>
          </w:rPr>
        </w:r>
        <w:r w:rsidRPr="00987545">
          <w:rPr>
            <w:b w:val="0"/>
            <w:webHidden/>
          </w:rPr>
          <w:fldChar w:fldCharType="separate"/>
        </w:r>
        <w:r w:rsidRPr="00987545">
          <w:rPr>
            <w:b w:val="0"/>
            <w:webHidden/>
          </w:rPr>
          <w:t>7</w:t>
        </w:r>
        <w:r w:rsidRPr="00987545">
          <w:rPr>
            <w:b w:val="0"/>
            <w:webHidden/>
          </w:rPr>
          <w:fldChar w:fldCharType="end"/>
        </w:r>
      </w:hyperlink>
    </w:p>
    <w:p w14:paraId="2F5EB89E" w14:textId="372B003F" w:rsidR="00987545" w:rsidRPr="00987545" w:rsidRDefault="00987545">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94054105" w:history="1">
        <w:r w:rsidRPr="00987545">
          <w:rPr>
            <w:rStyle w:val="Hyperlink"/>
            <w:rFonts w:ascii="Tahoma" w:hAnsi="Tahoma" w:cs="Tahoma"/>
            <w:noProof/>
            <w:sz w:val="24"/>
            <w:szCs w:val="24"/>
            <w:lang w:val="en-US"/>
          </w:rPr>
          <w:t>9.0</w:t>
        </w:r>
        <w:r w:rsidRPr="00987545">
          <w:rPr>
            <w:rFonts w:ascii="Tahoma" w:eastAsiaTheme="minorEastAsia" w:hAnsi="Tahoma" w:cs="Tahoma"/>
            <w:noProof/>
            <w:sz w:val="24"/>
            <w:szCs w:val="24"/>
            <w:lang w:eastAsia="en-ZW"/>
            <w14:ligatures w14:val="standardContextual"/>
          </w:rPr>
          <w:tab/>
        </w:r>
        <w:r w:rsidRPr="00987545">
          <w:rPr>
            <w:rStyle w:val="Hyperlink"/>
            <w:rFonts w:ascii="Tahoma" w:hAnsi="Tahoma" w:cs="Tahoma"/>
            <w:noProof/>
            <w:sz w:val="24"/>
            <w:szCs w:val="24"/>
            <w:lang w:val="en-US"/>
          </w:rPr>
          <w:t>Recommendations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_Toc194054105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8</w:t>
        </w:r>
        <w:r w:rsidRPr="00987545">
          <w:rPr>
            <w:rFonts w:ascii="Tahoma" w:hAnsi="Tahoma" w:cs="Tahoma"/>
            <w:noProof/>
            <w:webHidden/>
            <w:sz w:val="24"/>
            <w:szCs w:val="24"/>
          </w:rPr>
          <w:fldChar w:fldCharType="end"/>
        </w:r>
      </w:hyperlink>
    </w:p>
    <w:p w14:paraId="5FDD4097" w14:textId="3385CC0B" w:rsidR="00987545" w:rsidRPr="00987545" w:rsidRDefault="00987545">
      <w:pPr>
        <w:pStyle w:val="TOC1"/>
        <w:tabs>
          <w:tab w:val="right" w:leader="dot" w:pos="9016"/>
        </w:tabs>
        <w:rPr>
          <w:rFonts w:ascii="Tahoma" w:eastAsiaTheme="minorEastAsia" w:hAnsi="Tahoma" w:cs="Tahoma"/>
          <w:noProof/>
          <w:sz w:val="24"/>
          <w:szCs w:val="24"/>
          <w:lang w:eastAsia="en-ZW"/>
          <w14:ligatures w14:val="standardContextual"/>
        </w:rPr>
      </w:pPr>
      <w:hyperlink w:anchor="_Toc194054106" w:history="1">
        <w:r w:rsidRPr="00987545">
          <w:rPr>
            <w:rStyle w:val="Hyperlink"/>
            <w:rFonts w:ascii="Tahoma" w:hAnsi="Tahoma" w:cs="Tahoma"/>
            <w:noProof/>
            <w:sz w:val="24"/>
            <w:szCs w:val="24"/>
            <w:lang w:val="en-GB"/>
          </w:rPr>
          <w:t xml:space="preserve">10 </w:t>
        </w:r>
        <w:r w:rsidRPr="00987545">
          <w:rPr>
            <w:rStyle w:val="Hyperlink"/>
            <w:rFonts w:ascii="Tahoma" w:hAnsi="Tahoma" w:cs="Tahoma"/>
            <w:noProof/>
            <w:sz w:val="24"/>
            <w:szCs w:val="24"/>
          </w:rPr>
          <w:t>References</w:t>
        </w:r>
        <w:r w:rsidRPr="00987545">
          <w:rPr>
            <w:rFonts w:ascii="Tahoma" w:hAnsi="Tahoma" w:cs="Tahoma"/>
            <w:noProof/>
            <w:webHidden/>
            <w:sz w:val="24"/>
            <w:szCs w:val="24"/>
          </w:rPr>
          <w:tab/>
        </w:r>
        <w:r w:rsidRPr="00987545">
          <w:rPr>
            <w:rFonts w:ascii="Tahoma" w:hAnsi="Tahoma" w:cs="Tahoma"/>
            <w:noProof/>
            <w:webHidden/>
            <w:sz w:val="24"/>
            <w:szCs w:val="24"/>
          </w:rPr>
          <w:fldChar w:fldCharType="begin"/>
        </w:r>
        <w:r w:rsidRPr="00987545">
          <w:rPr>
            <w:rFonts w:ascii="Tahoma" w:hAnsi="Tahoma" w:cs="Tahoma"/>
            <w:noProof/>
            <w:webHidden/>
            <w:sz w:val="24"/>
            <w:szCs w:val="24"/>
          </w:rPr>
          <w:instrText xml:space="preserve"> PAGEREF _Toc194054106 \h </w:instrText>
        </w:r>
        <w:r w:rsidRPr="00987545">
          <w:rPr>
            <w:rFonts w:ascii="Tahoma" w:hAnsi="Tahoma" w:cs="Tahoma"/>
            <w:noProof/>
            <w:webHidden/>
            <w:sz w:val="24"/>
            <w:szCs w:val="24"/>
          </w:rPr>
        </w:r>
        <w:r w:rsidRPr="00987545">
          <w:rPr>
            <w:rFonts w:ascii="Tahoma" w:hAnsi="Tahoma" w:cs="Tahoma"/>
            <w:noProof/>
            <w:webHidden/>
            <w:sz w:val="24"/>
            <w:szCs w:val="24"/>
          </w:rPr>
          <w:fldChar w:fldCharType="separate"/>
        </w:r>
        <w:r w:rsidRPr="00987545">
          <w:rPr>
            <w:rFonts w:ascii="Tahoma" w:hAnsi="Tahoma" w:cs="Tahoma"/>
            <w:noProof/>
            <w:webHidden/>
            <w:sz w:val="24"/>
            <w:szCs w:val="24"/>
          </w:rPr>
          <w:t>9</w:t>
        </w:r>
        <w:r w:rsidRPr="00987545">
          <w:rPr>
            <w:rFonts w:ascii="Tahoma" w:hAnsi="Tahoma" w:cs="Tahoma"/>
            <w:noProof/>
            <w:webHidden/>
            <w:sz w:val="24"/>
            <w:szCs w:val="24"/>
          </w:rPr>
          <w:fldChar w:fldCharType="end"/>
        </w:r>
      </w:hyperlink>
    </w:p>
    <w:p w14:paraId="05A57219" w14:textId="4603CDBA" w:rsidR="00D46F37" w:rsidRPr="00987545" w:rsidRDefault="00D46F37" w:rsidP="00F05BD5">
      <w:pPr>
        <w:jc w:val="both"/>
        <w:rPr>
          <w:rFonts w:ascii="Tahoma" w:hAnsi="Tahoma" w:cs="Tahoma"/>
          <w:sz w:val="24"/>
          <w:szCs w:val="24"/>
        </w:rPr>
      </w:pPr>
      <w:r w:rsidRPr="00987545">
        <w:rPr>
          <w:rFonts w:ascii="Tahoma" w:hAnsi="Tahoma" w:cs="Tahoma"/>
          <w:noProof/>
          <w:sz w:val="24"/>
          <w:szCs w:val="24"/>
        </w:rPr>
        <w:fldChar w:fldCharType="end"/>
      </w:r>
    </w:p>
    <w:p w14:paraId="3716E9F9" w14:textId="77777777" w:rsidR="00D46F37" w:rsidRDefault="00D46F37" w:rsidP="00D46F37">
      <w:pPr>
        <w:rPr>
          <w:lang w:val="en-US"/>
        </w:rPr>
      </w:pPr>
    </w:p>
    <w:p w14:paraId="051AB47A" w14:textId="77777777" w:rsidR="00D46F37" w:rsidRDefault="00D46F37" w:rsidP="00D46F37">
      <w:pPr>
        <w:rPr>
          <w:lang w:val="en-US"/>
        </w:rPr>
      </w:pPr>
    </w:p>
    <w:p w14:paraId="6C8A5694" w14:textId="77777777" w:rsidR="00D46F37" w:rsidRDefault="00D46F37" w:rsidP="00D46F37">
      <w:pPr>
        <w:rPr>
          <w:lang w:val="en-US"/>
        </w:rPr>
      </w:pPr>
    </w:p>
    <w:p w14:paraId="122856B1" w14:textId="77777777" w:rsidR="00D46F37" w:rsidRDefault="00D46F37" w:rsidP="00D46F37">
      <w:pPr>
        <w:rPr>
          <w:lang w:val="en-US"/>
        </w:rPr>
      </w:pPr>
    </w:p>
    <w:p w14:paraId="30927F92" w14:textId="77777777" w:rsidR="00D46F37" w:rsidRDefault="00D46F37" w:rsidP="00D46F37">
      <w:pPr>
        <w:rPr>
          <w:lang w:val="en-US"/>
        </w:rPr>
      </w:pPr>
    </w:p>
    <w:p w14:paraId="27499881" w14:textId="77777777" w:rsidR="00463A60" w:rsidRDefault="00463A60" w:rsidP="00D46F37">
      <w:pPr>
        <w:rPr>
          <w:lang w:val="en-US"/>
        </w:rPr>
      </w:pPr>
    </w:p>
    <w:p w14:paraId="514E28D7" w14:textId="77777777" w:rsidR="00463A60" w:rsidRDefault="00463A60" w:rsidP="00D46F37">
      <w:pPr>
        <w:rPr>
          <w:lang w:val="en-US"/>
        </w:rPr>
      </w:pPr>
    </w:p>
    <w:p w14:paraId="7F34D183" w14:textId="77777777" w:rsidR="00A26B7B" w:rsidRDefault="00A26B7B" w:rsidP="00D46F37">
      <w:pPr>
        <w:rPr>
          <w:lang w:val="en-US"/>
        </w:rPr>
      </w:pPr>
    </w:p>
    <w:p w14:paraId="285687C0" w14:textId="77777777" w:rsidR="00D46F37" w:rsidRDefault="00D46F37" w:rsidP="00D46F37">
      <w:pPr>
        <w:rPr>
          <w:lang w:val="en-US"/>
        </w:rPr>
      </w:pPr>
    </w:p>
    <w:p w14:paraId="2CFE9466" w14:textId="77777777" w:rsidR="00D46F37" w:rsidRDefault="00D46F37" w:rsidP="00D46F37">
      <w:pPr>
        <w:rPr>
          <w:lang w:val="en-US"/>
        </w:rPr>
      </w:pPr>
    </w:p>
    <w:p w14:paraId="3D8FCB05" w14:textId="77777777" w:rsidR="00732393" w:rsidRPr="00E36073" w:rsidRDefault="00F67469" w:rsidP="005D76CA">
      <w:pPr>
        <w:rPr>
          <w:rFonts w:ascii="Tahoma" w:hAnsi="Tahoma" w:cs="Tahoma"/>
          <w:b/>
          <w:color w:val="000000"/>
          <w:sz w:val="24"/>
          <w:szCs w:val="24"/>
          <w:lang w:val="en-US"/>
        </w:rPr>
      </w:pPr>
      <w:r w:rsidRPr="00863A17">
        <w:rPr>
          <w:rFonts w:ascii="Tahoma" w:hAnsi="Tahoma" w:cs="Tahoma"/>
          <w:b/>
          <w:color w:val="000000"/>
          <w:sz w:val="24"/>
          <w:szCs w:val="24"/>
          <w:lang w:val="en-US"/>
        </w:rPr>
        <w:lastRenderedPageBreak/>
        <w:t xml:space="preserve">List of </w:t>
      </w:r>
      <w:r w:rsidR="009744EB">
        <w:rPr>
          <w:rFonts w:ascii="Tahoma" w:hAnsi="Tahoma" w:cs="Tahoma"/>
          <w:b/>
          <w:color w:val="000000"/>
          <w:sz w:val="24"/>
          <w:szCs w:val="24"/>
          <w:lang w:val="en-US"/>
        </w:rPr>
        <w:t>Tables</w:t>
      </w:r>
      <w:r w:rsidRPr="00863A17">
        <w:rPr>
          <w:rFonts w:ascii="Tahoma" w:hAnsi="Tahoma" w:cs="Tahoma"/>
          <w:b/>
          <w:color w:val="000000"/>
          <w:sz w:val="24"/>
          <w:szCs w:val="24"/>
          <w:lang w:val="en-US"/>
        </w:rPr>
        <w:t xml:space="preserve"> </w:t>
      </w:r>
    </w:p>
    <w:p w14:paraId="4F1DE72B" w14:textId="6C18E7A5" w:rsidR="00CC2DBC" w:rsidRPr="00CC2DBC" w:rsidRDefault="00E36073">
      <w:pPr>
        <w:pStyle w:val="TableofFigures"/>
        <w:tabs>
          <w:tab w:val="right" w:leader="dot" w:pos="9016"/>
        </w:tabs>
        <w:rPr>
          <w:rFonts w:ascii="Tahoma" w:eastAsiaTheme="minorEastAsia" w:hAnsi="Tahoma" w:cs="Tahoma"/>
          <w:noProof/>
          <w:sz w:val="24"/>
          <w:szCs w:val="24"/>
          <w:lang w:eastAsia="en-ZW"/>
          <w14:ligatures w14:val="standardContextual"/>
        </w:rPr>
      </w:pPr>
      <w:r w:rsidRPr="00CC2DBC">
        <w:rPr>
          <w:rFonts w:ascii="Tahoma" w:hAnsi="Tahoma" w:cs="Tahoma"/>
          <w:b/>
          <w:iCs/>
          <w:sz w:val="24"/>
          <w:szCs w:val="24"/>
          <w:lang w:val="en-US"/>
        </w:rPr>
        <w:fldChar w:fldCharType="begin"/>
      </w:r>
      <w:r w:rsidRPr="00CC2DBC">
        <w:rPr>
          <w:rFonts w:ascii="Tahoma" w:hAnsi="Tahoma" w:cs="Tahoma"/>
          <w:b/>
          <w:iCs/>
          <w:sz w:val="24"/>
          <w:szCs w:val="24"/>
          <w:lang w:val="en-US"/>
        </w:rPr>
        <w:instrText xml:space="preserve"> TOC \f F \h \z \t "List of Tables" \c </w:instrText>
      </w:r>
      <w:r w:rsidRPr="00CC2DBC">
        <w:rPr>
          <w:rFonts w:ascii="Tahoma" w:hAnsi="Tahoma" w:cs="Tahoma"/>
          <w:b/>
          <w:iCs/>
          <w:sz w:val="24"/>
          <w:szCs w:val="24"/>
          <w:lang w:val="en-US"/>
        </w:rPr>
        <w:fldChar w:fldCharType="separate"/>
      </w:r>
      <w:hyperlink w:anchor="_Toc194054136" w:history="1">
        <w:r w:rsidR="00CC2DBC" w:rsidRPr="00CC2DBC">
          <w:rPr>
            <w:rStyle w:val="Hyperlink"/>
            <w:rFonts w:ascii="Tahoma" w:hAnsi="Tahoma" w:cs="Tahoma"/>
            <w:noProof/>
            <w:sz w:val="24"/>
            <w:szCs w:val="24"/>
          </w:rPr>
          <w:t>Table 1:</w:t>
        </w:r>
        <w:r w:rsidR="00CC2DBC" w:rsidRPr="00CC2DBC">
          <w:rPr>
            <w:rStyle w:val="Hyperlink"/>
            <w:rFonts w:ascii="Tahoma" w:hAnsi="Tahoma" w:cs="Tahoma"/>
            <w:noProof/>
            <w:sz w:val="24"/>
            <w:szCs w:val="24"/>
            <w:lang w:val="en-US"/>
          </w:rPr>
          <w:t xml:space="preserve"> Commodity Price Movements – Month Ending 28 February 2025</w:t>
        </w:r>
        <w:r w:rsidR="00CC2DBC" w:rsidRPr="00CC2DBC">
          <w:rPr>
            <w:rFonts w:ascii="Tahoma" w:hAnsi="Tahoma" w:cs="Tahoma"/>
            <w:noProof/>
            <w:webHidden/>
            <w:sz w:val="24"/>
            <w:szCs w:val="24"/>
          </w:rPr>
          <w:tab/>
        </w:r>
        <w:r w:rsidR="00CC2DBC" w:rsidRPr="00CC2DBC">
          <w:rPr>
            <w:rFonts w:ascii="Tahoma" w:hAnsi="Tahoma" w:cs="Tahoma"/>
            <w:noProof/>
            <w:webHidden/>
            <w:sz w:val="24"/>
            <w:szCs w:val="24"/>
          </w:rPr>
          <w:fldChar w:fldCharType="begin"/>
        </w:r>
        <w:r w:rsidR="00CC2DBC" w:rsidRPr="00CC2DBC">
          <w:rPr>
            <w:rFonts w:ascii="Tahoma" w:hAnsi="Tahoma" w:cs="Tahoma"/>
            <w:noProof/>
            <w:webHidden/>
            <w:sz w:val="24"/>
            <w:szCs w:val="24"/>
          </w:rPr>
          <w:instrText xml:space="preserve"> PAGEREF _Toc194054136 \h </w:instrText>
        </w:r>
        <w:r w:rsidR="00CC2DBC" w:rsidRPr="00CC2DBC">
          <w:rPr>
            <w:rFonts w:ascii="Tahoma" w:hAnsi="Tahoma" w:cs="Tahoma"/>
            <w:noProof/>
            <w:webHidden/>
            <w:sz w:val="24"/>
            <w:szCs w:val="24"/>
          </w:rPr>
        </w:r>
        <w:r w:rsidR="00CC2DBC" w:rsidRPr="00CC2DBC">
          <w:rPr>
            <w:rFonts w:ascii="Tahoma" w:hAnsi="Tahoma" w:cs="Tahoma"/>
            <w:noProof/>
            <w:webHidden/>
            <w:sz w:val="24"/>
            <w:szCs w:val="24"/>
          </w:rPr>
          <w:fldChar w:fldCharType="separate"/>
        </w:r>
        <w:r w:rsidR="00CC2DBC" w:rsidRPr="00CC2DBC">
          <w:rPr>
            <w:rFonts w:ascii="Tahoma" w:hAnsi="Tahoma" w:cs="Tahoma"/>
            <w:noProof/>
            <w:webHidden/>
            <w:sz w:val="24"/>
            <w:szCs w:val="24"/>
          </w:rPr>
          <w:t>1</w:t>
        </w:r>
        <w:r w:rsidR="00CC2DBC" w:rsidRPr="00CC2DBC">
          <w:rPr>
            <w:rFonts w:ascii="Tahoma" w:hAnsi="Tahoma" w:cs="Tahoma"/>
            <w:noProof/>
            <w:webHidden/>
            <w:sz w:val="24"/>
            <w:szCs w:val="24"/>
          </w:rPr>
          <w:fldChar w:fldCharType="end"/>
        </w:r>
      </w:hyperlink>
    </w:p>
    <w:p w14:paraId="493A333D" w14:textId="746F9668"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37" w:history="1">
        <w:r w:rsidRPr="00CC2DBC">
          <w:rPr>
            <w:rStyle w:val="Hyperlink"/>
            <w:rFonts w:ascii="Tahoma" w:hAnsi="Tahoma" w:cs="Tahoma"/>
            <w:noProof/>
            <w:sz w:val="24"/>
            <w:szCs w:val="24"/>
          </w:rPr>
          <w:t>Table 2: ZWG Exchange Rate Movements-Month Ending 28 February 2025</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_Toc194054137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3</w:t>
        </w:r>
        <w:r w:rsidRPr="00CC2DBC">
          <w:rPr>
            <w:rFonts w:ascii="Tahoma" w:hAnsi="Tahoma" w:cs="Tahoma"/>
            <w:noProof/>
            <w:webHidden/>
            <w:sz w:val="24"/>
            <w:szCs w:val="24"/>
          </w:rPr>
          <w:fldChar w:fldCharType="end"/>
        </w:r>
      </w:hyperlink>
    </w:p>
    <w:p w14:paraId="58CC8419" w14:textId="420B8DC5"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38" w:history="1">
        <w:r w:rsidRPr="00CC2DBC">
          <w:rPr>
            <w:rStyle w:val="Hyperlink"/>
            <w:rFonts w:ascii="Tahoma" w:hAnsi="Tahoma" w:cs="Tahoma"/>
            <w:noProof/>
            <w:sz w:val="24"/>
            <w:szCs w:val="24"/>
          </w:rPr>
          <w:t xml:space="preserve">Table 3: </w:t>
        </w:r>
        <w:r w:rsidRPr="00CC2DBC">
          <w:rPr>
            <w:rStyle w:val="Hyperlink"/>
            <w:rFonts w:ascii="Tahoma" w:hAnsi="Tahoma" w:cs="Tahoma"/>
            <w:noProof/>
            <w:sz w:val="24"/>
            <w:szCs w:val="24"/>
            <w:lang w:val="en-US"/>
          </w:rPr>
          <w:t>USD Exchange Rate Movements–Month Ended 28 February 2025</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_Toc194054138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4</w:t>
        </w:r>
        <w:r w:rsidRPr="00CC2DBC">
          <w:rPr>
            <w:rFonts w:ascii="Tahoma" w:hAnsi="Tahoma" w:cs="Tahoma"/>
            <w:noProof/>
            <w:webHidden/>
            <w:sz w:val="24"/>
            <w:szCs w:val="24"/>
          </w:rPr>
          <w:fldChar w:fldCharType="end"/>
        </w:r>
      </w:hyperlink>
    </w:p>
    <w:p w14:paraId="38F4A439" w14:textId="756355CB"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39" w:history="1">
        <w:r w:rsidRPr="00CC2DBC">
          <w:rPr>
            <w:rStyle w:val="Hyperlink"/>
            <w:rFonts w:ascii="Tahoma" w:hAnsi="Tahoma" w:cs="Tahoma"/>
            <w:noProof/>
            <w:sz w:val="24"/>
            <w:szCs w:val="24"/>
          </w:rPr>
          <w:t xml:space="preserve">Table 4: Monthly </w:t>
        </w:r>
        <w:r w:rsidRPr="00CC2DBC">
          <w:rPr>
            <w:rStyle w:val="Hyperlink"/>
            <w:rFonts w:ascii="Tahoma" w:hAnsi="Tahoma" w:cs="Tahoma"/>
            <w:noProof/>
            <w:sz w:val="24"/>
            <w:szCs w:val="24"/>
            <w:lang w:val="en-US"/>
          </w:rPr>
          <w:t>Inflation for February 2025</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_Toc194054139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5</w:t>
        </w:r>
        <w:r w:rsidRPr="00CC2DBC">
          <w:rPr>
            <w:rFonts w:ascii="Tahoma" w:hAnsi="Tahoma" w:cs="Tahoma"/>
            <w:noProof/>
            <w:webHidden/>
            <w:sz w:val="24"/>
            <w:szCs w:val="24"/>
          </w:rPr>
          <w:fldChar w:fldCharType="end"/>
        </w:r>
      </w:hyperlink>
    </w:p>
    <w:p w14:paraId="1C4D0330" w14:textId="0B06D5E5"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40" w:history="1">
        <w:r w:rsidRPr="00CC2DBC">
          <w:rPr>
            <w:rStyle w:val="Hyperlink"/>
            <w:rFonts w:ascii="Tahoma" w:hAnsi="Tahoma" w:cs="Tahoma"/>
            <w:noProof/>
            <w:sz w:val="24"/>
            <w:szCs w:val="24"/>
            <w:lang w:val="en-US"/>
          </w:rPr>
          <w:t>Table 5: Interest Rates as of 28 February 2025</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_Toc194054140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6</w:t>
        </w:r>
        <w:r w:rsidRPr="00CC2DBC">
          <w:rPr>
            <w:rFonts w:ascii="Tahoma" w:hAnsi="Tahoma" w:cs="Tahoma"/>
            <w:noProof/>
            <w:webHidden/>
            <w:sz w:val="24"/>
            <w:szCs w:val="24"/>
          </w:rPr>
          <w:fldChar w:fldCharType="end"/>
        </w:r>
      </w:hyperlink>
    </w:p>
    <w:p w14:paraId="5180122B" w14:textId="5CB3F659"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41" w:history="1">
        <w:r w:rsidRPr="00CC2DBC">
          <w:rPr>
            <w:rStyle w:val="Hyperlink"/>
            <w:rFonts w:ascii="Tahoma" w:hAnsi="Tahoma" w:cs="Tahoma"/>
            <w:noProof/>
            <w:sz w:val="24"/>
            <w:szCs w:val="24"/>
          </w:rPr>
          <w:t>Table 6: Zimbabwe Stock Exchange Movements</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_Toc194054141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7</w:t>
        </w:r>
        <w:r w:rsidRPr="00CC2DBC">
          <w:rPr>
            <w:rFonts w:ascii="Tahoma" w:hAnsi="Tahoma" w:cs="Tahoma"/>
            <w:noProof/>
            <w:webHidden/>
            <w:sz w:val="24"/>
            <w:szCs w:val="24"/>
          </w:rPr>
          <w:fldChar w:fldCharType="end"/>
        </w:r>
      </w:hyperlink>
    </w:p>
    <w:p w14:paraId="3945CB45" w14:textId="3A23B064"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42" w:history="1">
        <w:r w:rsidRPr="00CC2DBC">
          <w:rPr>
            <w:rStyle w:val="Hyperlink"/>
            <w:rFonts w:ascii="Tahoma" w:hAnsi="Tahoma" w:cs="Tahoma"/>
            <w:noProof/>
            <w:sz w:val="24"/>
            <w:szCs w:val="24"/>
          </w:rPr>
          <w:t>Table 7: Victoria Falls Stock Exchange Movements</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_Toc194054142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7</w:t>
        </w:r>
        <w:r w:rsidRPr="00CC2DBC">
          <w:rPr>
            <w:rFonts w:ascii="Tahoma" w:hAnsi="Tahoma" w:cs="Tahoma"/>
            <w:noProof/>
            <w:webHidden/>
            <w:sz w:val="24"/>
            <w:szCs w:val="24"/>
          </w:rPr>
          <w:fldChar w:fldCharType="end"/>
        </w:r>
      </w:hyperlink>
    </w:p>
    <w:p w14:paraId="06881970" w14:textId="4593F321" w:rsidR="00DA458A" w:rsidRPr="00CC2DBC" w:rsidRDefault="00E36073">
      <w:pPr>
        <w:rPr>
          <w:rFonts w:ascii="Tahoma" w:hAnsi="Tahoma" w:cs="Tahoma"/>
          <w:b/>
          <w:bCs/>
          <w:sz w:val="24"/>
          <w:szCs w:val="24"/>
          <w:lang w:val="en-US"/>
        </w:rPr>
      </w:pPr>
      <w:r w:rsidRPr="00CC2DBC">
        <w:rPr>
          <w:rFonts w:ascii="Tahoma" w:hAnsi="Tahoma" w:cs="Tahoma"/>
          <w:b/>
          <w:iCs/>
          <w:sz w:val="24"/>
          <w:szCs w:val="24"/>
          <w:lang w:val="en-US"/>
        </w:rPr>
        <w:fldChar w:fldCharType="end"/>
      </w:r>
    </w:p>
    <w:p w14:paraId="3E0BEAFF" w14:textId="77777777" w:rsidR="00CC2DBC" w:rsidRDefault="00654F03" w:rsidP="000129B7">
      <w:pPr>
        <w:rPr>
          <w:noProof/>
        </w:rPr>
      </w:pPr>
      <w:r w:rsidRPr="00863A17">
        <w:rPr>
          <w:rFonts w:ascii="Tahoma" w:hAnsi="Tahoma" w:cs="Tahoma"/>
          <w:sz w:val="24"/>
          <w:szCs w:val="24"/>
          <w:lang w:val="en-US"/>
        </w:rPr>
        <w:br w:type="page"/>
      </w:r>
      <w:r w:rsidR="00E76009" w:rsidRPr="00DB4775">
        <w:rPr>
          <w:rFonts w:ascii="Tahoma" w:hAnsi="Tahoma" w:cs="Tahoma"/>
          <w:b/>
          <w:bCs/>
          <w:sz w:val="24"/>
          <w:szCs w:val="24"/>
          <w:lang w:val="en-US"/>
        </w:rPr>
        <w:lastRenderedPageBreak/>
        <w:t>List of Figures</w:t>
      </w:r>
      <w:r w:rsidR="00E76009" w:rsidRPr="00BF727A">
        <w:rPr>
          <w:rFonts w:ascii="Tahoma" w:hAnsi="Tahoma" w:cs="Tahoma"/>
          <w:b/>
          <w:bCs/>
          <w:sz w:val="24"/>
          <w:szCs w:val="24"/>
          <w:lang w:val="en-US"/>
        </w:rPr>
        <w:fldChar w:fldCharType="begin"/>
      </w:r>
      <w:r w:rsidR="00E76009" w:rsidRPr="00BF727A">
        <w:rPr>
          <w:rFonts w:ascii="Tahoma" w:hAnsi="Tahoma" w:cs="Tahoma"/>
          <w:b/>
          <w:bCs/>
          <w:sz w:val="24"/>
          <w:szCs w:val="24"/>
          <w:lang w:val="en-US"/>
        </w:rPr>
        <w:instrText xml:space="preserve"> TOC \h \z \t "List of Figures" \c </w:instrText>
      </w:r>
      <w:r w:rsidR="00E76009" w:rsidRPr="00BF727A">
        <w:rPr>
          <w:rFonts w:ascii="Tahoma" w:hAnsi="Tahoma" w:cs="Tahoma"/>
          <w:b/>
          <w:bCs/>
          <w:sz w:val="24"/>
          <w:szCs w:val="24"/>
          <w:lang w:val="en-US"/>
        </w:rPr>
        <w:fldChar w:fldCharType="separate"/>
      </w:r>
    </w:p>
    <w:p w14:paraId="6A430C7B" w14:textId="5E2B9390"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71" w:history="1">
        <w:r w:rsidRPr="00CC2DBC">
          <w:rPr>
            <w:rStyle w:val="Hyperlink"/>
            <w:rFonts w:ascii="Tahoma" w:hAnsi="Tahoma" w:cs="Tahoma"/>
            <w:noProof/>
            <w:sz w:val="24"/>
            <w:szCs w:val="24"/>
          </w:rPr>
          <w:t xml:space="preserve">Figure </w:t>
        </w:r>
        <w:r w:rsidRPr="00CC2DBC">
          <w:rPr>
            <w:rStyle w:val="Hyperlink"/>
            <w:rFonts w:ascii="Tahoma" w:hAnsi="Tahoma" w:cs="Tahoma"/>
            <w:bCs/>
            <w:noProof/>
            <w:sz w:val="24"/>
            <w:szCs w:val="24"/>
          </w:rPr>
          <w:t>1</w:t>
        </w:r>
        <w:r w:rsidRPr="00CC2DBC">
          <w:rPr>
            <w:rStyle w:val="Hyperlink"/>
            <w:rFonts w:ascii="Tahoma" w:hAnsi="Tahoma" w:cs="Tahoma"/>
            <w:noProof/>
            <w:sz w:val="24"/>
            <w:szCs w:val="24"/>
          </w:rPr>
          <w:t xml:space="preserve">: </w:t>
        </w:r>
        <w:r w:rsidRPr="00CC2DBC">
          <w:rPr>
            <w:rStyle w:val="Hyperlink"/>
            <w:rFonts w:ascii="Tahoma" w:hAnsi="Tahoma" w:cs="Tahoma"/>
            <w:noProof/>
            <w:sz w:val="24"/>
            <w:szCs w:val="24"/>
            <w:lang w:val="en-US"/>
          </w:rPr>
          <w:t>Merchandise Trade Developments</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_Toc194054171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2</w:t>
        </w:r>
        <w:r w:rsidRPr="00CC2DBC">
          <w:rPr>
            <w:rFonts w:ascii="Tahoma" w:hAnsi="Tahoma" w:cs="Tahoma"/>
            <w:noProof/>
            <w:webHidden/>
            <w:sz w:val="24"/>
            <w:szCs w:val="24"/>
          </w:rPr>
          <w:fldChar w:fldCharType="end"/>
        </w:r>
      </w:hyperlink>
    </w:p>
    <w:p w14:paraId="2942AE57" w14:textId="36EA52DD"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72" w:history="1">
        <w:r w:rsidRPr="00CC2DBC">
          <w:rPr>
            <w:rStyle w:val="Hyperlink"/>
            <w:rFonts w:ascii="Tahoma" w:hAnsi="Tahoma" w:cs="Tahoma"/>
            <w:noProof/>
            <w:sz w:val="24"/>
            <w:szCs w:val="24"/>
          </w:rPr>
          <w:t>Figure 2: Parallel Market Developments – February 2025</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_Toc194054172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3</w:t>
        </w:r>
        <w:r w:rsidRPr="00CC2DBC">
          <w:rPr>
            <w:rFonts w:ascii="Tahoma" w:hAnsi="Tahoma" w:cs="Tahoma"/>
            <w:noProof/>
            <w:webHidden/>
            <w:sz w:val="24"/>
            <w:szCs w:val="24"/>
          </w:rPr>
          <w:fldChar w:fldCharType="end"/>
        </w:r>
      </w:hyperlink>
    </w:p>
    <w:p w14:paraId="7E270968" w14:textId="0E0407BF"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73" w:history="1">
        <w:r w:rsidRPr="00CC2DBC">
          <w:rPr>
            <w:rStyle w:val="Hyperlink"/>
            <w:rFonts w:ascii="Tahoma" w:hAnsi="Tahoma" w:cs="Tahoma"/>
            <w:noProof/>
            <w:sz w:val="24"/>
            <w:szCs w:val="24"/>
          </w:rPr>
          <w:t>Figure 3: Month-on-Month ZWG Inflation Outturn</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_Toc194054173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4</w:t>
        </w:r>
        <w:r w:rsidRPr="00CC2DBC">
          <w:rPr>
            <w:rFonts w:ascii="Tahoma" w:hAnsi="Tahoma" w:cs="Tahoma"/>
            <w:noProof/>
            <w:webHidden/>
            <w:sz w:val="24"/>
            <w:szCs w:val="24"/>
          </w:rPr>
          <w:fldChar w:fldCharType="end"/>
        </w:r>
      </w:hyperlink>
    </w:p>
    <w:p w14:paraId="3AA0D7C3" w14:textId="2EDE8A1B"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74" w:history="1">
        <w:r w:rsidRPr="00CC2DBC">
          <w:rPr>
            <w:rStyle w:val="Hyperlink"/>
            <w:rFonts w:ascii="Tahoma" w:hAnsi="Tahoma" w:cs="Tahoma"/>
            <w:noProof/>
            <w:sz w:val="24"/>
            <w:szCs w:val="24"/>
          </w:rPr>
          <w:t xml:space="preserve">Figure </w:t>
        </w:r>
        <w:r w:rsidRPr="00CC2DBC">
          <w:rPr>
            <w:rStyle w:val="Hyperlink"/>
            <w:rFonts w:ascii="Tahoma" w:hAnsi="Tahoma" w:cs="Tahoma"/>
            <w:bCs/>
            <w:noProof/>
            <w:sz w:val="24"/>
            <w:szCs w:val="24"/>
          </w:rPr>
          <w:t>4</w:t>
        </w:r>
        <w:r w:rsidRPr="00CC2DBC">
          <w:rPr>
            <w:rStyle w:val="Hyperlink"/>
            <w:rFonts w:ascii="Tahoma" w:hAnsi="Tahoma" w:cs="Tahoma"/>
            <w:noProof/>
            <w:sz w:val="24"/>
            <w:szCs w:val="24"/>
          </w:rPr>
          <w:t xml:space="preserve">: </w:t>
        </w:r>
        <w:r w:rsidRPr="00CC2DBC">
          <w:rPr>
            <w:rStyle w:val="Hyperlink"/>
            <w:rFonts w:ascii="Tahoma" w:hAnsi="Tahoma" w:cs="Tahoma"/>
            <w:noProof/>
            <w:sz w:val="24"/>
            <w:szCs w:val="24"/>
            <w:lang w:val="en-US"/>
          </w:rPr>
          <w:t>Month-on-Month Weighted Inflation Outturn</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_Toc194054174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5</w:t>
        </w:r>
        <w:r w:rsidRPr="00CC2DBC">
          <w:rPr>
            <w:rFonts w:ascii="Tahoma" w:hAnsi="Tahoma" w:cs="Tahoma"/>
            <w:noProof/>
            <w:webHidden/>
            <w:sz w:val="24"/>
            <w:szCs w:val="24"/>
          </w:rPr>
          <w:fldChar w:fldCharType="end"/>
        </w:r>
      </w:hyperlink>
    </w:p>
    <w:p w14:paraId="47822CC8" w14:textId="354797AA" w:rsidR="00CC2DBC" w:rsidRPr="00CC2DBC" w:rsidRDefault="00CC2DBC">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94054175" w:history="1">
        <w:r w:rsidRPr="00CC2DBC">
          <w:rPr>
            <w:rStyle w:val="Hyperlink"/>
            <w:rFonts w:ascii="Tahoma" w:hAnsi="Tahoma" w:cs="Tahoma"/>
            <w:noProof/>
            <w:sz w:val="24"/>
            <w:szCs w:val="24"/>
          </w:rPr>
          <w:t>Figure 5: Broad Money (M3) Supply</w:t>
        </w:r>
        <w:r w:rsidRPr="00CC2DBC">
          <w:rPr>
            <w:rFonts w:ascii="Tahoma" w:hAnsi="Tahoma" w:cs="Tahoma"/>
            <w:noProof/>
            <w:webHidden/>
            <w:sz w:val="24"/>
            <w:szCs w:val="24"/>
          </w:rPr>
          <w:tab/>
        </w:r>
        <w:r w:rsidRPr="00CC2DBC">
          <w:rPr>
            <w:rFonts w:ascii="Tahoma" w:hAnsi="Tahoma" w:cs="Tahoma"/>
            <w:noProof/>
            <w:webHidden/>
            <w:sz w:val="24"/>
            <w:szCs w:val="24"/>
          </w:rPr>
          <w:fldChar w:fldCharType="begin"/>
        </w:r>
        <w:r w:rsidRPr="00CC2DBC">
          <w:rPr>
            <w:rFonts w:ascii="Tahoma" w:hAnsi="Tahoma" w:cs="Tahoma"/>
            <w:noProof/>
            <w:webHidden/>
            <w:sz w:val="24"/>
            <w:szCs w:val="24"/>
          </w:rPr>
          <w:instrText xml:space="preserve"> PAGEREF _Toc194054175 \h </w:instrText>
        </w:r>
        <w:r w:rsidRPr="00CC2DBC">
          <w:rPr>
            <w:rFonts w:ascii="Tahoma" w:hAnsi="Tahoma" w:cs="Tahoma"/>
            <w:noProof/>
            <w:webHidden/>
            <w:sz w:val="24"/>
            <w:szCs w:val="24"/>
          </w:rPr>
        </w:r>
        <w:r w:rsidRPr="00CC2DBC">
          <w:rPr>
            <w:rFonts w:ascii="Tahoma" w:hAnsi="Tahoma" w:cs="Tahoma"/>
            <w:noProof/>
            <w:webHidden/>
            <w:sz w:val="24"/>
            <w:szCs w:val="24"/>
          </w:rPr>
          <w:fldChar w:fldCharType="separate"/>
        </w:r>
        <w:r w:rsidRPr="00CC2DBC">
          <w:rPr>
            <w:rFonts w:ascii="Tahoma" w:hAnsi="Tahoma" w:cs="Tahoma"/>
            <w:noProof/>
            <w:webHidden/>
            <w:sz w:val="24"/>
            <w:szCs w:val="24"/>
          </w:rPr>
          <w:t>6</w:t>
        </w:r>
        <w:r w:rsidRPr="00CC2DBC">
          <w:rPr>
            <w:rFonts w:ascii="Tahoma" w:hAnsi="Tahoma" w:cs="Tahoma"/>
            <w:noProof/>
            <w:webHidden/>
            <w:sz w:val="24"/>
            <w:szCs w:val="24"/>
          </w:rPr>
          <w:fldChar w:fldCharType="end"/>
        </w:r>
      </w:hyperlink>
    </w:p>
    <w:p w14:paraId="45D7305C" w14:textId="77777777" w:rsidR="000129B7" w:rsidRPr="00BF727A" w:rsidRDefault="00E76009" w:rsidP="000129B7">
      <w:pPr>
        <w:rPr>
          <w:rFonts w:ascii="Tahoma" w:hAnsi="Tahoma" w:cs="Tahoma"/>
          <w:b/>
          <w:color w:val="000000"/>
          <w:sz w:val="24"/>
          <w:szCs w:val="24"/>
          <w:lang w:val="en-US"/>
        </w:rPr>
        <w:sectPr w:rsidR="000129B7" w:rsidRPr="00BF727A" w:rsidSect="006D22C2">
          <w:pgSz w:w="11906" w:h="16838"/>
          <w:pgMar w:top="1440" w:right="1440" w:bottom="1440" w:left="1440" w:header="708" w:footer="708" w:gutter="0"/>
          <w:pgNumType w:fmt="lowerRoman" w:start="1"/>
          <w:cols w:space="708"/>
          <w:docGrid w:linePitch="360"/>
        </w:sectPr>
      </w:pPr>
      <w:r w:rsidRPr="00BF727A">
        <w:rPr>
          <w:rFonts w:ascii="Tahoma" w:hAnsi="Tahoma" w:cs="Tahoma"/>
          <w:sz w:val="24"/>
          <w:szCs w:val="24"/>
          <w:lang w:val="en-US"/>
        </w:rPr>
        <w:fldChar w:fldCharType="end"/>
      </w:r>
    </w:p>
    <w:p w14:paraId="6B671069" w14:textId="74B5EA3C" w:rsidR="007A3E1D" w:rsidRPr="00721CC2" w:rsidRDefault="004F680D" w:rsidP="00F05BD5">
      <w:pPr>
        <w:pStyle w:val="Heading1"/>
        <w:spacing w:before="0" w:after="240"/>
        <w:rPr>
          <w:lang w:val="en-US"/>
        </w:rPr>
      </w:pPr>
      <w:bookmarkStart w:id="2" w:name="_Toc166607889"/>
      <w:bookmarkStart w:id="3" w:name="_Toc194054088"/>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2"/>
      <w:bookmarkEnd w:id="3"/>
      <w:r w:rsidR="007A3E1D" w:rsidRPr="00721CC2">
        <w:rPr>
          <w:lang w:val="en-US"/>
        </w:rPr>
        <w:t xml:space="preserve"> </w:t>
      </w:r>
    </w:p>
    <w:p w14:paraId="6BED87EC" w14:textId="77777777" w:rsidR="00E0023D" w:rsidRPr="00863A17" w:rsidRDefault="004F680D" w:rsidP="00BC5A90">
      <w:pPr>
        <w:pStyle w:val="Heading2"/>
        <w:spacing w:before="0" w:after="240" w:line="240" w:lineRule="auto"/>
        <w:rPr>
          <w:rFonts w:cs="Tahoma"/>
          <w:b/>
          <w:color w:val="000000"/>
          <w:szCs w:val="24"/>
          <w:lang w:val="en-US"/>
        </w:rPr>
      </w:pPr>
      <w:bookmarkStart w:id="4" w:name="_Toc166607890"/>
      <w:bookmarkStart w:id="5" w:name="_Toc194054089"/>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4"/>
      <w:bookmarkEnd w:id="5"/>
      <w:r w:rsidR="00E0023D" w:rsidRPr="00863A17">
        <w:rPr>
          <w:rFonts w:cs="Tahoma"/>
          <w:b/>
          <w:color w:val="000000"/>
          <w:szCs w:val="24"/>
          <w:lang w:val="en-US"/>
        </w:rPr>
        <w:t xml:space="preserve"> </w:t>
      </w:r>
    </w:p>
    <w:p w14:paraId="6A2A3983" w14:textId="37043DFF" w:rsidR="00E36CF6" w:rsidRPr="00054ADC" w:rsidRDefault="004F680D" w:rsidP="00054ADC">
      <w:pPr>
        <w:ind w:left="720" w:hanging="720"/>
        <w:jc w:val="both"/>
        <w:rPr>
          <w:rFonts w:ascii="Tahoma" w:hAnsi="Tahoma" w:cs="Tahoma"/>
          <w:sz w:val="24"/>
          <w:szCs w:val="24"/>
        </w:rPr>
      </w:pPr>
      <w:r w:rsidRPr="00863A17">
        <w:rPr>
          <w:rFonts w:ascii="Tahoma" w:hAnsi="Tahoma" w:cs="Tahoma"/>
          <w:sz w:val="24"/>
          <w:szCs w:val="24"/>
        </w:rPr>
        <w:t>1.1.1</w:t>
      </w:r>
      <w:r w:rsidR="001F2D81" w:rsidRPr="00863A17">
        <w:rPr>
          <w:rFonts w:ascii="Tahoma" w:hAnsi="Tahoma" w:cs="Tahoma"/>
          <w:sz w:val="24"/>
          <w:szCs w:val="24"/>
        </w:rPr>
        <w:t xml:space="preserve"> </w:t>
      </w:r>
      <w:r w:rsidR="00AB70DE">
        <w:rPr>
          <w:rFonts w:ascii="Tahoma" w:hAnsi="Tahoma" w:cs="Tahoma"/>
          <w:sz w:val="24"/>
          <w:szCs w:val="24"/>
        </w:rPr>
        <w:tab/>
      </w:r>
      <w:r w:rsidR="00FE0F35" w:rsidRPr="00FE0F35">
        <w:rPr>
          <w:rFonts w:ascii="Tahoma" w:hAnsi="Tahoma" w:cs="Tahoma"/>
          <w:sz w:val="24"/>
          <w:szCs w:val="24"/>
        </w:rPr>
        <w:t xml:space="preserve">The global economy remains projected to be steady at 3.3% in 2025 and 2026 from 3.2% in 2024. According to OECD (2025), the global economy’s slow growth is due to higher trade barriers in several G20 economies and increased policy uncertainty weighing on investment and household spending. United Nations (2025) </w:t>
      </w:r>
      <w:r w:rsidR="00B83569">
        <w:rPr>
          <w:rFonts w:ascii="Tahoma" w:hAnsi="Tahoma" w:cs="Tahoma"/>
          <w:sz w:val="24"/>
          <w:szCs w:val="24"/>
        </w:rPr>
        <w:t>noted</w:t>
      </w:r>
      <w:r w:rsidR="00FE0F35" w:rsidRPr="00FE0F35">
        <w:rPr>
          <w:rFonts w:ascii="Tahoma" w:hAnsi="Tahoma" w:cs="Tahoma"/>
          <w:sz w:val="24"/>
          <w:szCs w:val="24"/>
        </w:rPr>
        <w:t xml:space="preserve"> that global economic stability has been underpinned by continued disinflation, softening commodity prices, and monetary easing in many countries. However, ongoing conflicts, geopolitical tensions, and potential trade restrictions, as well as climate risks pose significant challenges.</w:t>
      </w:r>
    </w:p>
    <w:p w14:paraId="572B34D6" w14:textId="77777777" w:rsidR="007A3E1D" w:rsidRPr="00863A17" w:rsidRDefault="004F680D" w:rsidP="00BC5A90">
      <w:pPr>
        <w:pStyle w:val="Heading2"/>
        <w:spacing w:before="0" w:after="240" w:line="240" w:lineRule="auto"/>
        <w:rPr>
          <w:rFonts w:cs="Tahoma"/>
          <w:b/>
          <w:color w:val="000000"/>
          <w:szCs w:val="24"/>
          <w:lang w:val="en-US"/>
        </w:rPr>
      </w:pPr>
      <w:bookmarkStart w:id="6" w:name="_Toc166607891"/>
      <w:bookmarkStart w:id="7" w:name="_Toc194054090"/>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6"/>
      <w:bookmarkEnd w:id="7"/>
      <w:r w:rsidR="007A3E1D" w:rsidRPr="00863A17">
        <w:rPr>
          <w:rFonts w:cs="Tahoma"/>
          <w:b/>
          <w:color w:val="000000"/>
          <w:szCs w:val="24"/>
          <w:lang w:val="en-US"/>
        </w:rPr>
        <w:t xml:space="preserve"> </w:t>
      </w:r>
    </w:p>
    <w:p w14:paraId="42557B2E" w14:textId="40C65DA1" w:rsidR="00BE6AA3" w:rsidRPr="000C5617" w:rsidRDefault="004F680D" w:rsidP="000C5617">
      <w:pPr>
        <w:ind w:left="720" w:hanging="720"/>
        <w:jc w:val="both"/>
        <w:rPr>
          <w:rFonts w:ascii="Tahoma" w:hAnsi="Tahoma" w:cs="Tahoma"/>
          <w:sz w:val="24"/>
          <w:szCs w:val="24"/>
          <w:lang w:val="en-US"/>
        </w:rPr>
      </w:pPr>
      <w:r w:rsidRPr="00863A17">
        <w:rPr>
          <w:rFonts w:ascii="Tahoma" w:hAnsi="Tahoma" w:cs="Tahoma"/>
          <w:sz w:val="24"/>
          <w:szCs w:val="24"/>
          <w:lang w:val="en-US"/>
        </w:rPr>
        <w:t>1.2.1</w:t>
      </w:r>
      <w:r w:rsidRPr="00863A17">
        <w:rPr>
          <w:rFonts w:ascii="Tahoma" w:hAnsi="Tahoma" w:cs="Tahoma"/>
          <w:sz w:val="24"/>
          <w:szCs w:val="24"/>
          <w:lang w:val="en-US"/>
        </w:rPr>
        <w:tab/>
      </w:r>
      <w:bookmarkStart w:id="8" w:name="_Toc166608987"/>
      <w:r w:rsidR="00FE0F35" w:rsidRPr="00FE0F35">
        <w:rPr>
          <w:rFonts w:ascii="Tahoma" w:hAnsi="Tahoma" w:cs="Tahoma"/>
          <w:sz w:val="24"/>
          <w:szCs w:val="24"/>
          <w:lang w:val="en-US"/>
        </w:rPr>
        <w:t>Global headline inflation also remains projected to decline to 4.2% in 2025 and further decline to 3.5% in 2026, IMF (2025).</w:t>
      </w:r>
    </w:p>
    <w:p w14:paraId="254D8D04" w14:textId="0FECF0F0" w:rsidR="00BB6E27" w:rsidRPr="00546CD8" w:rsidRDefault="004F680D" w:rsidP="00B42926">
      <w:pPr>
        <w:pStyle w:val="Heading1"/>
        <w:spacing w:before="0" w:after="240"/>
        <w:rPr>
          <w:lang w:val="en-US"/>
        </w:rPr>
      </w:pPr>
      <w:bookmarkStart w:id="9" w:name="_Toc166607892"/>
      <w:bookmarkStart w:id="10" w:name="_Toc194054091"/>
      <w:bookmarkEnd w:id="8"/>
      <w:r w:rsidRPr="00546CD8">
        <w:rPr>
          <w:lang w:val="en-US"/>
        </w:rPr>
        <w:t>2.0</w:t>
      </w:r>
      <w:r w:rsidRPr="00546CD8">
        <w:rPr>
          <w:lang w:val="en-US"/>
        </w:rPr>
        <w:tab/>
      </w:r>
      <w:r w:rsidR="00EF37FE" w:rsidRPr="00546CD8">
        <w:rPr>
          <w:lang w:val="en-US"/>
        </w:rPr>
        <w:t>International Commodity Prices</w:t>
      </w:r>
      <w:bookmarkEnd w:id="9"/>
      <w:bookmarkEnd w:id="10"/>
      <w:r w:rsidR="00EF37FE" w:rsidRPr="00546CD8">
        <w:rPr>
          <w:lang w:val="en-US"/>
        </w:rPr>
        <w:t xml:space="preserve"> </w:t>
      </w:r>
    </w:p>
    <w:p w14:paraId="1AB6CE01" w14:textId="38CB344E" w:rsidR="00D92FDA" w:rsidRPr="007C0F05" w:rsidRDefault="004F680D" w:rsidP="00060976">
      <w:pPr>
        <w:ind w:left="720" w:hanging="720"/>
        <w:jc w:val="both"/>
        <w:rPr>
          <w:rFonts w:ascii="Tahoma" w:hAnsi="Tahoma" w:cs="Tahoma"/>
          <w:sz w:val="24"/>
          <w:szCs w:val="24"/>
        </w:rPr>
      </w:pPr>
      <w:r w:rsidRPr="00863A17">
        <w:rPr>
          <w:rFonts w:ascii="Tahoma" w:hAnsi="Tahoma" w:cs="Tahoma"/>
          <w:sz w:val="24"/>
          <w:szCs w:val="24"/>
          <w:lang w:val="en-US"/>
        </w:rPr>
        <w:t>2.1</w:t>
      </w:r>
      <w:r w:rsidRPr="00863A17">
        <w:rPr>
          <w:rFonts w:ascii="Tahoma" w:hAnsi="Tahoma" w:cs="Tahoma"/>
          <w:sz w:val="24"/>
          <w:szCs w:val="24"/>
          <w:lang w:val="en-US"/>
        </w:rPr>
        <w:tab/>
      </w:r>
      <w:r w:rsidR="00B83569">
        <w:rPr>
          <w:rFonts w:ascii="Tahoma" w:hAnsi="Tahoma" w:cs="Tahoma"/>
          <w:sz w:val="24"/>
          <w:szCs w:val="24"/>
          <w:lang w:val="en-US"/>
        </w:rPr>
        <w:t>During the month under review, commodity prices exhibited a mixed fortunes trend. P</w:t>
      </w:r>
      <w:r w:rsidR="00FE0F35" w:rsidRPr="00FE0F35">
        <w:rPr>
          <w:rFonts w:ascii="Tahoma" w:hAnsi="Tahoma" w:cs="Tahoma"/>
          <w:sz w:val="24"/>
          <w:szCs w:val="24"/>
          <w:lang w:val="en-US"/>
        </w:rPr>
        <w:t>rices of all selected agricultural commodities and crude oil declined. However, natural gas, aluminum, copper, nickel, and gold prices firmed by 25.95%, 0.49%, 5.92%, 2.36%, and 2.13%</w:t>
      </w:r>
      <w:r w:rsidR="00B83569">
        <w:rPr>
          <w:rFonts w:ascii="Tahoma" w:hAnsi="Tahoma" w:cs="Tahoma"/>
          <w:sz w:val="24"/>
          <w:szCs w:val="24"/>
          <w:lang w:val="en-US"/>
        </w:rPr>
        <w:t>,</w:t>
      </w:r>
      <w:r w:rsidR="00FE0F35" w:rsidRPr="00FE0F35">
        <w:rPr>
          <w:rFonts w:ascii="Tahoma" w:hAnsi="Tahoma" w:cs="Tahoma"/>
          <w:sz w:val="24"/>
          <w:szCs w:val="24"/>
          <w:lang w:val="en-US"/>
        </w:rPr>
        <w:t xml:space="preserve"> respectively. The year-to-date trend of commodity prices is the same as the month-on-month trend. According to Bradstock (2025), </w:t>
      </w:r>
      <w:r w:rsidR="00FE0F35" w:rsidRPr="00FE0F35">
        <w:rPr>
          <w:rFonts w:ascii="Tahoma" w:hAnsi="Tahoma" w:cs="Tahoma"/>
          <w:sz w:val="24"/>
          <w:szCs w:val="24"/>
        </w:rPr>
        <w:t>oil price fall was due to a slowdown in demand growth and an increase in production, natural gas prices rise was due to reliance on LNG as a transition fuel by many countries across the globe. The demand for critical minerals is expected to continue rising.  International prices for crops (wheat, maize, rice, and soybeans) remain lower (World Bank, 2025)</w:t>
      </w:r>
    </w:p>
    <w:p w14:paraId="717AAB46" w14:textId="41E2B41E" w:rsidR="00EC632F" w:rsidRPr="00E63C0D" w:rsidRDefault="004F680D" w:rsidP="00B13FFB">
      <w:pPr>
        <w:ind w:left="720" w:hanging="720"/>
        <w:jc w:val="both"/>
        <w:rPr>
          <w:rFonts w:ascii="Tahoma" w:hAnsi="Tahoma" w:cs="Tahoma"/>
          <w:sz w:val="24"/>
          <w:szCs w:val="24"/>
          <w:lang w:val="en-US"/>
        </w:rPr>
      </w:pPr>
      <w:r w:rsidRPr="00863A17">
        <w:rPr>
          <w:rFonts w:ascii="Tahoma" w:hAnsi="Tahoma" w:cs="Tahoma"/>
          <w:sz w:val="24"/>
          <w:szCs w:val="24"/>
          <w:lang w:val="en-US"/>
        </w:rPr>
        <w:t>2.2</w:t>
      </w:r>
      <w:r w:rsidRPr="00863A17">
        <w:rPr>
          <w:rFonts w:ascii="Tahoma" w:hAnsi="Tahoma" w:cs="Tahoma"/>
          <w:sz w:val="24"/>
          <w:szCs w:val="24"/>
          <w:lang w:val="en-US"/>
        </w:rPr>
        <w:tab/>
      </w:r>
      <w:r w:rsidR="00FE0F35" w:rsidRPr="00FE0F35">
        <w:rPr>
          <w:rFonts w:ascii="Tahoma" w:hAnsi="Tahoma" w:cs="Tahoma"/>
          <w:sz w:val="24"/>
          <w:szCs w:val="24"/>
          <w:lang w:val="en-US"/>
        </w:rPr>
        <w:t>On a year-on-year basis, nickel, cotton, soyabeans, and wheat prices retreated by 10.62%, 34.57%, 11.16%, and 3.72% respectively, as shown in Table 1.</w:t>
      </w:r>
    </w:p>
    <w:p w14:paraId="12FAF02F" w14:textId="6DC6B726" w:rsidR="00EF37FE" w:rsidRPr="00AB0841" w:rsidRDefault="009F5CE5" w:rsidP="00E63964">
      <w:pPr>
        <w:pStyle w:val="ListofTables"/>
        <w:rPr>
          <w:lang w:val="en-US"/>
        </w:rPr>
      </w:pPr>
      <w:bookmarkStart w:id="11" w:name="_Toc164072363"/>
      <w:bookmarkStart w:id="12" w:name="_Toc166658890"/>
      <w:bookmarkStart w:id="13" w:name="_Toc194054136"/>
      <w:r w:rsidRPr="00863A17">
        <w:t xml:space="preserve">Table </w:t>
      </w:r>
      <w:r w:rsidR="00CF1288">
        <w:t>1</w:t>
      </w:r>
      <w:r w:rsidRPr="00863A17">
        <w:t>:</w:t>
      </w:r>
      <w:r w:rsidRPr="00863A17">
        <w:rPr>
          <w:lang w:val="en-US"/>
        </w:rPr>
        <w:t xml:space="preserve"> Commodity Price Movements – </w:t>
      </w:r>
      <w:r w:rsidR="00761C54" w:rsidRPr="00863A17">
        <w:rPr>
          <w:lang w:val="en-US"/>
        </w:rPr>
        <w:t>Month</w:t>
      </w:r>
      <w:r w:rsidRPr="00863A17">
        <w:rPr>
          <w:lang w:val="en-US"/>
        </w:rPr>
        <w:t xml:space="preserve"> Ending</w:t>
      </w:r>
      <w:r w:rsidR="0009726E">
        <w:rPr>
          <w:lang w:val="en-US"/>
        </w:rPr>
        <w:t xml:space="preserve"> </w:t>
      </w:r>
      <w:r w:rsidR="00C7400F">
        <w:rPr>
          <w:lang w:val="en-US"/>
        </w:rPr>
        <w:t>28</w:t>
      </w:r>
      <w:r w:rsidR="000A7B2C">
        <w:rPr>
          <w:lang w:val="en-US"/>
        </w:rPr>
        <w:t xml:space="preserve"> </w:t>
      </w:r>
      <w:r w:rsidR="00C7400F">
        <w:rPr>
          <w:lang w:val="en-US"/>
        </w:rPr>
        <w:t>Febr</w:t>
      </w:r>
      <w:r w:rsidR="00FD430D">
        <w:rPr>
          <w:lang w:val="en-US"/>
        </w:rPr>
        <w:t>uary</w:t>
      </w:r>
      <w:r w:rsidRPr="00863A17">
        <w:rPr>
          <w:lang w:val="en-US"/>
        </w:rPr>
        <w:t xml:space="preserve"> 202</w:t>
      </w:r>
      <w:bookmarkEnd w:id="11"/>
      <w:bookmarkEnd w:id="12"/>
      <w:r w:rsidR="00FD430D">
        <w:rPr>
          <w:lang w:val="en-US"/>
        </w:rPr>
        <w:t>5</w:t>
      </w:r>
      <w:bookmarkEnd w:id="13"/>
    </w:p>
    <w:p w14:paraId="3FDCEEDA" w14:textId="48318011" w:rsidR="009D4508" w:rsidRPr="00AB0841" w:rsidRDefault="00C7400F" w:rsidP="0076325F">
      <w:pPr>
        <w:spacing w:after="0"/>
        <w:rPr>
          <w:rFonts w:ascii="Tahoma" w:hAnsi="Tahoma" w:cs="Tahoma"/>
          <w:noProof/>
          <w:sz w:val="24"/>
          <w:szCs w:val="24"/>
          <w:lang w:eastAsia="en-ZW"/>
        </w:rPr>
      </w:pPr>
      <w:r w:rsidRPr="00C7400F">
        <w:rPr>
          <w:noProof/>
        </w:rPr>
        <w:drawing>
          <wp:inline distT="0" distB="0" distL="0" distR="0" wp14:anchorId="2E0AD4C8" wp14:editId="0A79F6B1">
            <wp:extent cx="5731510" cy="2030095"/>
            <wp:effectExtent l="0" t="0" r="2540" b="8255"/>
            <wp:docPr id="104875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51849" name=""/>
                    <pic:cNvPicPr/>
                  </pic:nvPicPr>
                  <pic:blipFill>
                    <a:blip r:embed="rId10"/>
                    <a:stretch>
                      <a:fillRect/>
                    </a:stretch>
                  </pic:blipFill>
                  <pic:spPr>
                    <a:xfrm>
                      <a:off x="0" y="0"/>
                      <a:ext cx="5731510" cy="2030095"/>
                    </a:xfrm>
                    <a:prstGeom prst="rect">
                      <a:avLst/>
                    </a:prstGeom>
                  </pic:spPr>
                </pic:pic>
              </a:graphicData>
            </a:graphic>
          </wp:inline>
        </w:drawing>
      </w:r>
    </w:p>
    <w:p w14:paraId="19C3E861" w14:textId="6B2BE3AE" w:rsidR="00EF37FE" w:rsidRPr="00863A17" w:rsidRDefault="00EF37FE" w:rsidP="00F05BD5">
      <w:pPr>
        <w:spacing w:line="480" w:lineRule="auto"/>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3F6A">
        <w:rPr>
          <w:rFonts w:ascii="Tahoma" w:hAnsi="Tahoma" w:cs="Tahoma"/>
          <w:i/>
          <w:sz w:val="24"/>
          <w:szCs w:val="24"/>
          <w:lang w:val="en-US"/>
        </w:rPr>
        <w:t>5</w:t>
      </w:r>
      <w:r w:rsidR="006B3019" w:rsidRPr="00863A17">
        <w:rPr>
          <w:rFonts w:ascii="Tahoma" w:hAnsi="Tahoma" w:cs="Tahoma"/>
          <w:i/>
          <w:sz w:val="24"/>
          <w:szCs w:val="24"/>
          <w:lang w:val="en-US"/>
        </w:rPr>
        <w:t>)</w:t>
      </w:r>
    </w:p>
    <w:p w14:paraId="0BB69A26" w14:textId="77777777" w:rsidR="00EF37FE" w:rsidRPr="00863A17" w:rsidRDefault="004F680D" w:rsidP="00F05BD5">
      <w:pPr>
        <w:pStyle w:val="Heading1"/>
        <w:spacing w:before="0" w:after="240"/>
        <w:rPr>
          <w:lang w:val="en-US"/>
        </w:rPr>
      </w:pPr>
      <w:bookmarkStart w:id="14" w:name="_Toc166607893"/>
      <w:bookmarkStart w:id="15" w:name="_Toc194054092"/>
      <w:r w:rsidRPr="00863A17">
        <w:rPr>
          <w:lang w:val="en-US"/>
        </w:rPr>
        <w:lastRenderedPageBreak/>
        <w:t>3.0</w:t>
      </w:r>
      <w:r w:rsidRPr="00863A17">
        <w:rPr>
          <w:lang w:val="en-US"/>
        </w:rPr>
        <w:tab/>
      </w:r>
      <w:r w:rsidR="00476766" w:rsidRPr="00863A17">
        <w:rPr>
          <w:lang w:val="en-US"/>
        </w:rPr>
        <w:t>Zimbabwe GDP Growth Update</w:t>
      </w:r>
      <w:bookmarkEnd w:id="14"/>
      <w:bookmarkEnd w:id="15"/>
      <w:r w:rsidR="00476766" w:rsidRPr="00863A17">
        <w:rPr>
          <w:lang w:val="en-US"/>
        </w:rPr>
        <w:t xml:space="preserve"> </w:t>
      </w:r>
      <w:r w:rsidR="00EF37FE" w:rsidRPr="00863A17">
        <w:rPr>
          <w:lang w:val="en-US"/>
        </w:rPr>
        <w:t xml:space="preserve"> </w:t>
      </w:r>
    </w:p>
    <w:p w14:paraId="7D2F8E5C" w14:textId="1187BFBF" w:rsidR="004C7FCF" w:rsidRPr="004C7FCF" w:rsidRDefault="004F680D" w:rsidP="00FE0F35">
      <w:pPr>
        <w:ind w:left="720" w:hanging="720"/>
        <w:jc w:val="both"/>
        <w:rPr>
          <w:rFonts w:ascii="Tahoma" w:hAnsi="Tahoma" w:cs="Tahoma"/>
          <w:sz w:val="24"/>
          <w:szCs w:val="24"/>
        </w:rPr>
      </w:pPr>
      <w:r w:rsidRPr="00863A17">
        <w:rPr>
          <w:rFonts w:ascii="Tahoma" w:hAnsi="Tahoma" w:cs="Tahoma"/>
          <w:sz w:val="24"/>
          <w:szCs w:val="24"/>
          <w:lang w:val="en-US"/>
        </w:rPr>
        <w:t>3.1</w:t>
      </w:r>
      <w:r w:rsidRPr="00863A17">
        <w:rPr>
          <w:rFonts w:ascii="Tahoma" w:hAnsi="Tahoma" w:cs="Tahoma"/>
          <w:sz w:val="24"/>
          <w:szCs w:val="24"/>
          <w:lang w:val="en-US"/>
        </w:rPr>
        <w:tab/>
      </w:r>
      <w:bookmarkStart w:id="16" w:name="_Hlk166603728"/>
      <w:r w:rsidR="00FE0F35" w:rsidRPr="00FE0F35">
        <w:rPr>
          <w:rFonts w:ascii="Tahoma" w:hAnsi="Tahoma" w:cs="Tahoma"/>
          <w:sz w:val="24"/>
          <w:szCs w:val="24"/>
          <w:lang w:val="en-US"/>
        </w:rPr>
        <w:t>According to RBZ (2025), Zimbabwe's GDP growth</w:t>
      </w:r>
      <w:r w:rsidR="00FE0F35" w:rsidRPr="00FE0F35">
        <w:rPr>
          <w:rFonts w:ascii="Tahoma" w:hAnsi="Tahoma" w:cs="Tahoma"/>
          <w:sz w:val="24"/>
          <w:szCs w:val="24"/>
        </w:rPr>
        <w:t xml:space="preserve"> is predicted to rise by 6% due to a stronger agricultural season, following a 2% downturn in 2024. The current pricing and exchange rate stability are likely to support the projected growth trajectory.</w:t>
      </w:r>
    </w:p>
    <w:p w14:paraId="1251284A" w14:textId="43FF0C64" w:rsidR="00EF37FE" w:rsidRPr="00086539" w:rsidRDefault="00B1678A" w:rsidP="009F5CE5">
      <w:pPr>
        <w:pStyle w:val="Heading1"/>
        <w:spacing w:before="0" w:after="240" w:line="240" w:lineRule="auto"/>
        <w:rPr>
          <w:rFonts w:cs="Tahoma"/>
          <w:bCs/>
          <w:color w:val="000000"/>
          <w:szCs w:val="24"/>
          <w:lang w:val="en-US"/>
        </w:rPr>
      </w:pPr>
      <w:bookmarkStart w:id="17" w:name="_Toc166607894"/>
      <w:bookmarkStart w:id="18" w:name="_Toc194054093"/>
      <w:bookmarkEnd w:id="16"/>
      <w:r w:rsidRPr="00086539">
        <w:rPr>
          <w:rFonts w:cs="Tahoma"/>
          <w:bCs/>
          <w:color w:val="000000"/>
          <w:szCs w:val="24"/>
          <w:lang w:val="en-US"/>
        </w:rPr>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17"/>
      <w:bookmarkEnd w:id="18"/>
      <w:r w:rsidR="00EF37FE" w:rsidRPr="00086539">
        <w:rPr>
          <w:rFonts w:cs="Tahoma"/>
          <w:bCs/>
          <w:color w:val="000000"/>
          <w:szCs w:val="24"/>
          <w:lang w:val="en-US"/>
        </w:rPr>
        <w:t xml:space="preserve"> </w:t>
      </w:r>
    </w:p>
    <w:p w14:paraId="18F37E37" w14:textId="77777777" w:rsidR="00FE0F35" w:rsidRPr="00FE0F35" w:rsidRDefault="00FE0F35" w:rsidP="00FE0F35">
      <w:pPr>
        <w:ind w:left="720" w:hanging="720"/>
        <w:jc w:val="both"/>
        <w:rPr>
          <w:rFonts w:ascii="Tahoma" w:hAnsi="Tahoma" w:cs="Tahoma"/>
          <w:noProof/>
          <w:sz w:val="24"/>
          <w:szCs w:val="24"/>
          <w:lang w:val="en-US" w:eastAsia="en-ZW"/>
        </w:rPr>
      </w:pPr>
      <w:r w:rsidRPr="00FE0F35">
        <w:rPr>
          <w:rFonts w:ascii="Tahoma" w:hAnsi="Tahoma" w:cs="Tahoma"/>
          <w:noProof/>
          <w:sz w:val="24"/>
          <w:szCs w:val="24"/>
          <w:lang w:val="en-US" w:eastAsia="en-ZW"/>
        </w:rPr>
        <w:t>4.1</w:t>
      </w:r>
      <w:r w:rsidRPr="00FE0F35">
        <w:rPr>
          <w:rFonts w:ascii="Tahoma" w:hAnsi="Tahoma" w:cs="Tahoma"/>
          <w:noProof/>
          <w:sz w:val="24"/>
          <w:szCs w:val="24"/>
          <w:lang w:val="en-US" w:eastAsia="en-ZW"/>
        </w:rPr>
        <w:tab/>
        <w:t>Zimbabwe National Statistics Agency (ZimStat) had not published the merchandise trade data for February 2025 by the time of compiling this report, thus the analysis is based on January 2025 data.</w:t>
      </w:r>
    </w:p>
    <w:p w14:paraId="503DD0C8" w14:textId="77777777" w:rsidR="00FE0F35" w:rsidRPr="00FE0F35" w:rsidRDefault="00FE0F35" w:rsidP="00FE0F35">
      <w:pPr>
        <w:ind w:left="720" w:hanging="720"/>
        <w:jc w:val="both"/>
        <w:rPr>
          <w:rFonts w:ascii="Tahoma" w:hAnsi="Tahoma" w:cs="Tahoma"/>
          <w:noProof/>
          <w:sz w:val="24"/>
          <w:szCs w:val="24"/>
          <w:lang w:val="en-US" w:eastAsia="en-ZW"/>
        </w:rPr>
      </w:pPr>
      <w:r w:rsidRPr="00FE0F35">
        <w:rPr>
          <w:rFonts w:ascii="Tahoma" w:hAnsi="Tahoma" w:cs="Tahoma"/>
          <w:noProof/>
          <w:sz w:val="24"/>
          <w:szCs w:val="24"/>
          <w:lang w:val="en-US" w:eastAsia="en-ZW"/>
        </w:rPr>
        <w:t>4.2</w:t>
      </w:r>
      <w:r w:rsidRPr="00FE0F35">
        <w:rPr>
          <w:rFonts w:ascii="Tahoma" w:hAnsi="Tahoma" w:cs="Tahoma"/>
          <w:noProof/>
          <w:sz w:val="24"/>
          <w:szCs w:val="24"/>
          <w:lang w:val="en-US" w:eastAsia="en-ZW"/>
        </w:rPr>
        <w:tab/>
        <w:t xml:space="preserve">In January 2025, total merchandise trade amounted to USD 1.4 billion, reflecting a 11.4% decline from USD 1.58 billion recorded in December 2024 (RBZ, 2025). On a year-to-date basis, it grew by 13.4% from USD 1.23 billion in January 2024. </w:t>
      </w:r>
    </w:p>
    <w:p w14:paraId="4FEFA6ED" w14:textId="66A277EA" w:rsidR="00FE0F35" w:rsidRDefault="00FE0F35" w:rsidP="00FE0F35">
      <w:pPr>
        <w:ind w:left="720" w:hanging="720"/>
        <w:jc w:val="both"/>
        <w:rPr>
          <w:rFonts w:ascii="Tahoma" w:hAnsi="Tahoma" w:cs="Tahoma"/>
          <w:noProof/>
          <w:sz w:val="24"/>
          <w:szCs w:val="24"/>
          <w:lang w:eastAsia="en-ZW"/>
        </w:rPr>
      </w:pPr>
      <w:r w:rsidRPr="00FE0F35">
        <w:rPr>
          <w:rFonts w:ascii="Tahoma" w:hAnsi="Tahoma" w:cs="Tahoma"/>
          <w:noProof/>
          <w:sz w:val="24"/>
          <w:szCs w:val="24"/>
          <w:lang w:eastAsia="en-ZW"/>
        </w:rPr>
        <w:t>4.1</w:t>
      </w:r>
      <w:r w:rsidRPr="00FE0F35">
        <w:rPr>
          <w:rFonts w:ascii="Tahoma" w:hAnsi="Tahoma" w:cs="Tahoma"/>
          <w:noProof/>
          <w:sz w:val="24"/>
          <w:szCs w:val="24"/>
          <w:lang w:eastAsia="en-ZW"/>
        </w:rPr>
        <w:tab/>
        <w:t xml:space="preserve">The country’s trade deficit stood at USD 96.8 million, an improvement from USD 196.9 million recorded in December 2024 (see Figure 1). Merchandise exports totaled USD652 million, a 5.8% decline from the December 2024 outturn of USD692.4 million. According to RBZ (2025), the decline was due to lower export earnings from gold, tobacco, and PGMs. Despite the monthly drop, exports were 20.5% higher compared to USD 540.9 million recorded in January 2024. Exports </w:t>
      </w:r>
      <w:r w:rsidR="00B83569">
        <w:rPr>
          <w:rFonts w:ascii="Tahoma" w:hAnsi="Tahoma" w:cs="Tahoma"/>
          <w:noProof/>
          <w:sz w:val="24"/>
          <w:szCs w:val="24"/>
          <w:lang w:eastAsia="en-ZW"/>
        </w:rPr>
        <w:t xml:space="preserve">destinations </w:t>
      </w:r>
      <w:r w:rsidRPr="00FE0F35">
        <w:rPr>
          <w:rFonts w:ascii="Tahoma" w:hAnsi="Tahoma" w:cs="Tahoma"/>
          <w:noProof/>
          <w:sz w:val="24"/>
          <w:szCs w:val="24"/>
          <w:lang w:eastAsia="en-ZW"/>
        </w:rPr>
        <w:t>were mainly the UAE, South Africa, and China. Merchandise imports totaled USD748.8 million in January 2025, reflecting a 15.8% decline from USD889.3 million recorded in December 2024 while it grew by 7.9% on a year-on-year. Imports were dominated by maize, diesel, petrol, and fertilizer mainly from South Africa, China, the Bahamas, and Mozambique.</w:t>
      </w:r>
    </w:p>
    <w:p w14:paraId="6808AA7E" w14:textId="1DE669FF" w:rsidR="00D75883" w:rsidRPr="00E1754A" w:rsidRDefault="00D75883" w:rsidP="00D75883">
      <w:pPr>
        <w:pStyle w:val="ListofFigures"/>
      </w:pPr>
      <w:bookmarkStart w:id="19" w:name="_Toc194054171"/>
      <w:r w:rsidRPr="00863A17">
        <w:t xml:space="preserve">Figure </w:t>
      </w:r>
      <w:r w:rsidR="001522B6">
        <w:rPr>
          <w:bCs/>
        </w:rPr>
        <w:t>1</w:t>
      </w:r>
      <w:r w:rsidRPr="00863A17">
        <w:t xml:space="preserve">: </w:t>
      </w:r>
      <w:r>
        <w:rPr>
          <w:lang w:val="en-US"/>
        </w:rPr>
        <w:t>Merchandise Trade Developments</w:t>
      </w:r>
      <w:bookmarkEnd w:id="19"/>
      <w:r>
        <w:rPr>
          <w:lang w:val="en-US"/>
        </w:rPr>
        <w:t xml:space="preserve"> </w:t>
      </w:r>
    </w:p>
    <w:p w14:paraId="2F8190CC" w14:textId="3D8D129C" w:rsidR="00D75883" w:rsidRDefault="003C43DD" w:rsidP="00D75883">
      <w:pPr>
        <w:spacing w:after="0"/>
        <w:ind w:left="720" w:hanging="720"/>
        <w:jc w:val="both"/>
        <w:rPr>
          <w:noProof/>
          <w:lang w:eastAsia="en-ZW"/>
        </w:rPr>
      </w:pPr>
      <w:r>
        <w:rPr>
          <w:noProof/>
          <w:lang w:eastAsia="en-ZW"/>
        </w:rPr>
        <w:drawing>
          <wp:inline distT="0" distB="0" distL="0" distR="0" wp14:anchorId="57C3605C" wp14:editId="25530230">
            <wp:extent cx="5791200" cy="2800350"/>
            <wp:effectExtent l="0" t="0" r="0" b="0"/>
            <wp:docPr id="76609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800350"/>
                    </a:xfrm>
                    <a:prstGeom prst="rect">
                      <a:avLst/>
                    </a:prstGeom>
                    <a:noFill/>
                  </pic:spPr>
                </pic:pic>
              </a:graphicData>
            </a:graphic>
          </wp:inline>
        </w:drawing>
      </w:r>
    </w:p>
    <w:p w14:paraId="4BC9FA27" w14:textId="3536738A" w:rsidR="00D75883" w:rsidRPr="0064127B" w:rsidRDefault="00D75883" w:rsidP="0064127B">
      <w:pPr>
        <w:spacing w:after="0"/>
        <w:ind w:left="720" w:hanging="720"/>
        <w:jc w:val="both"/>
        <w:rPr>
          <w:rFonts w:ascii="Tahoma" w:hAnsi="Tahoma" w:cs="Tahoma"/>
          <w:i/>
          <w:noProof/>
          <w:sz w:val="24"/>
          <w:szCs w:val="24"/>
          <w:lang w:eastAsia="en-ZW"/>
        </w:rPr>
      </w:pPr>
      <w:r w:rsidRPr="00746F8E">
        <w:rPr>
          <w:rFonts w:ascii="Tahoma" w:hAnsi="Tahoma" w:cs="Tahoma"/>
          <w:i/>
          <w:noProof/>
          <w:sz w:val="24"/>
          <w:szCs w:val="24"/>
          <w:lang w:eastAsia="en-ZW"/>
        </w:rPr>
        <w:t>Source: RBZ (202</w:t>
      </w:r>
      <w:r w:rsidR="005F0E03">
        <w:rPr>
          <w:rFonts w:ascii="Tahoma" w:hAnsi="Tahoma" w:cs="Tahoma"/>
          <w:i/>
          <w:noProof/>
          <w:sz w:val="24"/>
          <w:szCs w:val="24"/>
          <w:lang w:eastAsia="en-ZW"/>
        </w:rPr>
        <w:t>5</w:t>
      </w:r>
      <w:r w:rsidRPr="00746F8E">
        <w:rPr>
          <w:rFonts w:ascii="Tahoma" w:hAnsi="Tahoma" w:cs="Tahoma"/>
          <w:i/>
          <w:noProof/>
          <w:sz w:val="24"/>
          <w:szCs w:val="24"/>
          <w:lang w:eastAsia="en-ZW"/>
        </w:rPr>
        <w:t>)</w:t>
      </w:r>
    </w:p>
    <w:p w14:paraId="1E8E8B94" w14:textId="77777777" w:rsidR="00EF37FE" w:rsidRPr="00086539" w:rsidRDefault="00B1678A" w:rsidP="009F5CE5">
      <w:pPr>
        <w:pStyle w:val="Heading1"/>
        <w:spacing w:before="0" w:after="240" w:line="240" w:lineRule="auto"/>
        <w:rPr>
          <w:rFonts w:cs="Tahoma"/>
          <w:bCs/>
          <w:color w:val="000000"/>
          <w:szCs w:val="24"/>
          <w:lang w:val="en-US"/>
        </w:rPr>
      </w:pPr>
      <w:bookmarkStart w:id="20" w:name="_Toc166607895"/>
      <w:bookmarkStart w:id="21" w:name="_Toc194054094"/>
      <w:r w:rsidRPr="00086539">
        <w:rPr>
          <w:rFonts w:cs="Tahoma"/>
          <w:bCs/>
          <w:color w:val="000000"/>
          <w:szCs w:val="24"/>
          <w:lang w:val="en-US"/>
        </w:rPr>
        <w:lastRenderedPageBreak/>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20"/>
      <w:bookmarkEnd w:id="21"/>
      <w:r w:rsidR="00EF37FE" w:rsidRPr="00086539">
        <w:rPr>
          <w:rFonts w:cs="Tahoma"/>
          <w:bCs/>
          <w:color w:val="000000"/>
          <w:szCs w:val="24"/>
          <w:lang w:val="en-US"/>
        </w:rPr>
        <w:t xml:space="preserve"> </w:t>
      </w:r>
    </w:p>
    <w:p w14:paraId="5D8D6556" w14:textId="77777777" w:rsidR="00EF25BB" w:rsidRPr="00863A17" w:rsidRDefault="00B1678A" w:rsidP="003C1D2F">
      <w:pPr>
        <w:pStyle w:val="Heading2"/>
        <w:spacing w:before="0" w:after="240" w:line="240" w:lineRule="auto"/>
        <w:rPr>
          <w:rFonts w:cs="Tahoma"/>
          <w:b/>
          <w:color w:val="000000"/>
          <w:szCs w:val="24"/>
          <w:lang w:val="en-US"/>
        </w:rPr>
      </w:pPr>
      <w:bookmarkStart w:id="22" w:name="_Toc166607896"/>
      <w:bookmarkStart w:id="23" w:name="_Toc194054095"/>
      <w:r w:rsidRPr="00863A17">
        <w:rPr>
          <w:rFonts w:cs="Tahoma"/>
          <w:b/>
          <w:color w:val="000000"/>
          <w:szCs w:val="24"/>
          <w:lang w:val="en-US"/>
        </w:rPr>
        <w:t>5.1</w:t>
      </w:r>
      <w:r w:rsidRPr="00863A17">
        <w:rPr>
          <w:rFonts w:cs="Tahoma"/>
          <w:b/>
          <w:color w:val="000000"/>
          <w:szCs w:val="24"/>
          <w:lang w:val="en-US"/>
        </w:rPr>
        <w:tab/>
      </w:r>
      <w:r w:rsidR="0093372C">
        <w:rPr>
          <w:rFonts w:cs="Tahoma"/>
          <w:b/>
          <w:color w:val="000000"/>
          <w:szCs w:val="24"/>
          <w:lang w:val="en-US"/>
        </w:rPr>
        <w:t>ZWG</w:t>
      </w:r>
      <w:r w:rsidR="00EF25BB" w:rsidRPr="00863A17">
        <w:rPr>
          <w:rFonts w:cs="Tahoma"/>
          <w:b/>
          <w:color w:val="000000"/>
          <w:szCs w:val="24"/>
          <w:lang w:val="en-US"/>
        </w:rPr>
        <w:t xml:space="preserve"> Exchange Rate Developments</w:t>
      </w:r>
      <w:bookmarkEnd w:id="22"/>
      <w:bookmarkEnd w:id="23"/>
      <w:r w:rsidR="00EF25BB" w:rsidRPr="00863A17">
        <w:rPr>
          <w:rFonts w:cs="Tahoma"/>
          <w:b/>
          <w:color w:val="000000"/>
          <w:szCs w:val="24"/>
          <w:lang w:val="en-US"/>
        </w:rPr>
        <w:t xml:space="preserve"> </w:t>
      </w:r>
    </w:p>
    <w:p w14:paraId="14757367" w14:textId="620F539E" w:rsidR="00D51501" w:rsidRPr="00D51501" w:rsidRDefault="00D51501" w:rsidP="00D51501">
      <w:pPr>
        <w:ind w:left="720" w:hanging="720"/>
        <w:jc w:val="both"/>
        <w:rPr>
          <w:rFonts w:ascii="Tahoma" w:hAnsi="Tahoma" w:cs="Tahoma"/>
          <w:sz w:val="24"/>
          <w:szCs w:val="24"/>
          <w:lang w:val="en-US"/>
        </w:rPr>
      </w:pPr>
      <w:r w:rsidRPr="00D51501">
        <w:rPr>
          <w:rFonts w:ascii="Tahoma" w:hAnsi="Tahoma" w:cs="Tahoma"/>
          <w:sz w:val="24"/>
          <w:szCs w:val="24"/>
          <w:lang w:val="en-US"/>
        </w:rPr>
        <w:t>5.1.1</w:t>
      </w:r>
      <w:r w:rsidRPr="00D51501">
        <w:rPr>
          <w:rFonts w:ascii="Tahoma" w:hAnsi="Tahoma" w:cs="Tahoma"/>
          <w:sz w:val="24"/>
          <w:szCs w:val="24"/>
          <w:lang w:val="en-US"/>
        </w:rPr>
        <w:tab/>
      </w:r>
      <w:r w:rsidR="00026255" w:rsidRPr="00026255">
        <w:rPr>
          <w:rFonts w:ascii="Tahoma" w:hAnsi="Tahoma" w:cs="Tahoma"/>
          <w:sz w:val="24"/>
          <w:szCs w:val="24"/>
          <w:lang w:val="en-US"/>
        </w:rPr>
        <w:t>During the period under review, the ZWG lost value against the USD, GBP, EUR and ZAR by 0.74%, 2.08%, 0.76% and 1.09% respectively. The ZWG also lost value against all major currencies on a year-on-year basis as shown in Table 2</w:t>
      </w:r>
    </w:p>
    <w:p w14:paraId="78D9041E" w14:textId="47149C72" w:rsidR="00D51501" w:rsidRPr="00134E84" w:rsidRDefault="00D51501" w:rsidP="00134E84">
      <w:pPr>
        <w:pStyle w:val="ListofTables"/>
      </w:pPr>
      <w:bookmarkStart w:id="24" w:name="_Toc194054137"/>
      <w:r w:rsidRPr="00134E84">
        <w:t xml:space="preserve">Table </w:t>
      </w:r>
      <w:r w:rsidR="00B55F75">
        <w:t>2</w:t>
      </w:r>
      <w:r w:rsidRPr="00134E84">
        <w:t>: ZWG Exchange Rate Movements</w:t>
      </w:r>
      <w:r w:rsidR="00824F12">
        <w:t>-</w:t>
      </w:r>
      <w:r w:rsidRPr="00134E84">
        <w:t>Month End</w:t>
      </w:r>
      <w:r w:rsidR="00B61A58">
        <w:t>ing 28 Febr</w:t>
      </w:r>
      <w:r w:rsidR="00E36E28">
        <w:t>uary</w:t>
      </w:r>
      <w:r w:rsidRPr="00134E84">
        <w:t xml:space="preserve"> 202</w:t>
      </w:r>
      <w:r w:rsidR="00E36E28">
        <w:t>5</w:t>
      </w:r>
      <w:bookmarkEnd w:id="24"/>
    </w:p>
    <w:p w14:paraId="387FDA9A" w14:textId="14407F68" w:rsidR="00D51501" w:rsidRPr="00D51501" w:rsidRDefault="00B61A58" w:rsidP="00134E84">
      <w:pPr>
        <w:spacing w:after="0"/>
        <w:ind w:left="720" w:hanging="720"/>
        <w:jc w:val="both"/>
        <w:rPr>
          <w:rFonts w:ascii="Tahoma" w:hAnsi="Tahoma" w:cs="Tahoma"/>
          <w:sz w:val="24"/>
          <w:szCs w:val="24"/>
          <w:lang w:val="en-US"/>
        </w:rPr>
      </w:pPr>
      <w:r w:rsidRPr="00B61A58">
        <w:rPr>
          <w:noProof/>
        </w:rPr>
        <w:drawing>
          <wp:inline distT="0" distB="0" distL="0" distR="0" wp14:anchorId="09646824" wp14:editId="493A333D">
            <wp:extent cx="5731510" cy="1231265"/>
            <wp:effectExtent l="0" t="0" r="2540" b="6985"/>
            <wp:docPr id="52755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9755" name=""/>
                    <pic:cNvPicPr/>
                  </pic:nvPicPr>
                  <pic:blipFill>
                    <a:blip r:embed="rId12"/>
                    <a:stretch>
                      <a:fillRect/>
                    </a:stretch>
                  </pic:blipFill>
                  <pic:spPr>
                    <a:xfrm>
                      <a:off x="0" y="0"/>
                      <a:ext cx="5731510" cy="1231265"/>
                    </a:xfrm>
                    <a:prstGeom prst="rect">
                      <a:avLst/>
                    </a:prstGeom>
                  </pic:spPr>
                </pic:pic>
              </a:graphicData>
            </a:graphic>
          </wp:inline>
        </w:drawing>
      </w:r>
    </w:p>
    <w:p w14:paraId="1BF20869" w14:textId="6964E19D" w:rsidR="00D51501" w:rsidRDefault="00D51501" w:rsidP="00340BCF">
      <w:pPr>
        <w:spacing w:after="0"/>
        <w:ind w:left="720" w:hanging="720"/>
        <w:jc w:val="both"/>
        <w:rPr>
          <w:rFonts w:ascii="Tahoma" w:hAnsi="Tahoma" w:cs="Tahoma"/>
          <w:i/>
          <w:sz w:val="24"/>
          <w:szCs w:val="24"/>
          <w:lang w:val="en-US"/>
        </w:rPr>
      </w:pPr>
      <w:r w:rsidRPr="00D51501">
        <w:rPr>
          <w:rFonts w:ascii="Tahoma" w:hAnsi="Tahoma" w:cs="Tahoma"/>
          <w:i/>
          <w:sz w:val="24"/>
          <w:szCs w:val="24"/>
          <w:lang w:val="en-US"/>
        </w:rPr>
        <w:t>Source: RBZ (</w:t>
      </w:r>
      <w:r w:rsidR="00B25ABC">
        <w:rPr>
          <w:rFonts w:ascii="Tahoma" w:hAnsi="Tahoma" w:cs="Tahoma"/>
          <w:i/>
          <w:sz w:val="24"/>
          <w:szCs w:val="24"/>
          <w:lang w:val="en-US"/>
        </w:rPr>
        <w:t xml:space="preserve">2024 &amp; </w:t>
      </w:r>
      <w:r w:rsidRPr="00D51501">
        <w:rPr>
          <w:rFonts w:ascii="Tahoma" w:hAnsi="Tahoma" w:cs="Tahoma"/>
          <w:i/>
          <w:sz w:val="24"/>
          <w:szCs w:val="24"/>
          <w:lang w:val="en-US"/>
        </w:rPr>
        <w:t>202</w:t>
      </w:r>
      <w:r w:rsidR="00E36E28">
        <w:rPr>
          <w:rFonts w:ascii="Tahoma" w:hAnsi="Tahoma" w:cs="Tahoma"/>
          <w:i/>
          <w:sz w:val="24"/>
          <w:szCs w:val="24"/>
          <w:lang w:val="en-US"/>
        </w:rPr>
        <w:t>5</w:t>
      </w:r>
      <w:r w:rsidRPr="00D51501">
        <w:rPr>
          <w:rFonts w:ascii="Tahoma" w:hAnsi="Tahoma" w:cs="Tahoma"/>
          <w:i/>
          <w:sz w:val="24"/>
          <w:szCs w:val="24"/>
          <w:lang w:val="en-US"/>
        </w:rPr>
        <w:t xml:space="preserve">) </w:t>
      </w:r>
    </w:p>
    <w:p w14:paraId="2F395C0B" w14:textId="77777777" w:rsidR="00340BCF" w:rsidRDefault="00340BCF" w:rsidP="00D84FF2">
      <w:pPr>
        <w:spacing w:after="0"/>
        <w:jc w:val="both"/>
        <w:rPr>
          <w:rFonts w:ascii="Tahoma" w:hAnsi="Tahoma" w:cs="Tahoma"/>
          <w:sz w:val="24"/>
          <w:szCs w:val="24"/>
          <w:lang w:val="en-US"/>
        </w:rPr>
      </w:pPr>
    </w:p>
    <w:p w14:paraId="468CD8CE" w14:textId="77777777" w:rsidR="001E6E33" w:rsidRPr="00F05BD5" w:rsidRDefault="00D51501" w:rsidP="00F05BD5">
      <w:pPr>
        <w:pStyle w:val="Heading2"/>
        <w:spacing w:before="0" w:after="240" w:line="240" w:lineRule="auto"/>
        <w:rPr>
          <w:rFonts w:cs="Tahoma"/>
          <w:b/>
          <w:bCs/>
          <w:szCs w:val="24"/>
          <w:lang w:val="en-US"/>
        </w:rPr>
      </w:pPr>
      <w:bookmarkStart w:id="25" w:name="_Toc194054096"/>
      <w:r w:rsidRPr="00F05BD5">
        <w:rPr>
          <w:rFonts w:cs="Tahoma"/>
          <w:b/>
          <w:color w:val="000000"/>
          <w:szCs w:val="24"/>
          <w:lang w:val="en-US"/>
        </w:rPr>
        <w:t>5.</w:t>
      </w:r>
      <w:r w:rsidR="001E6E33" w:rsidRPr="00F05BD5">
        <w:rPr>
          <w:rFonts w:cs="Tahoma"/>
          <w:b/>
          <w:color w:val="000000"/>
          <w:szCs w:val="24"/>
          <w:lang w:val="en-US"/>
        </w:rPr>
        <w:t>2</w:t>
      </w:r>
      <w:r w:rsidR="001E6E33" w:rsidRPr="00F05BD5">
        <w:rPr>
          <w:rFonts w:cs="Tahoma"/>
          <w:b/>
          <w:color w:val="000000"/>
          <w:szCs w:val="24"/>
          <w:lang w:val="en-US"/>
        </w:rPr>
        <w:tab/>
        <w:t>Parallel Market Developments</w:t>
      </w:r>
      <w:bookmarkEnd w:id="25"/>
      <w:r w:rsidR="001E6E33" w:rsidRPr="00F05BD5">
        <w:rPr>
          <w:rFonts w:cs="Tahoma"/>
          <w:b/>
          <w:color w:val="000000"/>
          <w:szCs w:val="24"/>
          <w:lang w:val="en-US"/>
        </w:rPr>
        <w:t xml:space="preserve"> </w:t>
      </w:r>
    </w:p>
    <w:p w14:paraId="24662344" w14:textId="6B090CFD" w:rsidR="00C10419" w:rsidRPr="00E05277" w:rsidRDefault="001E6E33" w:rsidP="00E05277">
      <w:pPr>
        <w:ind w:left="720" w:hanging="720"/>
        <w:jc w:val="both"/>
        <w:rPr>
          <w:rFonts w:ascii="Tahoma" w:hAnsi="Tahoma" w:cs="Tahoma"/>
          <w:sz w:val="24"/>
          <w:szCs w:val="24"/>
          <w:lang w:val="en-US"/>
        </w:rPr>
      </w:pPr>
      <w:r>
        <w:rPr>
          <w:rFonts w:ascii="Tahoma" w:hAnsi="Tahoma" w:cs="Tahoma"/>
          <w:sz w:val="24"/>
          <w:szCs w:val="24"/>
          <w:lang w:val="en-US"/>
        </w:rPr>
        <w:t>5.2.1</w:t>
      </w:r>
      <w:r>
        <w:rPr>
          <w:rFonts w:ascii="Tahoma" w:hAnsi="Tahoma" w:cs="Tahoma"/>
          <w:sz w:val="24"/>
          <w:szCs w:val="24"/>
          <w:lang w:val="en-US"/>
        </w:rPr>
        <w:tab/>
      </w:r>
      <w:r w:rsidR="00026255" w:rsidRPr="00026255">
        <w:rPr>
          <w:rFonts w:ascii="Tahoma" w:hAnsi="Tahoma" w:cs="Tahoma"/>
          <w:sz w:val="24"/>
          <w:szCs w:val="24"/>
          <w:lang w:val="en-US"/>
        </w:rPr>
        <w:t xml:space="preserve">The parallel market exchange rate slightly dropped from USD/ZWG31 to USD/ZWG30 during the first week of February 2025 and maintained that rate throughout the month. On the other hand, the official exchange rate steadily </w:t>
      </w:r>
      <w:r w:rsidR="00842EBE">
        <w:rPr>
          <w:rFonts w:ascii="Tahoma" w:hAnsi="Tahoma" w:cs="Tahoma"/>
          <w:sz w:val="24"/>
          <w:szCs w:val="24"/>
          <w:lang w:val="en-US"/>
        </w:rPr>
        <w:t>increased</w:t>
      </w:r>
      <w:r w:rsidR="00842EBE" w:rsidRPr="00026255">
        <w:rPr>
          <w:rFonts w:ascii="Tahoma" w:hAnsi="Tahoma" w:cs="Tahoma"/>
          <w:sz w:val="24"/>
          <w:szCs w:val="24"/>
          <w:lang w:val="en-US"/>
        </w:rPr>
        <w:t xml:space="preserve"> </w:t>
      </w:r>
      <w:r w:rsidR="00026255" w:rsidRPr="00026255">
        <w:rPr>
          <w:rFonts w:ascii="Tahoma" w:hAnsi="Tahoma" w:cs="Tahoma"/>
          <w:sz w:val="24"/>
          <w:szCs w:val="24"/>
          <w:lang w:val="en-US"/>
        </w:rPr>
        <w:t xml:space="preserve">from USD/ZWG26.38 and closed the month at USD/ZWG26.56. These trends led to </w:t>
      </w:r>
      <w:r w:rsidR="00842EBE">
        <w:rPr>
          <w:rFonts w:ascii="Tahoma" w:hAnsi="Tahoma" w:cs="Tahoma"/>
          <w:sz w:val="24"/>
          <w:szCs w:val="24"/>
          <w:lang w:val="en-US"/>
        </w:rPr>
        <w:t xml:space="preserve">a </w:t>
      </w:r>
      <w:r w:rsidR="00026255" w:rsidRPr="00026255">
        <w:rPr>
          <w:rFonts w:ascii="Tahoma" w:hAnsi="Tahoma" w:cs="Tahoma"/>
          <w:sz w:val="24"/>
          <w:szCs w:val="24"/>
          <w:lang w:val="en-US"/>
        </w:rPr>
        <w:t>reduced exchange rate premium, see Figure 2. The reduction in market premium was due to a tight monetary stance by the RBZ.</w:t>
      </w:r>
    </w:p>
    <w:p w14:paraId="7D63A5AA" w14:textId="7BDB6D9D" w:rsidR="00B36D27" w:rsidRPr="00B36D27" w:rsidRDefault="00632EC8" w:rsidP="00F05BD5">
      <w:pPr>
        <w:pStyle w:val="ListofFigures"/>
      </w:pPr>
      <w:bookmarkStart w:id="26" w:name="_Toc194054172"/>
      <w:r>
        <w:t xml:space="preserve">Figure </w:t>
      </w:r>
      <w:r w:rsidR="001522B6">
        <w:t>2</w:t>
      </w:r>
      <w:r w:rsidR="00B36D27">
        <w:t xml:space="preserve">: </w:t>
      </w:r>
      <w:r w:rsidR="00C10419">
        <w:t xml:space="preserve">Parallel Market Developments </w:t>
      </w:r>
      <w:r w:rsidR="00CE5572">
        <w:t>–</w:t>
      </w:r>
      <w:r w:rsidR="00C10419">
        <w:t xml:space="preserve"> </w:t>
      </w:r>
      <w:r w:rsidR="00B570C8">
        <w:t>February</w:t>
      </w:r>
      <w:r w:rsidR="00CE5572">
        <w:t xml:space="preserve"> </w:t>
      </w:r>
      <w:r w:rsidR="004B2536">
        <w:t>202</w:t>
      </w:r>
      <w:r w:rsidR="00CE5572">
        <w:t>5</w:t>
      </w:r>
      <w:bookmarkEnd w:id="26"/>
      <w:r w:rsidR="004B2536">
        <w:t xml:space="preserve"> </w:t>
      </w:r>
    </w:p>
    <w:p w14:paraId="72D77346" w14:textId="65EA4020" w:rsidR="00FD0116" w:rsidRPr="00863A17" w:rsidRDefault="00B570C8" w:rsidP="00A60CE8">
      <w:pPr>
        <w:spacing w:after="0"/>
        <w:ind w:left="720" w:hanging="720"/>
        <w:jc w:val="both"/>
        <w:rPr>
          <w:rFonts w:ascii="Tahoma" w:hAnsi="Tahoma" w:cs="Tahoma"/>
          <w:sz w:val="24"/>
          <w:szCs w:val="24"/>
          <w:lang w:val="en-US"/>
        </w:rPr>
      </w:pPr>
      <w:r>
        <w:rPr>
          <w:rFonts w:ascii="Tahoma" w:hAnsi="Tahoma" w:cs="Tahoma"/>
          <w:noProof/>
          <w:sz w:val="24"/>
          <w:szCs w:val="24"/>
          <w:lang w:val="en-US"/>
        </w:rPr>
        <w:drawing>
          <wp:inline distT="0" distB="0" distL="0" distR="0" wp14:anchorId="478EE53E" wp14:editId="6F84A3C2">
            <wp:extent cx="6108700" cy="2950845"/>
            <wp:effectExtent l="0" t="0" r="6350" b="1905"/>
            <wp:docPr id="36975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2950845"/>
                    </a:xfrm>
                    <a:prstGeom prst="rect">
                      <a:avLst/>
                    </a:prstGeom>
                    <a:noFill/>
                  </pic:spPr>
                </pic:pic>
              </a:graphicData>
            </a:graphic>
          </wp:inline>
        </w:drawing>
      </w:r>
    </w:p>
    <w:p w14:paraId="4E6E42D5" w14:textId="3D06E4FA" w:rsidR="00AB120F" w:rsidRPr="00340BCF" w:rsidRDefault="007B4687" w:rsidP="00340BCF">
      <w:pPr>
        <w:rPr>
          <w:rFonts w:ascii="Tahoma" w:hAnsi="Tahoma" w:cs="Tahoma"/>
          <w:i/>
          <w:sz w:val="24"/>
          <w:szCs w:val="24"/>
        </w:rPr>
      </w:pPr>
      <w:bookmarkStart w:id="27" w:name="_Toc164072364"/>
      <w:bookmarkStart w:id="28" w:name="_Toc166658891"/>
      <w:r>
        <w:rPr>
          <w:rFonts w:ascii="Tahoma" w:hAnsi="Tahoma" w:cs="Tahoma"/>
          <w:i/>
          <w:sz w:val="24"/>
          <w:szCs w:val="24"/>
        </w:rPr>
        <w:t xml:space="preserve">Source: RBZ and Harare </w:t>
      </w:r>
      <w:r w:rsidR="00EE71C0">
        <w:rPr>
          <w:rFonts w:ascii="Tahoma" w:hAnsi="Tahoma" w:cs="Tahoma"/>
          <w:i/>
          <w:sz w:val="24"/>
          <w:szCs w:val="24"/>
        </w:rPr>
        <w:t>S</w:t>
      </w:r>
      <w:r>
        <w:rPr>
          <w:rFonts w:ascii="Tahoma" w:hAnsi="Tahoma" w:cs="Tahoma"/>
          <w:i/>
          <w:sz w:val="24"/>
          <w:szCs w:val="24"/>
        </w:rPr>
        <w:t>treets</w:t>
      </w:r>
      <w:r w:rsidR="00AB120F" w:rsidRPr="004149E4">
        <w:rPr>
          <w:rFonts w:ascii="Tahoma" w:hAnsi="Tahoma" w:cs="Tahoma"/>
          <w:i/>
          <w:sz w:val="24"/>
          <w:szCs w:val="24"/>
        </w:rPr>
        <w:t xml:space="preserve"> (202</w:t>
      </w:r>
      <w:r w:rsidR="00F62A0A">
        <w:rPr>
          <w:rFonts w:ascii="Tahoma" w:hAnsi="Tahoma" w:cs="Tahoma"/>
          <w:i/>
          <w:sz w:val="24"/>
          <w:szCs w:val="24"/>
        </w:rPr>
        <w:t>5</w:t>
      </w:r>
      <w:r w:rsidR="00AB120F" w:rsidRPr="004149E4">
        <w:rPr>
          <w:rFonts w:ascii="Tahoma" w:hAnsi="Tahoma" w:cs="Tahoma"/>
          <w:i/>
          <w:sz w:val="24"/>
          <w:szCs w:val="24"/>
        </w:rPr>
        <w:t>)</w:t>
      </w:r>
    </w:p>
    <w:p w14:paraId="7706CFB3" w14:textId="77777777" w:rsidR="00C65CC6" w:rsidRPr="00863A17" w:rsidRDefault="004C7E36" w:rsidP="003C1D2F">
      <w:pPr>
        <w:pStyle w:val="Heading2"/>
        <w:spacing w:before="0" w:after="240" w:line="240" w:lineRule="auto"/>
        <w:rPr>
          <w:rFonts w:cs="Tahoma"/>
          <w:b/>
          <w:color w:val="000000"/>
          <w:szCs w:val="24"/>
          <w:lang w:val="en-US"/>
        </w:rPr>
      </w:pPr>
      <w:bookmarkStart w:id="29" w:name="_Toc166607897"/>
      <w:bookmarkStart w:id="30" w:name="_Toc194054097"/>
      <w:bookmarkEnd w:id="27"/>
      <w:bookmarkEnd w:id="28"/>
      <w:r w:rsidRPr="00863A17">
        <w:rPr>
          <w:rFonts w:cs="Tahoma"/>
          <w:b/>
          <w:color w:val="000000"/>
          <w:szCs w:val="24"/>
          <w:lang w:val="en-US"/>
        </w:rPr>
        <w:lastRenderedPageBreak/>
        <w:t>5.</w:t>
      </w:r>
      <w:r w:rsidR="00F05BD5">
        <w:rPr>
          <w:rFonts w:cs="Tahoma"/>
          <w:b/>
          <w:color w:val="000000"/>
          <w:szCs w:val="24"/>
          <w:lang w:val="en-US"/>
        </w:rPr>
        <w:t>3</w:t>
      </w:r>
      <w:r w:rsidRPr="00863A17">
        <w:rPr>
          <w:rFonts w:cs="Tahoma"/>
          <w:b/>
          <w:color w:val="000000"/>
          <w:szCs w:val="24"/>
          <w:lang w:val="en-US"/>
        </w:rPr>
        <w:tab/>
      </w:r>
      <w:r w:rsidR="00EF25BB" w:rsidRPr="00863A17">
        <w:rPr>
          <w:rFonts w:cs="Tahoma"/>
          <w:b/>
          <w:color w:val="000000"/>
          <w:szCs w:val="24"/>
          <w:lang w:val="en-US"/>
        </w:rPr>
        <w:t>Cross Rate Developments</w:t>
      </w:r>
      <w:bookmarkEnd w:id="29"/>
      <w:bookmarkEnd w:id="30"/>
      <w:r w:rsidR="00EF25BB" w:rsidRPr="00863A17">
        <w:rPr>
          <w:rFonts w:cs="Tahoma"/>
          <w:b/>
          <w:color w:val="000000"/>
          <w:szCs w:val="24"/>
          <w:lang w:val="en-US"/>
        </w:rPr>
        <w:t xml:space="preserve"> </w:t>
      </w:r>
    </w:p>
    <w:p w14:paraId="5B5AFC90" w14:textId="3711D17C" w:rsidR="00C65CC6" w:rsidRDefault="004C7E36" w:rsidP="00026255">
      <w:pPr>
        <w:ind w:left="720" w:hanging="720"/>
        <w:jc w:val="both"/>
        <w:rPr>
          <w:rFonts w:ascii="Tahoma" w:hAnsi="Tahoma" w:cs="Tahoma"/>
          <w:sz w:val="24"/>
          <w:szCs w:val="24"/>
          <w:lang w:val="en-US"/>
        </w:rPr>
      </w:pPr>
      <w:r w:rsidRPr="00863A17">
        <w:rPr>
          <w:rFonts w:ascii="Tahoma" w:hAnsi="Tahoma" w:cs="Tahoma"/>
          <w:sz w:val="24"/>
          <w:szCs w:val="24"/>
          <w:lang w:val="en-US"/>
        </w:rPr>
        <w:t>5.</w:t>
      </w:r>
      <w:r w:rsidR="00F05BD5">
        <w:rPr>
          <w:rFonts w:ascii="Tahoma" w:hAnsi="Tahoma" w:cs="Tahoma"/>
          <w:sz w:val="24"/>
          <w:szCs w:val="24"/>
          <w:lang w:val="en-US"/>
        </w:rPr>
        <w:t>3</w:t>
      </w:r>
      <w:r w:rsidRPr="00863A17">
        <w:rPr>
          <w:rFonts w:ascii="Tahoma" w:hAnsi="Tahoma" w:cs="Tahoma"/>
          <w:sz w:val="24"/>
          <w:szCs w:val="24"/>
          <w:lang w:val="en-US"/>
        </w:rPr>
        <w:t>.1</w:t>
      </w:r>
      <w:r w:rsidRPr="00863A17">
        <w:rPr>
          <w:rFonts w:ascii="Tahoma" w:hAnsi="Tahoma" w:cs="Tahoma"/>
          <w:sz w:val="24"/>
          <w:szCs w:val="24"/>
          <w:lang w:val="en-US"/>
        </w:rPr>
        <w:tab/>
      </w:r>
      <w:r w:rsidR="00026255" w:rsidRPr="00026255">
        <w:rPr>
          <w:rFonts w:ascii="Tahoma" w:hAnsi="Tahoma" w:cs="Tahoma"/>
          <w:sz w:val="24"/>
          <w:szCs w:val="24"/>
          <w:lang w:val="en-US"/>
        </w:rPr>
        <w:t xml:space="preserve">In February 2025, the USD depreciated against the GBP, EUR, and ZAR by 1.3%, 0.01%, and 0.36% respectively. On a year-on-year basis, the USD gained by 0.63% and 4.29% against the GBP and the EUR respectively. However, the USD also lost against the ZAR by 3.93%, as shown in Table 3. According to Invesco (2025), </w:t>
      </w:r>
      <w:r w:rsidR="00026255" w:rsidRPr="00026255">
        <w:rPr>
          <w:rFonts w:ascii="Tahoma" w:hAnsi="Tahoma" w:cs="Tahoma"/>
          <w:sz w:val="24"/>
          <w:szCs w:val="24"/>
        </w:rPr>
        <w:t xml:space="preserve">the </w:t>
      </w:r>
      <w:r w:rsidR="00842EBE">
        <w:rPr>
          <w:rFonts w:ascii="Tahoma" w:hAnsi="Tahoma" w:cs="Tahoma"/>
          <w:sz w:val="24"/>
          <w:szCs w:val="24"/>
        </w:rPr>
        <w:t xml:space="preserve">weakening of the </w:t>
      </w:r>
      <w:r w:rsidR="00026255" w:rsidRPr="00026255">
        <w:rPr>
          <w:rFonts w:ascii="Tahoma" w:hAnsi="Tahoma" w:cs="Tahoma"/>
          <w:sz w:val="24"/>
          <w:szCs w:val="24"/>
        </w:rPr>
        <w:t xml:space="preserve">USD </w:t>
      </w:r>
      <w:r w:rsidR="00842EBE">
        <w:rPr>
          <w:rFonts w:ascii="Tahoma" w:hAnsi="Tahoma" w:cs="Tahoma"/>
          <w:sz w:val="24"/>
          <w:szCs w:val="24"/>
        </w:rPr>
        <w:t>is</w:t>
      </w:r>
      <w:r w:rsidR="00026255" w:rsidRPr="00026255">
        <w:rPr>
          <w:rFonts w:ascii="Tahoma" w:hAnsi="Tahoma" w:cs="Tahoma"/>
          <w:sz w:val="24"/>
          <w:szCs w:val="24"/>
        </w:rPr>
        <w:t xml:space="preserve"> due to Trump’s disruptive policies such as </w:t>
      </w:r>
      <w:r w:rsidR="00842EBE">
        <w:rPr>
          <w:rFonts w:ascii="Tahoma" w:hAnsi="Tahoma" w:cs="Tahoma"/>
          <w:sz w:val="24"/>
          <w:szCs w:val="24"/>
        </w:rPr>
        <w:t>the F</w:t>
      </w:r>
      <w:r w:rsidR="00026255" w:rsidRPr="00026255">
        <w:rPr>
          <w:rFonts w:ascii="Tahoma" w:hAnsi="Tahoma" w:cs="Tahoma"/>
          <w:sz w:val="24"/>
          <w:szCs w:val="24"/>
        </w:rPr>
        <w:t>ederal budget cuts, layoffs, and rapid shifts in tariffs which have hit business and consumer confidence.</w:t>
      </w:r>
    </w:p>
    <w:p w14:paraId="4C9807F0" w14:textId="74A5BDDA" w:rsidR="00E664AA" w:rsidRPr="00E664AA" w:rsidRDefault="003C1D2F" w:rsidP="00E664AA">
      <w:pPr>
        <w:pStyle w:val="ListofTables"/>
        <w:rPr>
          <w:lang w:val="en-US"/>
        </w:rPr>
      </w:pPr>
      <w:bookmarkStart w:id="31" w:name="_Toc164072365"/>
      <w:bookmarkStart w:id="32" w:name="_Toc166658892"/>
      <w:bookmarkStart w:id="33" w:name="_Toc194054138"/>
      <w:r w:rsidRPr="00863A17">
        <w:t xml:space="preserve">Table </w:t>
      </w:r>
      <w:r w:rsidR="000742CC">
        <w:t>3</w:t>
      </w:r>
      <w:r w:rsidRPr="00863A17">
        <w:t xml:space="preserve">: </w:t>
      </w:r>
      <w:r w:rsidRPr="00863A17">
        <w:rPr>
          <w:lang w:val="en-US"/>
        </w:rPr>
        <w:t>USD Exchange Rate Movements–</w:t>
      </w:r>
      <w:r w:rsidR="00642C66" w:rsidRPr="00863A17">
        <w:rPr>
          <w:lang w:val="en-US"/>
        </w:rPr>
        <w:t>Month</w:t>
      </w:r>
      <w:r w:rsidRPr="00863A17">
        <w:rPr>
          <w:lang w:val="en-US"/>
        </w:rPr>
        <w:t xml:space="preserve"> Ended </w:t>
      </w:r>
      <w:r w:rsidR="00B570C8">
        <w:rPr>
          <w:lang w:val="en-US"/>
        </w:rPr>
        <w:t>28</w:t>
      </w:r>
      <w:r w:rsidR="009D123E">
        <w:rPr>
          <w:lang w:val="en-US"/>
        </w:rPr>
        <w:t xml:space="preserve"> </w:t>
      </w:r>
      <w:r w:rsidR="00B570C8">
        <w:rPr>
          <w:lang w:val="en-US"/>
        </w:rPr>
        <w:t>February</w:t>
      </w:r>
      <w:r w:rsidRPr="00863A17">
        <w:rPr>
          <w:lang w:val="en-US"/>
        </w:rPr>
        <w:t xml:space="preserve"> 202</w:t>
      </w:r>
      <w:bookmarkEnd w:id="31"/>
      <w:bookmarkEnd w:id="32"/>
      <w:r w:rsidR="004D3066">
        <w:rPr>
          <w:lang w:val="en-US"/>
        </w:rPr>
        <w:t>5</w:t>
      </w:r>
      <w:bookmarkEnd w:id="33"/>
    </w:p>
    <w:p w14:paraId="7F75640A" w14:textId="3E0BEAFF" w:rsidR="00E664AA" w:rsidRPr="00863A17" w:rsidRDefault="00B570C8" w:rsidP="00CB6A80">
      <w:pPr>
        <w:spacing w:after="0"/>
        <w:rPr>
          <w:rFonts w:ascii="Tahoma" w:hAnsi="Tahoma" w:cs="Tahoma"/>
          <w:sz w:val="24"/>
          <w:szCs w:val="24"/>
          <w:lang w:val="en-US"/>
        </w:rPr>
      </w:pPr>
      <w:r w:rsidRPr="00B570C8">
        <w:rPr>
          <w:noProof/>
        </w:rPr>
        <w:drawing>
          <wp:inline distT="0" distB="0" distL="0" distR="0" wp14:anchorId="6A430C7B" wp14:editId="7533F538">
            <wp:extent cx="5731510" cy="1242695"/>
            <wp:effectExtent l="0" t="0" r="2540" b="0"/>
            <wp:docPr id="17492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107" name=""/>
                    <pic:cNvPicPr/>
                  </pic:nvPicPr>
                  <pic:blipFill>
                    <a:blip r:embed="rId14"/>
                    <a:stretch>
                      <a:fillRect/>
                    </a:stretch>
                  </pic:blipFill>
                  <pic:spPr>
                    <a:xfrm>
                      <a:off x="0" y="0"/>
                      <a:ext cx="5731510" cy="1242695"/>
                    </a:xfrm>
                    <a:prstGeom prst="rect">
                      <a:avLst/>
                    </a:prstGeom>
                  </pic:spPr>
                </pic:pic>
              </a:graphicData>
            </a:graphic>
          </wp:inline>
        </w:drawing>
      </w:r>
    </w:p>
    <w:p w14:paraId="558BDC60" w14:textId="741C5A05" w:rsidR="00184FA3"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004D3066">
        <w:rPr>
          <w:rFonts w:ascii="Tahoma" w:hAnsi="Tahoma" w:cs="Tahoma"/>
          <w:i/>
          <w:sz w:val="24"/>
          <w:szCs w:val="24"/>
          <w:lang w:val="en-US"/>
        </w:rPr>
        <w:t xml:space="preserve"> &amp; 2025</w:t>
      </w:r>
      <w:r w:rsidRPr="00863A17">
        <w:rPr>
          <w:rFonts w:ascii="Tahoma" w:hAnsi="Tahoma" w:cs="Tahoma"/>
          <w:i/>
          <w:sz w:val="24"/>
          <w:szCs w:val="24"/>
          <w:lang w:val="en-US"/>
        </w:rPr>
        <w:t>)</w:t>
      </w:r>
    </w:p>
    <w:p w14:paraId="51CCD863" w14:textId="13266873" w:rsidR="000C5E77" w:rsidRPr="00E63964" w:rsidRDefault="000C5E77" w:rsidP="00E63964">
      <w:pPr>
        <w:ind w:left="720" w:hanging="720"/>
        <w:jc w:val="both"/>
        <w:rPr>
          <w:rFonts w:ascii="Tahoma" w:hAnsi="Tahoma" w:cs="Tahoma"/>
          <w:iCs/>
          <w:sz w:val="24"/>
          <w:szCs w:val="24"/>
          <w:lang w:val="en-US"/>
        </w:rPr>
      </w:pPr>
      <w:r>
        <w:rPr>
          <w:rFonts w:ascii="Tahoma" w:hAnsi="Tahoma" w:cs="Tahoma"/>
          <w:iCs/>
          <w:sz w:val="24"/>
          <w:szCs w:val="24"/>
          <w:lang w:val="en-US"/>
        </w:rPr>
        <w:t>5.3.2</w:t>
      </w:r>
      <w:r>
        <w:rPr>
          <w:rFonts w:ascii="Tahoma" w:hAnsi="Tahoma" w:cs="Tahoma"/>
          <w:iCs/>
          <w:sz w:val="24"/>
          <w:szCs w:val="24"/>
          <w:lang w:val="en-US"/>
        </w:rPr>
        <w:tab/>
      </w:r>
      <w:r w:rsidR="008D3763" w:rsidRPr="008D3763">
        <w:rPr>
          <w:rFonts w:ascii="Tahoma" w:hAnsi="Tahoma" w:cs="Tahoma"/>
          <w:iCs/>
          <w:sz w:val="24"/>
          <w:szCs w:val="24"/>
          <w:lang w:val="en-US"/>
        </w:rPr>
        <w:t>The trend inhibited by the USD</w:t>
      </w:r>
      <w:r w:rsidR="00842EBE">
        <w:rPr>
          <w:rFonts w:ascii="Tahoma" w:hAnsi="Tahoma" w:cs="Tahoma"/>
          <w:iCs/>
          <w:sz w:val="24"/>
          <w:szCs w:val="24"/>
          <w:lang w:val="en-US"/>
        </w:rPr>
        <w:t xml:space="preserve"> if maintained</w:t>
      </w:r>
      <w:r w:rsidR="008D3763" w:rsidRPr="008D3763">
        <w:rPr>
          <w:rFonts w:ascii="Tahoma" w:hAnsi="Tahoma" w:cs="Tahoma"/>
          <w:iCs/>
          <w:sz w:val="24"/>
          <w:szCs w:val="24"/>
          <w:lang w:val="en-US"/>
        </w:rPr>
        <w:t xml:space="preserve">, especially against the ZAR makes Zimbabwe’s exports </w:t>
      </w:r>
      <w:r w:rsidR="00842EBE">
        <w:rPr>
          <w:rFonts w:ascii="Tahoma" w:hAnsi="Tahoma" w:cs="Tahoma"/>
          <w:iCs/>
          <w:sz w:val="24"/>
          <w:szCs w:val="24"/>
          <w:lang w:val="en-US"/>
        </w:rPr>
        <w:t>cheaper</w:t>
      </w:r>
      <w:r w:rsidR="00842EBE" w:rsidRPr="008D3763">
        <w:rPr>
          <w:rFonts w:ascii="Tahoma" w:hAnsi="Tahoma" w:cs="Tahoma"/>
          <w:iCs/>
          <w:sz w:val="24"/>
          <w:szCs w:val="24"/>
          <w:lang w:val="en-US"/>
        </w:rPr>
        <w:t xml:space="preserve"> </w:t>
      </w:r>
      <w:r w:rsidR="008D3763" w:rsidRPr="008D3763">
        <w:rPr>
          <w:rFonts w:ascii="Tahoma" w:hAnsi="Tahoma" w:cs="Tahoma"/>
          <w:iCs/>
          <w:sz w:val="24"/>
          <w:szCs w:val="24"/>
          <w:lang w:val="en-US"/>
        </w:rPr>
        <w:t xml:space="preserve">hence </w:t>
      </w:r>
      <w:r w:rsidR="00842EBE">
        <w:rPr>
          <w:rFonts w:ascii="Tahoma" w:hAnsi="Tahoma" w:cs="Tahoma"/>
          <w:iCs/>
          <w:sz w:val="24"/>
          <w:szCs w:val="24"/>
          <w:lang w:val="en-US"/>
        </w:rPr>
        <w:t>en</w:t>
      </w:r>
      <w:r w:rsidR="00842EBE" w:rsidRPr="008D3763">
        <w:rPr>
          <w:rFonts w:ascii="Tahoma" w:hAnsi="Tahoma" w:cs="Tahoma"/>
          <w:iCs/>
          <w:sz w:val="24"/>
          <w:szCs w:val="24"/>
          <w:lang w:val="en-US"/>
        </w:rPr>
        <w:t>couraging</w:t>
      </w:r>
      <w:r w:rsidR="008D3763" w:rsidRPr="008D3763">
        <w:rPr>
          <w:rFonts w:ascii="Tahoma" w:hAnsi="Tahoma" w:cs="Tahoma"/>
          <w:iCs/>
          <w:sz w:val="24"/>
          <w:szCs w:val="24"/>
          <w:lang w:val="en-US"/>
        </w:rPr>
        <w:t xml:space="preserve"> exports to </w:t>
      </w:r>
      <w:r w:rsidR="00842EBE">
        <w:rPr>
          <w:rFonts w:ascii="Tahoma" w:hAnsi="Tahoma" w:cs="Tahoma"/>
          <w:iCs/>
          <w:sz w:val="24"/>
          <w:szCs w:val="24"/>
          <w:lang w:val="en-US"/>
        </w:rPr>
        <w:t>South Africa, the country’s major trading partner</w:t>
      </w:r>
      <w:r w:rsidR="008D3763" w:rsidRPr="008D3763">
        <w:rPr>
          <w:rFonts w:ascii="Tahoma" w:hAnsi="Tahoma" w:cs="Tahoma"/>
          <w:iCs/>
          <w:sz w:val="24"/>
          <w:szCs w:val="24"/>
          <w:lang w:val="en-US"/>
        </w:rPr>
        <w:t>.</w:t>
      </w:r>
    </w:p>
    <w:p w14:paraId="71923BBE" w14:textId="77777777" w:rsidR="00184FA3" w:rsidRPr="00A64F64" w:rsidRDefault="004C7E36" w:rsidP="003C1D2F">
      <w:pPr>
        <w:pStyle w:val="Heading1"/>
        <w:spacing w:before="0" w:after="240" w:line="240" w:lineRule="auto"/>
        <w:rPr>
          <w:rFonts w:cs="Tahoma"/>
          <w:bCs/>
          <w:color w:val="000000"/>
          <w:szCs w:val="24"/>
          <w:lang w:val="en-US"/>
        </w:rPr>
      </w:pPr>
      <w:bookmarkStart w:id="34" w:name="_Toc166607898"/>
      <w:bookmarkStart w:id="35" w:name="_Toc194054098"/>
      <w:r w:rsidRPr="00A64F64">
        <w:rPr>
          <w:rFonts w:cs="Tahoma"/>
          <w:bCs/>
          <w:color w:val="000000"/>
          <w:szCs w:val="24"/>
          <w:lang w:val="en-US"/>
        </w:rPr>
        <w:t>6.0</w:t>
      </w:r>
      <w:r w:rsidRPr="00A64F64">
        <w:rPr>
          <w:rFonts w:cs="Tahoma"/>
          <w:bCs/>
          <w:color w:val="000000"/>
          <w:szCs w:val="24"/>
          <w:lang w:val="en-US"/>
        </w:rPr>
        <w:tab/>
      </w:r>
      <w:r w:rsidR="00184FA3" w:rsidRPr="00A64F64">
        <w:rPr>
          <w:rFonts w:cs="Tahoma"/>
          <w:bCs/>
          <w:color w:val="000000"/>
          <w:szCs w:val="24"/>
          <w:lang w:val="en-US"/>
        </w:rPr>
        <w:t>Inflation Developments</w:t>
      </w:r>
      <w:bookmarkEnd w:id="34"/>
      <w:bookmarkEnd w:id="35"/>
      <w:r w:rsidR="00184FA3" w:rsidRPr="00A64F64">
        <w:rPr>
          <w:rFonts w:cs="Tahoma"/>
          <w:bCs/>
          <w:color w:val="000000"/>
          <w:szCs w:val="24"/>
          <w:lang w:val="en-US"/>
        </w:rPr>
        <w:t xml:space="preserve"> </w:t>
      </w:r>
    </w:p>
    <w:p w14:paraId="120AE54F" w14:textId="2FA50DCE" w:rsidR="005D4799" w:rsidRPr="00340BCF" w:rsidRDefault="00744659" w:rsidP="00340BCF">
      <w:pPr>
        <w:ind w:left="720" w:hanging="720"/>
        <w:jc w:val="both"/>
        <w:rPr>
          <w:rFonts w:ascii="Tahoma" w:hAnsi="Tahoma" w:cs="Tahoma"/>
          <w:sz w:val="24"/>
          <w:szCs w:val="24"/>
        </w:rPr>
      </w:pPr>
      <w:r w:rsidRPr="00744659">
        <w:rPr>
          <w:rFonts w:ascii="Tahoma" w:hAnsi="Tahoma" w:cs="Tahoma"/>
          <w:sz w:val="24"/>
          <w:szCs w:val="24"/>
        </w:rPr>
        <w:t>6.</w:t>
      </w:r>
      <w:r w:rsidR="00106F16">
        <w:rPr>
          <w:rFonts w:ascii="Tahoma" w:hAnsi="Tahoma" w:cs="Tahoma"/>
          <w:sz w:val="24"/>
          <w:szCs w:val="24"/>
        </w:rPr>
        <w:t>1</w:t>
      </w:r>
      <w:r w:rsidRPr="00744659">
        <w:rPr>
          <w:rFonts w:ascii="Tahoma" w:hAnsi="Tahoma" w:cs="Tahoma"/>
          <w:sz w:val="24"/>
          <w:szCs w:val="24"/>
        </w:rPr>
        <w:tab/>
      </w:r>
      <w:r w:rsidR="008D271F">
        <w:rPr>
          <w:rFonts w:ascii="Tahoma" w:hAnsi="Tahoma" w:cs="Tahoma"/>
          <w:sz w:val="24"/>
          <w:szCs w:val="24"/>
        </w:rPr>
        <w:t>M</w:t>
      </w:r>
      <w:r w:rsidR="0020598F">
        <w:rPr>
          <w:rFonts w:ascii="Tahoma" w:hAnsi="Tahoma" w:cs="Tahoma"/>
          <w:sz w:val="24"/>
          <w:szCs w:val="24"/>
        </w:rPr>
        <w:t xml:space="preserve">onth-on-month </w:t>
      </w:r>
      <w:r w:rsidR="005C0350">
        <w:rPr>
          <w:rFonts w:ascii="Tahoma" w:hAnsi="Tahoma" w:cs="Tahoma"/>
          <w:sz w:val="24"/>
          <w:szCs w:val="24"/>
        </w:rPr>
        <w:t>ZWG</w:t>
      </w:r>
      <w:r w:rsidR="005C0350" w:rsidRPr="00744659">
        <w:rPr>
          <w:rFonts w:ascii="Tahoma" w:hAnsi="Tahoma" w:cs="Tahoma"/>
          <w:sz w:val="24"/>
          <w:szCs w:val="24"/>
        </w:rPr>
        <w:t xml:space="preserve"> inflation</w:t>
      </w:r>
      <w:r w:rsidR="002473F1">
        <w:rPr>
          <w:rFonts w:ascii="Tahoma" w:hAnsi="Tahoma" w:cs="Tahoma"/>
          <w:sz w:val="24"/>
          <w:szCs w:val="24"/>
        </w:rPr>
        <w:t xml:space="preserve"> </w:t>
      </w:r>
      <w:r w:rsidR="006F455D">
        <w:rPr>
          <w:rFonts w:ascii="Tahoma" w:hAnsi="Tahoma" w:cs="Tahoma"/>
          <w:sz w:val="24"/>
          <w:szCs w:val="24"/>
        </w:rPr>
        <w:t>sharply declined from 10.5% to 0.5% in February 2025</w:t>
      </w:r>
      <w:r w:rsidR="00336354">
        <w:rPr>
          <w:rFonts w:ascii="Tahoma" w:hAnsi="Tahoma" w:cs="Tahoma"/>
          <w:sz w:val="24"/>
          <w:szCs w:val="24"/>
        </w:rPr>
        <w:t xml:space="preserve">, </w:t>
      </w:r>
      <w:r w:rsidRPr="00744659">
        <w:rPr>
          <w:rFonts w:ascii="Tahoma" w:hAnsi="Tahoma" w:cs="Tahoma"/>
          <w:sz w:val="24"/>
          <w:szCs w:val="24"/>
        </w:rPr>
        <w:t xml:space="preserve">see Figure </w:t>
      </w:r>
      <w:r w:rsidR="00386E81">
        <w:rPr>
          <w:rFonts w:ascii="Tahoma" w:hAnsi="Tahoma" w:cs="Tahoma"/>
          <w:sz w:val="24"/>
          <w:szCs w:val="24"/>
        </w:rPr>
        <w:t>3</w:t>
      </w:r>
      <w:r w:rsidRPr="00744659">
        <w:rPr>
          <w:rFonts w:ascii="Tahoma" w:hAnsi="Tahoma" w:cs="Tahoma"/>
          <w:sz w:val="24"/>
          <w:szCs w:val="24"/>
        </w:rPr>
        <w:t>.</w:t>
      </w:r>
      <w:r w:rsidR="00575008">
        <w:rPr>
          <w:rFonts w:ascii="Tahoma" w:hAnsi="Tahoma" w:cs="Tahoma"/>
          <w:sz w:val="24"/>
          <w:szCs w:val="24"/>
        </w:rPr>
        <w:t xml:space="preserve"> </w:t>
      </w:r>
    </w:p>
    <w:p w14:paraId="470BAFC9" w14:textId="5E77563E" w:rsidR="005F0769" w:rsidRDefault="005D4799" w:rsidP="00F05BD5">
      <w:pPr>
        <w:pStyle w:val="ListofFigures"/>
      </w:pPr>
      <w:bookmarkStart w:id="36" w:name="_Toc194054173"/>
      <w:r>
        <w:t xml:space="preserve">Figure </w:t>
      </w:r>
      <w:r w:rsidR="00386E81">
        <w:t>3</w:t>
      </w:r>
      <w:r>
        <w:t>: Month-on-Month</w:t>
      </w:r>
      <w:r w:rsidR="000C78EC">
        <w:t xml:space="preserve"> ZWG</w:t>
      </w:r>
      <w:r>
        <w:t xml:space="preserve"> Inflation Outturn</w:t>
      </w:r>
      <w:bookmarkEnd w:id="36"/>
      <w:r>
        <w:t xml:space="preserve"> </w:t>
      </w:r>
    </w:p>
    <w:p w14:paraId="266392AE" w14:textId="04127387" w:rsidR="005F0769" w:rsidRDefault="006C27A8" w:rsidP="005D4799">
      <w:pPr>
        <w:spacing w:after="0"/>
        <w:ind w:left="720" w:hanging="720"/>
        <w:jc w:val="both"/>
        <w:rPr>
          <w:rFonts w:ascii="Tahoma" w:hAnsi="Tahoma" w:cs="Tahoma"/>
          <w:sz w:val="24"/>
          <w:szCs w:val="24"/>
        </w:rPr>
      </w:pPr>
      <w:r>
        <w:rPr>
          <w:noProof/>
        </w:rPr>
        <w:drawing>
          <wp:inline distT="0" distB="0" distL="0" distR="0" wp14:anchorId="52E6AD33" wp14:editId="6FE7FB13">
            <wp:extent cx="5731510" cy="2966085"/>
            <wp:effectExtent l="0" t="0" r="2540" b="5715"/>
            <wp:docPr id="73940236" name="Chart 1">
              <a:extLst xmlns:a="http://schemas.openxmlformats.org/drawingml/2006/main">
                <a:ext uri="{FF2B5EF4-FFF2-40B4-BE49-F238E27FC236}">
                  <a16:creationId xmlns:a16="http://schemas.microsoft.com/office/drawing/2014/main" id="{00000000-0008-0000-08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FEDCD3" w14:textId="73866B65" w:rsidR="005F0769" w:rsidRDefault="005D4799" w:rsidP="005D4799">
      <w:pPr>
        <w:spacing w:after="0"/>
        <w:ind w:left="720" w:hanging="720"/>
        <w:jc w:val="both"/>
        <w:rPr>
          <w:rFonts w:ascii="Tahoma" w:hAnsi="Tahoma" w:cs="Tahoma"/>
          <w:i/>
          <w:sz w:val="24"/>
          <w:szCs w:val="24"/>
        </w:rPr>
      </w:pPr>
      <w:r w:rsidRPr="005D4799">
        <w:rPr>
          <w:rFonts w:ascii="Tahoma" w:hAnsi="Tahoma" w:cs="Tahoma"/>
          <w:i/>
          <w:sz w:val="24"/>
          <w:szCs w:val="24"/>
        </w:rPr>
        <w:t>Source: ZimStat (202</w:t>
      </w:r>
      <w:r w:rsidR="00277F04">
        <w:rPr>
          <w:rFonts w:ascii="Tahoma" w:hAnsi="Tahoma" w:cs="Tahoma"/>
          <w:i/>
          <w:sz w:val="24"/>
          <w:szCs w:val="24"/>
        </w:rPr>
        <w:t>5</w:t>
      </w:r>
      <w:r w:rsidRPr="005D4799">
        <w:rPr>
          <w:rFonts w:ascii="Tahoma" w:hAnsi="Tahoma" w:cs="Tahoma"/>
          <w:i/>
          <w:sz w:val="24"/>
          <w:szCs w:val="24"/>
        </w:rPr>
        <w:t xml:space="preserve">) </w:t>
      </w:r>
    </w:p>
    <w:p w14:paraId="506A6CA8" w14:textId="77777777" w:rsidR="005D4799" w:rsidRPr="005D4799" w:rsidRDefault="005D4799" w:rsidP="005D4799">
      <w:pPr>
        <w:spacing w:after="0"/>
        <w:ind w:left="720" w:hanging="720"/>
        <w:jc w:val="both"/>
        <w:rPr>
          <w:rFonts w:ascii="Tahoma" w:hAnsi="Tahoma" w:cs="Tahoma"/>
          <w:sz w:val="24"/>
          <w:szCs w:val="24"/>
        </w:rPr>
      </w:pPr>
    </w:p>
    <w:p w14:paraId="1DD7595A" w14:textId="301509C8" w:rsidR="00FC71BF" w:rsidRPr="00863A17" w:rsidRDefault="005F0769" w:rsidP="004C7E36">
      <w:pPr>
        <w:ind w:left="720" w:hanging="720"/>
        <w:jc w:val="both"/>
        <w:rPr>
          <w:rFonts w:ascii="Tahoma" w:hAnsi="Tahoma" w:cs="Tahoma"/>
          <w:sz w:val="24"/>
          <w:szCs w:val="24"/>
        </w:rPr>
      </w:pPr>
      <w:r>
        <w:rPr>
          <w:rFonts w:ascii="Tahoma" w:hAnsi="Tahoma" w:cs="Tahoma"/>
          <w:sz w:val="24"/>
          <w:szCs w:val="24"/>
        </w:rPr>
        <w:lastRenderedPageBreak/>
        <w:t>6.2</w:t>
      </w:r>
      <w:r w:rsidR="004C7E36" w:rsidRPr="00863A17">
        <w:rPr>
          <w:rFonts w:ascii="Tahoma" w:hAnsi="Tahoma" w:cs="Tahoma"/>
          <w:sz w:val="24"/>
          <w:szCs w:val="24"/>
        </w:rPr>
        <w:tab/>
      </w:r>
      <w:bookmarkStart w:id="37" w:name="_Hlk166606180"/>
      <w:r w:rsidR="001821CB" w:rsidRPr="001821CB">
        <w:rPr>
          <w:rFonts w:ascii="Tahoma" w:hAnsi="Tahoma" w:cs="Tahoma"/>
          <w:sz w:val="24"/>
          <w:szCs w:val="24"/>
        </w:rPr>
        <w:t>M-o-M weighted inflation also followed suit and dropped from 11.6% in January to 0.3% in February 2025 (see Figure 4). This significant decline suggests a growing stability of prices as businesses and consumers adjust to the prevailing market conditions (The Herald, 2025)</w:t>
      </w:r>
      <w:r w:rsidR="001821CB">
        <w:rPr>
          <w:rFonts w:ascii="Tahoma" w:hAnsi="Tahoma" w:cs="Tahoma"/>
          <w:sz w:val="24"/>
          <w:szCs w:val="24"/>
        </w:rPr>
        <w:t>.</w:t>
      </w:r>
    </w:p>
    <w:p w14:paraId="698B8FE2" w14:textId="7906B172" w:rsidR="00474E3B" w:rsidRDefault="00FA3C4E" w:rsidP="00087E0F">
      <w:pPr>
        <w:pStyle w:val="ListofFigures"/>
      </w:pPr>
      <w:bookmarkStart w:id="38" w:name="_Toc194054174"/>
      <w:bookmarkEnd w:id="37"/>
      <w:r w:rsidRPr="00863A17">
        <w:t xml:space="preserve">Figure </w:t>
      </w:r>
      <w:r w:rsidR="00610E22">
        <w:rPr>
          <w:bCs/>
        </w:rPr>
        <w:t>4</w:t>
      </w:r>
      <w:r w:rsidRPr="00863A17">
        <w:t xml:space="preserve">: </w:t>
      </w:r>
      <w:r w:rsidRPr="00863A17">
        <w:rPr>
          <w:lang w:val="en-US"/>
        </w:rPr>
        <w:t>Month</w:t>
      </w:r>
      <w:r w:rsidR="00FF7839" w:rsidRPr="00863A17">
        <w:rPr>
          <w:lang w:val="en-US"/>
        </w:rPr>
        <w:t>-</w:t>
      </w:r>
      <w:r w:rsidR="00670FF1" w:rsidRPr="00863A17">
        <w:rPr>
          <w:lang w:val="en-US"/>
        </w:rPr>
        <w:t>on</w:t>
      </w:r>
      <w:r w:rsidR="00FF7839" w:rsidRPr="00863A17">
        <w:rPr>
          <w:lang w:val="en-US"/>
        </w:rPr>
        <w:t>-</w:t>
      </w:r>
      <w:r w:rsidR="00670FF1" w:rsidRPr="00863A17">
        <w:rPr>
          <w:lang w:val="en-US"/>
        </w:rPr>
        <w:t>Month</w:t>
      </w:r>
      <w:r w:rsidR="000C78EC">
        <w:rPr>
          <w:lang w:val="en-US"/>
        </w:rPr>
        <w:t xml:space="preserve"> Weighted</w:t>
      </w:r>
      <w:r w:rsidRPr="00863A17">
        <w:rPr>
          <w:lang w:val="en-US"/>
        </w:rPr>
        <w:t xml:space="preserve"> Inflation Outturn</w:t>
      </w:r>
      <w:bookmarkEnd w:id="38"/>
    </w:p>
    <w:p w14:paraId="2A1BC82A" w14:textId="233A0B02" w:rsidR="00087E0F" w:rsidRPr="00863A17" w:rsidRDefault="006C27A8" w:rsidP="004C7E36">
      <w:pPr>
        <w:spacing w:after="0"/>
        <w:rPr>
          <w:rFonts w:ascii="Tahoma" w:hAnsi="Tahoma" w:cs="Tahoma"/>
          <w:sz w:val="24"/>
          <w:szCs w:val="24"/>
          <w:lang w:val="en-US"/>
        </w:rPr>
      </w:pPr>
      <w:r>
        <w:rPr>
          <w:noProof/>
        </w:rPr>
        <w:drawing>
          <wp:inline distT="0" distB="0" distL="0" distR="0" wp14:anchorId="04C4FEFB" wp14:editId="2BDCFEFE">
            <wp:extent cx="5731510" cy="2856865"/>
            <wp:effectExtent l="0" t="0" r="2540" b="635"/>
            <wp:docPr id="1118349602" name="Chart 1">
              <a:extLst xmlns:a="http://schemas.openxmlformats.org/drawingml/2006/main">
                <a:ext uri="{FF2B5EF4-FFF2-40B4-BE49-F238E27FC236}">
                  <a16:creationId xmlns:a16="http://schemas.microsoft.com/office/drawing/2014/main" id="{00000000-0008-0000-08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ABECA" w14:textId="00A10FBE" w:rsidR="00474E3B" w:rsidRPr="00863A17" w:rsidRDefault="004C7E36" w:rsidP="00474E3B">
      <w:pPr>
        <w:rPr>
          <w:rFonts w:ascii="Tahoma" w:hAnsi="Tahoma" w:cs="Tahoma"/>
          <w:i/>
          <w:sz w:val="24"/>
          <w:szCs w:val="24"/>
          <w:lang w:val="en-US"/>
        </w:rPr>
      </w:pPr>
      <w:r w:rsidRPr="00863A17">
        <w:rPr>
          <w:rFonts w:ascii="Tahoma" w:hAnsi="Tahoma" w:cs="Tahoma"/>
          <w:i/>
          <w:sz w:val="24"/>
          <w:szCs w:val="24"/>
          <w:lang w:val="en-US"/>
        </w:rPr>
        <w:t>Source: ZimStat (202</w:t>
      </w:r>
      <w:r w:rsidR="00D637D2">
        <w:rPr>
          <w:rFonts w:ascii="Tahoma" w:hAnsi="Tahoma" w:cs="Tahoma"/>
          <w:i/>
          <w:sz w:val="24"/>
          <w:szCs w:val="24"/>
          <w:lang w:val="en-US"/>
        </w:rPr>
        <w:t>5</w:t>
      </w:r>
      <w:r w:rsidRPr="00863A17">
        <w:rPr>
          <w:rFonts w:ascii="Tahoma" w:hAnsi="Tahoma" w:cs="Tahoma"/>
          <w:i/>
          <w:sz w:val="24"/>
          <w:szCs w:val="24"/>
          <w:lang w:val="en-US"/>
        </w:rPr>
        <w:t>)</w:t>
      </w:r>
    </w:p>
    <w:p w14:paraId="10D60275" w14:textId="4B2C23D6" w:rsidR="00474E3B" w:rsidRPr="001866A1" w:rsidRDefault="004C7E36" w:rsidP="001866A1">
      <w:pPr>
        <w:ind w:left="720" w:hanging="720"/>
        <w:jc w:val="both"/>
        <w:rPr>
          <w:rFonts w:ascii="Tahoma" w:hAnsi="Tahoma" w:cs="Tahoma"/>
          <w:sz w:val="24"/>
          <w:szCs w:val="24"/>
        </w:rPr>
      </w:pPr>
      <w:r w:rsidRPr="00863A17">
        <w:rPr>
          <w:rFonts w:ascii="Tahoma" w:hAnsi="Tahoma" w:cs="Tahoma"/>
          <w:sz w:val="24"/>
          <w:szCs w:val="24"/>
          <w:lang w:val="en-US"/>
        </w:rPr>
        <w:t>6.</w:t>
      </w:r>
      <w:r w:rsidR="005F0769">
        <w:rPr>
          <w:rFonts w:ascii="Tahoma" w:hAnsi="Tahoma" w:cs="Tahoma"/>
          <w:sz w:val="24"/>
          <w:szCs w:val="24"/>
          <w:lang w:val="en-US"/>
        </w:rPr>
        <w:t>3</w:t>
      </w:r>
      <w:r w:rsidRPr="00863A17">
        <w:rPr>
          <w:rFonts w:ascii="Tahoma" w:hAnsi="Tahoma" w:cs="Tahoma"/>
          <w:sz w:val="24"/>
          <w:szCs w:val="24"/>
          <w:lang w:val="en-US"/>
        </w:rPr>
        <w:tab/>
      </w:r>
      <w:r w:rsidR="00365637" w:rsidRPr="00365637">
        <w:rPr>
          <w:rFonts w:ascii="Tahoma" w:hAnsi="Tahoma" w:cs="Tahoma"/>
          <w:sz w:val="24"/>
          <w:szCs w:val="24"/>
        </w:rPr>
        <w:t xml:space="preserve">Food and non-alcoholic drinks, as well as housing, water, electricity, gas, and other fuels, continue to be the largest drivers </w:t>
      </w:r>
      <w:r w:rsidR="001866A1">
        <w:rPr>
          <w:rFonts w:ascii="Tahoma" w:hAnsi="Tahoma" w:cs="Tahoma"/>
          <w:sz w:val="24"/>
          <w:szCs w:val="24"/>
        </w:rPr>
        <w:t xml:space="preserve">of inflation in </w:t>
      </w:r>
      <w:r w:rsidR="009E101D">
        <w:rPr>
          <w:rFonts w:ascii="Tahoma" w:hAnsi="Tahoma" w:cs="Tahoma"/>
          <w:sz w:val="24"/>
          <w:szCs w:val="24"/>
        </w:rPr>
        <w:t>February</w:t>
      </w:r>
      <w:r w:rsidR="001866A1">
        <w:rPr>
          <w:rFonts w:ascii="Tahoma" w:hAnsi="Tahoma" w:cs="Tahoma"/>
          <w:sz w:val="24"/>
          <w:szCs w:val="24"/>
        </w:rPr>
        <w:t xml:space="preserve"> 2025 </w:t>
      </w:r>
      <w:r w:rsidR="00365637" w:rsidRPr="00365637">
        <w:rPr>
          <w:rFonts w:ascii="Tahoma" w:hAnsi="Tahoma" w:cs="Tahoma"/>
          <w:sz w:val="24"/>
          <w:szCs w:val="24"/>
        </w:rPr>
        <w:t xml:space="preserve">(see Table </w:t>
      </w:r>
      <w:r w:rsidR="004C564F">
        <w:rPr>
          <w:rFonts w:ascii="Tahoma" w:hAnsi="Tahoma" w:cs="Tahoma"/>
          <w:sz w:val="24"/>
          <w:szCs w:val="24"/>
        </w:rPr>
        <w:t>4</w:t>
      </w:r>
      <w:r w:rsidR="00365637" w:rsidRPr="00365637">
        <w:rPr>
          <w:rFonts w:ascii="Tahoma" w:hAnsi="Tahoma" w:cs="Tahoma"/>
          <w:sz w:val="24"/>
          <w:szCs w:val="24"/>
        </w:rPr>
        <w:t xml:space="preserve">). </w:t>
      </w:r>
    </w:p>
    <w:p w14:paraId="7D290962" w14:textId="5056CFF3" w:rsidR="00364947" w:rsidRDefault="003C1D2F" w:rsidP="00F05BD5">
      <w:pPr>
        <w:pStyle w:val="ListofTables"/>
        <w:spacing w:after="240"/>
      </w:pPr>
      <w:bookmarkStart w:id="39" w:name="_Toc164072366"/>
      <w:bookmarkStart w:id="40" w:name="_Toc166658893"/>
      <w:bookmarkStart w:id="41" w:name="_Toc194054139"/>
      <w:r w:rsidRPr="00863A17">
        <w:t xml:space="preserve">Table </w:t>
      </w:r>
      <w:r w:rsidR="00C919B8">
        <w:t>4</w:t>
      </w:r>
      <w:r w:rsidRPr="00863A17">
        <w:t xml:space="preserve">: </w:t>
      </w:r>
      <w:r w:rsidR="0008600D">
        <w:t xml:space="preserve">Monthly </w:t>
      </w:r>
      <w:r w:rsidRPr="00863A17">
        <w:rPr>
          <w:lang w:val="en-US"/>
        </w:rPr>
        <w:t xml:space="preserve">Inflation </w:t>
      </w:r>
      <w:r w:rsidR="00DF0401">
        <w:rPr>
          <w:lang w:val="en-US"/>
        </w:rPr>
        <w:t xml:space="preserve">for </w:t>
      </w:r>
      <w:r w:rsidR="007C19F1">
        <w:rPr>
          <w:lang w:val="en-US"/>
        </w:rPr>
        <w:t>February</w:t>
      </w:r>
      <w:r w:rsidRPr="00863A17">
        <w:rPr>
          <w:lang w:val="en-US"/>
        </w:rPr>
        <w:t xml:space="preserve"> 202</w:t>
      </w:r>
      <w:bookmarkEnd w:id="39"/>
      <w:bookmarkEnd w:id="40"/>
      <w:r w:rsidR="00427538">
        <w:rPr>
          <w:lang w:val="en-US"/>
        </w:rPr>
        <w:t>5</w:t>
      </w:r>
      <w:bookmarkEnd w:id="41"/>
    </w:p>
    <w:p w14:paraId="2A59EE5D" w14:textId="77A5E628" w:rsidR="001C152E" w:rsidRPr="00863A17" w:rsidRDefault="007C19F1" w:rsidP="004C7E36">
      <w:pPr>
        <w:spacing w:after="0"/>
        <w:rPr>
          <w:rFonts w:ascii="Tahoma" w:hAnsi="Tahoma" w:cs="Tahoma"/>
          <w:sz w:val="24"/>
          <w:szCs w:val="24"/>
          <w:lang w:val="en-US"/>
        </w:rPr>
      </w:pPr>
      <w:r w:rsidRPr="007C19F1">
        <w:rPr>
          <w:noProof/>
        </w:rPr>
        <w:drawing>
          <wp:inline distT="0" distB="0" distL="0" distR="0" wp14:anchorId="327B8C6F" wp14:editId="1F6311DE">
            <wp:extent cx="5731510" cy="2456180"/>
            <wp:effectExtent l="0" t="0" r="2540" b="1270"/>
            <wp:docPr id="24101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14875" name=""/>
                    <pic:cNvPicPr/>
                  </pic:nvPicPr>
                  <pic:blipFill>
                    <a:blip r:embed="rId17"/>
                    <a:stretch>
                      <a:fillRect/>
                    </a:stretch>
                  </pic:blipFill>
                  <pic:spPr>
                    <a:xfrm>
                      <a:off x="0" y="0"/>
                      <a:ext cx="5731510" cy="2456180"/>
                    </a:xfrm>
                    <a:prstGeom prst="rect">
                      <a:avLst/>
                    </a:prstGeom>
                  </pic:spPr>
                </pic:pic>
              </a:graphicData>
            </a:graphic>
          </wp:inline>
        </w:drawing>
      </w:r>
    </w:p>
    <w:p w14:paraId="571A1FB4" w14:textId="27A4F551"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70797C">
        <w:rPr>
          <w:rFonts w:ascii="Tahoma" w:hAnsi="Tahoma" w:cs="Tahoma"/>
          <w:i/>
          <w:sz w:val="24"/>
          <w:szCs w:val="24"/>
          <w:lang w:val="en-US"/>
        </w:rPr>
        <w:t>5</w:t>
      </w:r>
      <w:r w:rsidR="004C7E36" w:rsidRPr="00863A17">
        <w:rPr>
          <w:rFonts w:ascii="Tahoma" w:hAnsi="Tahoma" w:cs="Tahoma"/>
          <w:i/>
          <w:sz w:val="24"/>
          <w:szCs w:val="24"/>
          <w:lang w:val="en-US"/>
        </w:rPr>
        <w:t>)</w:t>
      </w:r>
    </w:p>
    <w:p w14:paraId="203F25E4"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42" w:name="_Toc166607899"/>
      <w:bookmarkStart w:id="43" w:name="_Toc194054099"/>
      <w:r w:rsidRPr="00A64F64">
        <w:rPr>
          <w:rFonts w:cs="Tahoma"/>
          <w:bCs/>
          <w:color w:val="000000"/>
          <w:szCs w:val="24"/>
          <w:lang w:val="en-US"/>
        </w:rPr>
        <w:lastRenderedPageBreak/>
        <w:t>Monetary Developments</w:t>
      </w:r>
      <w:bookmarkEnd w:id="42"/>
      <w:bookmarkEnd w:id="43"/>
      <w:r w:rsidRPr="00A64F64">
        <w:rPr>
          <w:rFonts w:cs="Tahoma"/>
          <w:bCs/>
          <w:color w:val="000000"/>
          <w:szCs w:val="24"/>
          <w:lang w:val="en-US"/>
        </w:rPr>
        <w:t xml:space="preserve"> </w:t>
      </w:r>
    </w:p>
    <w:p w14:paraId="319D6C14" w14:textId="648E93AC" w:rsidR="003D0C8C" w:rsidRPr="003D0C8C" w:rsidRDefault="003D0C8C" w:rsidP="003D0C8C">
      <w:pPr>
        <w:pStyle w:val="Heading2"/>
        <w:spacing w:before="0" w:after="240" w:line="240" w:lineRule="auto"/>
        <w:rPr>
          <w:rFonts w:cs="Tahoma"/>
          <w:b/>
          <w:color w:val="000000"/>
          <w:szCs w:val="24"/>
          <w:lang w:val="en-US"/>
        </w:rPr>
      </w:pPr>
      <w:bookmarkStart w:id="44" w:name="_Toc166607900"/>
      <w:bookmarkStart w:id="45" w:name="_Toc194054100"/>
      <w:r w:rsidRPr="003D0C8C">
        <w:rPr>
          <w:rFonts w:cs="Tahoma"/>
          <w:b/>
          <w:color w:val="000000"/>
          <w:szCs w:val="24"/>
          <w:lang w:val="en-US"/>
        </w:rPr>
        <w:t>7.1</w:t>
      </w:r>
      <w:r w:rsidRPr="003D0C8C">
        <w:rPr>
          <w:rFonts w:cs="Tahoma"/>
          <w:b/>
          <w:color w:val="000000"/>
          <w:szCs w:val="24"/>
          <w:lang w:val="en-US"/>
        </w:rPr>
        <w:tab/>
        <w:t>Money Supply</w:t>
      </w:r>
      <w:bookmarkEnd w:id="44"/>
      <w:bookmarkEnd w:id="45"/>
    </w:p>
    <w:p w14:paraId="2AE9CB1B" w14:textId="77777777" w:rsidR="001821CB" w:rsidRPr="001821CB" w:rsidRDefault="001821CB" w:rsidP="001821CB">
      <w:pPr>
        <w:ind w:left="720" w:hanging="720"/>
        <w:jc w:val="both"/>
        <w:rPr>
          <w:rFonts w:ascii="Tahoma" w:hAnsi="Tahoma" w:cs="Tahoma"/>
          <w:sz w:val="24"/>
          <w:szCs w:val="24"/>
          <w:lang w:val="en-US"/>
        </w:rPr>
      </w:pPr>
      <w:bookmarkStart w:id="46" w:name="_Hlk179978693"/>
      <w:r w:rsidRPr="001821CB">
        <w:rPr>
          <w:rFonts w:ascii="Tahoma" w:hAnsi="Tahoma" w:cs="Tahoma"/>
          <w:sz w:val="24"/>
          <w:szCs w:val="24"/>
          <w:lang w:val="en-US"/>
        </w:rPr>
        <w:t>7.1.1</w:t>
      </w:r>
      <w:r w:rsidRPr="001821CB">
        <w:rPr>
          <w:rFonts w:ascii="Tahoma" w:hAnsi="Tahoma" w:cs="Tahoma"/>
          <w:sz w:val="24"/>
          <w:szCs w:val="24"/>
          <w:lang w:val="en-US"/>
        </w:rPr>
        <w:tab/>
        <w:t xml:space="preserve">By the time of compiling this report, February 2025 money supply statistics had not been published thus analysis is based on January 2024 data. </w:t>
      </w:r>
    </w:p>
    <w:p w14:paraId="08B53D22" w14:textId="39E89BE6" w:rsidR="005C0350" w:rsidRDefault="001821CB" w:rsidP="001821CB">
      <w:pPr>
        <w:ind w:left="720" w:hanging="720"/>
        <w:jc w:val="both"/>
        <w:rPr>
          <w:rFonts w:ascii="Tahoma" w:hAnsi="Tahoma" w:cs="Tahoma"/>
          <w:sz w:val="24"/>
          <w:szCs w:val="24"/>
          <w:lang w:val="en-US"/>
        </w:rPr>
      </w:pPr>
      <w:r w:rsidRPr="001821CB">
        <w:rPr>
          <w:rFonts w:ascii="Tahoma" w:hAnsi="Tahoma" w:cs="Tahoma"/>
          <w:sz w:val="24"/>
          <w:szCs w:val="24"/>
          <w:lang w:val="en-US"/>
        </w:rPr>
        <w:t>7.1.2</w:t>
      </w:r>
      <w:r w:rsidRPr="001821CB">
        <w:rPr>
          <w:rFonts w:ascii="Tahoma" w:hAnsi="Tahoma" w:cs="Tahoma"/>
          <w:sz w:val="24"/>
          <w:szCs w:val="24"/>
          <w:lang w:val="en-US"/>
        </w:rPr>
        <w:tab/>
        <w:t>Broad money stock stood at ZWG87.12 billion in January 2025, a 0.38% decline from ZWG87.45 billion recorded in December 2024, see Figure 5. According to RBZ (2025), the foreign currency component of the money supply grew by 0.62%. Money supply stock comprised foreign deposits (84.08%), local currency deposits (115.8%), and local currency in circulation (0.12%). Money supply stock dropped by 0.38% in January 2025.</w:t>
      </w:r>
      <w:bookmarkEnd w:id="46"/>
    </w:p>
    <w:p w14:paraId="3EB05CF1" w14:textId="7E7C554E" w:rsidR="000A50AA" w:rsidRDefault="000A50AA" w:rsidP="006C526D">
      <w:pPr>
        <w:pStyle w:val="ListofFigures"/>
      </w:pPr>
      <w:bookmarkStart w:id="47" w:name="_Toc194054175"/>
      <w:r w:rsidRPr="00E70553">
        <w:t xml:space="preserve">Figure </w:t>
      </w:r>
      <w:r w:rsidR="00ED2B96">
        <w:t>5</w:t>
      </w:r>
      <w:r w:rsidR="005C0350">
        <w:t>:</w:t>
      </w:r>
      <w:r w:rsidRPr="00E70553">
        <w:t xml:space="preserve"> Broad Money (M3) Supply</w:t>
      </w:r>
      <w:bookmarkEnd w:id="47"/>
    </w:p>
    <w:p w14:paraId="0CE5423E" w14:textId="174A29E2" w:rsidR="006C526D" w:rsidRDefault="003C43DD" w:rsidP="00C36C70">
      <w:pPr>
        <w:spacing w:after="0"/>
        <w:ind w:left="720" w:hanging="720"/>
        <w:jc w:val="both"/>
        <w:rPr>
          <w:noProof/>
          <w:lang w:eastAsia="en-ZW"/>
        </w:rPr>
      </w:pPr>
      <w:r>
        <w:rPr>
          <w:noProof/>
        </w:rPr>
        <w:drawing>
          <wp:inline distT="0" distB="0" distL="0" distR="0" wp14:anchorId="13357ADA" wp14:editId="212EA47F">
            <wp:extent cx="5731510" cy="2306955"/>
            <wp:effectExtent l="0" t="0" r="2540" b="17145"/>
            <wp:docPr id="756508722" name="Chart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EA6E2F" w14:textId="57F626DF" w:rsidR="00C36C70" w:rsidRDefault="00C36C70" w:rsidP="00816384">
      <w:pPr>
        <w:ind w:left="720" w:hanging="720"/>
        <w:jc w:val="both"/>
        <w:rPr>
          <w:rFonts w:ascii="Tahoma" w:hAnsi="Tahoma" w:cs="Tahoma"/>
          <w:i/>
          <w:noProof/>
          <w:sz w:val="24"/>
          <w:szCs w:val="24"/>
          <w:lang w:eastAsia="en-ZW"/>
        </w:rPr>
      </w:pPr>
      <w:r w:rsidRPr="00C36C70">
        <w:rPr>
          <w:rFonts w:ascii="Tahoma" w:hAnsi="Tahoma" w:cs="Tahoma"/>
          <w:i/>
          <w:noProof/>
          <w:sz w:val="24"/>
          <w:szCs w:val="24"/>
          <w:lang w:eastAsia="en-ZW"/>
        </w:rPr>
        <w:t>Source: RBZ (202</w:t>
      </w:r>
      <w:r w:rsidR="00436220">
        <w:rPr>
          <w:rFonts w:ascii="Tahoma" w:hAnsi="Tahoma" w:cs="Tahoma"/>
          <w:i/>
          <w:noProof/>
          <w:sz w:val="24"/>
          <w:szCs w:val="24"/>
          <w:lang w:eastAsia="en-ZW"/>
        </w:rPr>
        <w:t>4</w:t>
      </w:r>
      <w:r w:rsidRPr="00C36C70">
        <w:rPr>
          <w:rFonts w:ascii="Tahoma" w:hAnsi="Tahoma" w:cs="Tahoma"/>
          <w:i/>
          <w:noProof/>
          <w:sz w:val="24"/>
          <w:szCs w:val="24"/>
          <w:lang w:eastAsia="en-ZW"/>
        </w:rPr>
        <w:t>)</w:t>
      </w:r>
    </w:p>
    <w:p w14:paraId="3A74FAA5" w14:textId="77777777" w:rsidR="00C36C70" w:rsidRPr="00FE4A95" w:rsidRDefault="005D2E94" w:rsidP="00FE4A95">
      <w:pPr>
        <w:pStyle w:val="Heading2"/>
        <w:spacing w:before="0" w:after="240" w:line="240" w:lineRule="auto"/>
        <w:rPr>
          <w:rFonts w:cs="Tahoma"/>
          <w:b/>
          <w:color w:val="000000"/>
          <w:szCs w:val="24"/>
          <w:lang w:val="en-US"/>
        </w:rPr>
      </w:pPr>
      <w:bookmarkStart w:id="48" w:name="_Toc194054101"/>
      <w:r>
        <w:rPr>
          <w:rFonts w:cs="Tahoma"/>
          <w:b/>
          <w:color w:val="000000"/>
          <w:szCs w:val="24"/>
          <w:lang w:val="en-US"/>
        </w:rPr>
        <w:t>7.2</w:t>
      </w:r>
      <w:r w:rsidR="00D6287E">
        <w:rPr>
          <w:rFonts w:cs="Tahoma"/>
          <w:b/>
          <w:color w:val="000000"/>
          <w:szCs w:val="24"/>
          <w:lang w:val="en-US"/>
        </w:rPr>
        <w:tab/>
        <w:t>Interest Rates</w:t>
      </w:r>
      <w:bookmarkEnd w:id="48"/>
      <w:r>
        <w:rPr>
          <w:rFonts w:cs="Tahoma"/>
          <w:b/>
          <w:color w:val="000000"/>
          <w:szCs w:val="24"/>
          <w:lang w:val="en-US"/>
        </w:rPr>
        <w:t xml:space="preserve"> </w:t>
      </w:r>
    </w:p>
    <w:p w14:paraId="34C069C1" w14:textId="2CD08AD7" w:rsidR="00D50A5E" w:rsidRDefault="005D2E94" w:rsidP="001821CB">
      <w:pPr>
        <w:ind w:left="720" w:hanging="720"/>
        <w:jc w:val="both"/>
        <w:rPr>
          <w:rFonts w:ascii="Tahoma" w:hAnsi="Tahoma" w:cs="Tahoma"/>
          <w:sz w:val="24"/>
          <w:szCs w:val="24"/>
          <w:lang w:val="en-US"/>
        </w:rPr>
      </w:pPr>
      <w:r>
        <w:rPr>
          <w:rFonts w:ascii="Tahoma" w:hAnsi="Tahoma" w:cs="Tahoma"/>
          <w:sz w:val="24"/>
          <w:szCs w:val="24"/>
          <w:lang w:val="en-US"/>
        </w:rPr>
        <w:t>7.1.1</w:t>
      </w:r>
      <w:r w:rsidR="00866209">
        <w:rPr>
          <w:rFonts w:ascii="Tahoma" w:hAnsi="Tahoma" w:cs="Tahoma"/>
          <w:sz w:val="24"/>
          <w:szCs w:val="24"/>
          <w:lang w:val="en-US"/>
        </w:rPr>
        <w:tab/>
      </w:r>
      <w:bookmarkStart w:id="49" w:name="_Hlk166606487"/>
      <w:r w:rsidR="001821CB" w:rsidRPr="001821CB">
        <w:rPr>
          <w:rFonts w:ascii="Tahoma" w:hAnsi="Tahoma" w:cs="Tahoma"/>
          <w:sz w:val="24"/>
          <w:szCs w:val="24"/>
          <w:lang w:val="en-US"/>
        </w:rPr>
        <w:t>As of 28 February 2025, the average commercial bank deposit rate for savings in local currency was reviewed upward to 3.81% minimum and 4.14% maximum, also it was reviewed to 1.69% minimum and 1.72% maximum in foreign currency. Regarding the weighted lending rate on foreign currency, the minimum rate for individuals was raised to 12.81% while the maximum rate was lowered to 17.25%, the minimum rate for corporates was also raised to 10.93% while the maximum rate was reduced to 16.03%. Weighted lending rates on local currency for both individuals and corporates were reviewed upwards, see Table 5.</w:t>
      </w:r>
    </w:p>
    <w:p w14:paraId="72A86206" w14:textId="60E41109" w:rsidR="00885493" w:rsidRPr="00885493" w:rsidRDefault="00873DFE" w:rsidP="00885493">
      <w:pPr>
        <w:pStyle w:val="ListofTables"/>
        <w:rPr>
          <w:lang w:val="en-US"/>
        </w:rPr>
      </w:pPr>
      <w:bookmarkStart w:id="50" w:name="_Toc194054140"/>
      <w:r>
        <w:rPr>
          <w:lang w:val="en-US"/>
        </w:rPr>
        <w:t xml:space="preserve">Table </w:t>
      </w:r>
      <w:r w:rsidR="00042A6F">
        <w:rPr>
          <w:lang w:val="en-US"/>
        </w:rPr>
        <w:t>5</w:t>
      </w:r>
      <w:r>
        <w:rPr>
          <w:lang w:val="en-US"/>
        </w:rPr>
        <w:t xml:space="preserve">: Interest Rates as of </w:t>
      </w:r>
      <w:r w:rsidR="00561DF1">
        <w:rPr>
          <w:lang w:val="en-US"/>
        </w:rPr>
        <w:t>28 February</w:t>
      </w:r>
      <w:r>
        <w:rPr>
          <w:lang w:val="en-US"/>
        </w:rPr>
        <w:t xml:space="preserve"> 202</w:t>
      </w:r>
      <w:r w:rsidR="009E6B99">
        <w:rPr>
          <w:lang w:val="en-US"/>
        </w:rPr>
        <w:t>5</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1418"/>
        <w:gridCol w:w="1417"/>
        <w:gridCol w:w="1418"/>
        <w:gridCol w:w="1479"/>
      </w:tblGrid>
      <w:tr w:rsidR="002E6581" w:rsidRPr="002E6581" w14:paraId="40623AD7" w14:textId="77777777" w:rsidTr="00027D8A">
        <w:tc>
          <w:tcPr>
            <w:tcW w:w="3510" w:type="dxa"/>
            <w:gridSpan w:val="2"/>
          </w:tcPr>
          <w:p w14:paraId="2EE0CA6C" w14:textId="77777777" w:rsidR="002E6581" w:rsidRPr="002E6581" w:rsidRDefault="002E6581" w:rsidP="002E6581">
            <w:pPr>
              <w:spacing w:after="0" w:line="240" w:lineRule="auto"/>
              <w:jc w:val="center"/>
              <w:rPr>
                <w:rFonts w:ascii="Tahoma" w:eastAsia="Times New Roman" w:hAnsi="Tahoma" w:cs="Tahoma"/>
                <w:b/>
                <w:bCs/>
                <w:sz w:val="24"/>
                <w:szCs w:val="24"/>
              </w:rPr>
            </w:pPr>
            <w:r w:rsidRPr="002E6581">
              <w:rPr>
                <w:rFonts w:ascii="Tahoma" w:eastAsia="Times New Roman" w:hAnsi="Tahoma" w:cs="Tahoma"/>
                <w:b/>
                <w:bCs/>
                <w:sz w:val="24"/>
                <w:szCs w:val="24"/>
              </w:rPr>
              <w:t>Classification</w:t>
            </w:r>
          </w:p>
        </w:tc>
        <w:tc>
          <w:tcPr>
            <w:tcW w:w="2835" w:type="dxa"/>
            <w:gridSpan w:val="2"/>
          </w:tcPr>
          <w:p w14:paraId="00C24C35"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Minimum (%)</w:t>
            </w:r>
          </w:p>
        </w:tc>
        <w:tc>
          <w:tcPr>
            <w:tcW w:w="2897" w:type="dxa"/>
            <w:gridSpan w:val="2"/>
          </w:tcPr>
          <w:p w14:paraId="38F23EDB"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Maximum (%)</w:t>
            </w:r>
          </w:p>
        </w:tc>
      </w:tr>
      <w:tr w:rsidR="002E6581" w:rsidRPr="002E6581" w14:paraId="0C51C3A7" w14:textId="77777777" w:rsidTr="00027D8A">
        <w:tc>
          <w:tcPr>
            <w:tcW w:w="3510" w:type="dxa"/>
            <w:gridSpan w:val="2"/>
          </w:tcPr>
          <w:p w14:paraId="137822E6" w14:textId="77777777" w:rsidR="002E6581" w:rsidRPr="002E6581" w:rsidRDefault="002E6581" w:rsidP="002E6581">
            <w:pPr>
              <w:spacing w:after="0" w:line="240" w:lineRule="auto"/>
              <w:jc w:val="center"/>
              <w:rPr>
                <w:rFonts w:ascii="Tahoma" w:eastAsia="Times New Roman" w:hAnsi="Tahoma" w:cs="Tahoma"/>
                <w:b/>
                <w:bCs/>
                <w:sz w:val="24"/>
                <w:szCs w:val="24"/>
              </w:rPr>
            </w:pPr>
          </w:p>
        </w:tc>
        <w:tc>
          <w:tcPr>
            <w:tcW w:w="1418" w:type="dxa"/>
          </w:tcPr>
          <w:p w14:paraId="02DF8E67" w14:textId="4087DCD3" w:rsidR="002E6581" w:rsidRPr="002E6581" w:rsidRDefault="00606B1B"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17/01/25</w:t>
            </w:r>
          </w:p>
        </w:tc>
        <w:tc>
          <w:tcPr>
            <w:tcW w:w="1417" w:type="dxa"/>
          </w:tcPr>
          <w:p w14:paraId="5566A569" w14:textId="0D4D1C1E" w:rsidR="002E6581" w:rsidRPr="002E6581" w:rsidRDefault="00606B1B" w:rsidP="002E6581">
            <w:pPr>
              <w:spacing w:after="0" w:line="240" w:lineRule="auto"/>
              <w:rPr>
                <w:rFonts w:ascii="Tahoma" w:eastAsia="Times New Roman" w:hAnsi="Tahoma" w:cs="Tahoma"/>
                <w:b/>
                <w:bCs/>
                <w:sz w:val="24"/>
                <w:szCs w:val="24"/>
              </w:rPr>
            </w:pPr>
            <w:r>
              <w:rPr>
                <w:rFonts w:ascii="Tahoma" w:eastAsia="Times New Roman" w:hAnsi="Tahoma" w:cs="Tahoma"/>
                <w:b/>
                <w:bCs/>
                <w:sz w:val="24"/>
                <w:szCs w:val="24"/>
              </w:rPr>
              <w:t>28</w:t>
            </w:r>
            <w:r w:rsidR="002E6581" w:rsidRPr="002E6581">
              <w:rPr>
                <w:rFonts w:ascii="Tahoma" w:eastAsia="Times New Roman" w:hAnsi="Tahoma" w:cs="Tahoma"/>
                <w:b/>
                <w:bCs/>
                <w:sz w:val="24"/>
                <w:szCs w:val="24"/>
              </w:rPr>
              <w:t>/0</w:t>
            </w:r>
            <w:r>
              <w:rPr>
                <w:rFonts w:ascii="Tahoma" w:eastAsia="Times New Roman" w:hAnsi="Tahoma" w:cs="Tahoma"/>
                <w:b/>
                <w:bCs/>
                <w:sz w:val="24"/>
                <w:szCs w:val="24"/>
              </w:rPr>
              <w:t>2</w:t>
            </w:r>
            <w:r w:rsidR="002E6581" w:rsidRPr="002E6581">
              <w:rPr>
                <w:rFonts w:ascii="Tahoma" w:eastAsia="Times New Roman" w:hAnsi="Tahoma" w:cs="Tahoma"/>
                <w:b/>
                <w:bCs/>
                <w:sz w:val="24"/>
                <w:szCs w:val="24"/>
              </w:rPr>
              <w:t>/25</w:t>
            </w:r>
          </w:p>
        </w:tc>
        <w:tc>
          <w:tcPr>
            <w:tcW w:w="1418" w:type="dxa"/>
          </w:tcPr>
          <w:p w14:paraId="5DE49C7D" w14:textId="69962D55" w:rsidR="002E6581" w:rsidRPr="002E6581" w:rsidRDefault="00606B1B"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17/01/25</w:t>
            </w:r>
          </w:p>
        </w:tc>
        <w:tc>
          <w:tcPr>
            <w:tcW w:w="1479" w:type="dxa"/>
          </w:tcPr>
          <w:p w14:paraId="2654551B" w14:textId="6415B6B3" w:rsidR="002E6581" w:rsidRPr="002E6581" w:rsidRDefault="00041D89" w:rsidP="002E6581">
            <w:pPr>
              <w:spacing w:after="0" w:line="240" w:lineRule="auto"/>
              <w:rPr>
                <w:rFonts w:ascii="Tahoma" w:eastAsia="Times New Roman" w:hAnsi="Tahoma" w:cs="Tahoma"/>
                <w:b/>
                <w:bCs/>
                <w:sz w:val="24"/>
                <w:szCs w:val="24"/>
              </w:rPr>
            </w:pPr>
            <w:r>
              <w:rPr>
                <w:rFonts w:ascii="Tahoma" w:eastAsia="Times New Roman" w:hAnsi="Tahoma" w:cs="Tahoma"/>
                <w:b/>
                <w:bCs/>
                <w:sz w:val="24"/>
                <w:szCs w:val="24"/>
              </w:rPr>
              <w:t>28</w:t>
            </w:r>
            <w:r w:rsidR="002E6581" w:rsidRPr="002E6581">
              <w:rPr>
                <w:rFonts w:ascii="Tahoma" w:eastAsia="Times New Roman" w:hAnsi="Tahoma" w:cs="Tahoma"/>
                <w:b/>
                <w:bCs/>
                <w:sz w:val="24"/>
                <w:szCs w:val="24"/>
              </w:rPr>
              <w:t>/0</w:t>
            </w:r>
            <w:r>
              <w:rPr>
                <w:rFonts w:ascii="Tahoma" w:eastAsia="Times New Roman" w:hAnsi="Tahoma" w:cs="Tahoma"/>
                <w:b/>
                <w:bCs/>
                <w:sz w:val="24"/>
                <w:szCs w:val="24"/>
              </w:rPr>
              <w:t>2</w:t>
            </w:r>
            <w:r w:rsidR="002E6581" w:rsidRPr="002E6581">
              <w:rPr>
                <w:rFonts w:ascii="Tahoma" w:eastAsia="Times New Roman" w:hAnsi="Tahoma" w:cs="Tahoma"/>
                <w:b/>
                <w:bCs/>
                <w:sz w:val="24"/>
                <w:szCs w:val="24"/>
              </w:rPr>
              <w:t>/25</w:t>
            </w:r>
          </w:p>
        </w:tc>
      </w:tr>
      <w:tr w:rsidR="002E6581" w:rsidRPr="002E6581" w14:paraId="35C617FE" w14:textId="77777777" w:rsidTr="00027D8A">
        <w:trPr>
          <w:trHeight w:val="277"/>
        </w:trPr>
        <w:tc>
          <w:tcPr>
            <w:tcW w:w="1668" w:type="dxa"/>
            <w:vMerge w:val="restart"/>
          </w:tcPr>
          <w:p w14:paraId="37CBA52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 xml:space="preserve">Average Commercial </w:t>
            </w:r>
            <w:r w:rsidRPr="002E6581">
              <w:rPr>
                <w:rFonts w:ascii="Tahoma" w:eastAsia="Times New Roman" w:hAnsi="Tahoma" w:cs="Tahoma"/>
                <w:sz w:val="24"/>
                <w:szCs w:val="24"/>
              </w:rPr>
              <w:lastRenderedPageBreak/>
              <w:t>Bank Deposit Rates</w:t>
            </w:r>
          </w:p>
        </w:tc>
        <w:tc>
          <w:tcPr>
            <w:tcW w:w="1842" w:type="dxa"/>
          </w:tcPr>
          <w:p w14:paraId="1A8B879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lastRenderedPageBreak/>
              <w:t>Local Currency</w:t>
            </w:r>
          </w:p>
        </w:tc>
        <w:tc>
          <w:tcPr>
            <w:tcW w:w="1418" w:type="dxa"/>
          </w:tcPr>
          <w:p w14:paraId="75DD44BB" w14:textId="5F4F4DAC"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3.</w:t>
            </w:r>
            <w:r w:rsidR="00606B1B">
              <w:rPr>
                <w:rFonts w:ascii="Tahoma" w:eastAsia="Times New Roman" w:hAnsi="Tahoma" w:cs="Tahoma"/>
                <w:sz w:val="24"/>
                <w:szCs w:val="24"/>
              </w:rPr>
              <w:t>38</w:t>
            </w:r>
          </w:p>
        </w:tc>
        <w:tc>
          <w:tcPr>
            <w:tcW w:w="1417" w:type="dxa"/>
          </w:tcPr>
          <w:p w14:paraId="44A29F76" w14:textId="5F87E86D" w:rsidR="002E6581" w:rsidRPr="002E6581" w:rsidRDefault="00041D89" w:rsidP="002E6581">
            <w:pPr>
              <w:spacing w:after="0" w:line="240" w:lineRule="auto"/>
              <w:rPr>
                <w:rFonts w:ascii="Tahoma" w:eastAsia="Times New Roman" w:hAnsi="Tahoma" w:cs="Tahoma"/>
                <w:sz w:val="24"/>
                <w:szCs w:val="24"/>
              </w:rPr>
            </w:pPr>
            <w:r>
              <w:rPr>
                <w:rFonts w:ascii="Tahoma" w:eastAsia="Times New Roman" w:hAnsi="Tahoma" w:cs="Tahoma"/>
                <w:sz w:val="24"/>
                <w:szCs w:val="24"/>
              </w:rPr>
              <w:t>3.81</w:t>
            </w:r>
          </w:p>
        </w:tc>
        <w:tc>
          <w:tcPr>
            <w:tcW w:w="1418" w:type="dxa"/>
          </w:tcPr>
          <w:p w14:paraId="2DCC5081" w14:textId="3CFE660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3.</w:t>
            </w:r>
            <w:r w:rsidR="00041D89">
              <w:rPr>
                <w:rFonts w:ascii="Tahoma" w:eastAsia="Times New Roman" w:hAnsi="Tahoma" w:cs="Tahoma"/>
                <w:sz w:val="24"/>
                <w:szCs w:val="24"/>
              </w:rPr>
              <w:t>54</w:t>
            </w:r>
          </w:p>
        </w:tc>
        <w:tc>
          <w:tcPr>
            <w:tcW w:w="1479" w:type="dxa"/>
          </w:tcPr>
          <w:p w14:paraId="12392827" w14:textId="65571E2D" w:rsidR="002E6581" w:rsidRPr="002E6581" w:rsidRDefault="00041D89" w:rsidP="002E6581">
            <w:pPr>
              <w:spacing w:after="0" w:line="240" w:lineRule="auto"/>
              <w:rPr>
                <w:rFonts w:ascii="Tahoma" w:eastAsia="Times New Roman" w:hAnsi="Tahoma" w:cs="Tahoma"/>
                <w:sz w:val="24"/>
                <w:szCs w:val="24"/>
              </w:rPr>
            </w:pPr>
            <w:r>
              <w:rPr>
                <w:rFonts w:ascii="Tahoma" w:eastAsia="Times New Roman" w:hAnsi="Tahoma" w:cs="Tahoma"/>
                <w:sz w:val="24"/>
                <w:szCs w:val="24"/>
              </w:rPr>
              <w:t>4.14</w:t>
            </w:r>
          </w:p>
        </w:tc>
      </w:tr>
      <w:tr w:rsidR="002E6581" w:rsidRPr="002E6581" w14:paraId="244CE27C" w14:textId="77777777" w:rsidTr="00027D8A">
        <w:tc>
          <w:tcPr>
            <w:tcW w:w="1668" w:type="dxa"/>
            <w:vMerge/>
          </w:tcPr>
          <w:p w14:paraId="0B932B1E" w14:textId="77777777" w:rsidR="002E6581" w:rsidRPr="002E6581" w:rsidRDefault="002E6581" w:rsidP="002E6581">
            <w:pPr>
              <w:spacing w:after="0" w:line="240" w:lineRule="auto"/>
              <w:rPr>
                <w:rFonts w:ascii="Tahoma" w:eastAsia="Times New Roman" w:hAnsi="Tahoma" w:cs="Tahoma"/>
                <w:sz w:val="24"/>
                <w:szCs w:val="24"/>
              </w:rPr>
            </w:pPr>
          </w:p>
        </w:tc>
        <w:tc>
          <w:tcPr>
            <w:tcW w:w="1842" w:type="dxa"/>
          </w:tcPr>
          <w:p w14:paraId="27E9C81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Foreign Currency</w:t>
            </w:r>
          </w:p>
        </w:tc>
        <w:tc>
          <w:tcPr>
            <w:tcW w:w="1418" w:type="dxa"/>
          </w:tcPr>
          <w:p w14:paraId="4EADB195"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1.35</w:t>
            </w:r>
          </w:p>
        </w:tc>
        <w:tc>
          <w:tcPr>
            <w:tcW w:w="1417" w:type="dxa"/>
          </w:tcPr>
          <w:p w14:paraId="788286CE" w14:textId="6B5E40A3"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w:t>
            </w:r>
            <w:r w:rsidR="00041D89">
              <w:rPr>
                <w:rFonts w:ascii="Tahoma" w:eastAsia="Times New Roman" w:hAnsi="Tahoma" w:cs="Tahoma"/>
                <w:sz w:val="24"/>
                <w:szCs w:val="24"/>
              </w:rPr>
              <w:t>69</w:t>
            </w:r>
          </w:p>
        </w:tc>
        <w:tc>
          <w:tcPr>
            <w:tcW w:w="1418" w:type="dxa"/>
          </w:tcPr>
          <w:p w14:paraId="427A7955"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1.57</w:t>
            </w:r>
          </w:p>
        </w:tc>
        <w:tc>
          <w:tcPr>
            <w:tcW w:w="1479" w:type="dxa"/>
          </w:tcPr>
          <w:p w14:paraId="6F8D8C51" w14:textId="02FCFCDC"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w:t>
            </w:r>
            <w:r w:rsidR="00041D89">
              <w:rPr>
                <w:rFonts w:ascii="Tahoma" w:eastAsia="Times New Roman" w:hAnsi="Tahoma" w:cs="Tahoma"/>
                <w:sz w:val="24"/>
                <w:szCs w:val="24"/>
              </w:rPr>
              <w:t>72</w:t>
            </w:r>
          </w:p>
        </w:tc>
      </w:tr>
      <w:tr w:rsidR="002E6581" w:rsidRPr="002E6581" w14:paraId="1B47E20A" w14:textId="77777777" w:rsidTr="00027D8A">
        <w:trPr>
          <w:trHeight w:val="288"/>
        </w:trPr>
        <w:tc>
          <w:tcPr>
            <w:tcW w:w="1668" w:type="dxa"/>
            <w:vMerge w:val="restart"/>
          </w:tcPr>
          <w:p w14:paraId="3499679E"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Commercial Banks Weighted Lending Rates (Forex)</w:t>
            </w:r>
          </w:p>
        </w:tc>
        <w:tc>
          <w:tcPr>
            <w:tcW w:w="1842" w:type="dxa"/>
          </w:tcPr>
          <w:p w14:paraId="7C28F78E"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Individuals</w:t>
            </w:r>
          </w:p>
        </w:tc>
        <w:tc>
          <w:tcPr>
            <w:tcW w:w="1418" w:type="dxa"/>
          </w:tcPr>
          <w:p w14:paraId="4AADF6A6" w14:textId="49243741"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w:t>
            </w:r>
            <w:r w:rsidR="00606B1B">
              <w:rPr>
                <w:rFonts w:ascii="Tahoma" w:eastAsia="Times New Roman" w:hAnsi="Tahoma" w:cs="Tahoma"/>
                <w:sz w:val="24"/>
                <w:szCs w:val="24"/>
              </w:rPr>
              <w:t>2.79</w:t>
            </w:r>
          </w:p>
        </w:tc>
        <w:tc>
          <w:tcPr>
            <w:tcW w:w="1417" w:type="dxa"/>
          </w:tcPr>
          <w:p w14:paraId="0EDC2615" w14:textId="7F4F44DA" w:rsidR="002E6581" w:rsidRPr="002E6581" w:rsidRDefault="00041D89" w:rsidP="002E6581">
            <w:pPr>
              <w:spacing w:after="0" w:line="240" w:lineRule="auto"/>
              <w:rPr>
                <w:rFonts w:ascii="Tahoma" w:eastAsia="Times New Roman" w:hAnsi="Tahoma" w:cs="Tahoma"/>
                <w:sz w:val="24"/>
                <w:szCs w:val="24"/>
              </w:rPr>
            </w:pPr>
            <w:r>
              <w:rPr>
                <w:rFonts w:ascii="Tahoma" w:eastAsia="Times New Roman" w:hAnsi="Tahoma" w:cs="Tahoma"/>
                <w:sz w:val="24"/>
                <w:szCs w:val="24"/>
              </w:rPr>
              <w:t>12.81</w:t>
            </w:r>
          </w:p>
        </w:tc>
        <w:tc>
          <w:tcPr>
            <w:tcW w:w="1418" w:type="dxa"/>
          </w:tcPr>
          <w:p w14:paraId="2EADBD0F" w14:textId="04C91CFD" w:rsidR="00041D89"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17.</w:t>
            </w:r>
            <w:r w:rsidR="00041D89">
              <w:rPr>
                <w:rFonts w:ascii="Tahoma" w:eastAsia="Times New Roman" w:hAnsi="Tahoma" w:cs="Tahoma"/>
                <w:sz w:val="24"/>
                <w:szCs w:val="24"/>
              </w:rPr>
              <w:t>33</w:t>
            </w:r>
          </w:p>
        </w:tc>
        <w:tc>
          <w:tcPr>
            <w:tcW w:w="1479" w:type="dxa"/>
          </w:tcPr>
          <w:p w14:paraId="5A3AC296" w14:textId="6C7D90D5"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17.</w:t>
            </w:r>
            <w:r w:rsidR="00041D89">
              <w:rPr>
                <w:rFonts w:ascii="Tahoma" w:eastAsia="Times New Roman" w:hAnsi="Tahoma" w:cs="Tahoma"/>
                <w:sz w:val="24"/>
                <w:szCs w:val="24"/>
              </w:rPr>
              <w:t>25</w:t>
            </w:r>
          </w:p>
        </w:tc>
      </w:tr>
      <w:tr w:rsidR="002E6581" w:rsidRPr="002E6581" w14:paraId="241AFC28" w14:textId="77777777" w:rsidTr="00027D8A">
        <w:tc>
          <w:tcPr>
            <w:tcW w:w="1668" w:type="dxa"/>
            <w:vMerge/>
          </w:tcPr>
          <w:p w14:paraId="2FB7628A" w14:textId="77777777" w:rsidR="002E6581" w:rsidRPr="002E6581" w:rsidRDefault="002E6581" w:rsidP="002E6581">
            <w:pPr>
              <w:spacing w:after="0" w:line="240" w:lineRule="auto"/>
              <w:rPr>
                <w:rFonts w:ascii="Tahoma" w:eastAsia="Times New Roman" w:hAnsi="Tahoma" w:cs="Tahoma"/>
                <w:sz w:val="24"/>
                <w:szCs w:val="24"/>
              </w:rPr>
            </w:pPr>
          </w:p>
        </w:tc>
        <w:tc>
          <w:tcPr>
            <w:tcW w:w="1842" w:type="dxa"/>
          </w:tcPr>
          <w:p w14:paraId="294C17DC"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Corporates</w:t>
            </w:r>
          </w:p>
        </w:tc>
        <w:tc>
          <w:tcPr>
            <w:tcW w:w="1418" w:type="dxa"/>
          </w:tcPr>
          <w:p w14:paraId="673C1096" w14:textId="007805E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10.6</w:t>
            </w:r>
            <w:r w:rsidR="00606B1B">
              <w:rPr>
                <w:rFonts w:ascii="Tahoma" w:eastAsia="Times New Roman" w:hAnsi="Tahoma" w:cs="Tahoma"/>
                <w:sz w:val="24"/>
                <w:szCs w:val="24"/>
              </w:rPr>
              <w:t>2</w:t>
            </w:r>
          </w:p>
        </w:tc>
        <w:tc>
          <w:tcPr>
            <w:tcW w:w="1417" w:type="dxa"/>
          </w:tcPr>
          <w:p w14:paraId="06553724" w14:textId="5844485E"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10.</w:t>
            </w:r>
            <w:r w:rsidR="00041D89">
              <w:rPr>
                <w:rFonts w:ascii="Tahoma" w:eastAsia="Times New Roman" w:hAnsi="Tahoma" w:cs="Tahoma"/>
                <w:sz w:val="24"/>
                <w:szCs w:val="24"/>
              </w:rPr>
              <w:t>93</w:t>
            </w:r>
          </w:p>
        </w:tc>
        <w:tc>
          <w:tcPr>
            <w:tcW w:w="1418" w:type="dxa"/>
          </w:tcPr>
          <w:p w14:paraId="0E312218" w14:textId="2F42B3F4"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16.</w:t>
            </w:r>
            <w:r w:rsidR="00041D89">
              <w:rPr>
                <w:rFonts w:ascii="Tahoma" w:eastAsia="Times New Roman" w:hAnsi="Tahoma" w:cs="Tahoma"/>
                <w:sz w:val="24"/>
                <w:szCs w:val="24"/>
              </w:rPr>
              <w:t>34</w:t>
            </w:r>
          </w:p>
        </w:tc>
        <w:tc>
          <w:tcPr>
            <w:tcW w:w="1479" w:type="dxa"/>
          </w:tcPr>
          <w:p w14:paraId="0DF5A72C" w14:textId="4C1C9E03"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16.</w:t>
            </w:r>
            <w:r w:rsidR="00041D89">
              <w:rPr>
                <w:rFonts w:ascii="Tahoma" w:eastAsia="Times New Roman" w:hAnsi="Tahoma" w:cs="Tahoma"/>
                <w:sz w:val="24"/>
                <w:szCs w:val="24"/>
              </w:rPr>
              <w:t>03</w:t>
            </w:r>
          </w:p>
        </w:tc>
      </w:tr>
      <w:tr w:rsidR="002E6581" w:rsidRPr="002E6581" w14:paraId="0BDC253F" w14:textId="77777777" w:rsidTr="00027D8A">
        <w:tc>
          <w:tcPr>
            <w:tcW w:w="1668" w:type="dxa"/>
            <w:vMerge w:val="restart"/>
          </w:tcPr>
          <w:p w14:paraId="3A4854B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Commercial Banks Weighted Lending Rates (ZWG)</w:t>
            </w:r>
          </w:p>
        </w:tc>
        <w:tc>
          <w:tcPr>
            <w:tcW w:w="1842" w:type="dxa"/>
          </w:tcPr>
          <w:p w14:paraId="03E69D37"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Individuals</w:t>
            </w:r>
          </w:p>
        </w:tc>
        <w:tc>
          <w:tcPr>
            <w:tcW w:w="1418" w:type="dxa"/>
          </w:tcPr>
          <w:p w14:paraId="412A0B51" w14:textId="7B2B74F9"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41.</w:t>
            </w:r>
            <w:r w:rsidR="00606B1B">
              <w:rPr>
                <w:rFonts w:ascii="Tahoma" w:eastAsia="Times New Roman" w:hAnsi="Tahoma" w:cs="Tahoma"/>
                <w:sz w:val="24"/>
                <w:szCs w:val="24"/>
              </w:rPr>
              <w:t>60</w:t>
            </w:r>
          </w:p>
        </w:tc>
        <w:tc>
          <w:tcPr>
            <w:tcW w:w="1417" w:type="dxa"/>
          </w:tcPr>
          <w:p w14:paraId="0500EF15" w14:textId="6E0A001F" w:rsidR="002E6581" w:rsidRPr="002E6581" w:rsidRDefault="00CE31EE" w:rsidP="002E6581">
            <w:pPr>
              <w:spacing w:after="0" w:line="240" w:lineRule="auto"/>
              <w:rPr>
                <w:rFonts w:ascii="Tahoma" w:eastAsia="Times New Roman" w:hAnsi="Tahoma" w:cs="Tahoma"/>
                <w:sz w:val="24"/>
                <w:szCs w:val="24"/>
              </w:rPr>
            </w:pPr>
            <w:r>
              <w:rPr>
                <w:rFonts w:ascii="Tahoma" w:eastAsia="Times New Roman" w:hAnsi="Tahoma" w:cs="Tahoma"/>
                <w:sz w:val="24"/>
                <w:szCs w:val="24"/>
              </w:rPr>
              <w:t>43</w:t>
            </w:r>
          </w:p>
        </w:tc>
        <w:tc>
          <w:tcPr>
            <w:tcW w:w="1418" w:type="dxa"/>
          </w:tcPr>
          <w:p w14:paraId="0FE0A524" w14:textId="0C526116"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w:t>
            </w:r>
            <w:r w:rsidR="00041D89">
              <w:rPr>
                <w:rFonts w:ascii="Tahoma" w:eastAsia="Times New Roman" w:hAnsi="Tahoma" w:cs="Tahoma"/>
                <w:sz w:val="24"/>
                <w:szCs w:val="24"/>
              </w:rPr>
              <w:t>7.12</w:t>
            </w:r>
          </w:p>
        </w:tc>
        <w:tc>
          <w:tcPr>
            <w:tcW w:w="1479" w:type="dxa"/>
          </w:tcPr>
          <w:p w14:paraId="382C0582" w14:textId="4EBA8CAA"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w:t>
            </w:r>
            <w:r w:rsidR="00CE31EE">
              <w:rPr>
                <w:rFonts w:ascii="Tahoma" w:eastAsia="Times New Roman" w:hAnsi="Tahoma" w:cs="Tahoma"/>
                <w:sz w:val="24"/>
                <w:szCs w:val="24"/>
              </w:rPr>
              <w:t>8.6</w:t>
            </w:r>
          </w:p>
        </w:tc>
      </w:tr>
      <w:tr w:rsidR="002E6581" w:rsidRPr="002E6581" w14:paraId="4A94FD84" w14:textId="77777777" w:rsidTr="00027D8A">
        <w:tc>
          <w:tcPr>
            <w:tcW w:w="1668" w:type="dxa"/>
            <w:vMerge/>
          </w:tcPr>
          <w:p w14:paraId="178D8D46" w14:textId="77777777" w:rsidR="002E6581" w:rsidRPr="002E6581" w:rsidRDefault="002E6581" w:rsidP="002E6581">
            <w:pPr>
              <w:spacing w:after="0" w:line="240" w:lineRule="auto"/>
              <w:rPr>
                <w:rFonts w:ascii="Tahoma" w:eastAsia="Times New Roman" w:hAnsi="Tahoma" w:cs="Tahoma"/>
                <w:sz w:val="24"/>
                <w:szCs w:val="24"/>
              </w:rPr>
            </w:pPr>
          </w:p>
        </w:tc>
        <w:tc>
          <w:tcPr>
            <w:tcW w:w="1842" w:type="dxa"/>
          </w:tcPr>
          <w:p w14:paraId="2C71706D"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Corporates</w:t>
            </w:r>
          </w:p>
        </w:tc>
        <w:tc>
          <w:tcPr>
            <w:tcW w:w="1418" w:type="dxa"/>
          </w:tcPr>
          <w:p w14:paraId="16F2CFB4" w14:textId="36B1475F" w:rsidR="002E6581" w:rsidRPr="002E6581" w:rsidRDefault="00606B1B" w:rsidP="002E6581">
            <w:pPr>
              <w:spacing w:after="0" w:line="240" w:lineRule="auto"/>
              <w:rPr>
                <w:rFonts w:ascii="Tahoma" w:eastAsia="Times New Roman" w:hAnsi="Tahoma" w:cs="Tahoma"/>
                <w:sz w:val="24"/>
                <w:szCs w:val="24"/>
              </w:rPr>
            </w:pPr>
            <w:r>
              <w:rPr>
                <w:rFonts w:ascii="Tahoma" w:eastAsia="Times New Roman" w:hAnsi="Tahoma" w:cs="Tahoma"/>
                <w:sz w:val="24"/>
                <w:szCs w:val="24"/>
              </w:rPr>
              <w:t>40.16</w:t>
            </w:r>
          </w:p>
        </w:tc>
        <w:tc>
          <w:tcPr>
            <w:tcW w:w="1417" w:type="dxa"/>
          </w:tcPr>
          <w:p w14:paraId="7C16F884" w14:textId="4ED95394"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40.</w:t>
            </w:r>
            <w:r w:rsidR="00CE31EE">
              <w:rPr>
                <w:rFonts w:ascii="Tahoma" w:eastAsia="Times New Roman" w:hAnsi="Tahoma" w:cs="Tahoma"/>
                <w:sz w:val="24"/>
                <w:szCs w:val="24"/>
              </w:rPr>
              <w:t>45</w:t>
            </w:r>
          </w:p>
        </w:tc>
        <w:tc>
          <w:tcPr>
            <w:tcW w:w="1418" w:type="dxa"/>
          </w:tcPr>
          <w:p w14:paraId="1848CEC6" w14:textId="5BD39A68"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45.</w:t>
            </w:r>
            <w:r w:rsidR="00041D89">
              <w:rPr>
                <w:rFonts w:ascii="Tahoma" w:eastAsia="Times New Roman" w:hAnsi="Tahoma" w:cs="Tahoma"/>
                <w:sz w:val="24"/>
                <w:szCs w:val="24"/>
              </w:rPr>
              <w:t>9</w:t>
            </w:r>
          </w:p>
        </w:tc>
        <w:tc>
          <w:tcPr>
            <w:tcW w:w="1479" w:type="dxa"/>
          </w:tcPr>
          <w:p w14:paraId="3C314E48" w14:textId="14D369DE"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45</w:t>
            </w:r>
            <w:r w:rsidR="00CE31EE">
              <w:rPr>
                <w:rFonts w:ascii="Tahoma" w:eastAsia="Times New Roman" w:hAnsi="Tahoma" w:cs="Tahoma"/>
                <w:sz w:val="24"/>
                <w:szCs w:val="24"/>
              </w:rPr>
              <w:t>.68</w:t>
            </w:r>
          </w:p>
        </w:tc>
      </w:tr>
    </w:tbl>
    <w:p w14:paraId="3074E033" w14:textId="17FC322E" w:rsidR="00631976" w:rsidRPr="00FA77E0" w:rsidRDefault="00FA77E0" w:rsidP="002E6581">
      <w:pPr>
        <w:jc w:val="both"/>
        <w:rPr>
          <w:rFonts w:ascii="Tahoma" w:eastAsia="Times New Roman" w:hAnsi="Tahoma" w:cs="Tahoma"/>
          <w:i/>
          <w:kern w:val="0"/>
          <w:sz w:val="24"/>
          <w:szCs w:val="24"/>
          <w:lang w:eastAsia="en-ZW"/>
        </w:rPr>
      </w:pPr>
      <w:r w:rsidRPr="00FA77E0">
        <w:rPr>
          <w:rFonts w:ascii="Tahoma" w:eastAsia="Times New Roman" w:hAnsi="Tahoma" w:cs="Tahoma"/>
          <w:i/>
          <w:kern w:val="0"/>
          <w:sz w:val="24"/>
          <w:szCs w:val="24"/>
          <w:lang w:eastAsia="en-ZW"/>
        </w:rPr>
        <w:t>Source: RBZ (202</w:t>
      </w:r>
      <w:r w:rsidR="00223882">
        <w:rPr>
          <w:rFonts w:ascii="Tahoma" w:eastAsia="Times New Roman" w:hAnsi="Tahoma" w:cs="Tahoma"/>
          <w:i/>
          <w:kern w:val="0"/>
          <w:sz w:val="24"/>
          <w:szCs w:val="24"/>
          <w:lang w:eastAsia="en-ZW"/>
        </w:rPr>
        <w:t>5</w:t>
      </w:r>
      <w:r w:rsidRPr="00FA77E0">
        <w:rPr>
          <w:rFonts w:ascii="Tahoma" w:eastAsia="Times New Roman" w:hAnsi="Tahoma" w:cs="Tahoma"/>
          <w:i/>
          <w:kern w:val="0"/>
          <w:sz w:val="24"/>
          <w:szCs w:val="24"/>
          <w:lang w:eastAsia="en-ZW"/>
        </w:rPr>
        <w:t>)</w:t>
      </w:r>
    </w:p>
    <w:bookmarkEnd w:id="49"/>
    <w:p w14:paraId="4ABE1F4A" w14:textId="5F1119FC" w:rsidR="00F419D8" w:rsidRPr="00F419D8" w:rsidRDefault="00A1045C" w:rsidP="00F419D8">
      <w:pPr>
        <w:spacing w:line="240" w:lineRule="auto"/>
        <w:ind w:left="720" w:hanging="720"/>
        <w:jc w:val="both"/>
        <w:rPr>
          <w:rFonts w:ascii="Tahoma" w:hAnsi="Tahoma" w:cs="Tahoma"/>
          <w:sz w:val="24"/>
          <w:szCs w:val="24"/>
        </w:rPr>
      </w:pPr>
      <w:r>
        <w:rPr>
          <w:rFonts w:ascii="Tahoma" w:hAnsi="Tahoma" w:cs="Tahoma"/>
          <w:sz w:val="24"/>
          <w:szCs w:val="24"/>
        </w:rPr>
        <w:t>7.1.2</w:t>
      </w:r>
      <w:r>
        <w:rPr>
          <w:rFonts w:ascii="Tahoma" w:hAnsi="Tahoma" w:cs="Tahoma"/>
          <w:sz w:val="24"/>
          <w:szCs w:val="24"/>
        </w:rPr>
        <w:tab/>
      </w:r>
      <w:bookmarkStart w:id="51" w:name="_Hlk179978781"/>
      <w:r w:rsidR="001821CB" w:rsidRPr="001821CB">
        <w:rPr>
          <w:rFonts w:ascii="Tahoma" w:hAnsi="Tahoma" w:cs="Tahoma"/>
          <w:sz w:val="24"/>
          <w:szCs w:val="24"/>
        </w:rPr>
        <w:t>According to the RBZ (2025), the current interest rates are considered appropriate to sustain the current restrictive monetary policy stance and the anticipated economic growth.</w:t>
      </w:r>
    </w:p>
    <w:p w14:paraId="20181341" w14:textId="77777777" w:rsidR="00184FA3" w:rsidRPr="00A64F64" w:rsidRDefault="00F67469" w:rsidP="00022BFE">
      <w:pPr>
        <w:pStyle w:val="Heading1"/>
        <w:spacing w:before="0" w:after="240" w:line="240" w:lineRule="auto"/>
        <w:rPr>
          <w:rFonts w:cs="Tahoma"/>
          <w:bCs/>
          <w:color w:val="000000"/>
          <w:szCs w:val="24"/>
          <w:lang w:val="en-US"/>
        </w:rPr>
      </w:pPr>
      <w:bookmarkStart w:id="52" w:name="_Toc166607902"/>
      <w:bookmarkStart w:id="53" w:name="_Toc194054102"/>
      <w:bookmarkEnd w:id="51"/>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52"/>
      <w:bookmarkEnd w:id="53"/>
      <w:r w:rsidR="00184FA3" w:rsidRPr="00A64F64">
        <w:rPr>
          <w:rFonts w:cs="Tahoma"/>
          <w:bCs/>
          <w:color w:val="000000"/>
          <w:szCs w:val="24"/>
          <w:lang w:val="en-US"/>
        </w:rPr>
        <w:t xml:space="preserve"> </w:t>
      </w:r>
    </w:p>
    <w:p w14:paraId="56A7759C" w14:textId="35538552" w:rsidR="00184FA3" w:rsidRPr="00863A17" w:rsidRDefault="00F67469" w:rsidP="003C1D2F">
      <w:pPr>
        <w:pStyle w:val="Heading2"/>
        <w:spacing w:before="0" w:after="240" w:line="240" w:lineRule="auto"/>
        <w:rPr>
          <w:rFonts w:cs="Tahoma"/>
          <w:b/>
          <w:color w:val="000000"/>
          <w:szCs w:val="24"/>
          <w:lang w:val="en-US"/>
        </w:rPr>
      </w:pPr>
      <w:bookmarkStart w:id="54" w:name="_Toc166607903"/>
      <w:bookmarkStart w:id="55" w:name="_Toc194054103"/>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54"/>
      <w:r w:rsidR="00184FA3" w:rsidRPr="00863A17">
        <w:rPr>
          <w:rFonts w:cs="Tahoma"/>
          <w:b/>
          <w:color w:val="000000"/>
          <w:szCs w:val="24"/>
          <w:lang w:val="en-US"/>
        </w:rPr>
        <w:t xml:space="preserve"> </w:t>
      </w:r>
      <w:r w:rsidR="00A37061">
        <w:rPr>
          <w:rFonts w:cs="Tahoma"/>
          <w:b/>
          <w:color w:val="000000"/>
          <w:szCs w:val="24"/>
          <w:lang w:val="en-US"/>
        </w:rPr>
        <w:t>(ZSE)</w:t>
      </w:r>
      <w:bookmarkEnd w:id="55"/>
    </w:p>
    <w:p w14:paraId="01E5AC35" w14:textId="7C9CB783" w:rsidR="001821CB" w:rsidRPr="001821CB" w:rsidRDefault="001821CB" w:rsidP="001821CB">
      <w:pPr>
        <w:ind w:left="720" w:hanging="720"/>
        <w:jc w:val="both"/>
        <w:rPr>
          <w:rFonts w:ascii="Tahoma" w:hAnsi="Tahoma" w:cs="Tahoma"/>
          <w:sz w:val="24"/>
          <w:szCs w:val="24"/>
          <w:lang w:val="en-US"/>
        </w:rPr>
      </w:pPr>
      <w:r w:rsidRPr="001821CB">
        <w:rPr>
          <w:rFonts w:ascii="Tahoma" w:hAnsi="Tahoma" w:cs="Tahoma"/>
          <w:sz w:val="24"/>
          <w:szCs w:val="24"/>
          <w:lang w:val="en-US"/>
        </w:rPr>
        <w:t>8.1.1</w:t>
      </w:r>
      <w:r w:rsidRPr="001821CB">
        <w:rPr>
          <w:rFonts w:ascii="Tahoma" w:hAnsi="Tahoma" w:cs="Tahoma"/>
          <w:sz w:val="24"/>
          <w:szCs w:val="24"/>
          <w:lang w:val="en-US"/>
        </w:rPr>
        <w:tab/>
        <w:t>The ZSE continued to record bearish sentiments on a month-on-month</w:t>
      </w:r>
      <w:r w:rsidR="00842EBE">
        <w:rPr>
          <w:rFonts w:ascii="Tahoma" w:hAnsi="Tahoma" w:cs="Tahoma"/>
          <w:sz w:val="24"/>
          <w:szCs w:val="24"/>
          <w:lang w:val="en-US"/>
        </w:rPr>
        <w:t xml:space="preserve"> basis</w:t>
      </w:r>
      <w:r w:rsidRPr="001821CB">
        <w:rPr>
          <w:rFonts w:ascii="Tahoma" w:hAnsi="Tahoma" w:cs="Tahoma"/>
          <w:sz w:val="24"/>
          <w:szCs w:val="24"/>
          <w:lang w:val="en-US"/>
        </w:rPr>
        <w:t xml:space="preserve">. All </w:t>
      </w:r>
      <w:r w:rsidR="00842EBE" w:rsidRPr="001821CB">
        <w:rPr>
          <w:rFonts w:ascii="Tahoma" w:hAnsi="Tahoma" w:cs="Tahoma"/>
          <w:sz w:val="24"/>
          <w:szCs w:val="24"/>
          <w:lang w:val="en-US"/>
        </w:rPr>
        <w:t>Share Index, Top 10 Index</w:t>
      </w:r>
      <w:r w:rsidRPr="001821CB">
        <w:rPr>
          <w:rFonts w:ascii="Tahoma" w:hAnsi="Tahoma" w:cs="Tahoma"/>
          <w:sz w:val="24"/>
          <w:szCs w:val="24"/>
          <w:lang w:val="en-US"/>
        </w:rPr>
        <w:t xml:space="preserve">, and market capitalization fell by 3.63%, 4.18%, and 3.72%, respectively, while value traded rose by 523.18%, see Table 6.  </w:t>
      </w:r>
    </w:p>
    <w:p w14:paraId="6EB032FC" w14:textId="1BD602D9" w:rsidR="001821CB" w:rsidRPr="00863A17" w:rsidRDefault="001821CB" w:rsidP="001821CB">
      <w:pPr>
        <w:ind w:left="720" w:hanging="720"/>
        <w:jc w:val="both"/>
        <w:rPr>
          <w:rFonts w:ascii="Tahoma" w:hAnsi="Tahoma" w:cs="Tahoma"/>
          <w:sz w:val="24"/>
          <w:szCs w:val="24"/>
        </w:rPr>
      </w:pPr>
      <w:r w:rsidRPr="001821CB">
        <w:rPr>
          <w:rFonts w:ascii="Tahoma" w:hAnsi="Tahoma" w:cs="Tahoma"/>
          <w:sz w:val="24"/>
          <w:szCs w:val="24"/>
        </w:rPr>
        <w:t>8.1.2</w:t>
      </w:r>
      <w:r w:rsidRPr="001821CB">
        <w:rPr>
          <w:rFonts w:ascii="Tahoma" w:hAnsi="Tahoma" w:cs="Tahoma"/>
          <w:sz w:val="24"/>
          <w:szCs w:val="24"/>
        </w:rPr>
        <w:tab/>
        <w:t xml:space="preserve">On year-on-year, all selected indices gained except </w:t>
      </w:r>
      <w:r w:rsidR="00842EBE" w:rsidRPr="001821CB">
        <w:rPr>
          <w:rFonts w:ascii="Tahoma" w:hAnsi="Tahoma" w:cs="Tahoma"/>
          <w:sz w:val="24"/>
          <w:szCs w:val="24"/>
        </w:rPr>
        <w:t xml:space="preserve">All Share Index </w:t>
      </w:r>
      <w:r w:rsidRPr="001821CB">
        <w:rPr>
          <w:rFonts w:ascii="Tahoma" w:hAnsi="Tahoma" w:cs="Tahoma"/>
          <w:sz w:val="24"/>
          <w:szCs w:val="24"/>
        </w:rPr>
        <w:t>(-10.39</w:t>
      </w:r>
      <w:r w:rsidR="00842EBE">
        <w:rPr>
          <w:rFonts w:ascii="Tahoma" w:hAnsi="Tahoma" w:cs="Tahoma"/>
          <w:sz w:val="24"/>
          <w:szCs w:val="24"/>
        </w:rPr>
        <w:t>%</w:t>
      </w:r>
      <w:r w:rsidRPr="001821CB">
        <w:rPr>
          <w:rFonts w:ascii="Tahoma" w:hAnsi="Tahoma" w:cs="Tahoma"/>
          <w:sz w:val="24"/>
          <w:szCs w:val="24"/>
        </w:rPr>
        <w:t>).</w:t>
      </w:r>
    </w:p>
    <w:p w14:paraId="06AC5C05" w14:textId="3A35F26B" w:rsidR="00ED0A35" w:rsidRPr="00ED0A35" w:rsidRDefault="00595E97" w:rsidP="00ED0A35">
      <w:pPr>
        <w:pStyle w:val="ListofTables"/>
      </w:pPr>
      <w:bookmarkStart w:id="56" w:name="_Toc164072367"/>
      <w:bookmarkStart w:id="57" w:name="_Toc166658894"/>
      <w:bookmarkStart w:id="58" w:name="_Toc194054141"/>
      <w:r w:rsidRPr="0031015F">
        <w:t xml:space="preserve">Table </w:t>
      </w:r>
      <w:r w:rsidR="00534695">
        <w:t>6</w:t>
      </w:r>
      <w:r w:rsidRPr="0031015F">
        <w:t xml:space="preserve">: Zimbabwe Stock </w:t>
      </w:r>
      <w:r w:rsidR="00D30418" w:rsidRPr="0031015F">
        <w:t xml:space="preserve">Exchange </w:t>
      </w:r>
      <w:r w:rsidRPr="0031015F">
        <w:t>Movements</w:t>
      </w:r>
      <w:bookmarkEnd w:id="56"/>
      <w:bookmarkEnd w:id="57"/>
      <w:bookmarkEnd w:id="58"/>
    </w:p>
    <w:p w14:paraId="1D52D1BC" w14:textId="6A124F23" w:rsidR="00E24E7D" w:rsidRDefault="00F952B6" w:rsidP="00427CDA">
      <w:pPr>
        <w:spacing w:after="0"/>
        <w:ind w:left="720" w:hanging="720"/>
        <w:jc w:val="both"/>
        <w:rPr>
          <w:rFonts w:ascii="Tahoma" w:hAnsi="Tahoma" w:cs="Tahoma"/>
          <w:sz w:val="24"/>
          <w:szCs w:val="24"/>
        </w:rPr>
      </w:pPr>
      <w:r w:rsidRPr="00F952B6">
        <w:rPr>
          <w:noProof/>
        </w:rPr>
        <w:drawing>
          <wp:inline distT="0" distB="0" distL="0" distR="0" wp14:anchorId="5B72E973" wp14:editId="5EBEDD59">
            <wp:extent cx="5731510" cy="1083945"/>
            <wp:effectExtent l="0" t="0" r="2540" b="1905"/>
            <wp:docPr id="135942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26498" name=""/>
                    <pic:cNvPicPr/>
                  </pic:nvPicPr>
                  <pic:blipFill>
                    <a:blip r:embed="rId19"/>
                    <a:stretch>
                      <a:fillRect/>
                    </a:stretch>
                  </pic:blipFill>
                  <pic:spPr>
                    <a:xfrm>
                      <a:off x="0" y="0"/>
                      <a:ext cx="5731510" cy="1083945"/>
                    </a:xfrm>
                    <a:prstGeom prst="rect">
                      <a:avLst/>
                    </a:prstGeom>
                  </pic:spPr>
                </pic:pic>
              </a:graphicData>
            </a:graphic>
          </wp:inline>
        </w:drawing>
      </w:r>
    </w:p>
    <w:p w14:paraId="0D44C954" w14:textId="0CD034C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w:t>
      </w:r>
      <w:r w:rsidR="00A30E56">
        <w:rPr>
          <w:rFonts w:ascii="Tahoma" w:hAnsi="Tahoma" w:cs="Tahoma"/>
          <w:i/>
          <w:iCs/>
          <w:sz w:val="24"/>
          <w:szCs w:val="24"/>
        </w:rPr>
        <w:t>5</w:t>
      </w:r>
      <w:r w:rsidRPr="00C56F60">
        <w:rPr>
          <w:rFonts w:ascii="Tahoma" w:hAnsi="Tahoma" w:cs="Tahoma"/>
          <w:i/>
          <w:iCs/>
          <w:sz w:val="24"/>
          <w:szCs w:val="24"/>
        </w:rPr>
        <w:t>)</w:t>
      </w:r>
    </w:p>
    <w:p w14:paraId="22EC5F8D" w14:textId="4AA29C48" w:rsidR="00184FA3" w:rsidRPr="00863A17" w:rsidRDefault="00F67469" w:rsidP="003C1D2F">
      <w:pPr>
        <w:pStyle w:val="Heading2"/>
        <w:spacing w:before="0" w:after="240" w:line="240" w:lineRule="auto"/>
        <w:rPr>
          <w:rFonts w:cs="Tahoma"/>
          <w:b/>
          <w:color w:val="000000"/>
          <w:szCs w:val="24"/>
          <w:lang w:val="en-US"/>
        </w:rPr>
      </w:pPr>
      <w:bookmarkStart w:id="59" w:name="_Toc166607904"/>
      <w:bookmarkStart w:id="60" w:name="_Toc194054104"/>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59"/>
      <w:r w:rsidR="00184FA3" w:rsidRPr="00863A17">
        <w:rPr>
          <w:rFonts w:cs="Tahoma"/>
          <w:b/>
          <w:color w:val="000000"/>
          <w:szCs w:val="24"/>
          <w:lang w:val="en-US"/>
        </w:rPr>
        <w:t xml:space="preserve"> </w:t>
      </w:r>
      <w:r w:rsidR="00C10E3B">
        <w:rPr>
          <w:rFonts w:cs="Tahoma"/>
          <w:b/>
          <w:color w:val="000000"/>
          <w:szCs w:val="24"/>
          <w:lang w:val="en-US"/>
        </w:rPr>
        <w:t>(VFEX)</w:t>
      </w:r>
      <w:bookmarkEnd w:id="60"/>
    </w:p>
    <w:p w14:paraId="48CB6822" w14:textId="5CE02AE5" w:rsidR="001821CB" w:rsidRPr="00863A17" w:rsidRDefault="001821CB" w:rsidP="00842EBE">
      <w:pPr>
        <w:ind w:left="720" w:hanging="720"/>
        <w:jc w:val="both"/>
        <w:rPr>
          <w:rFonts w:ascii="Tahoma" w:hAnsi="Tahoma" w:cs="Tahoma"/>
          <w:sz w:val="24"/>
          <w:szCs w:val="24"/>
          <w:lang w:val="en-US"/>
        </w:rPr>
      </w:pPr>
      <w:bookmarkStart w:id="61" w:name="_Hlk179978821"/>
      <w:r w:rsidRPr="001821CB">
        <w:rPr>
          <w:rFonts w:ascii="Tahoma" w:hAnsi="Tahoma" w:cs="Tahoma"/>
          <w:sz w:val="24"/>
          <w:szCs w:val="24"/>
          <w:lang w:val="en-US"/>
        </w:rPr>
        <w:t>8.2.1</w:t>
      </w:r>
      <w:r w:rsidRPr="001821CB">
        <w:rPr>
          <w:rFonts w:ascii="Tahoma" w:hAnsi="Tahoma" w:cs="Tahoma"/>
          <w:sz w:val="24"/>
          <w:szCs w:val="24"/>
          <w:lang w:val="en-US"/>
        </w:rPr>
        <w:tab/>
        <w:t xml:space="preserve">The VFEX also recorded a bearish trend in February 2025, with a decline in </w:t>
      </w:r>
      <w:r w:rsidR="00842EBE" w:rsidRPr="001821CB">
        <w:rPr>
          <w:rFonts w:ascii="Tahoma" w:hAnsi="Tahoma" w:cs="Tahoma"/>
          <w:sz w:val="24"/>
          <w:szCs w:val="24"/>
          <w:lang w:val="en-US"/>
        </w:rPr>
        <w:t>All Share Index</w:t>
      </w:r>
      <w:r w:rsidRPr="001821CB">
        <w:rPr>
          <w:rFonts w:ascii="Tahoma" w:hAnsi="Tahoma" w:cs="Tahoma"/>
          <w:sz w:val="24"/>
          <w:szCs w:val="24"/>
          <w:lang w:val="en-US"/>
        </w:rPr>
        <w:t xml:space="preserve"> (-0</w:t>
      </w:r>
      <w:r w:rsidR="00842EBE">
        <w:rPr>
          <w:rFonts w:ascii="Tahoma" w:hAnsi="Tahoma" w:cs="Tahoma"/>
          <w:sz w:val="24"/>
          <w:szCs w:val="24"/>
          <w:lang w:val="en-US"/>
        </w:rPr>
        <w:t>.</w:t>
      </w:r>
      <w:r w:rsidRPr="001821CB">
        <w:rPr>
          <w:rFonts w:ascii="Tahoma" w:hAnsi="Tahoma" w:cs="Tahoma"/>
          <w:sz w:val="24"/>
          <w:szCs w:val="24"/>
          <w:lang w:val="en-US"/>
        </w:rPr>
        <w:t>86</w:t>
      </w:r>
      <w:r w:rsidR="00842EBE">
        <w:rPr>
          <w:rFonts w:ascii="Tahoma" w:hAnsi="Tahoma" w:cs="Tahoma"/>
          <w:sz w:val="24"/>
          <w:szCs w:val="24"/>
          <w:lang w:val="en-US"/>
        </w:rPr>
        <w:t>%</w:t>
      </w:r>
      <w:r w:rsidRPr="001821CB">
        <w:rPr>
          <w:rFonts w:ascii="Tahoma" w:hAnsi="Tahoma" w:cs="Tahoma"/>
          <w:sz w:val="24"/>
          <w:szCs w:val="24"/>
          <w:lang w:val="en-US"/>
        </w:rPr>
        <w:t>), value traded (-69.71%), and market capitalization (10.3%). All indices gained on a YoY basis, see Table 7.</w:t>
      </w:r>
    </w:p>
    <w:p w14:paraId="7EBC735E" w14:textId="03FE11F7" w:rsidR="00E57C56" w:rsidRDefault="00D30418" w:rsidP="00246949">
      <w:pPr>
        <w:pStyle w:val="ListofTables"/>
      </w:pPr>
      <w:bookmarkStart w:id="62" w:name="_Toc164072368"/>
      <w:bookmarkStart w:id="63" w:name="_Toc166658895"/>
      <w:bookmarkStart w:id="64" w:name="_Toc194054142"/>
      <w:bookmarkEnd w:id="61"/>
      <w:r w:rsidRPr="0031015F">
        <w:t xml:space="preserve">Table </w:t>
      </w:r>
      <w:r w:rsidR="008A60F9">
        <w:t>7</w:t>
      </w:r>
      <w:r w:rsidRPr="0031015F">
        <w:t>: Victoria Falls Stock Exchange Movements</w:t>
      </w:r>
      <w:bookmarkEnd w:id="62"/>
      <w:bookmarkEnd w:id="63"/>
      <w:bookmarkEnd w:id="64"/>
    </w:p>
    <w:p w14:paraId="1EA2EA9E" w14:textId="391AA92F" w:rsidR="00AB0841" w:rsidRPr="00863A17" w:rsidRDefault="00F952B6" w:rsidP="00FF0FB8">
      <w:pPr>
        <w:spacing w:after="0"/>
        <w:rPr>
          <w:rFonts w:ascii="Tahoma" w:hAnsi="Tahoma" w:cs="Tahoma"/>
          <w:sz w:val="24"/>
          <w:szCs w:val="24"/>
          <w:lang w:val="en-US"/>
        </w:rPr>
      </w:pPr>
      <w:r w:rsidRPr="00F952B6">
        <w:rPr>
          <w:noProof/>
        </w:rPr>
        <w:drawing>
          <wp:inline distT="0" distB="0" distL="0" distR="0" wp14:anchorId="4ED95394" wp14:editId="4A0C2EB5">
            <wp:extent cx="5731510" cy="898525"/>
            <wp:effectExtent l="0" t="0" r="2540" b="0"/>
            <wp:docPr id="132093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4010" name=""/>
                    <pic:cNvPicPr/>
                  </pic:nvPicPr>
                  <pic:blipFill>
                    <a:blip r:embed="rId20"/>
                    <a:stretch>
                      <a:fillRect/>
                    </a:stretch>
                  </pic:blipFill>
                  <pic:spPr>
                    <a:xfrm>
                      <a:off x="0" y="0"/>
                      <a:ext cx="5731510" cy="898525"/>
                    </a:xfrm>
                    <a:prstGeom prst="rect">
                      <a:avLst/>
                    </a:prstGeom>
                  </pic:spPr>
                </pic:pic>
              </a:graphicData>
            </a:graphic>
          </wp:inline>
        </w:drawing>
      </w:r>
    </w:p>
    <w:p w14:paraId="6B0F6079" w14:textId="0ABB7194"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526C07">
        <w:rPr>
          <w:rFonts w:ascii="Tahoma" w:hAnsi="Tahoma" w:cs="Tahoma"/>
          <w:i/>
          <w:sz w:val="24"/>
          <w:szCs w:val="24"/>
          <w:lang w:val="en-US"/>
        </w:rPr>
        <w:t>5</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1D3B5266" w14:textId="77777777" w:rsidR="00EF3AD6" w:rsidRPr="00A64F64" w:rsidRDefault="00FC703F" w:rsidP="004B15EE">
      <w:pPr>
        <w:pStyle w:val="Heading1"/>
        <w:spacing w:before="0" w:after="240" w:line="240" w:lineRule="auto"/>
        <w:rPr>
          <w:rFonts w:cs="Tahoma"/>
          <w:bCs/>
          <w:color w:val="000000"/>
          <w:szCs w:val="24"/>
          <w:lang w:val="en-US"/>
        </w:rPr>
      </w:pPr>
      <w:bookmarkStart w:id="65" w:name="_Toc166607905"/>
      <w:bookmarkStart w:id="66" w:name="_Toc194054105"/>
      <w:r w:rsidRPr="00A64F64">
        <w:rPr>
          <w:rFonts w:cs="Tahoma"/>
          <w:bCs/>
          <w:color w:val="000000"/>
          <w:szCs w:val="24"/>
          <w:lang w:val="en-US"/>
        </w:rPr>
        <w:lastRenderedPageBreak/>
        <w:t>9.0</w:t>
      </w:r>
      <w:r w:rsidRPr="00A64F64">
        <w:rPr>
          <w:rFonts w:cs="Tahoma"/>
          <w:bCs/>
          <w:color w:val="000000"/>
          <w:szCs w:val="24"/>
          <w:lang w:val="en-US"/>
        </w:rPr>
        <w:tab/>
        <w:t>Recommendations</w:t>
      </w:r>
      <w:bookmarkEnd w:id="65"/>
      <w:bookmarkEnd w:id="66"/>
      <w:r w:rsidRPr="00A64F64">
        <w:rPr>
          <w:rFonts w:cs="Tahoma"/>
          <w:bCs/>
          <w:color w:val="000000"/>
          <w:szCs w:val="24"/>
          <w:lang w:val="en-US"/>
        </w:rPr>
        <w:t xml:space="preserve"> </w:t>
      </w:r>
    </w:p>
    <w:p w14:paraId="07D4E33B" w14:textId="77777777" w:rsidR="00790EF8" w:rsidRDefault="00EC6C43" w:rsidP="00E83A04">
      <w:pPr>
        <w:ind w:left="720" w:hanging="720"/>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The following reco</w:t>
      </w:r>
      <w:r w:rsidR="00A43C6F">
        <w:rPr>
          <w:rFonts w:ascii="Tahoma" w:hAnsi="Tahoma" w:cs="Tahoma"/>
          <w:sz w:val="24"/>
          <w:szCs w:val="24"/>
          <w:lang w:val="en-US"/>
        </w:rPr>
        <w:t>mmendations are being proposed:</w:t>
      </w:r>
    </w:p>
    <w:p w14:paraId="424A1721" w14:textId="29AE8CF6" w:rsidR="00DA2232" w:rsidRPr="00DA2232" w:rsidRDefault="00DA2232" w:rsidP="00816384">
      <w:pPr>
        <w:ind w:left="720" w:hanging="720"/>
        <w:jc w:val="both"/>
        <w:rPr>
          <w:rFonts w:ascii="Tahoma" w:hAnsi="Tahoma" w:cs="Tahoma"/>
          <w:b/>
          <w:bCs/>
          <w:sz w:val="24"/>
          <w:szCs w:val="24"/>
          <w:lang w:val="en-GB"/>
        </w:rPr>
      </w:pPr>
      <w:r>
        <w:rPr>
          <w:rFonts w:ascii="Tahoma" w:hAnsi="Tahoma" w:cs="Tahoma"/>
          <w:b/>
          <w:bCs/>
          <w:sz w:val="24"/>
          <w:szCs w:val="24"/>
          <w:lang w:val="en-GB"/>
        </w:rPr>
        <w:t>9.1.1</w:t>
      </w:r>
      <w:r w:rsidRPr="00DA2232">
        <w:rPr>
          <w:rFonts w:ascii="Tahoma" w:hAnsi="Tahoma" w:cs="Tahoma"/>
          <w:b/>
          <w:bCs/>
          <w:sz w:val="24"/>
          <w:szCs w:val="24"/>
          <w:lang w:val="en-GB"/>
        </w:rPr>
        <w:t xml:space="preserve"> Preserve Macroeconomic Stability through Coordinated Fiscal and Monetary Policy</w:t>
      </w:r>
    </w:p>
    <w:p w14:paraId="2F661EA9" w14:textId="77777777" w:rsidR="00DA2232" w:rsidRPr="00816384" w:rsidRDefault="00DA2232" w:rsidP="00816384">
      <w:pPr>
        <w:ind w:left="720"/>
        <w:jc w:val="both"/>
        <w:rPr>
          <w:rFonts w:ascii="Tahoma" w:hAnsi="Tahoma" w:cs="Tahoma"/>
          <w:sz w:val="24"/>
          <w:szCs w:val="24"/>
          <w:lang w:val="en-GB"/>
        </w:rPr>
      </w:pPr>
      <w:r w:rsidRPr="00816384">
        <w:rPr>
          <w:rFonts w:ascii="Tahoma" w:hAnsi="Tahoma" w:cs="Tahoma"/>
          <w:sz w:val="24"/>
          <w:szCs w:val="24"/>
          <w:lang w:val="en-GB"/>
        </w:rPr>
        <w:t>The country should maintain a tight monetary policy stance in the short term to consolidate the recent disinflation trend and preserve exchange rate stability. Fiscal discipline must complement this monetary stance by avoiding unbudgeted expenditures that could weaken macroeconomic fundamentals and undermine confidence in ZiG.</w:t>
      </w:r>
    </w:p>
    <w:p w14:paraId="7BB312C8" w14:textId="777D2B41" w:rsidR="00DA2232" w:rsidRPr="00DA2232" w:rsidRDefault="00DA2232" w:rsidP="00DA2232">
      <w:pPr>
        <w:ind w:left="720" w:hanging="720"/>
        <w:rPr>
          <w:rFonts w:ascii="Tahoma" w:hAnsi="Tahoma" w:cs="Tahoma"/>
          <w:b/>
          <w:bCs/>
          <w:sz w:val="24"/>
          <w:szCs w:val="24"/>
          <w:lang w:val="en-GB"/>
        </w:rPr>
      </w:pPr>
      <w:r>
        <w:rPr>
          <w:rFonts w:ascii="Tahoma" w:hAnsi="Tahoma" w:cs="Tahoma"/>
          <w:b/>
          <w:bCs/>
          <w:sz w:val="24"/>
          <w:szCs w:val="24"/>
          <w:lang w:val="en-GB"/>
        </w:rPr>
        <w:t>9.1.</w:t>
      </w:r>
      <w:r w:rsidRPr="00DA2232">
        <w:rPr>
          <w:rFonts w:ascii="Tahoma" w:hAnsi="Tahoma" w:cs="Tahoma"/>
          <w:b/>
          <w:bCs/>
          <w:sz w:val="24"/>
          <w:szCs w:val="24"/>
          <w:lang w:val="en-GB"/>
        </w:rPr>
        <w:t>2 Enhance Export Diversification and Value Addition</w:t>
      </w:r>
    </w:p>
    <w:p w14:paraId="1FE4773F" w14:textId="77777777" w:rsidR="00DA2232" w:rsidRPr="00816384" w:rsidRDefault="00DA2232" w:rsidP="00816384">
      <w:pPr>
        <w:ind w:left="720"/>
        <w:jc w:val="both"/>
        <w:rPr>
          <w:rFonts w:ascii="Tahoma" w:hAnsi="Tahoma" w:cs="Tahoma"/>
          <w:sz w:val="24"/>
          <w:szCs w:val="24"/>
          <w:lang w:val="en-GB"/>
        </w:rPr>
      </w:pPr>
      <w:r w:rsidRPr="00816384">
        <w:rPr>
          <w:rFonts w:ascii="Tahoma" w:hAnsi="Tahoma" w:cs="Tahoma"/>
          <w:sz w:val="24"/>
          <w:szCs w:val="24"/>
          <w:lang w:val="en-GB"/>
        </w:rPr>
        <w:t>To cushion the economy from global commodity price volatility, the country should intensify efforts to diversify its export base. This includes promoting value addition in key mineral sectors such as gold, nickel, and platinum group metals. Additionally, the development of agro-processing value chains and the promotion of non-traditional exports will enhance foreign exchange earnings and support inclusive economic growth.</w:t>
      </w:r>
    </w:p>
    <w:p w14:paraId="1ABF77A4" w14:textId="14767C3E" w:rsidR="00DA2232" w:rsidRPr="00DA2232" w:rsidRDefault="00DA2232" w:rsidP="00DA2232">
      <w:pPr>
        <w:ind w:left="720" w:hanging="720"/>
        <w:rPr>
          <w:rFonts w:ascii="Tahoma" w:hAnsi="Tahoma" w:cs="Tahoma"/>
          <w:b/>
          <w:bCs/>
          <w:sz w:val="24"/>
          <w:szCs w:val="24"/>
          <w:lang w:val="en-GB"/>
        </w:rPr>
      </w:pPr>
      <w:r>
        <w:rPr>
          <w:rFonts w:ascii="Tahoma" w:hAnsi="Tahoma" w:cs="Tahoma"/>
          <w:b/>
          <w:bCs/>
          <w:sz w:val="24"/>
          <w:szCs w:val="24"/>
          <w:lang w:val="en-GB"/>
        </w:rPr>
        <w:t>9.1.</w:t>
      </w:r>
      <w:r w:rsidRPr="00DA2232">
        <w:rPr>
          <w:rFonts w:ascii="Tahoma" w:hAnsi="Tahoma" w:cs="Tahoma"/>
          <w:b/>
          <w:bCs/>
          <w:sz w:val="24"/>
          <w:szCs w:val="24"/>
          <w:lang w:val="en-GB"/>
        </w:rPr>
        <w:t>3 Strengthen Agricultural Resilience and Food Security</w:t>
      </w:r>
    </w:p>
    <w:p w14:paraId="3E5D9A8E" w14:textId="77777777" w:rsidR="00DA2232" w:rsidRPr="00816384" w:rsidRDefault="00DA2232" w:rsidP="00816384">
      <w:pPr>
        <w:ind w:left="720"/>
        <w:jc w:val="both"/>
        <w:rPr>
          <w:rFonts w:ascii="Tahoma" w:hAnsi="Tahoma" w:cs="Tahoma"/>
          <w:sz w:val="24"/>
          <w:szCs w:val="24"/>
          <w:lang w:val="en-GB"/>
        </w:rPr>
      </w:pPr>
      <w:r w:rsidRPr="00816384">
        <w:rPr>
          <w:rFonts w:ascii="Tahoma" w:hAnsi="Tahoma" w:cs="Tahoma"/>
          <w:sz w:val="24"/>
          <w:szCs w:val="24"/>
          <w:lang w:val="en-GB"/>
        </w:rPr>
        <w:t>Given the softening global prices for major crops, it is imperative for the country to support climate-smart agricultural practices and expand irrigation infrastructure. The establishment of strategic reserves for essential imports like fuel, fertilizer, and grain will further shield the economy from external shocks and improve food security.</w:t>
      </w:r>
    </w:p>
    <w:p w14:paraId="27FF1A78" w14:textId="1761E0C1" w:rsidR="00DA2232" w:rsidRPr="00DA2232" w:rsidRDefault="00DA2232" w:rsidP="00DA2232">
      <w:pPr>
        <w:ind w:left="720" w:hanging="720"/>
        <w:rPr>
          <w:rFonts w:ascii="Tahoma" w:hAnsi="Tahoma" w:cs="Tahoma"/>
          <w:b/>
          <w:bCs/>
          <w:sz w:val="24"/>
          <w:szCs w:val="24"/>
          <w:lang w:val="en-GB"/>
        </w:rPr>
      </w:pPr>
      <w:r>
        <w:rPr>
          <w:rFonts w:ascii="Tahoma" w:hAnsi="Tahoma" w:cs="Tahoma"/>
          <w:b/>
          <w:bCs/>
          <w:sz w:val="24"/>
          <w:szCs w:val="24"/>
          <w:lang w:val="en-GB"/>
        </w:rPr>
        <w:t>9.1.</w:t>
      </w:r>
      <w:r w:rsidRPr="00DA2232">
        <w:rPr>
          <w:rFonts w:ascii="Tahoma" w:hAnsi="Tahoma" w:cs="Tahoma"/>
          <w:b/>
          <w:bCs/>
          <w:sz w:val="24"/>
          <w:szCs w:val="24"/>
          <w:lang w:val="en-GB"/>
        </w:rPr>
        <w:t>4 Leverage Regional Exchange Rate Dynamics to Boost Exports</w:t>
      </w:r>
    </w:p>
    <w:p w14:paraId="00A7421E" w14:textId="69D9C3DF" w:rsidR="00DA2232" w:rsidRPr="00816384" w:rsidRDefault="00DA2232" w:rsidP="00816384">
      <w:pPr>
        <w:ind w:left="720"/>
        <w:jc w:val="both"/>
        <w:rPr>
          <w:rFonts w:ascii="Tahoma" w:hAnsi="Tahoma" w:cs="Tahoma"/>
          <w:sz w:val="24"/>
          <w:szCs w:val="24"/>
          <w:lang w:val="en-GB"/>
        </w:rPr>
      </w:pPr>
      <w:r w:rsidRPr="00816384">
        <w:rPr>
          <w:rFonts w:ascii="Tahoma" w:hAnsi="Tahoma" w:cs="Tahoma"/>
          <w:sz w:val="24"/>
          <w:szCs w:val="24"/>
          <w:lang w:val="en-GB"/>
        </w:rPr>
        <w:t>The depreciation of the USD against the South African Rand presents an opportunity to improve Zimbabwe’s export competitiveness in its largest trading partner’s market. This can be achieved by offering targeted incentives to exporters, streamlining export procedures, and improving efficiency at border posts.</w:t>
      </w:r>
    </w:p>
    <w:p w14:paraId="2BA0282E" w14:textId="1CE7CB0D" w:rsidR="00DA2232" w:rsidRPr="00DA2232" w:rsidRDefault="00DA2232" w:rsidP="00DA2232">
      <w:pPr>
        <w:ind w:left="720" w:hanging="720"/>
        <w:rPr>
          <w:rFonts w:ascii="Tahoma" w:hAnsi="Tahoma" w:cs="Tahoma"/>
          <w:b/>
          <w:bCs/>
          <w:sz w:val="24"/>
          <w:szCs w:val="24"/>
          <w:lang w:val="en-GB"/>
        </w:rPr>
      </w:pPr>
      <w:r>
        <w:rPr>
          <w:rFonts w:ascii="Tahoma" w:hAnsi="Tahoma" w:cs="Tahoma"/>
          <w:b/>
          <w:bCs/>
          <w:sz w:val="24"/>
          <w:szCs w:val="24"/>
          <w:lang w:val="en-GB"/>
        </w:rPr>
        <w:t>9.1.</w:t>
      </w:r>
      <w:r w:rsidRPr="00DA2232">
        <w:rPr>
          <w:rFonts w:ascii="Tahoma" w:hAnsi="Tahoma" w:cs="Tahoma"/>
          <w:b/>
          <w:bCs/>
          <w:sz w:val="24"/>
          <w:szCs w:val="24"/>
          <w:lang w:val="en-GB"/>
        </w:rPr>
        <w:t>5 Deepen Trade Relations with Emerging Export Destinations</w:t>
      </w:r>
    </w:p>
    <w:p w14:paraId="3A3237CA" w14:textId="77777777" w:rsidR="00DA2232" w:rsidRPr="00816384" w:rsidRDefault="00DA2232" w:rsidP="00816384">
      <w:pPr>
        <w:ind w:left="720"/>
        <w:jc w:val="both"/>
        <w:rPr>
          <w:rFonts w:ascii="Tahoma" w:hAnsi="Tahoma" w:cs="Tahoma"/>
          <w:sz w:val="24"/>
          <w:szCs w:val="24"/>
          <w:lang w:val="en-GB"/>
        </w:rPr>
      </w:pPr>
      <w:r w:rsidRPr="00816384">
        <w:rPr>
          <w:rFonts w:ascii="Tahoma" w:hAnsi="Tahoma" w:cs="Tahoma"/>
          <w:sz w:val="24"/>
          <w:szCs w:val="24"/>
          <w:lang w:val="en-GB"/>
        </w:rPr>
        <w:t>Zimbabwe should capitalize on its growing trade relations with countries such as China and the United Arab Emirates. This includes negotiating favourable trade agreements, enhancing trade facilitation mechanisms, and addressing logistical constraints that hinder efficient market access.</w:t>
      </w:r>
    </w:p>
    <w:p w14:paraId="339325E0" w14:textId="6E19D016" w:rsidR="00DA2232" w:rsidRPr="00DA2232" w:rsidRDefault="00DA2232" w:rsidP="00DA2232">
      <w:pPr>
        <w:ind w:left="720" w:hanging="720"/>
        <w:rPr>
          <w:rFonts w:ascii="Tahoma" w:hAnsi="Tahoma" w:cs="Tahoma"/>
          <w:b/>
          <w:bCs/>
          <w:sz w:val="24"/>
          <w:szCs w:val="24"/>
          <w:lang w:val="en-GB"/>
        </w:rPr>
      </w:pPr>
      <w:r>
        <w:rPr>
          <w:rFonts w:ascii="Tahoma" w:hAnsi="Tahoma" w:cs="Tahoma"/>
          <w:b/>
          <w:bCs/>
          <w:sz w:val="24"/>
          <w:szCs w:val="24"/>
          <w:lang w:val="en-GB"/>
        </w:rPr>
        <w:t>9.1.</w:t>
      </w:r>
      <w:r w:rsidRPr="00DA2232">
        <w:rPr>
          <w:rFonts w:ascii="Tahoma" w:hAnsi="Tahoma" w:cs="Tahoma"/>
          <w:b/>
          <w:bCs/>
          <w:sz w:val="24"/>
          <w:szCs w:val="24"/>
          <w:lang w:val="en-GB"/>
        </w:rPr>
        <w:t>6 Continue Reducing the Exchange Rate Premium</w:t>
      </w:r>
    </w:p>
    <w:p w14:paraId="2F20CA4F" w14:textId="77777777" w:rsidR="00DA2232" w:rsidRPr="00816384" w:rsidRDefault="00DA2232" w:rsidP="00816384">
      <w:pPr>
        <w:ind w:left="720"/>
        <w:jc w:val="both"/>
        <w:rPr>
          <w:rFonts w:ascii="Tahoma" w:hAnsi="Tahoma" w:cs="Tahoma"/>
          <w:sz w:val="24"/>
          <w:szCs w:val="24"/>
          <w:lang w:val="en-GB"/>
        </w:rPr>
      </w:pPr>
      <w:r w:rsidRPr="00816384">
        <w:rPr>
          <w:rFonts w:ascii="Tahoma" w:hAnsi="Tahoma" w:cs="Tahoma"/>
          <w:sz w:val="24"/>
          <w:szCs w:val="24"/>
          <w:lang w:val="en-GB"/>
        </w:rPr>
        <w:t xml:space="preserve">Sustained efforts are needed to narrow the gap between the official and parallel exchange rates. These include improving the availability of foreign currency through formal banking channels, reinforcing public confidence in the ZiG </w:t>
      </w:r>
      <w:r w:rsidRPr="00816384">
        <w:rPr>
          <w:rFonts w:ascii="Tahoma" w:hAnsi="Tahoma" w:cs="Tahoma"/>
          <w:sz w:val="24"/>
          <w:szCs w:val="24"/>
          <w:lang w:val="en-GB"/>
        </w:rPr>
        <w:lastRenderedPageBreak/>
        <w:t>currency, and maintaining consistency in policy communication to foster trust among economic agents.</w:t>
      </w:r>
    </w:p>
    <w:p w14:paraId="17FDFA90" w14:textId="2ABB9E7A" w:rsidR="00DA2232" w:rsidRPr="00DA2232" w:rsidRDefault="00DA2232" w:rsidP="00DA2232">
      <w:pPr>
        <w:ind w:left="720" w:hanging="720"/>
        <w:rPr>
          <w:rFonts w:ascii="Tahoma" w:hAnsi="Tahoma" w:cs="Tahoma"/>
          <w:b/>
          <w:bCs/>
          <w:sz w:val="24"/>
          <w:szCs w:val="24"/>
          <w:lang w:val="en-GB"/>
        </w:rPr>
      </w:pPr>
      <w:r w:rsidRPr="00DA2232">
        <w:rPr>
          <w:rFonts w:ascii="Tahoma" w:hAnsi="Tahoma" w:cs="Tahoma"/>
          <w:b/>
          <w:bCs/>
          <w:sz w:val="24"/>
          <w:szCs w:val="24"/>
          <w:lang w:val="en-GB"/>
        </w:rPr>
        <w:t>9.</w:t>
      </w:r>
      <w:r>
        <w:rPr>
          <w:rFonts w:ascii="Tahoma" w:hAnsi="Tahoma" w:cs="Tahoma"/>
          <w:b/>
          <w:bCs/>
          <w:sz w:val="24"/>
          <w:szCs w:val="24"/>
          <w:lang w:val="en-GB"/>
        </w:rPr>
        <w:t>1.7</w:t>
      </w:r>
      <w:r w:rsidRPr="00DA2232">
        <w:rPr>
          <w:rFonts w:ascii="Tahoma" w:hAnsi="Tahoma" w:cs="Tahoma"/>
          <w:b/>
          <w:bCs/>
          <w:sz w:val="24"/>
          <w:szCs w:val="24"/>
          <w:lang w:val="en-GB"/>
        </w:rPr>
        <w:t xml:space="preserve"> Revitalize Capital Markets and Encourage New Listings</w:t>
      </w:r>
    </w:p>
    <w:p w14:paraId="05823331" w14:textId="77777777" w:rsidR="00DA2232" w:rsidRPr="00816384" w:rsidRDefault="00DA2232" w:rsidP="00816384">
      <w:pPr>
        <w:ind w:left="720"/>
        <w:jc w:val="both"/>
        <w:rPr>
          <w:rFonts w:ascii="Tahoma" w:hAnsi="Tahoma" w:cs="Tahoma"/>
          <w:sz w:val="24"/>
          <w:szCs w:val="24"/>
          <w:lang w:val="en-GB"/>
        </w:rPr>
      </w:pPr>
      <w:r w:rsidRPr="00816384">
        <w:rPr>
          <w:rFonts w:ascii="Tahoma" w:hAnsi="Tahoma" w:cs="Tahoma"/>
          <w:sz w:val="24"/>
          <w:szCs w:val="24"/>
          <w:lang w:val="en-GB"/>
        </w:rPr>
        <w:t>Investor confidence in Zimbabwe’s capital markets must be strengthened through regulatory reforms, increased transparency, and targeted investor education. Encouraging more listings, particularly from mining, energy, and agro-industrial companies, on both the ZSE and VFEX will enhance access to long-term capital and broaden participation in formal financial markets.</w:t>
      </w:r>
    </w:p>
    <w:p w14:paraId="423574C4" w14:textId="65325D43" w:rsidR="00A35184" w:rsidRPr="00523864" w:rsidRDefault="00790EF8" w:rsidP="00842EBE">
      <w:pPr>
        <w:ind w:left="720" w:hanging="720"/>
        <w:jc w:val="both"/>
        <w:rPr>
          <w:lang w:val="en-US"/>
        </w:rPr>
      </w:pPr>
      <w:r>
        <w:rPr>
          <w:rFonts w:cs="Tahoma"/>
          <w:szCs w:val="24"/>
          <w:lang w:val="en-US"/>
        </w:rPr>
        <w:br w:type="page"/>
      </w:r>
    </w:p>
    <w:bookmarkStart w:id="67" w:name="_Toc194054106" w:displacedByCustomXml="next"/>
    <w:sdt>
      <w:sdtPr>
        <w:rPr>
          <w:rFonts w:ascii="Calibri" w:eastAsia="Calibri" w:hAnsi="Calibri"/>
          <w:b w:val="0"/>
          <w:sz w:val="22"/>
          <w:szCs w:val="22"/>
          <w:lang w:val="en-GB"/>
        </w:rPr>
        <w:id w:val="-235097665"/>
        <w:docPartObj>
          <w:docPartGallery w:val="Bibliographies"/>
          <w:docPartUnique/>
        </w:docPartObj>
      </w:sdtPr>
      <w:sdtEndPr>
        <w:rPr>
          <w:lang w:val="en-ZW"/>
        </w:rPr>
      </w:sdtEndPr>
      <w:sdtContent>
        <w:p w14:paraId="462EFE88" w14:textId="1B3FCD7E" w:rsidR="00554386" w:rsidRPr="00554386" w:rsidRDefault="006B2ACF" w:rsidP="00816384">
          <w:pPr>
            <w:pStyle w:val="Heading1"/>
            <w:spacing w:before="0" w:after="240"/>
            <w:jc w:val="both"/>
          </w:pPr>
          <w:r w:rsidRPr="006B2ACF">
            <w:rPr>
              <w:rFonts w:eastAsia="Calibri" w:cs="Tahoma"/>
              <w:bCs/>
              <w:szCs w:val="24"/>
              <w:lang w:val="en-GB"/>
            </w:rPr>
            <w:t>10</w:t>
          </w:r>
          <w:r>
            <w:rPr>
              <w:rFonts w:ascii="Calibri" w:eastAsia="Calibri" w:hAnsi="Calibri"/>
              <w:b w:val="0"/>
              <w:sz w:val="22"/>
              <w:szCs w:val="22"/>
              <w:lang w:val="en-GB"/>
            </w:rPr>
            <w:t xml:space="preserve"> </w:t>
          </w:r>
          <w:r w:rsidR="00554386" w:rsidRPr="00554386">
            <w:t>References</w:t>
          </w:r>
          <w:bookmarkEnd w:id="67"/>
        </w:p>
        <w:sdt>
          <w:sdtPr>
            <w:id w:val="-573587230"/>
            <w:bibliography/>
          </w:sdtPr>
          <w:sdtContent>
            <w:p w14:paraId="39F91226" w14:textId="77777777" w:rsidR="00675502" w:rsidRPr="00675502" w:rsidRDefault="00554386" w:rsidP="00816384">
              <w:pPr>
                <w:pStyle w:val="Bibliography"/>
                <w:spacing w:after="240"/>
                <w:ind w:left="720" w:hanging="720"/>
                <w:jc w:val="both"/>
                <w:rPr>
                  <w:rFonts w:ascii="Tahoma" w:hAnsi="Tahoma" w:cs="Tahoma"/>
                  <w:noProof/>
                  <w:kern w:val="0"/>
                  <w:sz w:val="24"/>
                  <w:szCs w:val="24"/>
                </w:rPr>
              </w:pPr>
              <w:r w:rsidRPr="00675502">
                <w:rPr>
                  <w:rFonts w:ascii="Tahoma" w:hAnsi="Tahoma" w:cs="Tahoma"/>
                  <w:sz w:val="24"/>
                  <w:szCs w:val="24"/>
                </w:rPr>
                <w:fldChar w:fldCharType="begin"/>
              </w:r>
              <w:r w:rsidRPr="00675502">
                <w:rPr>
                  <w:rFonts w:ascii="Tahoma" w:hAnsi="Tahoma" w:cs="Tahoma"/>
                  <w:sz w:val="24"/>
                  <w:szCs w:val="24"/>
                </w:rPr>
                <w:instrText>BIBLIOGRAPHY</w:instrText>
              </w:r>
              <w:r w:rsidRPr="00675502">
                <w:rPr>
                  <w:rFonts w:ascii="Tahoma" w:hAnsi="Tahoma" w:cs="Tahoma"/>
                  <w:sz w:val="24"/>
                  <w:szCs w:val="24"/>
                </w:rPr>
                <w:fldChar w:fldCharType="separate"/>
              </w:r>
              <w:r w:rsidR="00675502" w:rsidRPr="00675502">
                <w:rPr>
                  <w:rFonts w:ascii="Tahoma" w:hAnsi="Tahoma" w:cs="Tahoma"/>
                  <w:noProof/>
                  <w:sz w:val="24"/>
                  <w:szCs w:val="24"/>
                </w:rPr>
                <w:t xml:space="preserve">Bradstock, F. (2025). </w:t>
              </w:r>
              <w:r w:rsidR="00675502" w:rsidRPr="00675502">
                <w:rPr>
                  <w:rFonts w:ascii="Tahoma" w:hAnsi="Tahoma" w:cs="Tahoma"/>
                  <w:i/>
                  <w:iCs/>
                  <w:noProof/>
                  <w:sz w:val="24"/>
                  <w:szCs w:val="24"/>
                </w:rPr>
                <w:t>Key Commodity Trends to Watch in 2025</w:t>
              </w:r>
              <w:r w:rsidR="00675502" w:rsidRPr="00675502">
                <w:rPr>
                  <w:rFonts w:ascii="Tahoma" w:hAnsi="Tahoma" w:cs="Tahoma"/>
                  <w:noProof/>
                  <w:sz w:val="24"/>
                  <w:szCs w:val="24"/>
                </w:rPr>
                <w:t>. Retrieved from OILPRICE.COM: https://oilprice.com/Energy/Energy-General/Key-Commodity-Trends-to-Watch-in-2025.html#:~:text=Key%20Commodity%20Trends%20to%20Watch%20in%202025%201,for%20electric%20vehicles%20and%20energy%20storage%20solutions%20increases.</w:t>
              </w:r>
            </w:p>
            <w:p w14:paraId="233A0B02"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International Monetary Fund. (2025). </w:t>
              </w:r>
              <w:r w:rsidRPr="00675502">
                <w:rPr>
                  <w:rFonts w:ascii="Tahoma" w:hAnsi="Tahoma" w:cs="Tahoma"/>
                  <w:i/>
                  <w:iCs/>
                  <w:noProof/>
                  <w:sz w:val="24"/>
                  <w:szCs w:val="24"/>
                </w:rPr>
                <w:t>World Economic Outlook, January 2025 Update.</w:t>
              </w:r>
              <w:r w:rsidRPr="00675502">
                <w:rPr>
                  <w:rFonts w:ascii="Tahoma" w:hAnsi="Tahoma" w:cs="Tahoma"/>
                  <w:noProof/>
                  <w:sz w:val="24"/>
                  <w:szCs w:val="24"/>
                </w:rPr>
                <w:t xml:space="preserve"> IMF.</w:t>
              </w:r>
            </w:p>
            <w:p w14:paraId="04C4FEFB"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Invesco. (2025). </w:t>
              </w:r>
              <w:r w:rsidRPr="00675502">
                <w:rPr>
                  <w:rFonts w:ascii="Tahoma" w:hAnsi="Tahoma" w:cs="Tahoma"/>
                  <w:i/>
                  <w:iCs/>
                  <w:noProof/>
                  <w:sz w:val="24"/>
                  <w:szCs w:val="24"/>
                </w:rPr>
                <w:t>Why do we expect further weakening of the US dollar?</w:t>
              </w:r>
              <w:r w:rsidRPr="00675502">
                <w:rPr>
                  <w:rFonts w:ascii="Tahoma" w:hAnsi="Tahoma" w:cs="Tahoma"/>
                  <w:noProof/>
                  <w:sz w:val="24"/>
                  <w:szCs w:val="24"/>
                </w:rPr>
                <w:t xml:space="preserve"> Retrieved from https://www.invesco.com/apac/en/institutional/insights/market-outlook/why-do-we-expect-further-weakening-of-the-us-dollar.html?msockid=15dc0a15f93065382a851e5cf8436478</w:t>
              </w:r>
            </w:p>
            <w:p w14:paraId="14769FF4"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RBZ. (2025). </w:t>
              </w:r>
              <w:r w:rsidRPr="00675502">
                <w:rPr>
                  <w:rFonts w:ascii="Tahoma" w:hAnsi="Tahoma" w:cs="Tahoma"/>
                  <w:i/>
                  <w:iCs/>
                  <w:noProof/>
                  <w:sz w:val="24"/>
                  <w:szCs w:val="24"/>
                </w:rPr>
                <w:t>2025 Monetary Policy Statement.</w:t>
              </w:r>
              <w:r w:rsidRPr="00675502">
                <w:rPr>
                  <w:rFonts w:ascii="Tahoma" w:hAnsi="Tahoma" w:cs="Tahoma"/>
                  <w:noProof/>
                  <w:sz w:val="24"/>
                  <w:szCs w:val="24"/>
                </w:rPr>
                <w:t xml:space="preserve"> Reserve Bank of Zimbabwe.</w:t>
              </w:r>
            </w:p>
            <w:p w14:paraId="25E31308"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RBZ. (2025). </w:t>
              </w:r>
              <w:r w:rsidRPr="00675502">
                <w:rPr>
                  <w:rFonts w:ascii="Tahoma" w:hAnsi="Tahoma" w:cs="Tahoma"/>
                  <w:i/>
                  <w:iCs/>
                  <w:noProof/>
                  <w:sz w:val="24"/>
                  <w:szCs w:val="24"/>
                </w:rPr>
                <w:t>Exchange Rates</w:t>
              </w:r>
              <w:r w:rsidRPr="00675502">
                <w:rPr>
                  <w:rFonts w:ascii="Tahoma" w:hAnsi="Tahoma" w:cs="Tahoma"/>
                  <w:noProof/>
                  <w:sz w:val="24"/>
                  <w:szCs w:val="24"/>
                </w:rPr>
                <w:t>. Retrieved from Reserve Bank of Zimbabwe: https://www.rbz.co.zw/index.php/research/markets/exchange-rates</w:t>
              </w:r>
            </w:p>
            <w:p w14:paraId="135DE703"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Reserve Bank of Zimbabwe. (2025). </w:t>
              </w:r>
              <w:r w:rsidRPr="00675502">
                <w:rPr>
                  <w:rFonts w:ascii="Tahoma" w:hAnsi="Tahoma" w:cs="Tahoma"/>
                  <w:i/>
                  <w:iCs/>
                  <w:noProof/>
                  <w:sz w:val="24"/>
                  <w:szCs w:val="24"/>
                </w:rPr>
                <w:t>Monthly Economic Review: January 2025.</w:t>
              </w:r>
              <w:r w:rsidRPr="00675502">
                <w:rPr>
                  <w:rFonts w:ascii="Tahoma" w:hAnsi="Tahoma" w:cs="Tahoma"/>
                  <w:noProof/>
                  <w:sz w:val="24"/>
                  <w:szCs w:val="24"/>
                </w:rPr>
                <w:t xml:space="preserve"> RBZ.</w:t>
              </w:r>
            </w:p>
            <w:p w14:paraId="14740E0C"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Reserve Bank of Zimbabwe. (2025). </w:t>
              </w:r>
              <w:r w:rsidRPr="00675502">
                <w:rPr>
                  <w:rFonts w:ascii="Tahoma" w:hAnsi="Tahoma" w:cs="Tahoma"/>
                  <w:i/>
                  <w:iCs/>
                  <w:noProof/>
                  <w:sz w:val="24"/>
                  <w:szCs w:val="24"/>
                </w:rPr>
                <w:t>Weekely Economic Highlights, 28 February 2025, Vol 27 No 9.</w:t>
              </w:r>
              <w:r w:rsidRPr="00675502">
                <w:rPr>
                  <w:rFonts w:ascii="Tahoma" w:hAnsi="Tahoma" w:cs="Tahoma"/>
                  <w:noProof/>
                  <w:sz w:val="24"/>
                  <w:szCs w:val="24"/>
                </w:rPr>
                <w:t xml:space="preserve"> Reserve Bank of Zimbabwe.</w:t>
              </w:r>
            </w:p>
            <w:p w14:paraId="434B9F6D"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The Herald. (2025). </w:t>
              </w:r>
              <w:r w:rsidRPr="00675502">
                <w:rPr>
                  <w:rFonts w:ascii="Tahoma" w:hAnsi="Tahoma" w:cs="Tahoma"/>
                  <w:i/>
                  <w:iCs/>
                  <w:noProof/>
                  <w:sz w:val="24"/>
                  <w:szCs w:val="24"/>
                </w:rPr>
                <w:t>Zim Inflation in Major Downtrend</w:t>
              </w:r>
              <w:r w:rsidRPr="00675502">
                <w:rPr>
                  <w:rFonts w:ascii="Tahoma" w:hAnsi="Tahoma" w:cs="Tahoma"/>
                  <w:noProof/>
                  <w:sz w:val="24"/>
                  <w:szCs w:val="24"/>
                </w:rPr>
                <w:t>. Retrieved from https://www.herald.co.zw/zim-inflation-in-major-downtrend/</w:t>
              </w:r>
            </w:p>
            <w:p w14:paraId="472FF3DC"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Trading Economics. (2025). </w:t>
              </w:r>
              <w:r w:rsidRPr="00675502">
                <w:rPr>
                  <w:rFonts w:ascii="Tahoma" w:hAnsi="Tahoma" w:cs="Tahoma"/>
                  <w:i/>
                  <w:iCs/>
                  <w:noProof/>
                  <w:sz w:val="24"/>
                  <w:szCs w:val="24"/>
                </w:rPr>
                <w:t>Commodities</w:t>
              </w:r>
              <w:r w:rsidRPr="00675502">
                <w:rPr>
                  <w:rFonts w:ascii="Tahoma" w:hAnsi="Tahoma" w:cs="Tahoma"/>
                  <w:noProof/>
                  <w:sz w:val="24"/>
                  <w:szCs w:val="24"/>
                </w:rPr>
                <w:t>. Retrieved from Trading Economics: https://tradingeconomics.com/commodity/crude-oil</w:t>
              </w:r>
            </w:p>
            <w:p w14:paraId="15AB21E8"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UN. (2025). </w:t>
              </w:r>
              <w:r w:rsidRPr="00675502">
                <w:rPr>
                  <w:rFonts w:ascii="Tahoma" w:hAnsi="Tahoma" w:cs="Tahoma"/>
                  <w:i/>
                  <w:iCs/>
                  <w:noProof/>
                  <w:sz w:val="24"/>
                  <w:szCs w:val="24"/>
                </w:rPr>
                <w:t>World Economic Situation and Prospects: February 2025 Briefing, No. 187</w:t>
              </w:r>
              <w:r w:rsidRPr="00675502">
                <w:rPr>
                  <w:rFonts w:ascii="Tahoma" w:hAnsi="Tahoma" w:cs="Tahoma"/>
                  <w:noProof/>
                  <w:sz w:val="24"/>
                  <w:szCs w:val="24"/>
                </w:rPr>
                <w:t>. Retrieved from United Nations: https://www.un.org/development/desa/dpad/publication/world-economic-situation-and-prospects-february-2025-briefing-no-187/#:~:text=The%20world%20economy%20has%20shown%20remarkable%20resilience%2C%20with,commodity%20prices%2C%20and%20monetary%20easing%20in</w:t>
              </w:r>
            </w:p>
            <w:p w14:paraId="614072BB"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VFEX. (2025). </w:t>
              </w:r>
              <w:r w:rsidRPr="00675502">
                <w:rPr>
                  <w:rFonts w:ascii="Tahoma" w:hAnsi="Tahoma" w:cs="Tahoma"/>
                  <w:i/>
                  <w:iCs/>
                  <w:noProof/>
                  <w:sz w:val="24"/>
                  <w:szCs w:val="24"/>
                </w:rPr>
                <w:t>Main Dashboard</w:t>
              </w:r>
              <w:r w:rsidRPr="00675502">
                <w:rPr>
                  <w:rFonts w:ascii="Tahoma" w:hAnsi="Tahoma" w:cs="Tahoma"/>
                  <w:noProof/>
                  <w:sz w:val="24"/>
                  <w:szCs w:val="24"/>
                </w:rPr>
                <w:t>. Retrieved from Victoria Falls Stock Exchange: https://www.vfex.exchange/</w:t>
              </w:r>
            </w:p>
            <w:p w14:paraId="007E6BA5"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World Bank. (2025). </w:t>
              </w:r>
              <w:r w:rsidRPr="00675502">
                <w:rPr>
                  <w:rFonts w:ascii="Tahoma" w:hAnsi="Tahoma" w:cs="Tahoma"/>
                  <w:i/>
                  <w:iCs/>
                  <w:noProof/>
                  <w:sz w:val="24"/>
                  <w:szCs w:val="24"/>
                </w:rPr>
                <w:t>Food Security Update.</w:t>
              </w:r>
              <w:r w:rsidRPr="00675502">
                <w:rPr>
                  <w:rFonts w:ascii="Tahoma" w:hAnsi="Tahoma" w:cs="Tahoma"/>
                  <w:noProof/>
                  <w:sz w:val="24"/>
                  <w:szCs w:val="24"/>
                </w:rPr>
                <w:t xml:space="preserve"> World Bank.</w:t>
              </w:r>
            </w:p>
            <w:p w14:paraId="0CF44826"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lastRenderedPageBreak/>
                <w:t xml:space="preserve">ZimStat. (2025). </w:t>
              </w:r>
              <w:r w:rsidRPr="00675502">
                <w:rPr>
                  <w:rFonts w:ascii="Tahoma" w:hAnsi="Tahoma" w:cs="Tahoma"/>
                  <w:i/>
                  <w:iCs/>
                  <w:noProof/>
                  <w:sz w:val="24"/>
                  <w:szCs w:val="24"/>
                </w:rPr>
                <w:t>Inflation Rates</w:t>
              </w:r>
              <w:r w:rsidRPr="00675502">
                <w:rPr>
                  <w:rFonts w:ascii="Tahoma" w:hAnsi="Tahoma" w:cs="Tahoma"/>
                  <w:noProof/>
                  <w:sz w:val="24"/>
                  <w:szCs w:val="24"/>
                </w:rPr>
                <w:t>. Retrieved from Zimbabwe Statistics Agency: https://www.zimstat.co.zw/</w:t>
              </w:r>
            </w:p>
            <w:p w14:paraId="12809DEB" w14:textId="77777777" w:rsidR="00675502" w:rsidRPr="00675502" w:rsidRDefault="00675502" w:rsidP="00816384">
              <w:pPr>
                <w:pStyle w:val="Bibliography"/>
                <w:spacing w:after="240"/>
                <w:ind w:left="720" w:hanging="720"/>
                <w:jc w:val="both"/>
                <w:rPr>
                  <w:rFonts w:ascii="Tahoma" w:hAnsi="Tahoma" w:cs="Tahoma"/>
                  <w:noProof/>
                  <w:sz w:val="24"/>
                  <w:szCs w:val="24"/>
                </w:rPr>
              </w:pPr>
              <w:r w:rsidRPr="00675502">
                <w:rPr>
                  <w:rFonts w:ascii="Tahoma" w:hAnsi="Tahoma" w:cs="Tahoma"/>
                  <w:noProof/>
                  <w:sz w:val="24"/>
                  <w:szCs w:val="24"/>
                </w:rPr>
                <w:t xml:space="preserve">ZSE. (2025). </w:t>
              </w:r>
              <w:r w:rsidRPr="00675502">
                <w:rPr>
                  <w:rFonts w:ascii="Tahoma" w:hAnsi="Tahoma" w:cs="Tahoma"/>
                  <w:i/>
                  <w:iCs/>
                  <w:noProof/>
                  <w:sz w:val="24"/>
                  <w:szCs w:val="24"/>
                </w:rPr>
                <w:t>Main Dashboard</w:t>
              </w:r>
              <w:r w:rsidRPr="00675502">
                <w:rPr>
                  <w:rFonts w:ascii="Tahoma" w:hAnsi="Tahoma" w:cs="Tahoma"/>
                  <w:noProof/>
                  <w:sz w:val="24"/>
                  <w:szCs w:val="24"/>
                </w:rPr>
                <w:t>. Retrieved from Zimbabwe Stock Exchange: https://www.zse.co.zw/</w:t>
              </w:r>
            </w:p>
            <w:p w14:paraId="13E77ABB" w14:textId="41D20698" w:rsidR="00554386" w:rsidRDefault="00554386" w:rsidP="00816384">
              <w:pPr>
                <w:spacing w:after="240"/>
                <w:jc w:val="both"/>
              </w:pPr>
              <w:r w:rsidRPr="00675502">
                <w:rPr>
                  <w:rFonts w:ascii="Tahoma" w:hAnsi="Tahoma" w:cs="Tahoma"/>
                  <w:b/>
                  <w:bCs/>
                  <w:sz w:val="24"/>
                  <w:szCs w:val="24"/>
                </w:rPr>
                <w:fldChar w:fldCharType="end"/>
              </w:r>
            </w:p>
          </w:sdtContent>
        </w:sdt>
      </w:sdtContent>
    </w:sdt>
    <w:p w14:paraId="4DDA6CFA" w14:textId="77777777" w:rsidR="009428C2" w:rsidRDefault="009428C2" w:rsidP="009428C2"/>
    <w:p w14:paraId="4F93A396" w14:textId="77777777" w:rsidR="009428C2" w:rsidRDefault="009428C2" w:rsidP="009428C2"/>
    <w:p w14:paraId="6DF7997D" w14:textId="77777777" w:rsidR="0017300E" w:rsidRPr="0017300E" w:rsidRDefault="0017300E" w:rsidP="0017300E">
      <w:pPr>
        <w:rPr>
          <w:rFonts w:ascii="Tahoma" w:hAnsi="Tahoma" w:cs="Tahoma"/>
          <w:sz w:val="24"/>
          <w:szCs w:val="24"/>
        </w:rPr>
      </w:pPr>
    </w:p>
    <w:p w14:paraId="4EC8551C" w14:textId="795854A1" w:rsidR="009C724B" w:rsidRPr="0008009F" w:rsidRDefault="009C724B" w:rsidP="009C724B">
      <w:pPr>
        <w:pStyle w:val="ListParagraph"/>
        <w:ind w:left="0"/>
        <w:jc w:val="right"/>
        <w:rPr>
          <w:rFonts w:ascii="Tahoma" w:hAnsi="Tahoma" w:cs="Tahoma"/>
          <w:sz w:val="24"/>
          <w:szCs w:val="24"/>
          <w:lang w:val="en-US"/>
        </w:rPr>
      </w:pPr>
      <w:r w:rsidRPr="0008009F">
        <w:rPr>
          <w:rFonts w:ascii="Tahoma" w:hAnsi="Tahoma" w:cs="Tahoma"/>
          <w:b/>
          <w:iCs/>
          <w:sz w:val="24"/>
          <w:szCs w:val="24"/>
          <w:lang w:val="en-US"/>
        </w:rPr>
        <w:t>NECF Secretariat, 202</w:t>
      </w:r>
      <w:r w:rsidR="00842EBE">
        <w:rPr>
          <w:rFonts w:ascii="Tahoma" w:hAnsi="Tahoma" w:cs="Tahoma"/>
          <w:b/>
          <w:iCs/>
          <w:sz w:val="24"/>
          <w:szCs w:val="24"/>
          <w:lang w:val="en-US"/>
        </w:rPr>
        <w:t>5</w:t>
      </w:r>
    </w:p>
    <w:p w14:paraId="7675E105" w14:textId="77777777" w:rsidR="00EF3AD6" w:rsidRPr="0017300E" w:rsidRDefault="00EF3AD6" w:rsidP="0017300E">
      <w:pPr>
        <w:pStyle w:val="ListParagraph"/>
        <w:ind w:left="0"/>
        <w:rPr>
          <w:rFonts w:ascii="Tahoma" w:hAnsi="Tahoma" w:cs="Tahoma"/>
          <w:sz w:val="24"/>
          <w:szCs w:val="24"/>
          <w:lang w:val="en-US"/>
        </w:rPr>
      </w:pPr>
    </w:p>
    <w:sectPr w:rsidR="00EF3AD6" w:rsidRPr="0017300E" w:rsidSect="006D22C2">
      <w:head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43EC8" w14:textId="77777777" w:rsidR="00712D6D" w:rsidRDefault="00712D6D" w:rsidP="00654F03">
      <w:pPr>
        <w:spacing w:after="0" w:line="240" w:lineRule="auto"/>
      </w:pPr>
      <w:r>
        <w:separator/>
      </w:r>
    </w:p>
    <w:p w14:paraId="3BE92F0F" w14:textId="77777777" w:rsidR="00712D6D" w:rsidRDefault="00712D6D"/>
    <w:p w14:paraId="7BBF3953" w14:textId="77777777" w:rsidR="00712D6D" w:rsidRDefault="00712D6D" w:rsidP="00D751E8"/>
  </w:endnote>
  <w:endnote w:type="continuationSeparator" w:id="0">
    <w:p w14:paraId="13B2EDF4" w14:textId="77777777" w:rsidR="00712D6D" w:rsidRDefault="00712D6D" w:rsidP="00654F03">
      <w:pPr>
        <w:spacing w:after="0" w:line="240" w:lineRule="auto"/>
      </w:pPr>
      <w:r>
        <w:continuationSeparator/>
      </w:r>
    </w:p>
    <w:p w14:paraId="525F6C67" w14:textId="77777777" w:rsidR="00712D6D" w:rsidRDefault="00712D6D"/>
    <w:p w14:paraId="31CE7F30" w14:textId="77777777" w:rsidR="00712D6D" w:rsidRDefault="00712D6D"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1071772"/>
      <w:docPartObj>
        <w:docPartGallery w:val="Page Numbers (Bottom of Page)"/>
        <w:docPartUnique/>
      </w:docPartObj>
    </w:sdtPr>
    <w:sdtEndPr>
      <w:rPr>
        <w:color w:val="7F7F7F" w:themeColor="background1" w:themeShade="7F"/>
        <w:spacing w:val="60"/>
      </w:rPr>
    </w:sdtEndPr>
    <w:sdtContent>
      <w:p w14:paraId="7E5F8CF6" w14:textId="524EEF72" w:rsidR="00237F4C" w:rsidRDefault="00237F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w:t>
        </w:r>
        <w:r w:rsidR="00842EBE">
          <w:rPr>
            <w:color w:val="7F7F7F" w:themeColor="background1" w:themeShade="7F"/>
            <w:spacing w:val="60"/>
          </w:rPr>
          <w:t xml:space="preserve"> SECRETARIAT, 2025</w:t>
        </w:r>
      </w:p>
    </w:sdtContent>
  </w:sdt>
  <w:p w14:paraId="55377235" w14:textId="77777777" w:rsidR="006E77DB" w:rsidRDefault="006E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D60A2" w14:textId="77777777" w:rsidR="00712D6D" w:rsidRDefault="00712D6D" w:rsidP="00654F03">
      <w:pPr>
        <w:spacing w:after="0" w:line="240" w:lineRule="auto"/>
      </w:pPr>
      <w:r>
        <w:separator/>
      </w:r>
    </w:p>
    <w:p w14:paraId="0F910EA1" w14:textId="77777777" w:rsidR="00712D6D" w:rsidRDefault="00712D6D"/>
    <w:p w14:paraId="4AEAFFFE" w14:textId="77777777" w:rsidR="00712D6D" w:rsidRDefault="00712D6D" w:rsidP="00D751E8"/>
  </w:footnote>
  <w:footnote w:type="continuationSeparator" w:id="0">
    <w:p w14:paraId="1E2836AA" w14:textId="77777777" w:rsidR="00712D6D" w:rsidRDefault="00712D6D" w:rsidP="00654F03">
      <w:pPr>
        <w:spacing w:after="0" w:line="240" w:lineRule="auto"/>
      </w:pPr>
      <w:r>
        <w:continuationSeparator/>
      </w:r>
    </w:p>
    <w:p w14:paraId="07C5E10B" w14:textId="77777777" w:rsidR="00712D6D" w:rsidRDefault="00712D6D"/>
    <w:p w14:paraId="4D5708D6" w14:textId="77777777" w:rsidR="00712D6D" w:rsidRDefault="00712D6D" w:rsidP="00D75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882A" w14:textId="77777777" w:rsidR="006E77DB" w:rsidRDefault="006E7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7B9E"/>
    <w:multiLevelType w:val="multilevel"/>
    <w:tmpl w:val="645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217"/>
    <w:multiLevelType w:val="multilevel"/>
    <w:tmpl w:val="2B4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A3E6660"/>
    <w:multiLevelType w:val="multilevel"/>
    <w:tmpl w:val="8A265644"/>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205C2267"/>
    <w:multiLevelType w:val="multilevel"/>
    <w:tmpl w:val="1C1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63A3"/>
    <w:multiLevelType w:val="multilevel"/>
    <w:tmpl w:val="7116B1E8"/>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41D1541"/>
    <w:multiLevelType w:val="multilevel"/>
    <w:tmpl w:val="4208BFCE"/>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20B6531"/>
    <w:multiLevelType w:val="multilevel"/>
    <w:tmpl w:val="C3B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E3BB8"/>
    <w:multiLevelType w:val="multilevel"/>
    <w:tmpl w:val="8C58B400"/>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49D07FA1"/>
    <w:multiLevelType w:val="multilevel"/>
    <w:tmpl w:val="0998752C"/>
    <w:lvl w:ilvl="0">
      <w:start w:val="9"/>
      <w:numFmt w:val="decimal"/>
      <w:lvlText w:val="%1"/>
      <w:lvlJc w:val="left"/>
      <w:pPr>
        <w:ind w:left="750" w:hanging="750"/>
      </w:pPr>
      <w:rPr>
        <w:rFonts w:hint="default"/>
        <w:b/>
      </w:rPr>
    </w:lvl>
    <w:lvl w:ilvl="1">
      <w:start w:val="1"/>
      <w:numFmt w:val="decimal"/>
      <w:lvlText w:val="%1.%2"/>
      <w:lvlJc w:val="left"/>
      <w:pPr>
        <w:ind w:left="750" w:hanging="750"/>
      </w:pPr>
      <w:rPr>
        <w:rFonts w:hint="default"/>
        <w:b/>
      </w:rPr>
    </w:lvl>
    <w:lvl w:ilvl="2">
      <w:start w:val="12"/>
      <w:numFmt w:val="decimal"/>
      <w:lvlText w:val="%1.%2.%3"/>
      <w:lvlJc w:val="left"/>
      <w:pPr>
        <w:ind w:left="750" w:hanging="75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4D8F35C4"/>
    <w:multiLevelType w:val="multilevel"/>
    <w:tmpl w:val="A21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9761C"/>
    <w:multiLevelType w:val="multilevel"/>
    <w:tmpl w:val="C4B25906"/>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5816130F"/>
    <w:multiLevelType w:val="multilevel"/>
    <w:tmpl w:val="D4C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8420762"/>
    <w:multiLevelType w:val="multilevel"/>
    <w:tmpl w:val="CB2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A712E"/>
    <w:multiLevelType w:val="multilevel"/>
    <w:tmpl w:val="807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90935534">
    <w:abstractNumId w:val="16"/>
  </w:num>
  <w:num w:numId="2" w16cid:durableId="874923556">
    <w:abstractNumId w:val="19"/>
  </w:num>
  <w:num w:numId="3" w16cid:durableId="284166034">
    <w:abstractNumId w:val="7"/>
  </w:num>
  <w:num w:numId="4" w16cid:durableId="497965357">
    <w:abstractNumId w:val="8"/>
  </w:num>
  <w:num w:numId="5" w16cid:durableId="1683242485">
    <w:abstractNumId w:val="9"/>
  </w:num>
  <w:num w:numId="6" w16cid:durableId="228807139">
    <w:abstractNumId w:val="2"/>
  </w:num>
  <w:num w:numId="7" w16cid:durableId="807742019">
    <w:abstractNumId w:val="18"/>
  </w:num>
  <w:num w:numId="8" w16cid:durableId="217713302">
    <w:abstractNumId w:val="0"/>
  </w:num>
  <w:num w:numId="9" w16cid:durableId="777798105">
    <w:abstractNumId w:val="10"/>
  </w:num>
  <w:num w:numId="10" w16cid:durableId="845637487">
    <w:abstractNumId w:val="15"/>
  </w:num>
  <w:num w:numId="11" w16cid:durableId="1402485173">
    <w:abstractNumId w:val="17"/>
  </w:num>
  <w:num w:numId="12" w16cid:durableId="1922179601">
    <w:abstractNumId w:val="1"/>
  </w:num>
  <w:num w:numId="13" w16cid:durableId="2066027949">
    <w:abstractNumId w:val="4"/>
  </w:num>
  <w:num w:numId="14" w16cid:durableId="1202086439">
    <w:abstractNumId w:val="13"/>
  </w:num>
  <w:num w:numId="15" w16cid:durableId="2034727699">
    <w:abstractNumId w:val="6"/>
  </w:num>
  <w:num w:numId="16" w16cid:durableId="1999307851">
    <w:abstractNumId w:val="3"/>
  </w:num>
  <w:num w:numId="17" w16cid:durableId="1513496899">
    <w:abstractNumId w:val="12"/>
  </w:num>
  <w:num w:numId="18" w16cid:durableId="1192720116">
    <w:abstractNumId w:val="14"/>
  </w:num>
  <w:num w:numId="19" w16cid:durableId="163521430">
    <w:abstractNumId w:val="11"/>
  </w:num>
  <w:num w:numId="20" w16cid:durableId="1683387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0C72"/>
    <w:rsid w:val="00001AB7"/>
    <w:rsid w:val="000038E5"/>
    <w:rsid w:val="00003AB2"/>
    <w:rsid w:val="00004DDD"/>
    <w:rsid w:val="000054C7"/>
    <w:rsid w:val="000063E5"/>
    <w:rsid w:val="00006C30"/>
    <w:rsid w:val="0000732F"/>
    <w:rsid w:val="00010505"/>
    <w:rsid w:val="00010C2D"/>
    <w:rsid w:val="000123EE"/>
    <w:rsid w:val="0001267B"/>
    <w:rsid w:val="000129B7"/>
    <w:rsid w:val="00013442"/>
    <w:rsid w:val="0001510C"/>
    <w:rsid w:val="00017757"/>
    <w:rsid w:val="00020012"/>
    <w:rsid w:val="000227AC"/>
    <w:rsid w:val="00022BFE"/>
    <w:rsid w:val="000250F2"/>
    <w:rsid w:val="00026255"/>
    <w:rsid w:val="00026A42"/>
    <w:rsid w:val="0003098D"/>
    <w:rsid w:val="00030CEE"/>
    <w:rsid w:val="00031044"/>
    <w:rsid w:val="0003115B"/>
    <w:rsid w:val="000312F5"/>
    <w:rsid w:val="000313AF"/>
    <w:rsid w:val="00031E9A"/>
    <w:rsid w:val="00032499"/>
    <w:rsid w:val="0003253B"/>
    <w:rsid w:val="0003293A"/>
    <w:rsid w:val="000338D4"/>
    <w:rsid w:val="0003407B"/>
    <w:rsid w:val="000346FD"/>
    <w:rsid w:val="00034A7E"/>
    <w:rsid w:val="00036597"/>
    <w:rsid w:val="00036704"/>
    <w:rsid w:val="0003672E"/>
    <w:rsid w:val="000376E5"/>
    <w:rsid w:val="00041010"/>
    <w:rsid w:val="0004125F"/>
    <w:rsid w:val="000419DD"/>
    <w:rsid w:val="00041D89"/>
    <w:rsid w:val="00041EA2"/>
    <w:rsid w:val="00042A6F"/>
    <w:rsid w:val="00043173"/>
    <w:rsid w:val="000469C1"/>
    <w:rsid w:val="00046B8A"/>
    <w:rsid w:val="00047DEA"/>
    <w:rsid w:val="00050765"/>
    <w:rsid w:val="000534B5"/>
    <w:rsid w:val="00054ADC"/>
    <w:rsid w:val="00056BC8"/>
    <w:rsid w:val="00056C3C"/>
    <w:rsid w:val="00056CEF"/>
    <w:rsid w:val="00060976"/>
    <w:rsid w:val="00060BA3"/>
    <w:rsid w:val="00061CC3"/>
    <w:rsid w:val="0006307E"/>
    <w:rsid w:val="0006371A"/>
    <w:rsid w:val="00064B59"/>
    <w:rsid w:val="00066B05"/>
    <w:rsid w:val="00067C6D"/>
    <w:rsid w:val="00070950"/>
    <w:rsid w:val="00071182"/>
    <w:rsid w:val="0007119B"/>
    <w:rsid w:val="00071565"/>
    <w:rsid w:val="00072BB6"/>
    <w:rsid w:val="000732CC"/>
    <w:rsid w:val="000735EE"/>
    <w:rsid w:val="000742CC"/>
    <w:rsid w:val="00074C3E"/>
    <w:rsid w:val="0007507E"/>
    <w:rsid w:val="0007510B"/>
    <w:rsid w:val="000751D2"/>
    <w:rsid w:val="0008009F"/>
    <w:rsid w:val="00081C1C"/>
    <w:rsid w:val="00083ABE"/>
    <w:rsid w:val="00083E6C"/>
    <w:rsid w:val="00084409"/>
    <w:rsid w:val="0008600D"/>
    <w:rsid w:val="00086539"/>
    <w:rsid w:val="00086A1B"/>
    <w:rsid w:val="00086F82"/>
    <w:rsid w:val="0008784D"/>
    <w:rsid w:val="00087AC2"/>
    <w:rsid w:val="00087E0F"/>
    <w:rsid w:val="00090D37"/>
    <w:rsid w:val="00093CAE"/>
    <w:rsid w:val="00096221"/>
    <w:rsid w:val="0009726E"/>
    <w:rsid w:val="0009768B"/>
    <w:rsid w:val="000A2C99"/>
    <w:rsid w:val="000A40EE"/>
    <w:rsid w:val="000A50AA"/>
    <w:rsid w:val="000A5880"/>
    <w:rsid w:val="000A7B2C"/>
    <w:rsid w:val="000B0224"/>
    <w:rsid w:val="000B0C38"/>
    <w:rsid w:val="000B183B"/>
    <w:rsid w:val="000B4023"/>
    <w:rsid w:val="000B5F4D"/>
    <w:rsid w:val="000B622D"/>
    <w:rsid w:val="000B63CE"/>
    <w:rsid w:val="000B6AA5"/>
    <w:rsid w:val="000B6E25"/>
    <w:rsid w:val="000B790A"/>
    <w:rsid w:val="000C07CA"/>
    <w:rsid w:val="000C1657"/>
    <w:rsid w:val="000C2206"/>
    <w:rsid w:val="000C29DA"/>
    <w:rsid w:val="000C2AA3"/>
    <w:rsid w:val="000C2D96"/>
    <w:rsid w:val="000C3268"/>
    <w:rsid w:val="000C412D"/>
    <w:rsid w:val="000C447C"/>
    <w:rsid w:val="000C5617"/>
    <w:rsid w:val="000C5E77"/>
    <w:rsid w:val="000C725E"/>
    <w:rsid w:val="000C78EC"/>
    <w:rsid w:val="000D0953"/>
    <w:rsid w:val="000D1368"/>
    <w:rsid w:val="000D1AB4"/>
    <w:rsid w:val="000D2070"/>
    <w:rsid w:val="000D22EE"/>
    <w:rsid w:val="000D2543"/>
    <w:rsid w:val="000D4C34"/>
    <w:rsid w:val="000D5212"/>
    <w:rsid w:val="000E0195"/>
    <w:rsid w:val="000E3511"/>
    <w:rsid w:val="000E455D"/>
    <w:rsid w:val="000E6686"/>
    <w:rsid w:val="000F316D"/>
    <w:rsid w:val="000F32A6"/>
    <w:rsid w:val="000F38C3"/>
    <w:rsid w:val="000F392D"/>
    <w:rsid w:val="000F5180"/>
    <w:rsid w:val="000F54F6"/>
    <w:rsid w:val="000F7929"/>
    <w:rsid w:val="000F7BEA"/>
    <w:rsid w:val="001000B2"/>
    <w:rsid w:val="00100AD4"/>
    <w:rsid w:val="001016F9"/>
    <w:rsid w:val="00101BC7"/>
    <w:rsid w:val="00101D9E"/>
    <w:rsid w:val="001029E1"/>
    <w:rsid w:val="00102E39"/>
    <w:rsid w:val="00103E4D"/>
    <w:rsid w:val="00104DFE"/>
    <w:rsid w:val="0010522F"/>
    <w:rsid w:val="00105DA8"/>
    <w:rsid w:val="00105EB6"/>
    <w:rsid w:val="00106B15"/>
    <w:rsid w:val="00106B69"/>
    <w:rsid w:val="00106F16"/>
    <w:rsid w:val="0011131C"/>
    <w:rsid w:val="00111B0D"/>
    <w:rsid w:val="00113183"/>
    <w:rsid w:val="0011335B"/>
    <w:rsid w:val="00114482"/>
    <w:rsid w:val="00115C8C"/>
    <w:rsid w:val="00115D09"/>
    <w:rsid w:val="0011714C"/>
    <w:rsid w:val="00117473"/>
    <w:rsid w:val="0012148A"/>
    <w:rsid w:val="001217A1"/>
    <w:rsid w:val="00122C08"/>
    <w:rsid w:val="00123F0C"/>
    <w:rsid w:val="0012708C"/>
    <w:rsid w:val="00130CC2"/>
    <w:rsid w:val="00132EAF"/>
    <w:rsid w:val="00133028"/>
    <w:rsid w:val="00133339"/>
    <w:rsid w:val="00133F55"/>
    <w:rsid w:val="00134E84"/>
    <w:rsid w:val="001354A1"/>
    <w:rsid w:val="00136197"/>
    <w:rsid w:val="00137BB3"/>
    <w:rsid w:val="00142A31"/>
    <w:rsid w:val="0014428B"/>
    <w:rsid w:val="00144B5F"/>
    <w:rsid w:val="00144E1E"/>
    <w:rsid w:val="00145005"/>
    <w:rsid w:val="00145C78"/>
    <w:rsid w:val="00146AB0"/>
    <w:rsid w:val="00146D0A"/>
    <w:rsid w:val="00146D2D"/>
    <w:rsid w:val="00150B6E"/>
    <w:rsid w:val="001522B6"/>
    <w:rsid w:val="00152873"/>
    <w:rsid w:val="00160959"/>
    <w:rsid w:val="00161D6E"/>
    <w:rsid w:val="001621D0"/>
    <w:rsid w:val="00165790"/>
    <w:rsid w:val="00165A7C"/>
    <w:rsid w:val="00170788"/>
    <w:rsid w:val="0017160E"/>
    <w:rsid w:val="00171A37"/>
    <w:rsid w:val="00172873"/>
    <w:rsid w:val="0017300E"/>
    <w:rsid w:val="0017376E"/>
    <w:rsid w:val="00174CBF"/>
    <w:rsid w:val="00181085"/>
    <w:rsid w:val="001810AD"/>
    <w:rsid w:val="001821CB"/>
    <w:rsid w:val="001840D4"/>
    <w:rsid w:val="00184FA3"/>
    <w:rsid w:val="0018530E"/>
    <w:rsid w:val="0018664B"/>
    <w:rsid w:val="001866A1"/>
    <w:rsid w:val="00187505"/>
    <w:rsid w:val="00187582"/>
    <w:rsid w:val="00190FD1"/>
    <w:rsid w:val="001910FB"/>
    <w:rsid w:val="00193B40"/>
    <w:rsid w:val="001946C3"/>
    <w:rsid w:val="00194CA9"/>
    <w:rsid w:val="0019671B"/>
    <w:rsid w:val="00196B3C"/>
    <w:rsid w:val="00197CDC"/>
    <w:rsid w:val="00197E46"/>
    <w:rsid w:val="001A0156"/>
    <w:rsid w:val="001A02C9"/>
    <w:rsid w:val="001A488A"/>
    <w:rsid w:val="001B17C0"/>
    <w:rsid w:val="001B195C"/>
    <w:rsid w:val="001B3048"/>
    <w:rsid w:val="001B3D5A"/>
    <w:rsid w:val="001B5559"/>
    <w:rsid w:val="001B5A7B"/>
    <w:rsid w:val="001B5C7B"/>
    <w:rsid w:val="001B624E"/>
    <w:rsid w:val="001C152E"/>
    <w:rsid w:val="001C160D"/>
    <w:rsid w:val="001C3D17"/>
    <w:rsid w:val="001C3F65"/>
    <w:rsid w:val="001C439F"/>
    <w:rsid w:val="001C46C6"/>
    <w:rsid w:val="001C6200"/>
    <w:rsid w:val="001C6748"/>
    <w:rsid w:val="001C6D0E"/>
    <w:rsid w:val="001C6DDE"/>
    <w:rsid w:val="001D0A18"/>
    <w:rsid w:val="001D2904"/>
    <w:rsid w:val="001D30EF"/>
    <w:rsid w:val="001D51A5"/>
    <w:rsid w:val="001D5665"/>
    <w:rsid w:val="001D740D"/>
    <w:rsid w:val="001E3685"/>
    <w:rsid w:val="001E6283"/>
    <w:rsid w:val="001E6E33"/>
    <w:rsid w:val="001E7A8A"/>
    <w:rsid w:val="001F0303"/>
    <w:rsid w:val="001F1A94"/>
    <w:rsid w:val="001F2D81"/>
    <w:rsid w:val="001F4FFB"/>
    <w:rsid w:val="00200D47"/>
    <w:rsid w:val="002019B5"/>
    <w:rsid w:val="00201F25"/>
    <w:rsid w:val="0020440A"/>
    <w:rsid w:val="0020598F"/>
    <w:rsid w:val="00206550"/>
    <w:rsid w:val="0020788D"/>
    <w:rsid w:val="002100F7"/>
    <w:rsid w:val="00210685"/>
    <w:rsid w:val="00211270"/>
    <w:rsid w:val="00211AC2"/>
    <w:rsid w:val="002120A6"/>
    <w:rsid w:val="0021269E"/>
    <w:rsid w:val="00214737"/>
    <w:rsid w:val="002155AA"/>
    <w:rsid w:val="0021615D"/>
    <w:rsid w:val="00222F0C"/>
    <w:rsid w:val="00223152"/>
    <w:rsid w:val="00223882"/>
    <w:rsid w:val="00223F21"/>
    <w:rsid w:val="00224681"/>
    <w:rsid w:val="0022734D"/>
    <w:rsid w:val="0023127A"/>
    <w:rsid w:val="00231396"/>
    <w:rsid w:val="00235667"/>
    <w:rsid w:val="0023673D"/>
    <w:rsid w:val="0023756F"/>
    <w:rsid w:val="00237F4C"/>
    <w:rsid w:val="0024058F"/>
    <w:rsid w:val="00241F4E"/>
    <w:rsid w:val="00242F69"/>
    <w:rsid w:val="00243665"/>
    <w:rsid w:val="00243C51"/>
    <w:rsid w:val="002448A6"/>
    <w:rsid w:val="00244E77"/>
    <w:rsid w:val="00245606"/>
    <w:rsid w:val="00245A55"/>
    <w:rsid w:val="00245AD4"/>
    <w:rsid w:val="002461D6"/>
    <w:rsid w:val="00246949"/>
    <w:rsid w:val="002473F1"/>
    <w:rsid w:val="00247F83"/>
    <w:rsid w:val="00250A42"/>
    <w:rsid w:val="00250D1B"/>
    <w:rsid w:val="00251269"/>
    <w:rsid w:val="002525BF"/>
    <w:rsid w:val="00252C38"/>
    <w:rsid w:val="00252CB5"/>
    <w:rsid w:val="0025382A"/>
    <w:rsid w:val="00253E89"/>
    <w:rsid w:val="00253FAC"/>
    <w:rsid w:val="00254DF0"/>
    <w:rsid w:val="0025517A"/>
    <w:rsid w:val="002555BE"/>
    <w:rsid w:val="0025612B"/>
    <w:rsid w:val="002569B2"/>
    <w:rsid w:val="00256E40"/>
    <w:rsid w:val="00261A5B"/>
    <w:rsid w:val="002653B7"/>
    <w:rsid w:val="00265AEC"/>
    <w:rsid w:val="0026637F"/>
    <w:rsid w:val="002668B7"/>
    <w:rsid w:val="002739B4"/>
    <w:rsid w:val="00275264"/>
    <w:rsid w:val="00277F04"/>
    <w:rsid w:val="00280519"/>
    <w:rsid w:val="00281635"/>
    <w:rsid w:val="00281EE3"/>
    <w:rsid w:val="00283000"/>
    <w:rsid w:val="00286562"/>
    <w:rsid w:val="00286DD4"/>
    <w:rsid w:val="00287F5F"/>
    <w:rsid w:val="002908F2"/>
    <w:rsid w:val="00291B44"/>
    <w:rsid w:val="00292C22"/>
    <w:rsid w:val="002934CA"/>
    <w:rsid w:val="00293EBD"/>
    <w:rsid w:val="00293F04"/>
    <w:rsid w:val="0029429F"/>
    <w:rsid w:val="002956D3"/>
    <w:rsid w:val="00296FDF"/>
    <w:rsid w:val="002A2E6B"/>
    <w:rsid w:val="002A3CAC"/>
    <w:rsid w:val="002A4DB7"/>
    <w:rsid w:val="002A7B6D"/>
    <w:rsid w:val="002B0281"/>
    <w:rsid w:val="002B11BD"/>
    <w:rsid w:val="002B2341"/>
    <w:rsid w:val="002B2FE8"/>
    <w:rsid w:val="002B60E5"/>
    <w:rsid w:val="002B6209"/>
    <w:rsid w:val="002B637D"/>
    <w:rsid w:val="002B6552"/>
    <w:rsid w:val="002B7529"/>
    <w:rsid w:val="002B7F4B"/>
    <w:rsid w:val="002C0A44"/>
    <w:rsid w:val="002C1E2D"/>
    <w:rsid w:val="002C46A0"/>
    <w:rsid w:val="002C6020"/>
    <w:rsid w:val="002D079F"/>
    <w:rsid w:val="002D0E61"/>
    <w:rsid w:val="002D227F"/>
    <w:rsid w:val="002D3344"/>
    <w:rsid w:val="002D3BAB"/>
    <w:rsid w:val="002D42BB"/>
    <w:rsid w:val="002D4758"/>
    <w:rsid w:val="002D478F"/>
    <w:rsid w:val="002D4973"/>
    <w:rsid w:val="002D7468"/>
    <w:rsid w:val="002D7D4E"/>
    <w:rsid w:val="002E1398"/>
    <w:rsid w:val="002E3ED2"/>
    <w:rsid w:val="002E4030"/>
    <w:rsid w:val="002E6010"/>
    <w:rsid w:val="002E6211"/>
    <w:rsid w:val="002E6581"/>
    <w:rsid w:val="002F0E69"/>
    <w:rsid w:val="002F1286"/>
    <w:rsid w:val="002F1AD6"/>
    <w:rsid w:val="002F3502"/>
    <w:rsid w:val="002F476B"/>
    <w:rsid w:val="002F6DA3"/>
    <w:rsid w:val="00300BB3"/>
    <w:rsid w:val="003015C7"/>
    <w:rsid w:val="003016BC"/>
    <w:rsid w:val="00303E26"/>
    <w:rsid w:val="00307C72"/>
    <w:rsid w:val="00307F4A"/>
    <w:rsid w:val="0031015F"/>
    <w:rsid w:val="00310BED"/>
    <w:rsid w:val="00310DF5"/>
    <w:rsid w:val="003120EE"/>
    <w:rsid w:val="00313C3E"/>
    <w:rsid w:val="0031428C"/>
    <w:rsid w:val="00314D22"/>
    <w:rsid w:val="003157B5"/>
    <w:rsid w:val="00320F64"/>
    <w:rsid w:val="00324047"/>
    <w:rsid w:val="00324070"/>
    <w:rsid w:val="00325ECA"/>
    <w:rsid w:val="003270C4"/>
    <w:rsid w:val="00331834"/>
    <w:rsid w:val="003318ED"/>
    <w:rsid w:val="00332F5E"/>
    <w:rsid w:val="00334A6E"/>
    <w:rsid w:val="003357B5"/>
    <w:rsid w:val="00335FD6"/>
    <w:rsid w:val="00336354"/>
    <w:rsid w:val="00340BCF"/>
    <w:rsid w:val="003415BB"/>
    <w:rsid w:val="00341953"/>
    <w:rsid w:val="00347439"/>
    <w:rsid w:val="0035249D"/>
    <w:rsid w:val="00352C0D"/>
    <w:rsid w:val="00354CAD"/>
    <w:rsid w:val="0035515E"/>
    <w:rsid w:val="00355310"/>
    <w:rsid w:val="00360073"/>
    <w:rsid w:val="00362187"/>
    <w:rsid w:val="003642DC"/>
    <w:rsid w:val="00364947"/>
    <w:rsid w:val="00365637"/>
    <w:rsid w:val="003661D8"/>
    <w:rsid w:val="00370049"/>
    <w:rsid w:val="00374FDC"/>
    <w:rsid w:val="003756E7"/>
    <w:rsid w:val="00375F22"/>
    <w:rsid w:val="00376204"/>
    <w:rsid w:val="00377FEB"/>
    <w:rsid w:val="00380DDB"/>
    <w:rsid w:val="00382F7E"/>
    <w:rsid w:val="003833D6"/>
    <w:rsid w:val="00385A53"/>
    <w:rsid w:val="00386A89"/>
    <w:rsid w:val="00386E81"/>
    <w:rsid w:val="003921F1"/>
    <w:rsid w:val="00392F38"/>
    <w:rsid w:val="003944CA"/>
    <w:rsid w:val="00395F28"/>
    <w:rsid w:val="003976F2"/>
    <w:rsid w:val="003A04F3"/>
    <w:rsid w:val="003A19AF"/>
    <w:rsid w:val="003A3074"/>
    <w:rsid w:val="003A52BC"/>
    <w:rsid w:val="003A5A87"/>
    <w:rsid w:val="003A5E3C"/>
    <w:rsid w:val="003B03B6"/>
    <w:rsid w:val="003B0655"/>
    <w:rsid w:val="003B2B45"/>
    <w:rsid w:val="003B3045"/>
    <w:rsid w:val="003B500E"/>
    <w:rsid w:val="003B6963"/>
    <w:rsid w:val="003B7840"/>
    <w:rsid w:val="003C07C8"/>
    <w:rsid w:val="003C0D94"/>
    <w:rsid w:val="003C1D2F"/>
    <w:rsid w:val="003C31F7"/>
    <w:rsid w:val="003C3CA1"/>
    <w:rsid w:val="003C43DD"/>
    <w:rsid w:val="003C53A3"/>
    <w:rsid w:val="003C5DC8"/>
    <w:rsid w:val="003C6349"/>
    <w:rsid w:val="003C7C0E"/>
    <w:rsid w:val="003D080C"/>
    <w:rsid w:val="003D0C8C"/>
    <w:rsid w:val="003D1B81"/>
    <w:rsid w:val="003D3E43"/>
    <w:rsid w:val="003D514B"/>
    <w:rsid w:val="003D6AAB"/>
    <w:rsid w:val="003D7035"/>
    <w:rsid w:val="003D7E2A"/>
    <w:rsid w:val="003E051C"/>
    <w:rsid w:val="003E10B8"/>
    <w:rsid w:val="003E2138"/>
    <w:rsid w:val="003E301F"/>
    <w:rsid w:val="003E53B2"/>
    <w:rsid w:val="003E5C08"/>
    <w:rsid w:val="003E7C62"/>
    <w:rsid w:val="003E7EEF"/>
    <w:rsid w:val="003F123A"/>
    <w:rsid w:val="003F15BF"/>
    <w:rsid w:val="003F1CAE"/>
    <w:rsid w:val="003F1F46"/>
    <w:rsid w:val="003F476D"/>
    <w:rsid w:val="003F481A"/>
    <w:rsid w:val="0040072A"/>
    <w:rsid w:val="0040272E"/>
    <w:rsid w:val="0040512D"/>
    <w:rsid w:val="004052E4"/>
    <w:rsid w:val="00405F3C"/>
    <w:rsid w:val="00407605"/>
    <w:rsid w:val="00410952"/>
    <w:rsid w:val="004149E4"/>
    <w:rsid w:val="0041518E"/>
    <w:rsid w:val="0041581E"/>
    <w:rsid w:val="00417DAD"/>
    <w:rsid w:val="00420CB9"/>
    <w:rsid w:val="00421D20"/>
    <w:rsid w:val="00423BB9"/>
    <w:rsid w:val="00423CBC"/>
    <w:rsid w:val="004246F6"/>
    <w:rsid w:val="00424868"/>
    <w:rsid w:val="00424F97"/>
    <w:rsid w:val="00427538"/>
    <w:rsid w:val="00427C53"/>
    <w:rsid w:val="00427CDA"/>
    <w:rsid w:val="00427E75"/>
    <w:rsid w:val="00430808"/>
    <w:rsid w:val="00431F13"/>
    <w:rsid w:val="00433F6A"/>
    <w:rsid w:val="00436220"/>
    <w:rsid w:val="0043763F"/>
    <w:rsid w:val="00437A2F"/>
    <w:rsid w:val="00437E4E"/>
    <w:rsid w:val="00441566"/>
    <w:rsid w:val="004416F2"/>
    <w:rsid w:val="00442387"/>
    <w:rsid w:val="00442B68"/>
    <w:rsid w:val="0044325B"/>
    <w:rsid w:val="00443D80"/>
    <w:rsid w:val="00445ADE"/>
    <w:rsid w:val="00446A6B"/>
    <w:rsid w:val="004477A2"/>
    <w:rsid w:val="004514A3"/>
    <w:rsid w:val="00452658"/>
    <w:rsid w:val="00452C25"/>
    <w:rsid w:val="00453CD8"/>
    <w:rsid w:val="004542F6"/>
    <w:rsid w:val="00455568"/>
    <w:rsid w:val="00455958"/>
    <w:rsid w:val="00455BB9"/>
    <w:rsid w:val="004563C8"/>
    <w:rsid w:val="0045689A"/>
    <w:rsid w:val="004600C3"/>
    <w:rsid w:val="004602CD"/>
    <w:rsid w:val="00460D78"/>
    <w:rsid w:val="0046189B"/>
    <w:rsid w:val="004624DA"/>
    <w:rsid w:val="00463A60"/>
    <w:rsid w:val="004645CE"/>
    <w:rsid w:val="00466CF2"/>
    <w:rsid w:val="00467E7F"/>
    <w:rsid w:val="00470854"/>
    <w:rsid w:val="0047159F"/>
    <w:rsid w:val="0047209E"/>
    <w:rsid w:val="004723DA"/>
    <w:rsid w:val="00472DF5"/>
    <w:rsid w:val="004737D3"/>
    <w:rsid w:val="00474E3B"/>
    <w:rsid w:val="004751AB"/>
    <w:rsid w:val="004761DA"/>
    <w:rsid w:val="00476214"/>
    <w:rsid w:val="00476766"/>
    <w:rsid w:val="00477E68"/>
    <w:rsid w:val="0048110F"/>
    <w:rsid w:val="0048248B"/>
    <w:rsid w:val="0048263C"/>
    <w:rsid w:val="0048370E"/>
    <w:rsid w:val="0048527C"/>
    <w:rsid w:val="004853CA"/>
    <w:rsid w:val="00485B9D"/>
    <w:rsid w:val="00487413"/>
    <w:rsid w:val="004874EA"/>
    <w:rsid w:val="00491236"/>
    <w:rsid w:val="004914BB"/>
    <w:rsid w:val="00491643"/>
    <w:rsid w:val="00491F1C"/>
    <w:rsid w:val="00492502"/>
    <w:rsid w:val="00494824"/>
    <w:rsid w:val="00495C20"/>
    <w:rsid w:val="00496A39"/>
    <w:rsid w:val="004A14EA"/>
    <w:rsid w:val="004A2699"/>
    <w:rsid w:val="004A269E"/>
    <w:rsid w:val="004A636E"/>
    <w:rsid w:val="004B15EE"/>
    <w:rsid w:val="004B2536"/>
    <w:rsid w:val="004B3B72"/>
    <w:rsid w:val="004B3C36"/>
    <w:rsid w:val="004B51EB"/>
    <w:rsid w:val="004B7945"/>
    <w:rsid w:val="004C15AC"/>
    <w:rsid w:val="004C2931"/>
    <w:rsid w:val="004C52BB"/>
    <w:rsid w:val="004C564F"/>
    <w:rsid w:val="004C5BDE"/>
    <w:rsid w:val="004C5EBF"/>
    <w:rsid w:val="004C6210"/>
    <w:rsid w:val="004C6A79"/>
    <w:rsid w:val="004C6B45"/>
    <w:rsid w:val="004C7E36"/>
    <w:rsid w:val="004C7FCF"/>
    <w:rsid w:val="004D0F9B"/>
    <w:rsid w:val="004D2836"/>
    <w:rsid w:val="004D3066"/>
    <w:rsid w:val="004D31CB"/>
    <w:rsid w:val="004D32BD"/>
    <w:rsid w:val="004D35AC"/>
    <w:rsid w:val="004D4BEA"/>
    <w:rsid w:val="004D4E48"/>
    <w:rsid w:val="004D577F"/>
    <w:rsid w:val="004D5D49"/>
    <w:rsid w:val="004D7E96"/>
    <w:rsid w:val="004E37A1"/>
    <w:rsid w:val="004E3AC3"/>
    <w:rsid w:val="004E5ABD"/>
    <w:rsid w:val="004E5DF5"/>
    <w:rsid w:val="004E5FEA"/>
    <w:rsid w:val="004E6C84"/>
    <w:rsid w:val="004E71C0"/>
    <w:rsid w:val="004E7861"/>
    <w:rsid w:val="004F153F"/>
    <w:rsid w:val="004F19C9"/>
    <w:rsid w:val="004F4308"/>
    <w:rsid w:val="004F47ED"/>
    <w:rsid w:val="004F680D"/>
    <w:rsid w:val="004F6C5D"/>
    <w:rsid w:val="004F6CEE"/>
    <w:rsid w:val="004F7396"/>
    <w:rsid w:val="004F77B5"/>
    <w:rsid w:val="00500F38"/>
    <w:rsid w:val="00504786"/>
    <w:rsid w:val="00505299"/>
    <w:rsid w:val="00505513"/>
    <w:rsid w:val="00505644"/>
    <w:rsid w:val="00506236"/>
    <w:rsid w:val="00510452"/>
    <w:rsid w:val="00510A42"/>
    <w:rsid w:val="0051154E"/>
    <w:rsid w:val="00512965"/>
    <w:rsid w:val="005135DD"/>
    <w:rsid w:val="0051423B"/>
    <w:rsid w:val="00514497"/>
    <w:rsid w:val="00515620"/>
    <w:rsid w:val="00516FE0"/>
    <w:rsid w:val="00520398"/>
    <w:rsid w:val="005219CF"/>
    <w:rsid w:val="005225AD"/>
    <w:rsid w:val="00523864"/>
    <w:rsid w:val="00525461"/>
    <w:rsid w:val="00526479"/>
    <w:rsid w:val="00526C07"/>
    <w:rsid w:val="005306BE"/>
    <w:rsid w:val="00530EE9"/>
    <w:rsid w:val="00531A3E"/>
    <w:rsid w:val="00532CBC"/>
    <w:rsid w:val="00533363"/>
    <w:rsid w:val="00534695"/>
    <w:rsid w:val="00534F79"/>
    <w:rsid w:val="005356CB"/>
    <w:rsid w:val="005358BF"/>
    <w:rsid w:val="00535D08"/>
    <w:rsid w:val="00535EF4"/>
    <w:rsid w:val="005360D6"/>
    <w:rsid w:val="00542DE9"/>
    <w:rsid w:val="00543B7F"/>
    <w:rsid w:val="00546A12"/>
    <w:rsid w:val="00546CD8"/>
    <w:rsid w:val="00550A4C"/>
    <w:rsid w:val="00550C96"/>
    <w:rsid w:val="005512A6"/>
    <w:rsid w:val="005527BF"/>
    <w:rsid w:val="00552A26"/>
    <w:rsid w:val="00554386"/>
    <w:rsid w:val="0055557F"/>
    <w:rsid w:val="00555C23"/>
    <w:rsid w:val="00556E35"/>
    <w:rsid w:val="00561DF1"/>
    <w:rsid w:val="005621AD"/>
    <w:rsid w:val="00562318"/>
    <w:rsid w:val="005632D6"/>
    <w:rsid w:val="00563B95"/>
    <w:rsid w:val="005645F7"/>
    <w:rsid w:val="00564B53"/>
    <w:rsid w:val="005652FF"/>
    <w:rsid w:val="00565F02"/>
    <w:rsid w:val="00567040"/>
    <w:rsid w:val="0056797E"/>
    <w:rsid w:val="005708CC"/>
    <w:rsid w:val="00572287"/>
    <w:rsid w:val="0057438A"/>
    <w:rsid w:val="00575008"/>
    <w:rsid w:val="00575C43"/>
    <w:rsid w:val="00576013"/>
    <w:rsid w:val="0057611D"/>
    <w:rsid w:val="00576A12"/>
    <w:rsid w:val="00577520"/>
    <w:rsid w:val="00582AA6"/>
    <w:rsid w:val="005833C4"/>
    <w:rsid w:val="00583564"/>
    <w:rsid w:val="0058797A"/>
    <w:rsid w:val="00587D5F"/>
    <w:rsid w:val="005916C9"/>
    <w:rsid w:val="005930D4"/>
    <w:rsid w:val="00593949"/>
    <w:rsid w:val="00594BC4"/>
    <w:rsid w:val="005954DA"/>
    <w:rsid w:val="00595E97"/>
    <w:rsid w:val="00596876"/>
    <w:rsid w:val="0059695C"/>
    <w:rsid w:val="00596D27"/>
    <w:rsid w:val="00597BF2"/>
    <w:rsid w:val="005A041F"/>
    <w:rsid w:val="005A05DE"/>
    <w:rsid w:val="005A1CCE"/>
    <w:rsid w:val="005A368E"/>
    <w:rsid w:val="005A42D0"/>
    <w:rsid w:val="005A44FC"/>
    <w:rsid w:val="005A77BC"/>
    <w:rsid w:val="005A7E05"/>
    <w:rsid w:val="005B02E0"/>
    <w:rsid w:val="005B491C"/>
    <w:rsid w:val="005B5A9A"/>
    <w:rsid w:val="005B616A"/>
    <w:rsid w:val="005B67F0"/>
    <w:rsid w:val="005B7691"/>
    <w:rsid w:val="005C0350"/>
    <w:rsid w:val="005C05AB"/>
    <w:rsid w:val="005C07A4"/>
    <w:rsid w:val="005C0BC4"/>
    <w:rsid w:val="005C14E0"/>
    <w:rsid w:val="005C2848"/>
    <w:rsid w:val="005C5497"/>
    <w:rsid w:val="005C6375"/>
    <w:rsid w:val="005D1A74"/>
    <w:rsid w:val="005D2E94"/>
    <w:rsid w:val="005D4799"/>
    <w:rsid w:val="005D76CA"/>
    <w:rsid w:val="005D7A0F"/>
    <w:rsid w:val="005D7B8C"/>
    <w:rsid w:val="005E2242"/>
    <w:rsid w:val="005E293E"/>
    <w:rsid w:val="005E3EC9"/>
    <w:rsid w:val="005E43C1"/>
    <w:rsid w:val="005E45D1"/>
    <w:rsid w:val="005E7963"/>
    <w:rsid w:val="005E7FCC"/>
    <w:rsid w:val="005F0769"/>
    <w:rsid w:val="005F0E03"/>
    <w:rsid w:val="005F16B4"/>
    <w:rsid w:val="005F1D93"/>
    <w:rsid w:val="005F1E86"/>
    <w:rsid w:val="005F2050"/>
    <w:rsid w:val="005F29F5"/>
    <w:rsid w:val="005F30E0"/>
    <w:rsid w:val="005F45A5"/>
    <w:rsid w:val="005F4E8D"/>
    <w:rsid w:val="005F5AF8"/>
    <w:rsid w:val="005F76C6"/>
    <w:rsid w:val="006002B0"/>
    <w:rsid w:val="00601251"/>
    <w:rsid w:val="00601473"/>
    <w:rsid w:val="00601F9E"/>
    <w:rsid w:val="006046B2"/>
    <w:rsid w:val="006047E9"/>
    <w:rsid w:val="00605582"/>
    <w:rsid w:val="00606B1B"/>
    <w:rsid w:val="00606C6F"/>
    <w:rsid w:val="00606D9C"/>
    <w:rsid w:val="00610CF9"/>
    <w:rsid w:val="00610E22"/>
    <w:rsid w:val="00611255"/>
    <w:rsid w:val="00611424"/>
    <w:rsid w:val="00612036"/>
    <w:rsid w:val="006147E3"/>
    <w:rsid w:val="0062024E"/>
    <w:rsid w:val="00621157"/>
    <w:rsid w:val="00621AD9"/>
    <w:rsid w:val="00623F3A"/>
    <w:rsid w:val="00624B31"/>
    <w:rsid w:val="00624B94"/>
    <w:rsid w:val="006258C5"/>
    <w:rsid w:val="00625D0B"/>
    <w:rsid w:val="006271AB"/>
    <w:rsid w:val="006307F6"/>
    <w:rsid w:val="00630831"/>
    <w:rsid w:val="00630988"/>
    <w:rsid w:val="006311F9"/>
    <w:rsid w:val="006315D8"/>
    <w:rsid w:val="00631976"/>
    <w:rsid w:val="00632011"/>
    <w:rsid w:val="00632EC8"/>
    <w:rsid w:val="006350ED"/>
    <w:rsid w:val="0063529F"/>
    <w:rsid w:val="00636D7C"/>
    <w:rsid w:val="00637666"/>
    <w:rsid w:val="00637AE0"/>
    <w:rsid w:val="0064127B"/>
    <w:rsid w:val="006421CB"/>
    <w:rsid w:val="00642C66"/>
    <w:rsid w:val="00642E80"/>
    <w:rsid w:val="00645ACC"/>
    <w:rsid w:val="0064604B"/>
    <w:rsid w:val="0064734D"/>
    <w:rsid w:val="00647E48"/>
    <w:rsid w:val="00647FF8"/>
    <w:rsid w:val="006503EF"/>
    <w:rsid w:val="006508CC"/>
    <w:rsid w:val="00651D77"/>
    <w:rsid w:val="00652559"/>
    <w:rsid w:val="00652CB1"/>
    <w:rsid w:val="006535A2"/>
    <w:rsid w:val="00653B58"/>
    <w:rsid w:val="00654F03"/>
    <w:rsid w:val="0065553A"/>
    <w:rsid w:val="00656774"/>
    <w:rsid w:val="006567C2"/>
    <w:rsid w:val="00656DC6"/>
    <w:rsid w:val="00656EBE"/>
    <w:rsid w:val="006574DF"/>
    <w:rsid w:val="0065787E"/>
    <w:rsid w:val="00657D43"/>
    <w:rsid w:val="00660AE3"/>
    <w:rsid w:val="00660C80"/>
    <w:rsid w:val="00662678"/>
    <w:rsid w:val="00664692"/>
    <w:rsid w:val="0066487F"/>
    <w:rsid w:val="00665449"/>
    <w:rsid w:val="0066679D"/>
    <w:rsid w:val="006671C9"/>
    <w:rsid w:val="00670281"/>
    <w:rsid w:val="00670A4D"/>
    <w:rsid w:val="00670F3B"/>
    <w:rsid w:val="00670FF1"/>
    <w:rsid w:val="00671788"/>
    <w:rsid w:val="0067299D"/>
    <w:rsid w:val="00672D6D"/>
    <w:rsid w:val="00673D93"/>
    <w:rsid w:val="00675296"/>
    <w:rsid w:val="00675502"/>
    <w:rsid w:val="00675C2E"/>
    <w:rsid w:val="00676C2B"/>
    <w:rsid w:val="006809E5"/>
    <w:rsid w:val="00681642"/>
    <w:rsid w:val="00682520"/>
    <w:rsid w:val="006838CE"/>
    <w:rsid w:val="0068460A"/>
    <w:rsid w:val="00684D03"/>
    <w:rsid w:val="00685ABF"/>
    <w:rsid w:val="00686026"/>
    <w:rsid w:val="006862E5"/>
    <w:rsid w:val="006878D3"/>
    <w:rsid w:val="0068792E"/>
    <w:rsid w:val="00694B57"/>
    <w:rsid w:val="00697921"/>
    <w:rsid w:val="006A126A"/>
    <w:rsid w:val="006A16E0"/>
    <w:rsid w:val="006A226A"/>
    <w:rsid w:val="006A2497"/>
    <w:rsid w:val="006A397F"/>
    <w:rsid w:val="006A3BF9"/>
    <w:rsid w:val="006A505B"/>
    <w:rsid w:val="006A628E"/>
    <w:rsid w:val="006A6773"/>
    <w:rsid w:val="006B2ACF"/>
    <w:rsid w:val="006B3019"/>
    <w:rsid w:val="006B3D94"/>
    <w:rsid w:val="006B5677"/>
    <w:rsid w:val="006B5C5F"/>
    <w:rsid w:val="006B6338"/>
    <w:rsid w:val="006B6F31"/>
    <w:rsid w:val="006C1DD6"/>
    <w:rsid w:val="006C27A8"/>
    <w:rsid w:val="006C2DE1"/>
    <w:rsid w:val="006C48F4"/>
    <w:rsid w:val="006C526D"/>
    <w:rsid w:val="006C55A4"/>
    <w:rsid w:val="006C744B"/>
    <w:rsid w:val="006D1014"/>
    <w:rsid w:val="006D1B5C"/>
    <w:rsid w:val="006D22C2"/>
    <w:rsid w:val="006D311F"/>
    <w:rsid w:val="006D36BE"/>
    <w:rsid w:val="006D4D2B"/>
    <w:rsid w:val="006D57D8"/>
    <w:rsid w:val="006D75CE"/>
    <w:rsid w:val="006D7B79"/>
    <w:rsid w:val="006E2C78"/>
    <w:rsid w:val="006E3327"/>
    <w:rsid w:val="006E4498"/>
    <w:rsid w:val="006E5CA8"/>
    <w:rsid w:val="006E5F38"/>
    <w:rsid w:val="006E650F"/>
    <w:rsid w:val="006E77DB"/>
    <w:rsid w:val="006F0EFE"/>
    <w:rsid w:val="006F1347"/>
    <w:rsid w:val="006F3264"/>
    <w:rsid w:val="006F455D"/>
    <w:rsid w:val="006F52AC"/>
    <w:rsid w:val="006F6612"/>
    <w:rsid w:val="006F66BD"/>
    <w:rsid w:val="006F6A12"/>
    <w:rsid w:val="006F7725"/>
    <w:rsid w:val="00700AAA"/>
    <w:rsid w:val="00705AC8"/>
    <w:rsid w:val="0070797C"/>
    <w:rsid w:val="00710140"/>
    <w:rsid w:val="00710494"/>
    <w:rsid w:val="00711F6D"/>
    <w:rsid w:val="00712D6D"/>
    <w:rsid w:val="0071392A"/>
    <w:rsid w:val="007141D0"/>
    <w:rsid w:val="00714516"/>
    <w:rsid w:val="00715890"/>
    <w:rsid w:val="007161E9"/>
    <w:rsid w:val="00716F4B"/>
    <w:rsid w:val="007209A1"/>
    <w:rsid w:val="00721162"/>
    <w:rsid w:val="00721CC2"/>
    <w:rsid w:val="00723630"/>
    <w:rsid w:val="007245DF"/>
    <w:rsid w:val="00730BB2"/>
    <w:rsid w:val="0073192D"/>
    <w:rsid w:val="00731D17"/>
    <w:rsid w:val="00732393"/>
    <w:rsid w:val="00732CDB"/>
    <w:rsid w:val="007330F5"/>
    <w:rsid w:val="00733755"/>
    <w:rsid w:val="007353EC"/>
    <w:rsid w:val="00743213"/>
    <w:rsid w:val="0074450F"/>
    <w:rsid w:val="00744659"/>
    <w:rsid w:val="00744B31"/>
    <w:rsid w:val="0074576F"/>
    <w:rsid w:val="00745804"/>
    <w:rsid w:val="00745D87"/>
    <w:rsid w:val="00746F8E"/>
    <w:rsid w:val="00747DDF"/>
    <w:rsid w:val="00750E65"/>
    <w:rsid w:val="0075234A"/>
    <w:rsid w:val="0075270F"/>
    <w:rsid w:val="0075339B"/>
    <w:rsid w:val="007535BA"/>
    <w:rsid w:val="0076001D"/>
    <w:rsid w:val="00761C54"/>
    <w:rsid w:val="007625FE"/>
    <w:rsid w:val="0076325F"/>
    <w:rsid w:val="00763655"/>
    <w:rsid w:val="00763A9E"/>
    <w:rsid w:val="00764844"/>
    <w:rsid w:val="0076540F"/>
    <w:rsid w:val="007663A2"/>
    <w:rsid w:val="0077058D"/>
    <w:rsid w:val="00770EBD"/>
    <w:rsid w:val="007723FC"/>
    <w:rsid w:val="00772CC3"/>
    <w:rsid w:val="00773D98"/>
    <w:rsid w:val="007746E2"/>
    <w:rsid w:val="0077695D"/>
    <w:rsid w:val="007778EE"/>
    <w:rsid w:val="007803A3"/>
    <w:rsid w:val="00780641"/>
    <w:rsid w:val="00781066"/>
    <w:rsid w:val="007829BA"/>
    <w:rsid w:val="00783ED0"/>
    <w:rsid w:val="007841AD"/>
    <w:rsid w:val="00786B96"/>
    <w:rsid w:val="00790899"/>
    <w:rsid w:val="00790EF8"/>
    <w:rsid w:val="00792B1A"/>
    <w:rsid w:val="00793F8C"/>
    <w:rsid w:val="00794057"/>
    <w:rsid w:val="00794971"/>
    <w:rsid w:val="00796037"/>
    <w:rsid w:val="00796FAC"/>
    <w:rsid w:val="007A0D34"/>
    <w:rsid w:val="007A33C0"/>
    <w:rsid w:val="007A38AE"/>
    <w:rsid w:val="007A3D03"/>
    <w:rsid w:val="007A3E1D"/>
    <w:rsid w:val="007A3F90"/>
    <w:rsid w:val="007A7031"/>
    <w:rsid w:val="007A7388"/>
    <w:rsid w:val="007B0E45"/>
    <w:rsid w:val="007B1554"/>
    <w:rsid w:val="007B1E38"/>
    <w:rsid w:val="007B269E"/>
    <w:rsid w:val="007B3539"/>
    <w:rsid w:val="007B3908"/>
    <w:rsid w:val="007B3F1B"/>
    <w:rsid w:val="007B43A5"/>
    <w:rsid w:val="007B4687"/>
    <w:rsid w:val="007B4DB8"/>
    <w:rsid w:val="007C0100"/>
    <w:rsid w:val="007C099C"/>
    <w:rsid w:val="007C0EE4"/>
    <w:rsid w:val="007C0F05"/>
    <w:rsid w:val="007C19F1"/>
    <w:rsid w:val="007C3AF3"/>
    <w:rsid w:val="007C3F2A"/>
    <w:rsid w:val="007C4E43"/>
    <w:rsid w:val="007C558F"/>
    <w:rsid w:val="007C67A7"/>
    <w:rsid w:val="007C6C40"/>
    <w:rsid w:val="007C738E"/>
    <w:rsid w:val="007D170F"/>
    <w:rsid w:val="007D2866"/>
    <w:rsid w:val="007D2FF3"/>
    <w:rsid w:val="007D58BC"/>
    <w:rsid w:val="007D5EB6"/>
    <w:rsid w:val="007D7062"/>
    <w:rsid w:val="007E1E9C"/>
    <w:rsid w:val="007E26B5"/>
    <w:rsid w:val="007E3794"/>
    <w:rsid w:val="007E39CC"/>
    <w:rsid w:val="007E5259"/>
    <w:rsid w:val="007E5DEF"/>
    <w:rsid w:val="007F0423"/>
    <w:rsid w:val="007F0AE8"/>
    <w:rsid w:val="007F0CD5"/>
    <w:rsid w:val="007F2566"/>
    <w:rsid w:val="007F2795"/>
    <w:rsid w:val="007F2AD2"/>
    <w:rsid w:val="007F4864"/>
    <w:rsid w:val="007F731D"/>
    <w:rsid w:val="007F7CE4"/>
    <w:rsid w:val="008012AA"/>
    <w:rsid w:val="008026AB"/>
    <w:rsid w:val="00804E08"/>
    <w:rsid w:val="0080684C"/>
    <w:rsid w:val="00807514"/>
    <w:rsid w:val="0081139C"/>
    <w:rsid w:val="00811E5E"/>
    <w:rsid w:val="00812D86"/>
    <w:rsid w:val="00813434"/>
    <w:rsid w:val="0081507F"/>
    <w:rsid w:val="00815F2D"/>
    <w:rsid w:val="008162BA"/>
    <w:rsid w:val="00816384"/>
    <w:rsid w:val="008174D1"/>
    <w:rsid w:val="00817BA6"/>
    <w:rsid w:val="00820403"/>
    <w:rsid w:val="00823304"/>
    <w:rsid w:val="008237EF"/>
    <w:rsid w:val="00823AEF"/>
    <w:rsid w:val="00824F12"/>
    <w:rsid w:val="00825361"/>
    <w:rsid w:val="008256D2"/>
    <w:rsid w:val="00825B6E"/>
    <w:rsid w:val="00826D84"/>
    <w:rsid w:val="008274AE"/>
    <w:rsid w:val="00830FD6"/>
    <w:rsid w:val="0083213C"/>
    <w:rsid w:val="00832CE3"/>
    <w:rsid w:val="00833C46"/>
    <w:rsid w:val="00835057"/>
    <w:rsid w:val="0083598D"/>
    <w:rsid w:val="00835B9A"/>
    <w:rsid w:val="008372AF"/>
    <w:rsid w:val="00840D04"/>
    <w:rsid w:val="00842AA1"/>
    <w:rsid w:val="00842EBE"/>
    <w:rsid w:val="00843009"/>
    <w:rsid w:val="00845212"/>
    <w:rsid w:val="00846A2F"/>
    <w:rsid w:val="008471C2"/>
    <w:rsid w:val="008474B3"/>
    <w:rsid w:val="00850A2A"/>
    <w:rsid w:val="00851D39"/>
    <w:rsid w:val="00852007"/>
    <w:rsid w:val="008522A9"/>
    <w:rsid w:val="00853E84"/>
    <w:rsid w:val="008541A6"/>
    <w:rsid w:val="00854348"/>
    <w:rsid w:val="0085444B"/>
    <w:rsid w:val="00857FD6"/>
    <w:rsid w:val="00860F23"/>
    <w:rsid w:val="0086152C"/>
    <w:rsid w:val="0086233B"/>
    <w:rsid w:val="00862983"/>
    <w:rsid w:val="00863A17"/>
    <w:rsid w:val="00863E04"/>
    <w:rsid w:val="00866209"/>
    <w:rsid w:val="008663C5"/>
    <w:rsid w:val="00866860"/>
    <w:rsid w:val="00867523"/>
    <w:rsid w:val="00870C37"/>
    <w:rsid w:val="00872EF1"/>
    <w:rsid w:val="00873DFE"/>
    <w:rsid w:val="008767BC"/>
    <w:rsid w:val="00880BE0"/>
    <w:rsid w:val="0088180C"/>
    <w:rsid w:val="00885493"/>
    <w:rsid w:val="008865D2"/>
    <w:rsid w:val="00887E9B"/>
    <w:rsid w:val="00890433"/>
    <w:rsid w:val="008904B8"/>
    <w:rsid w:val="00891F8B"/>
    <w:rsid w:val="00894694"/>
    <w:rsid w:val="008946A9"/>
    <w:rsid w:val="0089508C"/>
    <w:rsid w:val="00895C5B"/>
    <w:rsid w:val="00897CB3"/>
    <w:rsid w:val="008A0F87"/>
    <w:rsid w:val="008A1757"/>
    <w:rsid w:val="008A3AD2"/>
    <w:rsid w:val="008A5C51"/>
    <w:rsid w:val="008A60F9"/>
    <w:rsid w:val="008A6BBF"/>
    <w:rsid w:val="008A7422"/>
    <w:rsid w:val="008A7CDC"/>
    <w:rsid w:val="008B04E7"/>
    <w:rsid w:val="008B0E32"/>
    <w:rsid w:val="008B12BC"/>
    <w:rsid w:val="008B17C7"/>
    <w:rsid w:val="008B1903"/>
    <w:rsid w:val="008B1AC1"/>
    <w:rsid w:val="008B2E08"/>
    <w:rsid w:val="008B450A"/>
    <w:rsid w:val="008B5704"/>
    <w:rsid w:val="008B578C"/>
    <w:rsid w:val="008B582A"/>
    <w:rsid w:val="008B5A07"/>
    <w:rsid w:val="008C0787"/>
    <w:rsid w:val="008C11EB"/>
    <w:rsid w:val="008C157D"/>
    <w:rsid w:val="008C1656"/>
    <w:rsid w:val="008C29B4"/>
    <w:rsid w:val="008C5898"/>
    <w:rsid w:val="008C5A6A"/>
    <w:rsid w:val="008C7178"/>
    <w:rsid w:val="008C7B6C"/>
    <w:rsid w:val="008D0614"/>
    <w:rsid w:val="008D271F"/>
    <w:rsid w:val="008D3763"/>
    <w:rsid w:val="008D50BD"/>
    <w:rsid w:val="008D6D88"/>
    <w:rsid w:val="008D70BE"/>
    <w:rsid w:val="008E06E7"/>
    <w:rsid w:val="008E1069"/>
    <w:rsid w:val="008E12C7"/>
    <w:rsid w:val="008E1941"/>
    <w:rsid w:val="008E4B6F"/>
    <w:rsid w:val="008E4B72"/>
    <w:rsid w:val="008E4FF1"/>
    <w:rsid w:val="008E7F02"/>
    <w:rsid w:val="008F1C4F"/>
    <w:rsid w:val="008F35EF"/>
    <w:rsid w:val="008F4843"/>
    <w:rsid w:val="008F4B14"/>
    <w:rsid w:val="008F4EA1"/>
    <w:rsid w:val="008F5908"/>
    <w:rsid w:val="008F6F82"/>
    <w:rsid w:val="0090162B"/>
    <w:rsid w:val="009029E7"/>
    <w:rsid w:val="00902C42"/>
    <w:rsid w:val="00902FBD"/>
    <w:rsid w:val="009034D4"/>
    <w:rsid w:val="0090418A"/>
    <w:rsid w:val="009053C6"/>
    <w:rsid w:val="00905B1B"/>
    <w:rsid w:val="00906D64"/>
    <w:rsid w:val="00907F53"/>
    <w:rsid w:val="00910D86"/>
    <w:rsid w:val="00913A1B"/>
    <w:rsid w:val="00913C15"/>
    <w:rsid w:val="0091423E"/>
    <w:rsid w:val="00916161"/>
    <w:rsid w:val="00916319"/>
    <w:rsid w:val="00917258"/>
    <w:rsid w:val="0091755A"/>
    <w:rsid w:val="009176AF"/>
    <w:rsid w:val="00917862"/>
    <w:rsid w:val="00920BA3"/>
    <w:rsid w:val="00921044"/>
    <w:rsid w:val="00923EB1"/>
    <w:rsid w:val="009241BD"/>
    <w:rsid w:val="00924605"/>
    <w:rsid w:val="00925EA9"/>
    <w:rsid w:val="009271BB"/>
    <w:rsid w:val="00930242"/>
    <w:rsid w:val="0093090F"/>
    <w:rsid w:val="009319C9"/>
    <w:rsid w:val="00932158"/>
    <w:rsid w:val="00932A16"/>
    <w:rsid w:val="0093372C"/>
    <w:rsid w:val="00934976"/>
    <w:rsid w:val="00934D46"/>
    <w:rsid w:val="009369AC"/>
    <w:rsid w:val="009379B9"/>
    <w:rsid w:val="009428C2"/>
    <w:rsid w:val="00943A82"/>
    <w:rsid w:val="0094561A"/>
    <w:rsid w:val="00945E19"/>
    <w:rsid w:val="00945F9D"/>
    <w:rsid w:val="00946E24"/>
    <w:rsid w:val="00952886"/>
    <w:rsid w:val="0095350E"/>
    <w:rsid w:val="00953C1E"/>
    <w:rsid w:val="009555CB"/>
    <w:rsid w:val="00960B22"/>
    <w:rsid w:val="009610A0"/>
    <w:rsid w:val="00961E32"/>
    <w:rsid w:val="00963BCE"/>
    <w:rsid w:val="00965A1C"/>
    <w:rsid w:val="009701AD"/>
    <w:rsid w:val="009705F8"/>
    <w:rsid w:val="00970F27"/>
    <w:rsid w:val="009713A3"/>
    <w:rsid w:val="00971A5B"/>
    <w:rsid w:val="009726C7"/>
    <w:rsid w:val="00972E0C"/>
    <w:rsid w:val="009744EB"/>
    <w:rsid w:val="00974680"/>
    <w:rsid w:val="00975533"/>
    <w:rsid w:val="009760E3"/>
    <w:rsid w:val="009766D1"/>
    <w:rsid w:val="00976EA8"/>
    <w:rsid w:val="00977371"/>
    <w:rsid w:val="00980031"/>
    <w:rsid w:val="0098200F"/>
    <w:rsid w:val="00982A75"/>
    <w:rsid w:val="00982CFF"/>
    <w:rsid w:val="00984949"/>
    <w:rsid w:val="00985D76"/>
    <w:rsid w:val="00986C6F"/>
    <w:rsid w:val="009871D5"/>
    <w:rsid w:val="00987545"/>
    <w:rsid w:val="00990B3E"/>
    <w:rsid w:val="0099115D"/>
    <w:rsid w:val="009916D5"/>
    <w:rsid w:val="00991FA8"/>
    <w:rsid w:val="00992519"/>
    <w:rsid w:val="009950A4"/>
    <w:rsid w:val="009950E6"/>
    <w:rsid w:val="00997574"/>
    <w:rsid w:val="00997E78"/>
    <w:rsid w:val="009A1C8E"/>
    <w:rsid w:val="009A1E73"/>
    <w:rsid w:val="009A23A4"/>
    <w:rsid w:val="009A28B6"/>
    <w:rsid w:val="009A72CC"/>
    <w:rsid w:val="009B03F6"/>
    <w:rsid w:val="009B052B"/>
    <w:rsid w:val="009B2E51"/>
    <w:rsid w:val="009B6068"/>
    <w:rsid w:val="009B650C"/>
    <w:rsid w:val="009B669F"/>
    <w:rsid w:val="009B75D9"/>
    <w:rsid w:val="009C0034"/>
    <w:rsid w:val="009C1166"/>
    <w:rsid w:val="009C3F8A"/>
    <w:rsid w:val="009C5B15"/>
    <w:rsid w:val="009C724B"/>
    <w:rsid w:val="009D123E"/>
    <w:rsid w:val="009D2297"/>
    <w:rsid w:val="009D2B26"/>
    <w:rsid w:val="009D3EE9"/>
    <w:rsid w:val="009D4508"/>
    <w:rsid w:val="009D473A"/>
    <w:rsid w:val="009D4D20"/>
    <w:rsid w:val="009D594C"/>
    <w:rsid w:val="009D7A60"/>
    <w:rsid w:val="009E0AFC"/>
    <w:rsid w:val="009E0D68"/>
    <w:rsid w:val="009E101D"/>
    <w:rsid w:val="009E14A2"/>
    <w:rsid w:val="009E1523"/>
    <w:rsid w:val="009E206D"/>
    <w:rsid w:val="009E324E"/>
    <w:rsid w:val="009E4A5D"/>
    <w:rsid w:val="009E5E72"/>
    <w:rsid w:val="009E62AF"/>
    <w:rsid w:val="009E6B99"/>
    <w:rsid w:val="009E7083"/>
    <w:rsid w:val="009F03CB"/>
    <w:rsid w:val="009F0569"/>
    <w:rsid w:val="009F0698"/>
    <w:rsid w:val="009F1FF3"/>
    <w:rsid w:val="009F2D5F"/>
    <w:rsid w:val="009F4C6F"/>
    <w:rsid w:val="009F51B0"/>
    <w:rsid w:val="009F5CE5"/>
    <w:rsid w:val="009F6949"/>
    <w:rsid w:val="009F69E5"/>
    <w:rsid w:val="009F6F2D"/>
    <w:rsid w:val="009F795E"/>
    <w:rsid w:val="009F7A4B"/>
    <w:rsid w:val="009F7AFF"/>
    <w:rsid w:val="00A02B17"/>
    <w:rsid w:val="00A02DA1"/>
    <w:rsid w:val="00A03033"/>
    <w:rsid w:val="00A0364A"/>
    <w:rsid w:val="00A054C3"/>
    <w:rsid w:val="00A05A61"/>
    <w:rsid w:val="00A06EBA"/>
    <w:rsid w:val="00A1045C"/>
    <w:rsid w:val="00A10D76"/>
    <w:rsid w:val="00A10F57"/>
    <w:rsid w:val="00A11FA3"/>
    <w:rsid w:val="00A12048"/>
    <w:rsid w:val="00A123CC"/>
    <w:rsid w:val="00A1337B"/>
    <w:rsid w:val="00A13732"/>
    <w:rsid w:val="00A1478A"/>
    <w:rsid w:val="00A15789"/>
    <w:rsid w:val="00A16BE8"/>
    <w:rsid w:val="00A21CB5"/>
    <w:rsid w:val="00A223C6"/>
    <w:rsid w:val="00A2259D"/>
    <w:rsid w:val="00A23DC9"/>
    <w:rsid w:val="00A2473B"/>
    <w:rsid w:val="00A254A1"/>
    <w:rsid w:val="00A26B7B"/>
    <w:rsid w:val="00A30D6D"/>
    <w:rsid w:val="00A30E56"/>
    <w:rsid w:val="00A31AE0"/>
    <w:rsid w:val="00A31AEF"/>
    <w:rsid w:val="00A31BB0"/>
    <w:rsid w:val="00A3277F"/>
    <w:rsid w:val="00A35184"/>
    <w:rsid w:val="00A35634"/>
    <w:rsid w:val="00A37061"/>
    <w:rsid w:val="00A41D77"/>
    <w:rsid w:val="00A42011"/>
    <w:rsid w:val="00A43092"/>
    <w:rsid w:val="00A43157"/>
    <w:rsid w:val="00A43C6F"/>
    <w:rsid w:val="00A4420E"/>
    <w:rsid w:val="00A445AE"/>
    <w:rsid w:val="00A44AC7"/>
    <w:rsid w:val="00A4641E"/>
    <w:rsid w:val="00A501EF"/>
    <w:rsid w:val="00A51547"/>
    <w:rsid w:val="00A521E9"/>
    <w:rsid w:val="00A54384"/>
    <w:rsid w:val="00A54387"/>
    <w:rsid w:val="00A55EE7"/>
    <w:rsid w:val="00A571B2"/>
    <w:rsid w:val="00A5720C"/>
    <w:rsid w:val="00A5731E"/>
    <w:rsid w:val="00A57724"/>
    <w:rsid w:val="00A60CE8"/>
    <w:rsid w:val="00A61A16"/>
    <w:rsid w:val="00A63272"/>
    <w:rsid w:val="00A64F64"/>
    <w:rsid w:val="00A6586D"/>
    <w:rsid w:val="00A65D00"/>
    <w:rsid w:val="00A669AD"/>
    <w:rsid w:val="00A72F1B"/>
    <w:rsid w:val="00A741D6"/>
    <w:rsid w:val="00A7445A"/>
    <w:rsid w:val="00A74A5F"/>
    <w:rsid w:val="00A74E0C"/>
    <w:rsid w:val="00A758E2"/>
    <w:rsid w:val="00A761D1"/>
    <w:rsid w:val="00A76401"/>
    <w:rsid w:val="00A76C61"/>
    <w:rsid w:val="00A7764C"/>
    <w:rsid w:val="00A77B48"/>
    <w:rsid w:val="00A820F1"/>
    <w:rsid w:val="00A82135"/>
    <w:rsid w:val="00A8286A"/>
    <w:rsid w:val="00A82F07"/>
    <w:rsid w:val="00A84BD0"/>
    <w:rsid w:val="00A86549"/>
    <w:rsid w:val="00A866F0"/>
    <w:rsid w:val="00A90DAA"/>
    <w:rsid w:val="00A913CF"/>
    <w:rsid w:val="00A92BE1"/>
    <w:rsid w:val="00A92C33"/>
    <w:rsid w:val="00A92D2C"/>
    <w:rsid w:val="00A92D41"/>
    <w:rsid w:val="00A937B8"/>
    <w:rsid w:val="00AA0759"/>
    <w:rsid w:val="00AA284A"/>
    <w:rsid w:val="00AA3A3B"/>
    <w:rsid w:val="00AA4A6E"/>
    <w:rsid w:val="00AB0841"/>
    <w:rsid w:val="00AB0BD6"/>
    <w:rsid w:val="00AB120F"/>
    <w:rsid w:val="00AB2B87"/>
    <w:rsid w:val="00AB32FE"/>
    <w:rsid w:val="00AB4D3A"/>
    <w:rsid w:val="00AB665D"/>
    <w:rsid w:val="00AB70DE"/>
    <w:rsid w:val="00AB7531"/>
    <w:rsid w:val="00AB7F32"/>
    <w:rsid w:val="00AC04BD"/>
    <w:rsid w:val="00AC0D70"/>
    <w:rsid w:val="00AC2CDA"/>
    <w:rsid w:val="00AC3249"/>
    <w:rsid w:val="00AC3BAD"/>
    <w:rsid w:val="00AC4BB6"/>
    <w:rsid w:val="00AC62CB"/>
    <w:rsid w:val="00AC77F7"/>
    <w:rsid w:val="00AD05AA"/>
    <w:rsid w:val="00AD55C5"/>
    <w:rsid w:val="00AD7826"/>
    <w:rsid w:val="00AE068D"/>
    <w:rsid w:val="00AE27E5"/>
    <w:rsid w:val="00AE4A62"/>
    <w:rsid w:val="00AE4C1F"/>
    <w:rsid w:val="00AE4C4E"/>
    <w:rsid w:val="00AE5108"/>
    <w:rsid w:val="00AE68CA"/>
    <w:rsid w:val="00AF19B8"/>
    <w:rsid w:val="00AF1BF2"/>
    <w:rsid w:val="00AF211E"/>
    <w:rsid w:val="00AF2AD5"/>
    <w:rsid w:val="00AF39E9"/>
    <w:rsid w:val="00AF44CA"/>
    <w:rsid w:val="00AF57FE"/>
    <w:rsid w:val="00AF6FB2"/>
    <w:rsid w:val="00B00382"/>
    <w:rsid w:val="00B00A82"/>
    <w:rsid w:val="00B02A7C"/>
    <w:rsid w:val="00B05ED2"/>
    <w:rsid w:val="00B0635A"/>
    <w:rsid w:val="00B06DC1"/>
    <w:rsid w:val="00B10BB2"/>
    <w:rsid w:val="00B1273E"/>
    <w:rsid w:val="00B13388"/>
    <w:rsid w:val="00B13ACA"/>
    <w:rsid w:val="00B13FFB"/>
    <w:rsid w:val="00B14F38"/>
    <w:rsid w:val="00B15352"/>
    <w:rsid w:val="00B1678A"/>
    <w:rsid w:val="00B16DBC"/>
    <w:rsid w:val="00B17B93"/>
    <w:rsid w:val="00B17E7D"/>
    <w:rsid w:val="00B20D8D"/>
    <w:rsid w:val="00B20E1F"/>
    <w:rsid w:val="00B2171F"/>
    <w:rsid w:val="00B21A1F"/>
    <w:rsid w:val="00B22E03"/>
    <w:rsid w:val="00B25019"/>
    <w:rsid w:val="00B25ABC"/>
    <w:rsid w:val="00B25DF2"/>
    <w:rsid w:val="00B25F29"/>
    <w:rsid w:val="00B268D1"/>
    <w:rsid w:val="00B27043"/>
    <w:rsid w:val="00B30A1F"/>
    <w:rsid w:val="00B30DA8"/>
    <w:rsid w:val="00B3127C"/>
    <w:rsid w:val="00B32FF3"/>
    <w:rsid w:val="00B353E8"/>
    <w:rsid w:val="00B357AC"/>
    <w:rsid w:val="00B36D27"/>
    <w:rsid w:val="00B36FB5"/>
    <w:rsid w:val="00B37BF8"/>
    <w:rsid w:val="00B37DC1"/>
    <w:rsid w:val="00B42282"/>
    <w:rsid w:val="00B42926"/>
    <w:rsid w:val="00B42E80"/>
    <w:rsid w:val="00B42F0A"/>
    <w:rsid w:val="00B459DB"/>
    <w:rsid w:val="00B45B57"/>
    <w:rsid w:val="00B500DB"/>
    <w:rsid w:val="00B501A2"/>
    <w:rsid w:val="00B5157C"/>
    <w:rsid w:val="00B51D8D"/>
    <w:rsid w:val="00B52354"/>
    <w:rsid w:val="00B52B54"/>
    <w:rsid w:val="00B533D2"/>
    <w:rsid w:val="00B54741"/>
    <w:rsid w:val="00B54C6F"/>
    <w:rsid w:val="00B55F75"/>
    <w:rsid w:val="00B570C8"/>
    <w:rsid w:val="00B57B19"/>
    <w:rsid w:val="00B61A58"/>
    <w:rsid w:val="00B646B4"/>
    <w:rsid w:val="00B64D24"/>
    <w:rsid w:val="00B65977"/>
    <w:rsid w:val="00B65F33"/>
    <w:rsid w:val="00B66407"/>
    <w:rsid w:val="00B66820"/>
    <w:rsid w:val="00B673FB"/>
    <w:rsid w:val="00B72EA8"/>
    <w:rsid w:val="00B73625"/>
    <w:rsid w:val="00B741A1"/>
    <w:rsid w:val="00B745C0"/>
    <w:rsid w:val="00B74727"/>
    <w:rsid w:val="00B75B1E"/>
    <w:rsid w:val="00B80293"/>
    <w:rsid w:val="00B80637"/>
    <w:rsid w:val="00B80EA7"/>
    <w:rsid w:val="00B80EC5"/>
    <w:rsid w:val="00B8291A"/>
    <w:rsid w:val="00B83569"/>
    <w:rsid w:val="00B83700"/>
    <w:rsid w:val="00B84729"/>
    <w:rsid w:val="00B853F6"/>
    <w:rsid w:val="00B860C5"/>
    <w:rsid w:val="00B86E0B"/>
    <w:rsid w:val="00B90E60"/>
    <w:rsid w:val="00B90F27"/>
    <w:rsid w:val="00B91522"/>
    <w:rsid w:val="00B934DF"/>
    <w:rsid w:val="00B93EEE"/>
    <w:rsid w:val="00B967F7"/>
    <w:rsid w:val="00B968F0"/>
    <w:rsid w:val="00B97DEF"/>
    <w:rsid w:val="00BA01CB"/>
    <w:rsid w:val="00BA281B"/>
    <w:rsid w:val="00BA3693"/>
    <w:rsid w:val="00BA495A"/>
    <w:rsid w:val="00BA580D"/>
    <w:rsid w:val="00BA6525"/>
    <w:rsid w:val="00BA6671"/>
    <w:rsid w:val="00BA6BB3"/>
    <w:rsid w:val="00BB097C"/>
    <w:rsid w:val="00BB1AF2"/>
    <w:rsid w:val="00BB45D5"/>
    <w:rsid w:val="00BB518F"/>
    <w:rsid w:val="00BB6E27"/>
    <w:rsid w:val="00BC1A8E"/>
    <w:rsid w:val="00BC1B0C"/>
    <w:rsid w:val="00BC1F33"/>
    <w:rsid w:val="00BC4213"/>
    <w:rsid w:val="00BC5636"/>
    <w:rsid w:val="00BC5A90"/>
    <w:rsid w:val="00BC5E57"/>
    <w:rsid w:val="00BC6C25"/>
    <w:rsid w:val="00BC7AAF"/>
    <w:rsid w:val="00BD09BA"/>
    <w:rsid w:val="00BD0F65"/>
    <w:rsid w:val="00BD3D0C"/>
    <w:rsid w:val="00BD45F4"/>
    <w:rsid w:val="00BD710B"/>
    <w:rsid w:val="00BD72A6"/>
    <w:rsid w:val="00BD7421"/>
    <w:rsid w:val="00BE1203"/>
    <w:rsid w:val="00BE12FE"/>
    <w:rsid w:val="00BE1F73"/>
    <w:rsid w:val="00BE25EC"/>
    <w:rsid w:val="00BE4E14"/>
    <w:rsid w:val="00BE5948"/>
    <w:rsid w:val="00BE64E8"/>
    <w:rsid w:val="00BE6AA3"/>
    <w:rsid w:val="00BF02CC"/>
    <w:rsid w:val="00BF0451"/>
    <w:rsid w:val="00BF058F"/>
    <w:rsid w:val="00BF28B5"/>
    <w:rsid w:val="00BF3E47"/>
    <w:rsid w:val="00BF40E2"/>
    <w:rsid w:val="00BF41C8"/>
    <w:rsid w:val="00BF7149"/>
    <w:rsid w:val="00BF727A"/>
    <w:rsid w:val="00C00CE3"/>
    <w:rsid w:val="00C017BF"/>
    <w:rsid w:val="00C01CAA"/>
    <w:rsid w:val="00C01E32"/>
    <w:rsid w:val="00C03AF8"/>
    <w:rsid w:val="00C05DD6"/>
    <w:rsid w:val="00C06295"/>
    <w:rsid w:val="00C06B15"/>
    <w:rsid w:val="00C07063"/>
    <w:rsid w:val="00C075DB"/>
    <w:rsid w:val="00C07FC0"/>
    <w:rsid w:val="00C10419"/>
    <w:rsid w:val="00C10E3B"/>
    <w:rsid w:val="00C13C50"/>
    <w:rsid w:val="00C15011"/>
    <w:rsid w:val="00C1543E"/>
    <w:rsid w:val="00C15442"/>
    <w:rsid w:val="00C1551B"/>
    <w:rsid w:val="00C15AC0"/>
    <w:rsid w:val="00C15C2B"/>
    <w:rsid w:val="00C15CEC"/>
    <w:rsid w:val="00C217AC"/>
    <w:rsid w:val="00C22794"/>
    <w:rsid w:val="00C22B1B"/>
    <w:rsid w:val="00C25C31"/>
    <w:rsid w:val="00C262AF"/>
    <w:rsid w:val="00C26C2E"/>
    <w:rsid w:val="00C26D0C"/>
    <w:rsid w:val="00C27B1C"/>
    <w:rsid w:val="00C32272"/>
    <w:rsid w:val="00C3348F"/>
    <w:rsid w:val="00C3466F"/>
    <w:rsid w:val="00C35A81"/>
    <w:rsid w:val="00C35B21"/>
    <w:rsid w:val="00C36C70"/>
    <w:rsid w:val="00C37681"/>
    <w:rsid w:val="00C3794E"/>
    <w:rsid w:val="00C40B41"/>
    <w:rsid w:val="00C43994"/>
    <w:rsid w:val="00C4486D"/>
    <w:rsid w:val="00C453B6"/>
    <w:rsid w:val="00C456DD"/>
    <w:rsid w:val="00C473FA"/>
    <w:rsid w:val="00C47DF9"/>
    <w:rsid w:val="00C50076"/>
    <w:rsid w:val="00C505A0"/>
    <w:rsid w:val="00C514A7"/>
    <w:rsid w:val="00C52811"/>
    <w:rsid w:val="00C52828"/>
    <w:rsid w:val="00C52C3C"/>
    <w:rsid w:val="00C52D80"/>
    <w:rsid w:val="00C5355A"/>
    <w:rsid w:val="00C539D8"/>
    <w:rsid w:val="00C53DD7"/>
    <w:rsid w:val="00C544A4"/>
    <w:rsid w:val="00C54991"/>
    <w:rsid w:val="00C54DA2"/>
    <w:rsid w:val="00C55EE1"/>
    <w:rsid w:val="00C56F60"/>
    <w:rsid w:val="00C60C1E"/>
    <w:rsid w:val="00C6257F"/>
    <w:rsid w:val="00C629A1"/>
    <w:rsid w:val="00C630A3"/>
    <w:rsid w:val="00C6411B"/>
    <w:rsid w:val="00C65CC6"/>
    <w:rsid w:val="00C66097"/>
    <w:rsid w:val="00C67132"/>
    <w:rsid w:val="00C67198"/>
    <w:rsid w:val="00C6736E"/>
    <w:rsid w:val="00C675CD"/>
    <w:rsid w:val="00C67BE7"/>
    <w:rsid w:val="00C70688"/>
    <w:rsid w:val="00C708EB"/>
    <w:rsid w:val="00C71AD6"/>
    <w:rsid w:val="00C71CF1"/>
    <w:rsid w:val="00C73B5B"/>
    <w:rsid w:val="00C73F3A"/>
    <w:rsid w:val="00C7400F"/>
    <w:rsid w:val="00C74887"/>
    <w:rsid w:val="00C75970"/>
    <w:rsid w:val="00C766D0"/>
    <w:rsid w:val="00C817CC"/>
    <w:rsid w:val="00C82267"/>
    <w:rsid w:val="00C82689"/>
    <w:rsid w:val="00C840CA"/>
    <w:rsid w:val="00C846A6"/>
    <w:rsid w:val="00C8553D"/>
    <w:rsid w:val="00C85943"/>
    <w:rsid w:val="00C87EA9"/>
    <w:rsid w:val="00C90705"/>
    <w:rsid w:val="00C919B8"/>
    <w:rsid w:val="00C92835"/>
    <w:rsid w:val="00C928AA"/>
    <w:rsid w:val="00C928EA"/>
    <w:rsid w:val="00C93843"/>
    <w:rsid w:val="00C94F65"/>
    <w:rsid w:val="00C95D38"/>
    <w:rsid w:val="00C96FA1"/>
    <w:rsid w:val="00CA0274"/>
    <w:rsid w:val="00CA0358"/>
    <w:rsid w:val="00CA19E2"/>
    <w:rsid w:val="00CB0647"/>
    <w:rsid w:val="00CB099B"/>
    <w:rsid w:val="00CB14B5"/>
    <w:rsid w:val="00CB2650"/>
    <w:rsid w:val="00CB3A49"/>
    <w:rsid w:val="00CB5507"/>
    <w:rsid w:val="00CB6A80"/>
    <w:rsid w:val="00CB73B4"/>
    <w:rsid w:val="00CB78E8"/>
    <w:rsid w:val="00CC0A83"/>
    <w:rsid w:val="00CC1429"/>
    <w:rsid w:val="00CC16ED"/>
    <w:rsid w:val="00CC2DBC"/>
    <w:rsid w:val="00CC34C5"/>
    <w:rsid w:val="00CC3EBB"/>
    <w:rsid w:val="00CC5796"/>
    <w:rsid w:val="00CC5C99"/>
    <w:rsid w:val="00CD06BB"/>
    <w:rsid w:val="00CD2219"/>
    <w:rsid w:val="00CD2224"/>
    <w:rsid w:val="00CD2D9C"/>
    <w:rsid w:val="00CD41A9"/>
    <w:rsid w:val="00CD54F7"/>
    <w:rsid w:val="00CD7410"/>
    <w:rsid w:val="00CE1A28"/>
    <w:rsid w:val="00CE31EE"/>
    <w:rsid w:val="00CE3603"/>
    <w:rsid w:val="00CE404B"/>
    <w:rsid w:val="00CE5572"/>
    <w:rsid w:val="00CE55D3"/>
    <w:rsid w:val="00CE5F58"/>
    <w:rsid w:val="00CE68CE"/>
    <w:rsid w:val="00CF05A5"/>
    <w:rsid w:val="00CF0857"/>
    <w:rsid w:val="00CF1288"/>
    <w:rsid w:val="00CF1F80"/>
    <w:rsid w:val="00CF366C"/>
    <w:rsid w:val="00CF510F"/>
    <w:rsid w:val="00CF53E2"/>
    <w:rsid w:val="00CF642B"/>
    <w:rsid w:val="00CF7A33"/>
    <w:rsid w:val="00D006C3"/>
    <w:rsid w:val="00D0095B"/>
    <w:rsid w:val="00D00A39"/>
    <w:rsid w:val="00D016AA"/>
    <w:rsid w:val="00D02F71"/>
    <w:rsid w:val="00D04600"/>
    <w:rsid w:val="00D054EE"/>
    <w:rsid w:val="00D075FF"/>
    <w:rsid w:val="00D10063"/>
    <w:rsid w:val="00D10CF7"/>
    <w:rsid w:val="00D11597"/>
    <w:rsid w:val="00D13A69"/>
    <w:rsid w:val="00D14CC4"/>
    <w:rsid w:val="00D16F68"/>
    <w:rsid w:val="00D20E30"/>
    <w:rsid w:val="00D22A32"/>
    <w:rsid w:val="00D23E29"/>
    <w:rsid w:val="00D247C6"/>
    <w:rsid w:val="00D24E19"/>
    <w:rsid w:val="00D250BF"/>
    <w:rsid w:val="00D2512D"/>
    <w:rsid w:val="00D269D6"/>
    <w:rsid w:val="00D2737C"/>
    <w:rsid w:val="00D275B9"/>
    <w:rsid w:val="00D30418"/>
    <w:rsid w:val="00D31BED"/>
    <w:rsid w:val="00D32E2B"/>
    <w:rsid w:val="00D350EC"/>
    <w:rsid w:val="00D36E5D"/>
    <w:rsid w:val="00D37A58"/>
    <w:rsid w:val="00D37B9E"/>
    <w:rsid w:val="00D400D6"/>
    <w:rsid w:val="00D4107C"/>
    <w:rsid w:val="00D4189F"/>
    <w:rsid w:val="00D41EFE"/>
    <w:rsid w:val="00D42BC4"/>
    <w:rsid w:val="00D42FB8"/>
    <w:rsid w:val="00D439AB"/>
    <w:rsid w:val="00D450EF"/>
    <w:rsid w:val="00D4512C"/>
    <w:rsid w:val="00D46304"/>
    <w:rsid w:val="00D46F37"/>
    <w:rsid w:val="00D471E4"/>
    <w:rsid w:val="00D472E8"/>
    <w:rsid w:val="00D478BF"/>
    <w:rsid w:val="00D50A5E"/>
    <w:rsid w:val="00D51501"/>
    <w:rsid w:val="00D51BD2"/>
    <w:rsid w:val="00D51C7D"/>
    <w:rsid w:val="00D5379F"/>
    <w:rsid w:val="00D537F4"/>
    <w:rsid w:val="00D5422A"/>
    <w:rsid w:val="00D544BD"/>
    <w:rsid w:val="00D5747C"/>
    <w:rsid w:val="00D6008F"/>
    <w:rsid w:val="00D60E8F"/>
    <w:rsid w:val="00D6287E"/>
    <w:rsid w:val="00D63077"/>
    <w:rsid w:val="00D637D2"/>
    <w:rsid w:val="00D64D53"/>
    <w:rsid w:val="00D66089"/>
    <w:rsid w:val="00D66735"/>
    <w:rsid w:val="00D67263"/>
    <w:rsid w:val="00D70A94"/>
    <w:rsid w:val="00D724A7"/>
    <w:rsid w:val="00D73153"/>
    <w:rsid w:val="00D735AB"/>
    <w:rsid w:val="00D746AA"/>
    <w:rsid w:val="00D74B46"/>
    <w:rsid w:val="00D7503A"/>
    <w:rsid w:val="00D751E8"/>
    <w:rsid w:val="00D75883"/>
    <w:rsid w:val="00D761E3"/>
    <w:rsid w:val="00D767B8"/>
    <w:rsid w:val="00D811C9"/>
    <w:rsid w:val="00D81672"/>
    <w:rsid w:val="00D8200D"/>
    <w:rsid w:val="00D849E0"/>
    <w:rsid w:val="00D84A1F"/>
    <w:rsid w:val="00D84FF2"/>
    <w:rsid w:val="00D861FB"/>
    <w:rsid w:val="00D87988"/>
    <w:rsid w:val="00D87BD3"/>
    <w:rsid w:val="00D90198"/>
    <w:rsid w:val="00D9193B"/>
    <w:rsid w:val="00D91A7C"/>
    <w:rsid w:val="00D92E70"/>
    <w:rsid w:val="00D92FDA"/>
    <w:rsid w:val="00D93647"/>
    <w:rsid w:val="00D93B0D"/>
    <w:rsid w:val="00D93E18"/>
    <w:rsid w:val="00D94417"/>
    <w:rsid w:val="00D95FE1"/>
    <w:rsid w:val="00D9640B"/>
    <w:rsid w:val="00D97A60"/>
    <w:rsid w:val="00DA1E9E"/>
    <w:rsid w:val="00DA2232"/>
    <w:rsid w:val="00DA29D2"/>
    <w:rsid w:val="00DA2C89"/>
    <w:rsid w:val="00DA33E4"/>
    <w:rsid w:val="00DA458A"/>
    <w:rsid w:val="00DA4812"/>
    <w:rsid w:val="00DA5ADC"/>
    <w:rsid w:val="00DA6063"/>
    <w:rsid w:val="00DA7560"/>
    <w:rsid w:val="00DB1D93"/>
    <w:rsid w:val="00DB2373"/>
    <w:rsid w:val="00DB2E6D"/>
    <w:rsid w:val="00DB2E84"/>
    <w:rsid w:val="00DB3190"/>
    <w:rsid w:val="00DB3C2A"/>
    <w:rsid w:val="00DB40B1"/>
    <w:rsid w:val="00DB437E"/>
    <w:rsid w:val="00DB4775"/>
    <w:rsid w:val="00DB4BB9"/>
    <w:rsid w:val="00DB67ED"/>
    <w:rsid w:val="00DB7120"/>
    <w:rsid w:val="00DC04A4"/>
    <w:rsid w:val="00DC08A3"/>
    <w:rsid w:val="00DC327F"/>
    <w:rsid w:val="00DC4765"/>
    <w:rsid w:val="00DC5CBE"/>
    <w:rsid w:val="00DC6631"/>
    <w:rsid w:val="00DC6D5C"/>
    <w:rsid w:val="00DC7AC6"/>
    <w:rsid w:val="00DC7E5C"/>
    <w:rsid w:val="00DC7FB3"/>
    <w:rsid w:val="00DD3406"/>
    <w:rsid w:val="00DE15B4"/>
    <w:rsid w:val="00DE3766"/>
    <w:rsid w:val="00DE49CE"/>
    <w:rsid w:val="00DE5869"/>
    <w:rsid w:val="00DE5B29"/>
    <w:rsid w:val="00DE61F7"/>
    <w:rsid w:val="00DE683D"/>
    <w:rsid w:val="00DF01A6"/>
    <w:rsid w:val="00DF0399"/>
    <w:rsid w:val="00DF0401"/>
    <w:rsid w:val="00DF0833"/>
    <w:rsid w:val="00DF0F77"/>
    <w:rsid w:val="00DF2E4E"/>
    <w:rsid w:val="00DF45B9"/>
    <w:rsid w:val="00DF46D7"/>
    <w:rsid w:val="00DF4D1B"/>
    <w:rsid w:val="00E0023D"/>
    <w:rsid w:val="00E00EB5"/>
    <w:rsid w:val="00E01071"/>
    <w:rsid w:val="00E01DCE"/>
    <w:rsid w:val="00E05277"/>
    <w:rsid w:val="00E05443"/>
    <w:rsid w:val="00E05A07"/>
    <w:rsid w:val="00E05AFB"/>
    <w:rsid w:val="00E06872"/>
    <w:rsid w:val="00E100AD"/>
    <w:rsid w:val="00E103FD"/>
    <w:rsid w:val="00E12824"/>
    <w:rsid w:val="00E12C8C"/>
    <w:rsid w:val="00E12D13"/>
    <w:rsid w:val="00E148D0"/>
    <w:rsid w:val="00E1754A"/>
    <w:rsid w:val="00E176F5"/>
    <w:rsid w:val="00E1788E"/>
    <w:rsid w:val="00E17B28"/>
    <w:rsid w:val="00E2017D"/>
    <w:rsid w:val="00E21FB8"/>
    <w:rsid w:val="00E220C4"/>
    <w:rsid w:val="00E22B52"/>
    <w:rsid w:val="00E2424C"/>
    <w:rsid w:val="00E24D4D"/>
    <w:rsid w:val="00E24E7D"/>
    <w:rsid w:val="00E25542"/>
    <w:rsid w:val="00E25CB0"/>
    <w:rsid w:val="00E25E5A"/>
    <w:rsid w:val="00E31148"/>
    <w:rsid w:val="00E31210"/>
    <w:rsid w:val="00E32789"/>
    <w:rsid w:val="00E32B87"/>
    <w:rsid w:val="00E35C9E"/>
    <w:rsid w:val="00E35D40"/>
    <w:rsid w:val="00E36073"/>
    <w:rsid w:val="00E36299"/>
    <w:rsid w:val="00E367E0"/>
    <w:rsid w:val="00E36CF6"/>
    <w:rsid w:val="00E36E28"/>
    <w:rsid w:val="00E4218B"/>
    <w:rsid w:val="00E42653"/>
    <w:rsid w:val="00E4337A"/>
    <w:rsid w:val="00E43FD7"/>
    <w:rsid w:val="00E44341"/>
    <w:rsid w:val="00E44B27"/>
    <w:rsid w:val="00E454DC"/>
    <w:rsid w:val="00E464CB"/>
    <w:rsid w:val="00E46909"/>
    <w:rsid w:val="00E47A89"/>
    <w:rsid w:val="00E53413"/>
    <w:rsid w:val="00E53B4E"/>
    <w:rsid w:val="00E5407F"/>
    <w:rsid w:val="00E54A43"/>
    <w:rsid w:val="00E54C7E"/>
    <w:rsid w:val="00E54F1D"/>
    <w:rsid w:val="00E55353"/>
    <w:rsid w:val="00E563ED"/>
    <w:rsid w:val="00E5681C"/>
    <w:rsid w:val="00E57953"/>
    <w:rsid w:val="00E57C56"/>
    <w:rsid w:val="00E61821"/>
    <w:rsid w:val="00E62FD6"/>
    <w:rsid w:val="00E63964"/>
    <w:rsid w:val="00E63C0D"/>
    <w:rsid w:val="00E645F0"/>
    <w:rsid w:val="00E65332"/>
    <w:rsid w:val="00E65B67"/>
    <w:rsid w:val="00E65FAE"/>
    <w:rsid w:val="00E65FDE"/>
    <w:rsid w:val="00E664AA"/>
    <w:rsid w:val="00E70553"/>
    <w:rsid w:val="00E709C2"/>
    <w:rsid w:val="00E70CFF"/>
    <w:rsid w:val="00E71AD8"/>
    <w:rsid w:val="00E71E67"/>
    <w:rsid w:val="00E724A6"/>
    <w:rsid w:val="00E72ED8"/>
    <w:rsid w:val="00E7419F"/>
    <w:rsid w:val="00E76009"/>
    <w:rsid w:val="00E7668A"/>
    <w:rsid w:val="00E76745"/>
    <w:rsid w:val="00E76846"/>
    <w:rsid w:val="00E80A30"/>
    <w:rsid w:val="00E80DFA"/>
    <w:rsid w:val="00E81D19"/>
    <w:rsid w:val="00E821BC"/>
    <w:rsid w:val="00E83A04"/>
    <w:rsid w:val="00E83BE5"/>
    <w:rsid w:val="00E861B5"/>
    <w:rsid w:val="00E8709B"/>
    <w:rsid w:val="00E8798E"/>
    <w:rsid w:val="00E87DBE"/>
    <w:rsid w:val="00E90960"/>
    <w:rsid w:val="00E90A43"/>
    <w:rsid w:val="00E90F26"/>
    <w:rsid w:val="00E923FE"/>
    <w:rsid w:val="00E93420"/>
    <w:rsid w:val="00E934C0"/>
    <w:rsid w:val="00E93DB0"/>
    <w:rsid w:val="00E943B5"/>
    <w:rsid w:val="00EA13CB"/>
    <w:rsid w:val="00EA24D8"/>
    <w:rsid w:val="00EA59EC"/>
    <w:rsid w:val="00EA59F9"/>
    <w:rsid w:val="00EA6A96"/>
    <w:rsid w:val="00EA7D21"/>
    <w:rsid w:val="00EB0818"/>
    <w:rsid w:val="00EB0D9F"/>
    <w:rsid w:val="00EB11EA"/>
    <w:rsid w:val="00EB16D2"/>
    <w:rsid w:val="00EB1B60"/>
    <w:rsid w:val="00EB1E82"/>
    <w:rsid w:val="00EB2799"/>
    <w:rsid w:val="00EB381C"/>
    <w:rsid w:val="00EB3B35"/>
    <w:rsid w:val="00EB6377"/>
    <w:rsid w:val="00EC05CD"/>
    <w:rsid w:val="00EC0618"/>
    <w:rsid w:val="00EC074A"/>
    <w:rsid w:val="00EC2487"/>
    <w:rsid w:val="00EC35B9"/>
    <w:rsid w:val="00EC3D0A"/>
    <w:rsid w:val="00EC512C"/>
    <w:rsid w:val="00EC62B2"/>
    <w:rsid w:val="00EC632F"/>
    <w:rsid w:val="00EC682D"/>
    <w:rsid w:val="00EC6C43"/>
    <w:rsid w:val="00EC7280"/>
    <w:rsid w:val="00EC7B62"/>
    <w:rsid w:val="00ED06DE"/>
    <w:rsid w:val="00ED0A35"/>
    <w:rsid w:val="00ED18BB"/>
    <w:rsid w:val="00ED282D"/>
    <w:rsid w:val="00ED2B96"/>
    <w:rsid w:val="00ED2F0C"/>
    <w:rsid w:val="00ED3991"/>
    <w:rsid w:val="00ED402A"/>
    <w:rsid w:val="00ED6A04"/>
    <w:rsid w:val="00EE1EEF"/>
    <w:rsid w:val="00EE2480"/>
    <w:rsid w:val="00EE339B"/>
    <w:rsid w:val="00EE5E37"/>
    <w:rsid w:val="00EE6387"/>
    <w:rsid w:val="00EE71C0"/>
    <w:rsid w:val="00EF0007"/>
    <w:rsid w:val="00EF0A5F"/>
    <w:rsid w:val="00EF0F8C"/>
    <w:rsid w:val="00EF15A0"/>
    <w:rsid w:val="00EF25BB"/>
    <w:rsid w:val="00EF3588"/>
    <w:rsid w:val="00EF37FE"/>
    <w:rsid w:val="00EF38D0"/>
    <w:rsid w:val="00EF3AD6"/>
    <w:rsid w:val="00EF48FE"/>
    <w:rsid w:val="00EF7AF6"/>
    <w:rsid w:val="00F008A4"/>
    <w:rsid w:val="00F00CB6"/>
    <w:rsid w:val="00F022D2"/>
    <w:rsid w:val="00F03170"/>
    <w:rsid w:val="00F038FB"/>
    <w:rsid w:val="00F03F6C"/>
    <w:rsid w:val="00F04170"/>
    <w:rsid w:val="00F0484B"/>
    <w:rsid w:val="00F05BD5"/>
    <w:rsid w:val="00F0619B"/>
    <w:rsid w:val="00F06BF0"/>
    <w:rsid w:val="00F1031C"/>
    <w:rsid w:val="00F1158D"/>
    <w:rsid w:val="00F116AC"/>
    <w:rsid w:val="00F116D5"/>
    <w:rsid w:val="00F1299D"/>
    <w:rsid w:val="00F1500F"/>
    <w:rsid w:val="00F15E0F"/>
    <w:rsid w:val="00F16CEF"/>
    <w:rsid w:val="00F16F6C"/>
    <w:rsid w:val="00F21C38"/>
    <w:rsid w:val="00F226F3"/>
    <w:rsid w:val="00F22A6E"/>
    <w:rsid w:val="00F233ED"/>
    <w:rsid w:val="00F24206"/>
    <w:rsid w:val="00F2449D"/>
    <w:rsid w:val="00F24D1D"/>
    <w:rsid w:val="00F27F0F"/>
    <w:rsid w:val="00F335FD"/>
    <w:rsid w:val="00F340C5"/>
    <w:rsid w:val="00F342E3"/>
    <w:rsid w:val="00F419D8"/>
    <w:rsid w:val="00F4230A"/>
    <w:rsid w:val="00F42E3C"/>
    <w:rsid w:val="00F44675"/>
    <w:rsid w:val="00F44EFC"/>
    <w:rsid w:val="00F45CD9"/>
    <w:rsid w:val="00F46929"/>
    <w:rsid w:val="00F4708E"/>
    <w:rsid w:val="00F471BC"/>
    <w:rsid w:val="00F478F6"/>
    <w:rsid w:val="00F50599"/>
    <w:rsid w:val="00F50A35"/>
    <w:rsid w:val="00F5173C"/>
    <w:rsid w:val="00F51CA1"/>
    <w:rsid w:val="00F51F34"/>
    <w:rsid w:val="00F5266F"/>
    <w:rsid w:val="00F53DB2"/>
    <w:rsid w:val="00F5598A"/>
    <w:rsid w:val="00F570D8"/>
    <w:rsid w:val="00F5751C"/>
    <w:rsid w:val="00F57AA6"/>
    <w:rsid w:val="00F57D6B"/>
    <w:rsid w:val="00F6081E"/>
    <w:rsid w:val="00F6183C"/>
    <w:rsid w:val="00F62A0A"/>
    <w:rsid w:val="00F62D3C"/>
    <w:rsid w:val="00F63304"/>
    <w:rsid w:val="00F6371C"/>
    <w:rsid w:val="00F64E19"/>
    <w:rsid w:val="00F65CAE"/>
    <w:rsid w:val="00F669B4"/>
    <w:rsid w:val="00F67469"/>
    <w:rsid w:val="00F71110"/>
    <w:rsid w:val="00F71A8A"/>
    <w:rsid w:val="00F71C25"/>
    <w:rsid w:val="00F740B6"/>
    <w:rsid w:val="00F7468F"/>
    <w:rsid w:val="00F80F39"/>
    <w:rsid w:val="00F80F54"/>
    <w:rsid w:val="00F8250D"/>
    <w:rsid w:val="00F837F7"/>
    <w:rsid w:val="00F83B1B"/>
    <w:rsid w:val="00F84DF8"/>
    <w:rsid w:val="00F84FC8"/>
    <w:rsid w:val="00F863CE"/>
    <w:rsid w:val="00F875D5"/>
    <w:rsid w:val="00F8761B"/>
    <w:rsid w:val="00F905F1"/>
    <w:rsid w:val="00F906C5"/>
    <w:rsid w:val="00F909E9"/>
    <w:rsid w:val="00F9212A"/>
    <w:rsid w:val="00F94586"/>
    <w:rsid w:val="00F94945"/>
    <w:rsid w:val="00F94CB3"/>
    <w:rsid w:val="00F95202"/>
    <w:rsid w:val="00F952B6"/>
    <w:rsid w:val="00FA064F"/>
    <w:rsid w:val="00FA2E40"/>
    <w:rsid w:val="00FA3069"/>
    <w:rsid w:val="00FA366A"/>
    <w:rsid w:val="00FA3C4E"/>
    <w:rsid w:val="00FA5612"/>
    <w:rsid w:val="00FA61F1"/>
    <w:rsid w:val="00FA7297"/>
    <w:rsid w:val="00FA7739"/>
    <w:rsid w:val="00FA77E0"/>
    <w:rsid w:val="00FB01B7"/>
    <w:rsid w:val="00FB01E1"/>
    <w:rsid w:val="00FB0E59"/>
    <w:rsid w:val="00FB6E90"/>
    <w:rsid w:val="00FC08D7"/>
    <w:rsid w:val="00FC1039"/>
    <w:rsid w:val="00FC1C6C"/>
    <w:rsid w:val="00FC4690"/>
    <w:rsid w:val="00FC5380"/>
    <w:rsid w:val="00FC703F"/>
    <w:rsid w:val="00FC71BF"/>
    <w:rsid w:val="00FC73A2"/>
    <w:rsid w:val="00FC73FE"/>
    <w:rsid w:val="00FC7C5C"/>
    <w:rsid w:val="00FD0116"/>
    <w:rsid w:val="00FD11C4"/>
    <w:rsid w:val="00FD2218"/>
    <w:rsid w:val="00FD430D"/>
    <w:rsid w:val="00FD537C"/>
    <w:rsid w:val="00FD5EE2"/>
    <w:rsid w:val="00FD77E9"/>
    <w:rsid w:val="00FD7F0C"/>
    <w:rsid w:val="00FE055F"/>
    <w:rsid w:val="00FE0F35"/>
    <w:rsid w:val="00FE1211"/>
    <w:rsid w:val="00FE31EE"/>
    <w:rsid w:val="00FE4782"/>
    <w:rsid w:val="00FE4A95"/>
    <w:rsid w:val="00FE524F"/>
    <w:rsid w:val="00FE6C9F"/>
    <w:rsid w:val="00FF0FB8"/>
    <w:rsid w:val="00FF16B2"/>
    <w:rsid w:val="00FF19C4"/>
    <w:rsid w:val="00FF2011"/>
    <w:rsid w:val="00FF23CD"/>
    <w:rsid w:val="00FF25A3"/>
    <w:rsid w:val="00FF51C6"/>
    <w:rsid w:val="00FF5F65"/>
    <w:rsid w:val="00FF7839"/>
    <w:rsid w:val="00FF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CB377"/>
  <w15:chartTrackingRefBased/>
  <w15:docId w15:val="{170BA443-B887-428F-824F-E0D25A10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D3"/>
    <w:pPr>
      <w:spacing w:after="160" w:line="259" w:lineRule="auto"/>
    </w:pPr>
    <w:rPr>
      <w:kern w:val="2"/>
      <w:sz w:val="22"/>
      <w:szCs w:val="22"/>
      <w:lang w:val="en-ZW"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paragraph" w:styleId="Heading4">
    <w:name w:val="heading 4"/>
    <w:basedOn w:val="Normal"/>
    <w:next w:val="Normal"/>
    <w:link w:val="Heading4Char"/>
    <w:uiPriority w:val="9"/>
    <w:semiHidden/>
    <w:unhideWhenUsed/>
    <w:qFormat/>
    <w:rsid w:val="000054C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val="en-ZW"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val="en-ZW"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paragraph" w:styleId="NormalWeb">
    <w:name w:val="Normal (Web)"/>
    <w:basedOn w:val="Normal"/>
    <w:uiPriority w:val="99"/>
    <w:semiHidden/>
    <w:unhideWhenUsed/>
    <w:rsid w:val="0020788D"/>
    <w:rPr>
      <w:rFonts w:ascii="Times New Roman" w:hAnsi="Times New Roman"/>
      <w:sz w:val="24"/>
      <w:szCs w:val="24"/>
    </w:rPr>
  </w:style>
  <w:style w:type="character" w:customStyle="1" w:styleId="Heading4Char">
    <w:name w:val="Heading 4 Char"/>
    <w:basedOn w:val="DefaultParagraphFont"/>
    <w:link w:val="Heading4"/>
    <w:uiPriority w:val="9"/>
    <w:semiHidden/>
    <w:rsid w:val="000054C7"/>
    <w:rPr>
      <w:rFonts w:asciiTheme="majorHAnsi" w:eastAsiaTheme="majorEastAsia" w:hAnsiTheme="majorHAnsi" w:cstheme="majorBidi"/>
      <w:i/>
      <w:iCs/>
      <w:color w:val="0F4761" w:themeColor="accent1" w:themeShade="BF"/>
      <w:kern w:val="2"/>
      <w:sz w:val="22"/>
      <w:szCs w:val="22"/>
      <w:lang w:val="en-ZW"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364">
      <w:bodyDiv w:val="1"/>
      <w:marLeft w:val="0"/>
      <w:marRight w:val="0"/>
      <w:marTop w:val="0"/>
      <w:marBottom w:val="0"/>
      <w:divBdr>
        <w:top w:val="none" w:sz="0" w:space="0" w:color="auto"/>
        <w:left w:val="none" w:sz="0" w:space="0" w:color="auto"/>
        <w:bottom w:val="none" w:sz="0" w:space="0" w:color="auto"/>
        <w:right w:val="none" w:sz="0" w:space="0" w:color="auto"/>
      </w:divBdr>
    </w:div>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5875712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02542723">
      <w:bodyDiv w:val="1"/>
      <w:marLeft w:val="0"/>
      <w:marRight w:val="0"/>
      <w:marTop w:val="0"/>
      <w:marBottom w:val="0"/>
      <w:divBdr>
        <w:top w:val="none" w:sz="0" w:space="0" w:color="auto"/>
        <w:left w:val="none" w:sz="0" w:space="0" w:color="auto"/>
        <w:bottom w:val="none" w:sz="0" w:space="0" w:color="auto"/>
        <w:right w:val="none" w:sz="0" w:space="0" w:color="auto"/>
      </w:divBdr>
    </w:div>
    <w:div w:id="340671189">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370351089">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06850767">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98892672">
      <w:bodyDiv w:val="1"/>
      <w:marLeft w:val="0"/>
      <w:marRight w:val="0"/>
      <w:marTop w:val="0"/>
      <w:marBottom w:val="0"/>
      <w:divBdr>
        <w:top w:val="none" w:sz="0" w:space="0" w:color="auto"/>
        <w:left w:val="none" w:sz="0" w:space="0" w:color="auto"/>
        <w:bottom w:val="none" w:sz="0" w:space="0" w:color="auto"/>
        <w:right w:val="none" w:sz="0" w:space="0" w:color="auto"/>
      </w:divBdr>
    </w:div>
    <w:div w:id="502018243">
      <w:bodyDiv w:val="1"/>
      <w:marLeft w:val="0"/>
      <w:marRight w:val="0"/>
      <w:marTop w:val="0"/>
      <w:marBottom w:val="0"/>
      <w:divBdr>
        <w:top w:val="none" w:sz="0" w:space="0" w:color="auto"/>
        <w:left w:val="none" w:sz="0" w:space="0" w:color="auto"/>
        <w:bottom w:val="none" w:sz="0" w:space="0" w:color="auto"/>
        <w:right w:val="none" w:sz="0" w:space="0" w:color="auto"/>
      </w:divBdr>
    </w:div>
    <w:div w:id="509834341">
      <w:bodyDiv w:val="1"/>
      <w:marLeft w:val="0"/>
      <w:marRight w:val="0"/>
      <w:marTop w:val="0"/>
      <w:marBottom w:val="0"/>
      <w:divBdr>
        <w:top w:val="none" w:sz="0" w:space="0" w:color="auto"/>
        <w:left w:val="none" w:sz="0" w:space="0" w:color="auto"/>
        <w:bottom w:val="none" w:sz="0" w:space="0" w:color="auto"/>
        <w:right w:val="none" w:sz="0" w:space="0" w:color="auto"/>
      </w:divBdr>
    </w:div>
    <w:div w:id="517933771">
      <w:bodyDiv w:val="1"/>
      <w:marLeft w:val="0"/>
      <w:marRight w:val="0"/>
      <w:marTop w:val="0"/>
      <w:marBottom w:val="0"/>
      <w:divBdr>
        <w:top w:val="none" w:sz="0" w:space="0" w:color="auto"/>
        <w:left w:val="none" w:sz="0" w:space="0" w:color="auto"/>
        <w:bottom w:val="none" w:sz="0" w:space="0" w:color="auto"/>
        <w:right w:val="none" w:sz="0" w:space="0" w:color="auto"/>
      </w:divBdr>
    </w:div>
    <w:div w:id="525943812">
      <w:bodyDiv w:val="1"/>
      <w:marLeft w:val="0"/>
      <w:marRight w:val="0"/>
      <w:marTop w:val="0"/>
      <w:marBottom w:val="0"/>
      <w:divBdr>
        <w:top w:val="none" w:sz="0" w:space="0" w:color="auto"/>
        <w:left w:val="none" w:sz="0" w:space="0" w:color="auto"/>
        <w:bottom w:val="none" w:sz="0" w:space="0" w:color="auto"/>
        <w:right w:val="none" w:sz="0" w:space="0" w:color="auto"/>
      </w:divBdr>
    </w:div>
    <w:div w:id="540635561">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23775281">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766267803">
      <w:bodyDiv w:val="1"/>
      <w:marLeft w:val="0"/>
      <w:marRight w:val="0"/>
      <w:marTop w:val="0"/>
      <w:marBottom w:val="0"/>
      <w:divBdr>
        <w:top w:val="none" w:sz="0" w:space="0" w:color="auto"/>
        <w:left w:val="none" w:sz="0" w:space="0" w:color="auto"/>
        <w:bottom w:val="none" w:sz="0" w:space="0" w:color="auto"/>
        <w:right w:val="none" w:sz="0" w:space="0" w:color="auto"/>
      </w:divBdr>
    </w:div>
    <w:div w:id="778526624">
      <w:bodyDiv w:val="1"/>
      <w:marLeft w:val="0"/>
      <w:marRight w:val="0"/>
      <w:marTop w:val="0"/>
      <w:marBottom w:val="0"/>
      <w:divBdr>
        <w:top w:val="none" w:sz="0" w:space="0" w:color="auto"/>
        <w:left w:val="none" w:sz="0" w:space="0" w:color="auto"/>
        <w:bottom w:val="none" w:sz="0" w:space="0" w:color="auto"/>
        <w:right w:val="none" w:sz="0" w:space="0" w:color="auto"/>
      </w:divBdr>
    </w:div>
    <w:div w:id="783966435">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47389224">
      <w:bodyDiv w:val="1"/>
      <w:marLeft w:val="0"/>
      <w:marRight w:val="0"/>
      <w:marTop w:val="0"/>
      <w:marBottom w:val="0"/>
      <w:divBdr>
        <w:top w:val="none" w:sz="0" w:space="0" w:color="auto"/>
        <w:left w:val="none" w:sz="0" w:space="0" w:color="auto"/>
        <w:bottom w:val="none" w:sz="0" w:space="0" w:color="auto"/>
        <w:right w:val="none" w:sz="0" w:space="0" w:color="auto"/>
      </w:divBdr>
    </w:div>
    <w:div w:id="950480770">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31495598">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43544028">
      <w:bodyDiv w:val="1"/>
      <w:marLeft w:val="0"/>
      <w:marRight w:val="0"/>
      <w:marTop w:val="0"/>
      <w:marBottom w:val="0"/>
      <w:divBdr>
        <w:top w:val="none" w:sz="0" w:space="0" w:color="auto"/>
        <w:left w:val="none" w:sz="0" w:space="0" w:color="auto"/>
        <w:bottom w:val="none" w:sz="0" w:space="0" w:color="auto"/>
        <w:right w:val="none" w:sz="0" w:space="0" w:color="auto"/>
      </w:divBdr>
    </w:div>
    <w:div w:id="1159080764">
      <w:bodyDiv w:val="1"/>
      <w:marLeft w:val="0"/>
      <w:marRight w:val="0"/>
      <w:marTop w:val="0"/>
      <w:marBottom w:val="0"/>
      <w:divBdr>
        <w:top w:val="none" w:sz="0" w:space="0" w:color="auto"/>
        <w:left w:val="none" w:sz="0" w:space="0" w:color="auto"/>
        <w:bottom w:val="none" w:sz="0" w:space="0" w:color="auto"/>
        <w:right w:val="none" w:sz="0" w:space="0" w:color="auto"/>
      </w:divBdr>
    </w:div>
    <w:div w:id="1163012317">
      <w:bodyDiv w:val="1"/>
      <w:marLeft w:val="0"/>
      <w:marRight w:val="0"/>
      <w:marTop w:val="0"/>
      <w:marBottom w:val="0"/>
      <w:divBdr>
        <w:top w:val="none" w:sz="0" w:space="0" w:color="auto"/>
        <w:left w:val="none" w:sz="0" w:space="0" w:color="auto"/>
        <w:bottom w:val="none" w:sz="0" w:space="0" w:color="auto"/>
        <w:right w:val="none" w:sz="0" w:space="0" w:color="auto"/>
      </w:divBdr>
    </w:div>
    <w:div w:id="1214466061">
      <w:bodyDiv w:val="1"/>
      <w:marLeft w:val="0"/>
      <w:marRight w:val="0"/>
      <w:marTop w:val="0"/>
      <w:marBottom w:val="0"/>
      <w:divBdr>
        <w:top w:val="none" w:sz="0" w:space="0" w:color="auto"/>
        <w:left w:val="none" w:sz="0" w:space="0" w:color="auto"/>
        <w:bottom w:val="none" w:sz="0" w:space="0" w:color="auto"/>
        <w:right w:val="none" w:sz="0" w:space="0" w:color="auto"/>
      </w:divBdr>
    </w:div>
    <w:div w:id="1253125103">
      <w:bodyDiv w:val="1"/>
      <w:marLeft w:val="0"/>
      <w:marRight w:val="0"/>
      <w:marTop w:val="0"/>
      <w:marBottom w:val="0"/>
      <w:divBdr>
        <w:top w:val="none" w:sz="0" w:space="0" w:color="auto"/>
        <w:left w:val="none" w:sz="0" w:space="0" w:color="auto"/>
        <w:bottom w:val="none" w:sz="0" w:space="0" w:color="auto"/>
        <w:right w:val="none" w:sz="0" w:space="0" w:color="auto"/>
      </w:divBdr>
    </w:div>
    <w:div w:id="1302659754">
      <w:bodyDiv w:val="1"/>
      <w:marLeft w:val="0"/>
      <w:marRight w:val="0"/>
      <w:marTop w:val="0"/>
      <w:marBottom w:val="0"/>
      <w:divBdr>
        <w:top w:val="none" w:sz="0" w:space="0" w:color="auto"/>
        <w:left w:val="none" w:sz="0" w:space="0" w:color="auto"/>
        <w:bottom w:val="none" w:sz="0" w:space="0" w:color="auto"/>
        <w:right w:val="none" w:sz="0" w:space="0" w:color="auto"/>
      </w:divBdr>
    </w:div>
    <w:div w:id="1339625693">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392459328">
      <w:bodyDiv w:val="1"/>
      <w:marLeft w:val="0"/>
      <w:marRight w:val="0"/>
      <w:marTop w:val="0"/>
      <w:marBottom w:val="0"/>
      <w:divBdr>
        <w:top w:val="none" w:sz="0" w:space="0" w:color="auto"/>
        <w:left w:val="none" w:sz="0" w:space="0" w:color="auto"/>
        <w:bottom w:val="none" w:sz="0" w:space="0" w:color="auto"/>
        <w:right w:val="none" w:sz="0" w:space="0" w:color="auto"/>
      </w:divBdr>
    </w:div>
    <w:div w:id="1411003019">
      <w:bodyDiv w:val="1"/>
      <w:marLeft w:val="0"/>
      <w:marRight w:val="0"/>
      <w:marTop w:val="0"/>
      <w:marBottom w:val="0"/>
      <w:divBdr>
        <w:top w:val="none" w:sz="0" w:space="0" w:color="auto"/>
        <w:left w:val="none" w:sz="0" w:space="0" w:color="auto"/>
        <w:bottom w:val="none" w:sz="0" w:space="0" w:color="auto"/>
        <w:right w:val="none" w:sz="0" w:space="0" w:color="auto"/>
      </w:divBdr>
    </w:div>
    <w:div w:id="1435977873">
      <w:bodyDiv w:val="1"/>
      <w:marLeft w:val="0"/>
      <w:marRight w:val="0"/>
      <w:marTop w:val="0"/>
      <w:marBottom w:val="0"/>
      <w:divBdr>
        <w:top w:val="none" w:sz="0" w:space="0" w:color="auto"/>
        <w:left w:val="none" w:sz="0" w:space="0" w:color="auto"/>
        <w:bottom w:val="none" w:sz="0" w:space="0" w:color="auto"/>
        <w:right w:val="none" w:sz="0" w:space="0" w:color="auto"/>
      </w:divBdr>
    </w:div>
    <w:div w:id="1441872350">
      <w:bodyDiv w:val="1"/>
      <w:marLeft w:val="0"/>
      <w:marRight w:val="0"/>
      <w:marTop w:val="0"/>
      <w:marBottom w:val="0"/>
      <w:divBdr>
        <w:top w:val="none" w:sz="0" w:space="0" w:color="auto"/>
        <w:left w:val="none" w:sz="0" w:space="0" w:color="auto"/>
        <w:bottom w:val="none" w:sz="0" w:space="0" w:color="auto"/>
        <w:right w:val="none" w:sz="0" w:space="0" w:color="auto"/>
      </w:divBdr>
    </w:div>
    <w:div w:id="1486971228">
      <w:bodyDiv w:val="1"/>
      <w:marLeft w:val="0"/>
      <w:marRight w:val="0"/>
      <w:marTop w:val="0"/>
      <w:marBottom w:val="0"/>
      <w:divBdr>
        <w:top w:val="none" w:sz="0" w:space="0" w:color="auto"/>
        <w:left w:val="none" w:sz="0" w:space="0" w:color="auto"/>
        <w:bottom w:val="none" w:sz="0" w:space="0" w:color="auto"/>
        <w:right w:val="none" w:sz="0" w:space="0" w:color="auto"/>
      </w:divBdr>
    </w:div>
    <w:div w:id="1523319756">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76552003">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32051359">
      <w:bodyDiv w:val="1"/>
      <w:marLeft w:val="0"/>
      <w:marRight w:val="0"/>
      <w:marTop w:val="0"/>
      <w:marBottom w:val="0"/>
      <w:divBdr>
        <w:top w:val="none" w:sz="0" w:space="0" w:color="auto"/>
        <w:left w:val="none" w:sz="0" w:space="0" w:color="auto"/>
        <w:bottom w:val="none" w:sz="0" w:space="0" w:color="auto"/>
        <w:right w:val="none" w:sz="0" w:space="0" w:color="auto"/>
      </w:divBdr>
    </w:div>
    <w:div w:id="1638756874">
      <w:bodyDiv w:val="1"/>
      <w:marLeft w:val="0"/>
      <w:marRight w:val="0"/>
      <w:marTop w:val="0"/>
      <w:marBottom w:val="0"/>
      <w:divBdr>
        <w:top w:val="none" w:sz="0" w:space="0" w:color="auto"/>
        <w:left w:val="none" w:sz="0" w:space="0" w:color="auto"/>
        <w:bottom w:val="none" w:sz="0" w:space="0" w:color="auto"/>
        <w:right w:val="none" w:sz="0" w:space="0" w:color="auto"/>
      </w:divBdr>
    </w:div>
    <w:div w:id="1647052246">
      <w:bodyDiv w:val="1"/>
      <w:marLeft w:val="0"/>
      <w:marRight w:val="0"/>
      <w:marTop w:val="0"/>
      <w:marBottom w:val="0"/>
      <w:divBdr>
        <w:top w:val="none" w:sz="0" w:space="0" w:color="auto"/>
        <w:left w:val="none" w:sz="0" w:space="0" w:color="auto"/>
        <w:bottom w:val="none" w:sz="0" w:space="0" w:color="auto"/>
        <w:right w:val="none" w:sz="0" w:space="0" w:color="auto"/>
      </w:divBdr>
    </w:div>
    <w:div w:id="1663386267">
      <w:bodyDiv w:val="1"/>
      <w:marLeft w:val="0"/>
      <w:marRight w:val="0"/>
      <w:marTop w:val="0"/>
      <w:marBottom w:val="0"/>
      <w:divBdr>
        <w:top w:val="none" w:sz="0" w:space="0" w:color="auto"/>
        <w:left w:val="none" w:sz="0" w:space="0" w:color="auto"/>
        <w:bottom w:val="none" w:sz="0" w:space="0" w:color="auto"/>
        <w:right w:val="none" w:sz="0" w:space="0" w:color="auto"/>
      </w:divBdr>
    </w:div>
    <w:div w:id="1682270363">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13534031">
      <w:bodyDiv w:val="1"/>
      <w:marLeft w:val="0"/>
      <w:marRight w:val="0"/>
      <w:marTop w:val="0"/>
      <w:marBottom w:val="0"/>
      <w:divBdr>
        <w:top w:val="none" w:sz="0" w:space="0" w:color="auto"/>
        <w:left w:val="none" w:sz="0" w:space="0" w:color="auto"/>
        <w:bottom w:val="none" w:sz="0" w:space="0" w:color="auto"/>
        <w:right w:val="none" w:sz="0" w:space="0" w:color="auto"/>
      </w:divBdr>
    </w:div>
    <w:div w:id="1724594113">
      <w:bodyDiv w:val="1"/>
      <w:marLeft w:val="0"/>
      <w:marRight w:val="0"/>
      <w:marTop w:val="0"/>
      <w:marBottom w:val="0"/>
      <w:divBdr>
        <w:top w:val="none" w:sz="0" w:space="0" w:color="auto"/>
        <w:left w:val="none" w:sz="0" w:space="0" w:color="auto"/>
        <w:bottom w:val="none" w:sz="0" w:space="0" w:color="auto"/>
        <w:right w:val="none" w:sz="0" w:space="0" w:color="auto"/>
      </w:divBdr>
    </w:div>
    <w:div w:id="1727609123">
      <w:bodyDiv w:val="1"/>
      <w:marLeft w:val="0"/>
      <w:marRight w:val="0"/>
      <w:marTop w:val="0"/>
      <w:marBottom w:val="0"/>
      <w:divBdr>
        <w:top w:val="none" w:sz="0" w:space="0" w:color="auto"/>
        <w:left w:val="none" w:sz="0" w:space="0" w:color="auto"/>
        <w:bottom w:val="none" w:sz="0" w:space="0" w:color="auto"/>
        <w:right w:val="none" w:sz="0" w:space="0" w:color="auto"/>
      </w:divBdr>
    </w:div>
    <w:div w:id="1727685012">
      <w:bodyDiv w:val="1"/>
      <w:marLeft w:val="0"/>
      <w:marRight w:val="0"/>
      <w:marTop w:val="0"/>
      <w:marBottom w:val="0"/>
      <w:divBdr>
        <w:top w:val="none" w:sz="0" w:space="0" w:color="auto"/>
        <w:left w:val="none" w:sz="0" w:space="0" w:color="auto"/>
        <w:bottom w:val="none" w:sz="0" w:space="0" w:color="auto"/>
        <w:right w:val="none" w:sz="0" w:space="0" w:color="auto"/>
      </w:divBdr>
    </w:div>
    <w:div w:id="1727757928">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58441867">
      <w:bodyDiv w:val="1"/>
      <w:marLeft w:val="0"/>
      <w:marRight w:val="0"/>
      <w:marTop w:val="0"/>
      <w:marBottom w:val="0"/>
      <w:divBdr>
        <w:top w:val="none" w:sz="0" w:space="0" w:color="auto"/>
        <w:left w:val="none" w:sz="0" w:space="0" w:color="auto"/>
        <w:bottom w:val="none" w:sz="0" w:space="0" w:color="auto"/>
        <w:right w:val="none" w:sz="0" w:space="0" w:color="auto"/>
      </w:divBdr>
    </w:div>
    <w:div w:id="1960184378">
      <w:bodyDiv w:val="1"/>
      <w:marLeft w:val="0"/>
      <w:marRight w:val="0"/>
      <w:marTop w:val="0"/>
      <w:marBottom w:val="0"/>
      <w:divBdr>
        <w:top w:val="none" w:sz="0" w:space="0" w:color="auto"/>
        <w:left w:val="none" w:sz="0" w:space="0" w:color="auto"/>
        <w:bottom w:val="none" w:sz="0" w:space="0" w:color="auto"/>
        <w:right w:val="none" w:sz="0" w:space="0" w:color="auto"/>
      </w:divBdr>
    </w:div>
    <w:div w:id="1994287108">
      <w:bodyDiv w:val="1"/>
      <w:marLeft w:val="0"/>
      <w:marRight w:val="0"/>
      <w:marTop w:val="0"/>
      <w:marBottom w:val="0"/>
      <w:divBdr>
        <w:top w:val="none" w:sz="0" w:space="0" w:color="auto"/>
        <w:left w:val="none" w:sz="0" w:space="0" w:color="auto"/>
        <w:bottom w:val="none" w:sz="0" w:space="0" w:color="auto"/>
        <w:right w:val="none" w:sz="0" w:space="0" w:color="auto"/>
      </w:divBdr>
    </w:div>
    <w:div w:id="1997416376">
      <w:bodyDiv w:val="1"/>
      <w:marLeft w:val="0"/>
      <w:marRight w:val="0"/>
      <w:marTop w:val="0"/>
      <w:marBottom w:val="0"/>
      <w:divBdr>
        <w:top w:val="none" w:sz="0" w:space="0" w:color="auto"/>
        <w:left w:val="none" w:sz="0" w:space="0" w:color="auto"/>
        <w:bottom w:val="none" w:sz="0" w:space="0" w:color="auto"/>
        <w:right w:val="none" w:sz="0" w:space="0" w:color="auto"/>
      </w:divBdr>
    </w:div>
    <w:div w:id="2032146891">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1087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'[MEB Database.xlsx]Zim Inflation'!$B$305</c:f>
              <c:strCache>
                <c:ptCount val="1"/>
                <c:pt idx="0">
                  <c:v>ZWG Inflation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'[MEB Database.xlsx]Zim Inflation'!$A$306:$A$315</c:f>
              <c:numCache>
                <c:formatCode>mmm\-yy</c:formatCode>
                <c:ptCount val="10"/>
                <c:pt idx="0">
                  <c:v>45413</c:v>
                </c:pt>
                <c:pt idx="1">
                  <c:v>45444</c:v>
                </c:pt>
                <c:pt idx="2">
                  <c:v>45474</c:v>
                </c:pt>
                <c:pt idx="3">
                  <c:v>45505</c:v>
                </c:pt>
                <c:pt idx="4">
                  <c:v>45536</c:v>
                </c:pt>
                <c:pt idx="5">
                  <c:v>45566</c:v>
                </c:pt>
                <c:pt idx="6">
                  <c:v>45597</c:v>
                </c:pt>
                <c:pt idx="7">
                  <c:v>45627</c:v>
                </c:pt>
                <c:pt idx="8">
                  <c:v>45658</c:v>
                </c:pt>
                <c:pt idx="9">
                  <c:v>45689</c:v>
                </c:pt>
              </c:numCache>
            </c:numRef>
          </c:xVal>
          <c:yVal>
            <c:numRef>
              <c:f>'[MEB Database.xlsx]Zim Inflation'!$B$306:$B$315</c:f>
              <c:numCache>
                <c:formatCode>General</c:formatCode>
                <c:ptCount val="10"/>
                <c:pt idx="0">
                  <c:v>-2.4</c:v>
                </c:pt>
                <c:pt idx="1">
                  <c:v>0</c:v>
                </c:pt>
                <c:pt idx="2">
                  <c:v>-0.1</c:v>
                </c:pt>
                <c:pt idx="3">
                  <c:v>1.4</c:v>
                </c:pt>
                <c:pt idx="4" formatCode="0.0">
                  <c:v>5.7762813859791864</c:v>
                </c:pt>
                <c:pt idx="5" formatCode="0.0">
                  <c:v>37.200000000000003</c:v>
                </c:pt>
                <c:pt idx="6">
                  <c:v>11.7</c:v>
                </c:pt>
                <c:pt idx="7" formatCode="0.00">
                  <c:v>3.6728383023600455</c:v>
                </c:pt>
                <c:pt idx="8">
                  <c:v>10.5</c:v>
                </c:pt>
                <c:pt idx="9">
                  <c:v>0.5</c:v>
                </c:pt>
              </c:numCache>
            </c:numRef>
          </c:yVal>
          <c:smooth val="0"/>
          <c:extLst>
            <c:ext xmlns:c16="http://schemas.microsoft.com/office/drawing/2014/chart" uri="{C3380CC4-5D6E-409C-BE32-E72D297353CC}">
              <c16:uniqueId val="{00000000-B360-4526-83A9-46855216A291}"/>
            </c:ext>
          </c:extLst>
        </c:ser>
        <c:dLbls>
          <c:dLblPos val="t"/>
          <c:showLegendKey val="0"/>
          <c:showVal val="1"/>
          <c:showCatName val="0"/>
          <c:showSerName val="0"/>
          <c:showPercent val="0"/>
          <c:showBubbleSize val="0"/>
        </c:dLbls>
        <c:axId val="1637316031"/>
        <c:axId val="1637314367"/>
      </c:scatterChart>
      <c:valAx>
        <c:axId val="1637316031"/>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314367"/>
        <c:crosses val="autoZero"/>
        <c:crossBetween val="midCat"/>
      </c:valAx>
      <c:valAx>
        <c:axId val="1637314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316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'[MEB Database.xlsx]Zim Inflation'!$B$236</c:f>
              <c:strCache>
                <c:ptCount val="1"/>
                <c:pt idx="0">
                  <c:v>Inflation rate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2.2043433017842468E-2"/>
                  <c:y val="-4.673595093542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4DF-4226-B53D-11AC599D2F4C}"/>
                </c:ext>
              </c:extLst>
            </c:dLbl>
            <c:dLbl>
              <c:idx val="3"/>
              <c:layout>
                <c:manualLayout>
                  <c:x val="-3.7568433680638405E-2"/>
                  <c:y val="3.55685758135451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4DF-4226-B53D-11AC599D2F4C}"/>
                </c:ext>
              </c:extLst>
            </c:dLbl>
            <c:dLbl>
              <c:idx val="7"/>
              <c:layout>
                <c:manualLayout>
                  <c:x val="-5.8313197607297806E-2"/>
                  <c:y val="-6.1487801348978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4DF-4226-B53D-11AC599D2F4C}"/>
                </c:ext>
              </c:extLst>
            </c:dLbl>
            <c:dLbl>
              <c:idx val="9"/>
              <c:layout>
                <c:manualLayout>
                  <c:x val="-1.0831776971916018E-2"/>
                  <c:y val="-6.54566716553596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4DF-4226-B53D-11AC599D2F4C}"/>
                </c:ext>
              </c:extLst>
            </c:dLbl>
            <c:dLbl>
              <c:idx val="10"/>
              <c:layout>
                <c:manualLayout>
                  <c:x val="-9.3981433954481086E-4"/>
                  <c:y val="-2.17990982851667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4DF-4226-B53D-11AC599D2F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Database.xlsx]Zim Inflation'!$A$243:$A$255</c:f>
              <c:numCache>
                <c:formatCode>mmm\-yy</c:formatCode>
                <c:ptCount val="13"/>
                <c:pt idx="0">
                  <c:v>45323</c:v>
                </c:pt>
                <c:pt idx="1">
                  <c:v>45352</c:v>
                </c:pt>
                <c:pt idx="2">
                  <c:v>45383</c:v>
                </c:pt>
                <c:pt idx="3">
                  <c:v>45413</c:v>
                </c:pt>
                <c:pt idx="4">
                  <c:v>45471</c:v>
                </c:pt>
                <c:pt idx="5">
                  <c:v>45501</c:v>
                </c:pt>
                <c:pt idx="6">
                  <c:v>45532</c:v>
                </c:pt>
                <c:pt idx="7">
                  <c:v>45563</c:v>
                </c:pt>
                <c:pt idx="8">
                  <c:v>45593</c:v>
                </c:pt>
                <c:pt idx="9">
                  <c:v>45624</c:v>
                </c:pt>
                <c:pt idx="10">
                  <c:v>45654</c:v>
                </c:pt>
                <c:pt idx="11">
                  <c:v>45685</c:v>
                </c:pt>
                <c:pt idx="12">
                  <c:v>45716</c:v>
                </c:pt>
              </c:numCache>
            </c:numRef>
          </c:cat>
          <c:val>
            <c:numRef>
              <c:f>'[MEB Database.xlsx]Zim Inflation'!$B$243:$B$255</c:f>
              <c:numCache>
                <c:formatCode>#,##0.00</c:formatCode>
                <c:ptCount val="13"/>
                <c:pt idx="0">
                  <c:v>5.3893275634551543</c:v>
                </c:pt>
                <c:pt idx="1">
                  <c:v>4.887508641983402</c:v>
                </c:pt>
                <c:pt idx="2">
                  <c:v>2.9389895786218005</c:v>
                </c:pt>
                <c:pt idx="3">
                  <c:v>-0.6</c:v>
                </c:pt>
                <c:pt idx="4">
                  <c:v>-0.2</c:v>
                </c:pt>
                <c:pt idx="5">
                  <c:v>-0.1</c:v>
                </c:pt>
                <c:pt idx="6">
                  <c:v>0.4</c:v>
                </c:pt>
                <c:pt idx="7" formatCode="0.00">
                  <c:v>1.9009629950185576</c:v>
                </c:pt>
                <c:pt idx="8">
                  <c:v>7.3</c:v>
                </c:pt>
                <c:pt idx="9">
                  <c:v>2.2000000000000002</c:v>
                </c:pt>
                <c:pt idx="10">
                  <c:v>1.1100000000000001</c:v>
                </c:pt>
                <c:pt idx="11">
                  <c:v>11.6</c:v>
                </c:pt>
                <c:pt idx="12">
                  <c:v>0.3</c:v>
                </c:pt>
              </c:numCache>
            </c:numRef>
          </c:val>
          <c:smooth val="0"/>
          <c:extLst>
            <c:ext xmlns:c16="http://schemas.microsoft.com/office/drawing/2014/chart" uri="{C3380CC4-5D6E-409C-BE32-E72D297353CC}">
              <c16:uniqueId val="{00000005-24DF-4226-B53D-11AC599D2F4C}"/>
            </c:ext>
          </c:extLst>
        </c:ser>
        <c:dLbls>
          <c:dLblPos val="t"/>
          <c:showLegendKey val="0"/>
          <c:showVal val="1"/>
          <c:showCatName val="0"/>
          <c:showSerName val="0"/>
          <c:showPercent val="0"/>
          <c:showBubbleSize val="0"/>
        </c:dLbls>
        <c:smooth val="0"/>
        <c:axId val="1347433839"/>
        <c:axId val="1347447983"/>
      </c:lineChart>
      <c:dateAx>
        <c:axId val="1347433839"/>
        <c:scaling>
          <c:orientation val="minMax"/>
        </c:scaling>
        <c:delete val="0"/>
        <c:axPos val="b"/>
        <c:numFmt formatCode="mmm\-yy" sourceLinked="1"/>
        <c:majorTickMark val="out"/>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47983"/>
        <c:crosses val="autoZero"/>
        <c:auto val="1"/>
        <c:lblOffset val="100"/>
        <c:baseTimeUnit val="months"/>
      </c:dateAx>
      <c:valAx>
        <c:axId val="1347447983"/>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33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3528802320762532E-2"/>
          <c:y val="0.11821329777143554"/>
          <c:w val="0.85385239673988123"/>
          <c:h val="0.7352637554609881"/>
        </c:manualLayout>
      </c:layout>
      <c:barChart>
        <c:barDir val="col"/>
        <c:grouping val="clustered"/>
        <c:varyColors val="0"/>
        <c:ser>
          <c:idx val="0"/>
          <c:order val="0"/>
          <c:tx>
            <c:strRef>
              <c:f>'[MEB Database.xlsx]M3'!$B$63</c:f>
              <c:strCache>
                <c:ptCount val="1"/>
                <c:pt idx="0">
                  <c:v>Money Supply (ZWG billion)</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numRef>
              <c:f>'[MEB Database.xlsx]M3'!$A$73:$A$85</c:f>
              <c:numCache>
                <c:formatCode>mmm\-yy</c:formatCode>
                <c:ptCount val="13"/>
                <c:pt idx="0">
                  <c:v>45292</c:v>
                </c:pt>
                <c:pt idx="1">
                  <c:v>45323</c:v>
                </c:pt>
                <c:pt idx="2">
                  <c:v>45352</c:v>
                </c:pt>
                <c:pt idx="3">
                  <c:v>45383</c:v>
                </c:pt>
                <c:pt idx="4">
                  <c:v>45413</c:v>
                </c:pt>
                <c:pt idx="5">
                  <c:v>45444</c:v>
                </c:pt>
                <c:pt idx="6">
                  <c:v>45474</c:v>
                </c:pt>
                <c:pt idx="7">
                  <c:v>45505</c:v>
                </c:pt>
                <c:pt idx="8">
                  <c:v>45536</c:v>
                </c:pt>
                <c:pt idx="9">
                  <c:v>45566</c:v>
                </c:pt>
                <c:pt idx="10">
                  <c:v>45597</c:v>
                </c:pt>
                <c:pt idx="11">
                  <c:v>45627</c:v>
                </c:pt>
                <c:pt idx="12">
                  <c:v>45658</c:v>
                </c:pt>
              </c:numCache>
            </c:numRef>
          </c:cat>
          <c:val>
            <c:numRef>
              <c:f>'[MEB Database.xlsx]M3'!$B$73:$B$85</c:f>
              <c:numCache>
                <c:formatCode>0.00</c:formatCode>
                <c:ptCount val="13"/>
                <c:pt idx="0">
                  <c:v>11.70597379254581</c:v>
                </c:pt>
                <c:pt idx="1">
                  <c:v>16.25351049147401</c:v>
                </c:pt>
                <c:pt idx="2">
                  <c:v>23.680680724987575</c:v>
                </c:pt>
                <c:pt idx="3">
                  <c:v>38.75479</c:v>
                </c:pt>
                <c:pt idx="4">
                  <c:v>41.027610000000003</c:v>
                </c:pt>
                <c:pt idx="5">
                  <c:v>42.726469999999999</c:v>
                </c:pt>
                <c:pt idx="6">
                  <c:v>45.975630000000002</c:v>
                </c:pt>
                <c:pt idx="7">
                  <c:v>46.473210000000002</c:v>
                </c:pt>
                <c:pt idx="8">
                  <c:v>75.007959999999997</c:v>
                </c:pt>
                <c:pt idx="9">
                  <c:v>87.582920000000001</c:v>
                </c:pt>
                <c:pt idx="10">
                  <c:v>83.226830000000007</c:v>
                </c:pt>
                <c:pt idx="11">
                  <c:v>87.44896</c:v>
                </c:pt>
                <c:pt idx="12">
                  <c:v>87.120750000000001</c:v>
                </c:pt>
              </c:numCache>
            </c:numRef>
          </c:val>
          <c:extLst>
            <c:ext xmlns:c16="http://schemas.microsoft.com/office/drawing/2014/chart" uri="{C3380CC4-5D6E-409C-BE32-E72D297353CC}">
              <c16:uniqueId val="{00000001-1E5D-4B26-AC8E-75AF3C82ABA2}"/>
            </c:ext>
          </c:extLst>
        </c:ser>
        <c:dLbls>
          <c:showLegendKey val="0"/>
          <c:showVal val="0"/>
          <c:showCatName val="0"/>
          <c:showSerName val="0"/>
          <c:showPercent val="0"/>
          <c:showBubbleSize val="0"/>
        </c:dLbls>
        <c:gapWidth val="150"/>
        <c:axId val="1319224575"/>
        <c:axId val="1319236639"/>
      </c:barChart>
      <c:lineChart>
        <c:grouping val="standard"/>
        <c:varyColors val="0"/>
        <c:ser>
          <c:idx val="1"/>
          <c:order val="1"/>
          <c:tx>
            <c:strRef>
              <c:f>'[MEB Database.xlsx]M3'!$C$63</c:f>
              <c:strCache>
                <c:ptCount val="1"/>
                <c:pt idx="0">
                  <c:v>M-o-M Growth</c:v>
                </c:pt>
              </c:strCache>
            </c:strRef>
          </c:tx>
          <c:spPr>
            <a:ln w="28575" cap="rnd">
              <a:solidFill>
                <a:schemeClr val="accent2"/>
              </a:solidFill>
              <a:round/>
            </a:ln>
            <a:effectLst/>
          </c:spPr>
          <c:marker>
            <c:symbol val="none"/>
          </c:marker>
          <c:cat>
            <c:numRef>
              <c:f>'[MEB Database.xlsx]M3'!$A$73:$A$85</c:f>
              <c:numCache>
                <c:formatCode>mmm\-yy</c:formatCode>
                <c:ptCount val="13"/>
                <c:pt idx="0">
                  <c:v>45292</c:v>
                </c:pt>
                <c:pt idx="1">
                  <c:v>45323</c:v>
                </c:pt>
                <c:pt idx="2">
                  <c:v>45352</c:v>
                </c:pt>
                <c:pt idx="3">
                  <c:v>45383</c:v>
                </c:pt>
                <c:pt idx="4">
                  <c:v>45413</c:v>
                </c:pt>
                <c:pt idx="5">
                  <c:v>45444</c:v>
                </c:pt>
                <c:pt idx="6">
                  <c:v>45474</c:v>
                </c:pt>
                <c:pt idx="7">
                  <c:v>45505</c:v>
                </c:pt>
                <c:pt idx="8">
                  <c:v>45536</c:v>
                </c:pt>
                <c:pt idx="9">
                  <c:v>45566</c:v>
                </c:pt>
                <c:pt idx="10">
                  <c:v>45597</c:v>
                </c:pt>
                <c:pt idx="11">
                  <c:v>45627</c:v>
                </c:pt>
                <c:pt idx="12">
                  <c:v>45658</c:v>
                </c:pt>
              </c:numCache>
            </c:numRef>
          </c:cat>
          <c:val>
            <c:numRef>
              <c:f>'[MEB Database.xlsx]M3'!$C$73:$C$85</c:f>
              <c:numCache>
                <c:formatCode>General</c:formatCode>
                <c:ptCount val="13"/>
                <c:pt idx="0">
                  <c:v>54.68006345848756</c:v>
                </c:pt>
                <c:pt idx="1">
                  <c:v>38.848000000000027</c:v>
                </c:pt>
                <c:pt idx="2">
                  <c:v>45.695791302497902</c:v>
                </c:pt>
                <c:pt idx="3">
                  <c:v>63.655726159537309</c:v>
                </c:pt>
                <c:pt idx="4">
                  <c:v>5.8646169931510475</c:v>
                </c:pt>
                <c:pt idx="5">
                  <c:v>4.1407725187989168</c:v>
                </c:pt>
                <c:pt idx="6">
                  <c:v>7.6045598899230455</c:v>
                </c:pt>
                <c:pt idx="7">
                  <c:v>1.0822690194783611</c:v>
                </c:pt>
                <c:pt idx="8">
                  <c:v>61.400428332796452</c:v>
                </c:pt>
                <c:pt idx="9">
                  <c:v>16.764834025615421</c:v>
                </c:pt>
                <c:pt idx="10">
                  <c:v>-4.973675232568171</c:v>
                </c:pt>
                <c:pt idx="11">
                  <c:v>5.0730395474632308</c:v>
                </c:pt>
                <c:pt idx="12">
                  <c:v>-0.37531607008247847</c:v>
                </c:pt>
              </c:numCache>
            </c:numRef>
          </c:val>
          <c:smooth val="0"/>
          <c:extLst>
            <c:ext xmlns:c16="http://schemas.microsoft.com/office/drawing/2014/chart" uri="{C3380CC4-5D6E-409C-BE32-E72D297353CC}">
              <c16:uniqueId val="{00000002-1E5D-4B26-AC8E-75AF3C82ABA2}"/>
            </c:ext>
          </c:extLst>
        </c:ser>
        <c:dLbls>
          <c:showLegendKey val="0"/>
          <c:showVal val="0"/>
          <c:showCatName val="0"/>
          <c:showSerName val="0"/>
          <c:showPercent val="0"/>
          <c:showBubbleSize val="0"/>
        </c:dLbls>
        <c:marker val="1"/>
        <c:smooth val="0"/>
        <c:axId val="951174080"/>
        <c:axId val="951163520"/>
      </c:lineChart>
      <c:dateAx>
        <c:axId val="1319224575"/>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204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236639"/>
        <c:crosses val="autoZero"/>
        <c:auto val="1"/>
        <c:lblOffset val="100"/>
        <c:baseTimeUnit val="months"/>
      </c:dateAx>
      <c:valAx>
        <c:axId val="13192366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224575"/>
        <c:crosses val="autoZero"/>
        <c:crossBetween val="between"/>
      </c:valAx>
      <c:valAx>
        <c:axId val="95116352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174080"/>
        <c:crosses val="max"/>
        <c:crossBetween val="between"/>
      </c:valAx>
      <c:dateAx>
        <c:axId val="951174080"/>
        <c:scaling>
          <c:orientation val="minMax"/>
        </c:scaling>
        <c:delete val="1"/>
        <c:axPos val="b"/>
        <c:numFmt formatCode="mmm\-yy" sourceLinked="1"/>
        <c:majorTickMark val="out"/>
        <c:minorTickMark val="none"/>
        <c:tickLblPos val="nextTo"/>
        <c:crossAx val="951163520"/>
        <c:crosses val="autoZero"/>
        <c:auto val="1"/>
        <c:lblOffset val="100"/>
        <c:baseTimeUnit val="months"/>
        <c:majorUnit val="1"/>
        <c:minorUnit val="1"/>
      </c:date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Tra24</b:Tag>
    <b:SourceType>InternetSite</b:SourceType>
    <b:Guid>{8FD644BD-52F0-40B5-AA47-65EF794A8C0A}</b:Guid>
    <b:Author>
      <b:Author>
        <b:Corporate>Trading Economics</b:Corporate>
      </b:Author>
    </b:Author>
    <b:Title>Commodities</b:Title>
    <b:InternetSiteTitle>Trading  Economics</b:InternetSiteTitle>
    <b:Year>2025</b:Year>
    <b:URL>https://tradingeconomics.com/commodity/crude-oil</b:URL>
    <b:RefOrder>1</b:RefOrder>
  </b:Source>
  <b:Source>
    <b:Tag>RBZ24</b:Tag>
    <b:SourceType>InternetSite</b:SourceType>
    <b:Guid>{9ADA1191-28B5-4AFC-BCF2-5EC76C1C1032}</b:Guid>
    <b:Title>Exchange Rates</b:Title>
    <b:Year>2025</b:Year>
    <b:Author>
      <b:Author>
        <b:Corporate>RBZ</b:Corporate>
      </b:Author>
    </b:Author>
    <b:InternetSiteTitle>Reserve Bank of Zimbabwe</b:InternetSiteTitle>
    <b:URL>https://www.rbz.co.zw/index.php/research/markets/exchange-rates</b:URL>
    <b:RefOrder>2</b:RefOrder>
  </b:Source>
  <b:Source>
    <b:Tag>Zim24</b:Tag>
    <b:SourceType>InternetSite</b:SourceType>
    <b:Guid>{AF40DC90-F2B6-408B-958F-D547AD08A3C8}</b:Guid>
    <b:Author>
      <b:Author>
        <b:Corporate>ZimStat</b:Corporate>
      </b:Author>
    </b:Author>
    <b:Title>Inflation Rates</b:Title>
    <b:InternetSiteTitle>Zimbabwe Statistics Agency</b:InternetSiteTitle>
    <b:Year>2025</b:Year>
    <b:URL>https://www.zimstat.co.zw/</b:URL>
    <b:RefOrder>3</b:RefOrder>
  </b:Source>
  <b:Source>
    <b:Tag>VFE24</b:Tag>
    <b:SourceType>InternetSite</b:SourceType>
    <b:Guid>{8510DB52-D32D-4756-AAC5-8745265FD83E}</b:Guid>
    <b:Author>
      <b:Author>
        <b:Corporate>VFEX</b:Corporate>
      </b:Author>
    </b:Author>
    <b:Title>Main Dashboard</b:Title>
    <b:InternetSiteTitle>Victoria Falls Stock Exchange</b:InternetSiteTitle>
    <b:Year>2025</b:Year>
    <b:URL>https://www.vfex.exchange/</b:URL>
    <b:RefOrder>4</b:RefOrder>
  </b:Source>
  <b:Source>
    <b:Tag>ZSE24</b:Tag>
    <b:SourceType>InternetSite</b:SourceType>
    <b:Guid>{4043118D-EB9F-4448-9012-AC87DC38415A}</b:Guid>
    <b:Author>
      <b:Author>
        <b:Corporate>ZSE</b:Corporate>
      </b:Author>
    </b:Author>
    <b:Title>Main Dashboard</b:Title>
    <b:InternetSiteTitle>Zimbabwe Stock Exchange</b:InternetSiteTitle>
    <b:Year>2025</b:Year>
    <b:URL>https://www.zse.co.zw/</b:URL>
    <b:RefOrder>5</b:RefOrder>
  </b:Source>
  <b:Source>
    <b:Tag>Int25</b:Tag>
    <b:SourceType>Book</b:SourceType>
    <b:Guid>{39BFBC03-20A2-4CE2-8069-7ECAD6398391}</b:Guid>
    <b:Author>
      <b:Author>
        <b:Corporate>International Monetary Fund</b:Corporate>
      </b:Author>
    </b:Author>
    <b:Title>World Economic Outlook, January 2025 Update</b:Title>
    <b:Year>2025</b:Year>
    <b:Publisher>IMF</b:Publisher>
    <b:RefOrder>6</b:RefOrder>
  </b:Source>
  <b:Source>
    <b:Tag>RBZ25</b:Tag>
    <b:SourceType>Report</b:SourceType>
    <b:Guid>{19504E7F-A304-4DA0-883B-EE8020D2BACC}</b:Guid>
    <b:Title>2025 Monetary Policy Statement</b:Title>
    <b:Year>2025</b:Year>
    <b:Publisher>Reserve Bank of Zimbabwe</b:Publisher>
    <b:Author>
      <b:Author>
        <b:Corporate>RBZ</b:Corporate>
      </b:Author>
    </b:Author>
    <b:RefOrder>7</b:RefOrder>
  </b:Source>
  <b:Source>
    <b:Tag>UN25</b:Tag>
    <b:SourceType>InternetSite</b:SourceType>
    <b:Guid>{A79EB8A9-910C-4437-B6B0-70ACD5A493CC}</b:Guid>
    <b:Title>World Economic Situation and Prospects: February 2025 Briefing, No. 187</b:Title>
    <b:Year>2025</b:Year>
    <b:Author>
      <b:Author>
        <b:Corporate>UN</b:Corporate>
      </b:Author>
    </b:Author>
    <b:InternetSiteTitle>United Nations</b:InternetSiteTitle>
    <b:URL>https://www.un.org/development/desa/dpad/publication/world-economic-situation-and-prospects-february-2025-briefing-no-187/#:~:text=The%20world%20economy%20has%20shown%20remarkable%20resilience%2C%20with,commodity%20prices%2C%20and%20monetary%20easing%20in</b:URL>
    <b:RefOrder>8</b:RefOrder>
  </b:Source>
  <b:Source>
    <b:Tag>Wor25</b:Tag>
    <b:SourceType>Report</b:SourceType>
    <b:Guid>{C30230AB-345D-473B-9F4D-DD9769730B9F}</b:Guid>
    <b:Title>Food Security Update</b:Title>
    <b:Year>2025</b:Year>
    <b:Author>
      <b:Author>
        <b:Corporate>World Bank</b:Corporate>
      </b:Author>
    </b:Author>
    <b:Publisher>World Bank</b:Publisher>
    <b:RefOrder>9</b:RefOrder>
  </b:Source>
  <b:Source>
    <b:Tag>Bra25</b:Tag>
    <b:SourceType>InternetSite</b:SourceType>
    <b:Guid>{D59E20BA-F87D-463D-9B76-B5521C1FBF0D}</b:Guid>
    <b:Title>Key Commodity Trends to Watch in 2025</b:Title>
    <b:Year>2025</b:Year>
    <b:Author>
      <b:Author>
        <b:Corporate>Bradstock, F.</b:Corporate>
      </b:Author>
    </b:Author>
    <b:InternetSiteTitle>OILPRICE.COM</b:InternetSiteTitle>
    <b:URL>https://oilprice.com/Energy/Energy-General/Key-Commodity-Trends-to-Watch-in-2025.html#:~:text=Key%20Commodity%20Trends%20to%20Watch%20in%202025%201,for%20electric%20vehicles%20and%20energy%20storage%20solutions%20increases.</b:URL>
    <b:RefOrder>10</b:RefOrder>
  </b:Source>
  <b:Source>
    <b:Tag>Inv25</b:Tag>
    <b:SourceType>InternetSite</b:SourceType>
    <b:Guid>{1B8FAB3F-C2EF-4A8C-B5D4-0C4B870F210F}</b:Guid>
    <b:Author>
      <b:Author>
        <b:Corporate>Invesco</b:Corporate>
      </b:Author>
    </b:Author>
    <b:Title>Why do we expect further weakening of the US dollar?</b:Title>
    <b:Year>2025</b:Year>
    <b:URL>https://www.invesco.com/apac/en/institutional/insights/market-outlook/why-do-we-expect-further-weakening-of-the-us-dollar.html?msockid=15dc0a15f93065382a851e5cf8436478</b:URL>
    <b:RefOrder>11</b:RefOrder>
  </b:Source>
  <b:Source>
    <b:Tag>The25</b:Tag>
    <b:SourceType>InternetSite</b:SourceType>
    <b:Guid>{40B24493-7B3B-4D13-97D0-157FE54967E3}</b:Guid>
    <b:Author>
      <b:Author>
        <b:Corporate>The Herald</b:Corporate>
      </b:Author>
    </b:Author>
    <b:Title>Zim Inflation in Major Downtrend</b:Title>
    <b:Year>2025</b:Year>
    <b:URL>https://www.herald.co.zw/zim-inflation-in-major-downtrend/</b:URL>
    <b:RefOrder>12</b:RefOrder>
  </b:Source>
  <b:Source>
    <b:Tag>Res24</b:Tag>
    <b:SourceType>Report</b:SourceType>
    <b:Guid>{9C2ED227-01A4-48F3-9352-0BFDBB84AF2F}</b:Guid>
    <b:Author>
      <b:Author>
        <b:Corporate>Reserve Bank of Zimbabwe</b:Corporate>
      </b:Author>
    </b:Author>
    <b:Title>Monthly Economic Review: January 2025</b:Title>
    <b:Year>2025</b:Year>
    <b:Publisher>RBZ</b:Publisher>
    <b:RefOrder>13</b:RefOrder>
  </b:Source>
  <b:Source>
    <b:Tag>Res241</b:Tag>
    <b:SourceType>Report</b:SourceType>
    <b:Guid>{FB34C226-4263-4C33-A379-247FC1E72204}</b:Guid>
    <b:Author>
      <b:Author>
        <b:Corporate>Reserve Bank of Zimbabwe</b:Corporate>
      </b:Author>
    </b:Author>
    <b:Title>Weekely Economic Highlights, 28 February 2025, Vol 27 No 9</b:Title>
    <b:Year>2025</b:Year>
    <b:Publisher>Reserve Bank of Zimbabwe</b:Publisher>
    <b:RefOrder>14</b:RefOrder>
  </b:Source>
</b:Sources>
</file>

<file path=customXml/itemProps1.xml><?xml version="1.0" encoding="utf-8"?>
<ds:datastoreItem xmlns:ds="http://schemas.openxmlformats.org/officeDocument/2006/customXml" ds:itemID="{C595A9EA-4BBE-487C-AED9-C0EBED76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17</Pages>
  <Words>3285</Words>
  <Characters>18730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21972</CharactersWithSpaces>
  <SharedDoc>false</SharedDoc>
  <HLinks>
    <vt:vector size="198" baseType="variant">
      <vt:variant>
        <vt:i4>1310782</vt:i4>
      </vt:variant>
      <vt:variant>
        <vt:i4>200</vt:i4>
      </vt:variant>
      <vt:variant>
        <vt:i4>0</vt:i4>
      </vt:variant>
      <vt:variant>
        <vt:i4>5</vt:i4>
      </vt:variant>
      <vt:variant>
        <vt:lpwstr/>
      </vt:variant>
      <vt:variant>
        <vt:lpwstr>_Toc181785691</vt:lpwstr>
      </vt:variant>
      <vt:variant>
        <vt:i4>1310782</vt:i4>
      </vt:variant>
      <vt:variant>
        <vt:i4>194</vt:i4>
      </vt:variant>
      <vt:variant>
        <vt:i4>0</vt:i4>
      </vt:variant>
      <vt:variant>
        <vt:i4>5</vt:i4>
      </vt:variant>
      <vt:variant>
        <vt:lpwstr/>
      </vt:variant>
      <vt:variant>
        <vt:lpwstr>_Toc181785690</vt:lpwstr>
      </vt:variant>
      <vt:variant>
        <vt:i4>1376318</vt:i4>
      </vt:variant>
      <vt:variant>
        <vt:i4>188</vt:i4>
      </vt:variant>
      <vt:variant>
        <vt:i4>0</vt:i4>
      </vt:variant>
      <vt:variant>
        <vt:i4>5</vt:i4>
      </vt:variant>
      <vt:variant>
        <vt:lpwstr/>
      </vt:variant>
      <vt:variant>
        <vt:lpwstr>_Toc181785689</vt:lpwstr>
      </vt:variant>
      <vt:variant>
        <vt:i4>1376318</vt:i4>
      </vt:variant>
      <vt:variant>
        <vt:i4>182</vt:i4>
      </vt:variant>
      <vt:variant>
        <vt:i4>0</vt:i4>
      </vt:variant>
      <vt:variant>
        <vt:i4>5</vt:i4>
      </vt:variant>
      <vt:variant>
        <vt:lpwstr/>
      </vt:variant>
      <vt:variant>
        <vt:lpwstr>_Toc181785688</vt:lpwstr>
      </vt:variant>
      <vt:variant>
        <vt:i4>1376318</vt:i4>
      </vt:variant>
      <vt:variant>
        <vt:i4>176</vt:i4>
      </vt:variant>
      <vt:variant>
        <vt:i4>0</vt:i4>
      </vt:variant>
      <vt:variant>
        <vt:i4>5</vt:i4>
      </vt:variant>
      <vt:variant>
        <vt:lpwstr/>
      </vt:variant>
      <vt:variant>
        <vt:lpwstr>_Toc181785687</vt:lpwstr>
      </vt:variant>
      <vt:variant>
        <vt:i4>1376318</vt:i4>
      </vt:variant>
      <vt:variant>
        <vt:i4>170</vt:i4>
      </vt:variant>
      <vt:variant>
        <vt:i4>0</vt:i4>
      </vt:variant>
      <vt:variant>
        <vt:i4>5</vt:i4>
      </vt:variant>
      <vt:variant>
        <vt:lpwstr/>
      </vt:variant>
      <vt:variant>
        <vt:lpwstr>_Toc181785686</vt:lpwstr>
      </vt:variant>
      <vt:variant>
        <vt:i4>1376319</vt:i4>
      </vt:variant>
      <vt:variant>
        <vt:i4>161</vt:i4>
      </vt:variant>
      <vt:variant>
        <vt:i4>0</vt:i4>
      </vt:variant>
      <vt:variant>
        <vt:i4>5</vt:i4>
      </vt:variant>
      <vt:variant>
        <vt:lpwstr/>
      </vt:variant>
      <vt:variant>
        <vt:lpwstr>_Toc181785785</vt:lpwstr>
      </vt:variant>
      <vt:variant>
        <vt:i4>1376319</vt:i4>
      </vt:variant>
      <vt:variant>
        <vt:i4>155</vt:i4>
      </vt:variant>
      <vt:variant>
        <vt:i4>0</vt:i4>
      </vt:variant>
      <vt:variant>
        <vt:i4>5</vt:i4>
      </vt:variant>
      <vt:variant>
        <vt:lpwstr/>
      </vt:variant>
      <vt:variant>
        <vt:lpwstr>_Toc181785784</vt:lpwstr>
      </vt:variant>
      <vt:variant>
        <vt:i4>1376319</vt:i4>
      </vt:variant>
      <vt:variant>
        <vt:i4>149</vt:i4>
      </vt:variant>
      <vt:variant>
        <vt:i4>0</vt:i4>
      </vt:variant>
      <vt:variant>
        <vt:i4>5</vt:i4>
      </vt:variant>
      <vt:variant>
        <vt:lpwstr/>
      </vt:variant>
      <vt:variant>
        <vt:lpwstr>_Toc181785783</vt:lpwstr>
      </vt:variant>
      <vt:variant>
        <vt:i4>1376319</vt:i4>
      </vt:variant>
      <vt:variant>
        <vt:i4>143</vt:i4>
      </vt:variant>
      <vt:variant>
        <vt:i4>0</vt:i4>
      </vt:variant>
      <vt:variant>
        <vt:i4>5</vt:i4>
      </vt:variant>
      <vt:variant>
        <vt:lpwstr/>
      </vt:variant>
      <vt:variant>
        <vt:lpwstr>_Toc181785782</vt:lpwstr>
      </vt:variant>
      <vt:variant>
        <vt:i4>1376319</vt:i4>
      </vt:variant>
      <vt:variant>
        <vt:i4>137</vt:i4>
      </vt:variant>
      <vt:variant>
        <vt:i4>0</vt:i4>
      </vt:variant>
      <vt:variant>
        <vt:i4>5</vt:i4>
      </vt:variant>
      <vt:variant>
        <vt:lpwstr/>
      </vt:variant>
      <vt:variant>
        <vt:lpwstr>_Toc181785781</vt:lpwstr>
      </vt:variant>
      <vt:variant>
        <vt:i4>1376319</vt:i4>
      </vt:variant>
      <vt:variant>
        <vt:i4>131</vt:i4>
      </vt:variant>
      <vt:variant>
        <vt:i4>0</vt:i4>
      </vt:variant>
      <vt:variant>
        <vt:i4>5</vt:i4>
      </vt:variant>
      <vt:variant>
        <vt:lpwstr/>
      </vt:variant>
      <vt:variant>
        <vt:lpwstr>_Toc181785780</vt:lpwstr>
      </vt:variant>
      <vt:variant>
        <vt:i4>1703999</vt:i4>
      </vt:variant>
      <vt:variant>
        <vt:i4>125</vt:i4>
      </vt:variant>
      <vt:variant>
        <vt:i4>0</vt:i4>
      </vt:variant>
      <vt:variant>
        <vt:i4>5</vt:i4>
      </vt:variant>
      <vt:variant>
        <vt:lpwstr/>
      </vt:variant>
      <vt:variant>
        <vt:lpwstr>_Toc181785779</vt:lpwstr>
      </vt:variant>
      <vt:variant>
        <vt:i4>1703997</vt:i4>
      </vt:variant>
      <vt:variant>
        <vt:i4>116</vt:i4>
      </vt:variant>
      <vt:variant>
        <vt:i4>0</vt:i4>
      </vt:variant>
      <vt:variant>
        <vt:i4>5</vt:i4>
      </vt:variant>
      <vt:variant>
        <vt:lpwstr/>
      </vt:variant>
      <vt:variant>
        <vt:lpwstr>_Toc181785577</vt:lpwstr>
      </vt:variant>
      <vt:variant>
        <vt:i4>1703997</vt:i4>
      </vt:variant>
      <vt:variant>
        <vt:i4>110</vt:i4>
      </vt:variant>
      <vt:variant>
        <vt:i4>0</vt:i4>
      </vt:variant>
      <vt:variant>
        <vt:i4>5</vt:i4>
      </vt:variant>
      <vt:variant>
        <vt:lpwstr/>
      </vt:variant>
      <vt:variant>
        <vt:lpwstr>_Toc181785576</vt:lpwstr>
      </vt:variant>
      <vt:variant>
        <vt:i4>1703997</vt:i4>
      </vt:variant>
      <vt:variant>
        <vt:i4>104</vt:i4>
      </vt:variant>
      <vt:variant>
        <vt:i4>0</vt:i4>
      </vt:variant>
      <vt:variant>
        <vt:i4>5</vt:i4>
      </vt:variant>
      <vt:variant>
        <vt:lpwstr/>
      </vt:variant>
      <vt:variant>
        <vt:lpwstr>_Toc181785575</vt:lpwstr>
      </vt:variant>
      <vt:variant>
        <vt:i4>1703997</vt:i4>
      </vt:variant>
      <vt:variant>
        <vt:i4>98</vt:i4>
      </vt:variant>
      <vt:variant>
        <vt:i4>0</vt:i4>
      </vt:variant>
      <vt:variant>
        <vt:i4>5</vt:i4>
      </vt:variant>
      <vt:variant>
        <vt:lpwstr/>
      </vt:variant>
      <vt:variant>
        <vt:lpwstr>_Toc181785574</vt:lpwstr>
      </vt:variant>
      <vt:variant>
        <vt:i4>1703997</vt:i4>
      </vt:variant>
      <vt:variant>
        <vt:i4>92</vt:i4>
      </vt:variant>
      <vt:variant>
        <vt:i4>0</vt:i4>
      </vt:variant>
      <vt:variant>
        <vt:i4>5</vt:i4>
      </vt:variant>
      <vt:variant>
        <vt:lpwstr/>
      </vt:variant>
      <vt:variant>
        <vt:lpwstr>_Toc181785573</vt:lpwstr>
      </vt:variant>
      <vt:variant>
        <vt:i4>1703997</vt:i4>
      </vt:variant>
      <vt:variant>
        <vt:i4>86</vt:i4>
      </vt:variant>
      <vt:variant>
        <vt:i4>0</vt:i4>
      </vt:variant>
      <vt:variant>
        <vt:i4>5</vt:i4>
      </vt:variant>
      <vt:variant>
        <vt:lpwstr/>
      </vt:variant>
      <vt:variant>
        <vt:lpwstr>_Toc181785572</vt:lpwstr>
      </vt:variant>
      <vt:variant>
        <vt:i4>1703997</vt:i4>
      </vt:variant>
      <vt:variant>
        <vt:i4>80</vt:i4>
      </vt:variant>
      <vt:variant>
        <vt:i4>0</vt:i4>
      </vt:variant>
      <vt:variant>
        <vt:i4>5</vt:i4>
      </vt:variant>
      <vt:variant>
        <vt:lpwstr/>
      </vt:variant>
      <vt:variant>
        <vt:lpwstr>_Toc181785571</vt:lpwstr>
      </vt:variant>
      <vt:variant>
        <vt:i4>1703997</vt:i4>
      </vt:variant>
      <vt:variant>
        <vt:i4>74</vt:i4>
      </vt:variant>
      <vt:variant>
        <vt:i4>0</vt:i4>
      </vt:variant>
      <vt:variant>
        <vt:i4>5</vt:i4>
      </vt:variant>
      <vt:variant>
        <vt:lpwstr/>
      </vt:variant>
      <vt:variant>
        <vt:lpwstr>_Toc181785570</vt:lpwstr>
      </vt:variant>
      <vt:variant>
        <vt:i4>1769533</vt:i4>
      </vt:variant>
      <vt:variant>
        <vt:i4>68</vt:i4>
      </vt:variant>
      <vt:variant>
        <vt:i4>0</vt:i4>
      </vt:variant>
      <vt:variant>
        <vt:i4>5</vt:i4>
      </vt:variant>
      <vt:variant>
        <vt:lpwstr/>
      </vt:variant>
      <vt:variant>
        <vt:lpwstr>_Toc181785569</vt:lpwstr>
      </vt:variant>
      <vt:variant>
        <vt:i4>1769533</vt:i4>
      </vt:variant>
      <vt:variant>
        <vt:i4>62</vt:i4>
      </vt:variant>
      <vt:variant>
        <vt:i4>0</vt:i4>
      </vt:variant>
      <vt:variant>
        <vt:i4>5</vt:i4>
      </vt:variant>
      <vt:variant>
        <vt:lpwstr/>
      </vt:variant>
      <vt:variant>
        <vt:lpwstr>_Toc181785568</vt:lpwstr>
      </vt:variant>
      <vt:variant>
        <vt:i4>1769533</vt:i4>
      </vt:variant>
      <vt:variant>
        <vt:i4>56</vt:i4>
      </vt:variant>
      <vt:variant>
        <vt:i4>0</vt:i4>
      </vt:variant>
      <vt:variant>
        <vt:i4>5</vt:i4>
      </vt:variant>
      <vt:variant>
        <vt:lpwstr/>
      </vt:variant>
      <vt:variant>
        <vt:lpwstr>_Toc181785567</vt:lpwstr>
      </vt:variant>
      <vt:variant>
        <vt:i4>1769533</vt:i4>
      </vt:variant>
      <vt:variant>
        <vt:i4>50</vt:i4>
      </vt:variant>
      <vt:variant>
        <vt:i4>0</vt:i4>
      </vt:variant>
      <vt:variant>
        <vt:i4>5</vt:i4>
      </vt:variant>
      <vt:variant>
        <vt:lpwstr/>
      </vt:variant>
      <vt:variant>
        <vt:lpwstr>_Toc181785566</vt:lpwstr>
      </vt:variant>
      <vt:variant>
        <vt:i4>1769533</vt:i4>
      </vt:variant>
      <vt:variant>
        <vt:i4>44</vt:i4>
      </vt:variant>
      <vt:variant>
        <vt:i4>0</vt:i4>
      </vt:variant>
      <vt:variant>
        <vt:i4>5</vt:i4>
      </vt:variant>
      <vt:variant>
        <vt:lpwstr/>
      </vt:variant>
      <vt:variant>
        <vt:lpwstr>_Toc181785565</vt:lpwstr>
      </vt:variant>
      <vt:variant>
        <vt:i4>1769533</vt:i4>
      </vt:variant>
      <vt:variant>
        <vt:i4>38</vt:i4>
      </vt:variant>
      <vt:variant>
        <vt:i4>0</vt:i4>
      </vt:variant>
      <vt:variant>
        <vt:i4>5</vt:i4>
      </vt:variant>
      <vt:variant>
        <vt:lpwstr/>
      </vt:variant>
      <vt:variant>
        <vt:lpwstr>_Toc181785564</vt:lpwstr>
      </vt:variant>
      <vt:variant>
        <vt:i4>1769533</vt:i4>
      </vt:variant>
      <vt:variant>
        <vt:i4>32</vt:i4>
      </vt:variant>
      <vt:variant>
        <vt:i4>0</vt:i4>
      </vt:variant>
      <vt:variant>
        <vt:i4>5</vt:i4>
      </vt:variant>
      <vt:variant>
        <vt:lpwstr/>
      </vt:variant>
      <vt:variant>
        <vt:lpwstr>_Toc181785563</vt:lpwstr>
      </vt:variant>
      <vt:variant>
        <vt:i4>1769533</vt:i4>
      </vt:variant>
      <vt:variant>
        <vt:i4>26</vt:i4>
      </vt:variant>
      <vt:variant>
        <vt:i4>0</vt:i4>
      </vt:variant>
      <vt:variant>
        <vt:i4>5</vt:i4>
      </vt:variant>
      <vt:variant>
        <vt:lpwstr/>
      </vt:variant>
      <vt:variant>
        <vt:lpwstr>_Toc181785562</vt:lpwstr>
      </vt:variant>
      <vt:variant>
        <vt:i4>1769533</vt:i4>
      </vt:variant>
      <vt:variant>
        <vt:i4>20</vt:i4>
      </vt:variant>
      <vt:variant>
        <vt:i4>0</vt:i4>
      </vt:variant>
      <vt:variant>
        <vt:i4>5</vt:i4>
      </vt:variant>
      <vt:variant>
        <vt:lpwstr/>
      </vt:variant>
      <vt:variant>
        <vt:lpwstr>_Toc181785561</vt:lpwstr>
      </vt:variant>
      <vt:variant>
        <vt:i4>1769533</vt:i4>
      </vt:variant>
      <vt:variant>
        <vt:i4>14</vt:i4>
      </vt:variant>
      <vt:variant>
        <vt:i4>0</vt:i4>
      </vt:variant>
      <vt:variant>
        <vt:i4>5</vt:i4>
      </vt:variant>
      <vt:variant>
        <vt:lpwstr/>
      </vt:variant>
      <vt:variant>
        <vt:lpwstr>_Toc181785560</vt:lpwstr>
      </vt:variant>
      <vt:variant>
        <vt:i4>1572925</vt:i4>
      </vt:variant>
      <vt:variant>
        <vt:i4>8</vt:i4>
      </vt:variant>
      <vt:variant>
        <vt:i4>0</vt:i4>
      </vt:variant>
      <vt:variant>
        <vt:i4>5</vt:i4>
      </vt:variant>
      <vt:variant>
        <vt:lpwstr/>
      </vt:variant>
      <vt:variant>
        <vt:lpwstr>_Toc181785559</vt:lpwstr>
      </vt:variant>
      <vt:variant>
        <vt:i4>1572925</vt:i4>
      </vt:variant>
      <vt:variant>
        <vt:i4>2</vt:i4>
      </vt:variant>
      <vt:variant>
        <vt:i4>0</vt:i4>
      </vt:variant>
      <vt:variant>
        <vt:i4>5</vt:i4>
      </vt:variant>
      <vt:variant>
        <vt:lpwstr/>
      </vt:variant>
      <vt:variant>
        <vt:lpwstr>_Toc181785558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6</cp:revision>
  <dcterms:created xsi:type="dcterms:W3CDTF">2025-04-04T08:08:00Z</dcterms:created>
  <dcterms:modified xsi:type="dcterms:W3CDTF">2025-04-04T12:38:00Z</dcterms:modified>
</cp:coreProperties>
</file>