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56375"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2156EEC"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1B4D3166" w14:textId="405219EE" w:rsidR="00B357AC" w:rsidRPr="00863A17" w:rsidRDefault="00664692"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r w:rsidRPr="00863A17">
        <w:rPr>
          <w:rFonts w:ascii="Tahoma" w:hAnsi="Tahoma" w:cs="Tahoma"/>
          <w:noProof/>
          <w:sz w:val="24"/>
          <w:szCs w:val="24"/>
          <w:lang w:eastAsia="en-ZW"/>
        </w:rPr>
        <w:drawing>
          <wp:inline distT="0" distB="0" distL="0" distR="0" wp14:anchorId="4AB23E5F" wp14:editId="2BA3A733">
            <wp:extent cx="3133725" cy="1895475"/>
            <wp:effectExtent l="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7B6CCB7A"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p>
    <w:p w14:paraId="17C6F4B8"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NATIONAL ECONOMIC CONSULTATIVE FORUM</w:t>
      </w:r>
    </w:p>
    <w:p w14:paraId="46A6F1D0"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0D979088"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0A906E54" w14:textId="77777777" w:rsidR="00B357AC" w:rsidRPr="007E39CC" w:rsidRDefault="00DB67ED"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MONTHLY</w:t>
      </w:r>
      <w:r w:rsidR="00B357AC" w:rsidRPr="007E39CC">
        <w:rPr>
          <w:rFonts w:ascii="Tahoma" w:hAnsi="Tahoma" w:cs="Tahoma"/>
          <w:b/>
          <w:sz w:val="32"/>
          <w:szCs w:val="32"/>
          <w:lang w:val="en-US"/>
        </w:rPr>
        <w:t xml:space="preserve"> ECONOMIC BULLETIN </w:t>
      </w:r>
    </w:p>
    <w:p w14:paraId="61E5337A" w14:textId="549CE0DB"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30F4BA8B"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37A53D90" w14:textId="1D062940" w:rsidR="00B357AC" w:rsidRPr="007E39CC" w:rsidRDefault="00F8250D"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Pr>
          <w:rFonts w:ascii="Tahoma" w:hAnsi="Tahoma" w:cs="Tahoma"/>
          <w:b/>
          <w:sz w:val="32"/>
          <w:szCs w:val="32"/>
          <w:lang w:val="en-US"/>
        </w:rPr>
        <w:t>JANUARY</w:t>
      </w:r>
      <w:r w:rsidRPr="007E39CC">
        <w:rPr>
          <w:rFonts w:ascii="Tahoma" w:hAnsi="Tahoma" w:cs="Tahoma"/>
          <w:b/>
          <w:sz w:val="32"/>
          <w:szCs w:val="32"/>
          <w:lang w:val="en-US"/>
        </w:rPr>
        <w:t xml:space="preserve"> 202</w:t>
      </w:r>
      <w:r>
        <w:rPr>
          <w:rFonts w:ascii="Tahoma" w:hAnsi="Tahoma" w:cs="Tahoma"/>
          <w:b/>
          <w:sz w:val="32"/>
          <w:szCs w:val="32"/>
          <w:lang w:val="en-US"/>
        </w:rPr>
        <w:t>5</w:t>
      </w:r>
    </w:p>
    <w:p w14:paraId="593799B3"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32"/>
          <w:szCs w:val="32"/>
          <w:lang w:val="en-US"/>
        </w:rPr>
      </w:pPr>
    </w:p>
    <w:p w14:paraId="45104071"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1B8515C8"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BA14E41"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6440115" w14:textId="77777777" w:rsidR="00B357AC" w:rsidRPr="00863A17" w:rsidRDefault="00B357AC" w:rsidP="00B357AC">
      <w:pPr>
        <w:rPr>
          <w:rFonts w:ascii="Tahoma" w:hAnsi="Tahoma" w:cs="Tahoma"/>
          <w:sz w:val="24"/>
          <w:szCs w:val="24"/>
          <w:lang w:val="en-US"/>
        </w:rPr>
        <w:sectPr w:rsidR="00B357AC" w:rsidRPr="00863A17" w:rsidSect="006D22C2">
          <w:footerReference w:type="default" r:id="rId9"/>
          <w:pgSz w:w="11906" w:h="16838"/>
          <w:pgMar w:top="1440" w:right="1440" w:bottom="1440" w:left="1440" w:header="708" w:footer="708" w:gutter="0"/>
          <w:cols w:space="708"/>
          <w:titlePg/>
          <w:docGrid w:linePitch="360"/>
        </w:sectPr>
      </w:pPr>
    </w:p>
    <w:p w14:paraId="09EA6AEF" w14:textId="77777777" w:rsidR="007E39CC" w:rsidRDefault="007E39CC" w:rsidP="007E39CC">
      <w:pPr>
        <w:pStyle w:val="Heading1"/>
        <w:spacing w:before="0" w:after="240"/>
        <w:rPr>
          <w:rFonts w:cs="Tahoma"/>
          <w:bCs/>
          <w:color w:val="000000"/>
          <w:szCs w:val="24"/>
          <w:lang w:val="en-US"/>
        </w:rPr>
      </w:pPr>
      <w:bookmarkStart w:id="0" w:name="_Toc166607888"/>
      <w:bookmarkStart w:id="1" w:name="_Toc189745269"/>
      <w:r w:rsidRPr="00A92D41">
        <w:rPr>
          <w:rFonts w:cs="Tahoma"/>
          <w:bCs/>
          <w:color w:val="000000"/>
          <w:szCs w:val="24"/>
          <w:lang w:val="en-US"/>
        </w:rPr>
        <w:lastRenderedPageBreak/>
        <w:t>Executive Summary</w:t>
      </w:r>
      <w:bookmarkEnd w:id="0"/>
      <w:bookmarkEnd w:id="1"/>
      <w:r w:rsidRPr="00A92D41">
        <w:rPr>
          <w:rFonts w:cs="Tahoma"/>
          <w:bCs/>
          <w:color w:val="000000"/>
          <w:szCs w:val="24"/>
          <w:lang w:val="en-US"/>
        </w:rPr>
        <w:t xml:space="preserve"> </w:t>
      </w:r>
    </w:p>
    <w:p w14:paraId="2706B5E9" w14:textId="70BECACC" w:rsidR="00F4230A" w:rsidRDefault="00F4230A" w:rsidP="00EA59F9">
      <w:pPr>
        <w:jc w:val="both"/>
        <w:rPr>
          <w:rFonts w:ascii="Tahoma" w:hAnsi="Tahoma" w:cs="Tahoma"/>
          <w:sz w:val="24"/>
          <w:szCs w:val="24"/>
          <w:lang w:val="en-US"/>
        </w:rPr>
      </w:pPr>
      <w:r w:rsidRPr="00F4230A">
        <w:rPr>
          <w:rFonts w:ascii="Tahoma" w:hAnsi="Tahoma" w:cs="Tahoma"/>
          <w:sz w:val="24"/>
          <w:szCs w:val="24"/>
          <w:lang w:val="en-US"/>
        </w:rPr>
        <w:t xml:space="preserve">This bulletin focuses on economic developments for the month ending </w:t>
      </w:r>
      <w:r w:rsidR="00FD77E9">
        <w:rPr>
          <w:rFonts w:ascii="Tahoma" w:hAnsi="Tahoma" w:cs="Tahoma"/>
          <w:sz w:val="24"/>
          <w:szCs w:val="24"/>
          <w:lang w:val="en-US"/>
        </w:rPr>
        <w:t>31</w:t>
      </w:r>
      <w:r w:rsidRPr="00F4230A">
        <w:rPr>
          <w:rFonts w:ascii="Tahoma" w:hAnsi="Tahoma" w:cs="Tahoma"/>
          <w:sz w:val="24"/>
          <w:szCs w:val="24"/>
          <w:lang w:val="en-US"/>
        </w:rPr>
        <w:t xml:space="preserve"> </w:t>
      </w:r>
      <w:r w:rsidR="00245606">
        <w:rPr>
          <w:rFonts w:ascii="Tahoma" w:hAnsi="Tahoma" w:cs="Tahoma"/>
          <w:sz w:val="24"/>
          <w:szCs w:val="24"/>
          <w:lang w:val="en-US"/>
        </w:rPr>
        <w:t xml:space="preserve">January </w:t>
      </w:r>
      <w:r w:rsidRPr="00F4230A">
        <w:rPr>
          <w:rFonts w:ascii="Tahoma" w:hAnsi="Tahoma" w:cs="Tahoma"/>
          <w:sz w:val="24"/>
          <w:szCs w:val="24"/>
          <w:lang w:val="en-US"/>
        </w:rPr>
        <w:t>202</w:t>
      </w:r>
      <w:r w:rsidR="00245606">
        <w:rPr>
          <w:rFonts w:ascii="Tahoma" w:hAnsi="Tahoma" w:cs="Tahoma"/>
          <w:sz w:val="24"/>
          <w:szCs w:val="24"/>
          <w:lang w:val="en-US"/>
        </w:rPr>
        <w:t xml:space="preserve">5 </w:t>
      </w:r>
      <w:r w:rsidRPr="00F4230A">
        <w:rPr>
          <w:rFonts w:ascii="Tahoma" w:hAnsi="Tahoma" w:cs="Tahoma"/>
          <w:sz w:val="24"/>
          <w:szCs w:val="24"/>
          <w:lang w:val="en-US"/>
        </w:rPr>
        <w:t xml:space="preserve">that </w:t>
      </w:r>
      <w:r w:rsidR="00E05A07" w:rsidRPr="00F4230A">
        <w:rPr>
          <w:rFonts w:ascii="Tahoma" w:hAnsi="Tahoma" w:cs="Tahoma"/>
          <w:sz w:val="24"/>
          <w:szCs w:val="24"/>
          <w:lang w:val="en-US"/>
        </w:rPr>
        <w:t>include</w:t>
      </w:r>
      <w:r w:rsidR="00E05A07">
        <w:rPr>
          <w:rFonts w:ascii="Tahoma" w:hAnsi="Tahoma" w:cs="Tahoma"/>
          <w:sz w:val="24"/>
          <w:szCs w:val="24"/>
          <w:lang w:val="en-US"/>
        </w:rPr>
        <w:t>,</w:t>
      </w:r>
      <w:r w:rsidRPr="00F4230A">
        <w:rPr>
          <w:rFonts w:ascii="Tahoma" w:hAnsi="Tahoma" w:cs="Tahoma"/>
          <w:sz w:val="24"/>
          <w:szCs w:val="24"/>
          <w:lang w:val="en-US"/>
        </w:rPr>
        <w:t xml:space="preserve"> </w:t>
      </w:r>
      <w:r w:rsidR="00E05A07">
        <w:rPr>
          <w:rFonts w:ascii="Tahoma" w:hAnsi="Tahoma" w:cs="Tahoma"/>
          <w:sz w:val="24"/>
          <w:szCs w:val="24"/>
          <w:lang w:val="en-US"/>
        </w:rPr>
        <w:t>w</w:t>
      </w:r>
      <w:r w:rsidRPr="00F4230A">
        <w:rPr>
          <w:rFonts w:ascii="Tahoma" w:hAnsi="Tahoma" w:cs="Tahoma"/>
          <w:sz w:val="24"/>
          <w:szCs w:val="24"/>
          <w:lang w:val="en-US"/>
        </w:rPr>
        <w:t>orld economic developments, international commodity prices, Zimbabwe Gross Domestic Product (GDP) growth updates, merchandise trade developments, exchange rate developments, inflation developments, monetary developments and stock market developments.</w:t>
      </w:r>
    </w:p>
    <w:p w14:paraId="5CFC9ABD" w14:textId="77777777" w:rsidR="00AF39E9" w:rsidRPr="00AF39E9" w:rsidRDefault="00AF39E9" w:rsidP="00AF39E9">
      <w:pPr>
        <w:jc w:val="both"/>
        <w:rPr>
          <w:rFonts w:ascii="Tahoma" w:hAnsi="Tahoma" w:cs="Tahoma"/>
          <w:sz w:val="24"/>
          <w:szCs w:val="24"/>
        </w:rPr>
      </w:pPr>
      <w:r w:rsidRPr="00AF39E9">
        <w:rPr>
          <w:rFonts w:ascii="Tahoma" w:hAnsi="Tahoma" w:cs="Tahoma"/>
          <w:sz w:val="24"/>
          <w:szCs w:val="24"/>
        </w:rPr>
        <w:t>The global economy is expected to maintain a steady growth rate of 3.3% in 2025 and 2026, despite uneven performance across countries. The US growth forecast has been revised upward, driven by robust labour markets, strong investments, and supportive financial conditions. In contrast, the Euro Area's growth forecast has been revised downward due to weaker momentum in manufacturing and increased uncertainty. China's growth forecast remains stable, as the positive effects of recent fiscal policies offset negative impacts from trade tensions and property market slowdowns. Overall, these revisions balance each other out, resulting in relatively stable global growth forecasts.</w:t>
      </w:r>
    </w:p>
    <w:p w14:paraId="61C92E88" w14:textId="77777777" w:rsidR="00AF39E9" w:rsidRPr="00AF39E9" w:rsidRDefault="00AF39E9" w:rsidP="00AF39E9">
      <w:pPr>
        <w:jc w:val="both"/>
        <w:rPr>
          <w:rFonts w:ascii="Tahoma" w:hAnsi="Tahoma" w:cs="Tahoma"/>
          <w:sz w:val="24"/>
          <w:szCs w:val="24"/>
          <w:lang w:val="en-US"/>
        </w:rPr>
      </w:pPr>
      <w:r w:rsidRPr="00AF39E9">
        <w:rPr>
          <w:rFonts w:ascii="Tahoma" w:hAnsi="Tahoma" w:cs="Tahoma"/>
          <w:sz w:val="24"/>
          <w:szCs w:val="24"/>
          <w:lang w:val="en-US"/>
        </w:rPr>
        <w:t>Global inflation is projected to decrease to 4.2% in 2025 and 3.5% in 2026, driven by easing demand pressures as labor markets slow and energy prices fall. As a result, inflation is expected to move closer to central banks' target ranges. This downward trend is largely driven by advanced economies, which are approaching their inflation targets faster than emerging markets and developing economies.</w:t>
      </w:r>
    </w:p>
    <w:p w14:paraId="7E0B0A7E" w14:textId="77777777" w:rsidR="00AF39E9" w:rsidRPr="00AF39E9" w:rsidRDefault="00AF39E9" w:rsidP="00AF39E9">
      <w:pPr>
        <w:jc w:val="both"/>
        <w:rPr>
          <w:rFonts w:ascii="Tahoma" w:hAnsi="Tahoma" w:cs="Tahoma"/>
          <w:sz w:val="24"/>
          <w:szCs w:val="24"/>
          <w:lang w:val="en-US"/>
        </w:rPr>
      </w:pPr>
      <w:r w:rsidRPr="00AF39E9">
        <w:rPr>
          <w:rFonts w:ascii="Tahoma" w:hAnsi="Tahoma" w:cs="Tahoma"/>
          <w:sz w:val="24"/>
          <w:szCs w:val="24"/>
          <w:lang w:val="en-US"/>
        </w:rPr>
        <w:t>Commodity prices saw a mixed trend in January 2025, with significant gains in crude oil, metals, and agricultural products, while natural gas, nickel, and cotton prices declined. The commodity market experienced volatility due to various downside risks, including slowing global economic growth, escalating US-China tensions, and ongoing geopolitical conflicts in the Middle East and Ukraine.</w:t>
      </w:r>
    </w:p>
    <w:p w14:paraId="089E83FB" w14:textId="77777777" w:rsidR="00AF39E9" w:rsidRPr="00AF39E9" w:rsidRDefault="00AF39E9" w:rsidP="00AF39E9">
      <w:pPr>
        <w:jc w:val="both"/>
        <w:rPr>
          <w:rFonts w:ascii="Tahoma" w:hAnsi="Tahoma" w:cs="Tahoma"/>
          <w:sz w:val="24"/>
          <w:szCs w:val="24"/>
          <w:lang w:val="en-US"/>
        </w:rPr>
      </w:pPr>
      <w:r w:rsidRPr="00AF39E9">
        <w:rPr>
          <w:rFonts w:ascii="Tahoma" w:hAnsi="Tahoma" w:cs="Tahoma"/>
          <w:sz w:val="24"/>
          <w:szCs w:val="24"/>
          <w:lang w:val="en-US"/>
        </w:rPr>
        <w:t>The country’s economic growth remains projected to grow by 6% in 2025. Zimbabwe’s economic outlook is positive, due to an expected recovery in agriculture, and robust growth in industry and services.</w:t>
      </w:r>
    </w:p>
    <w:p w14:paraId="4439DF91" w14:textId="77777777" w:rsidR="00AF39E9" w:rsidRPr="00AF39E9" w:rsidRDefault="00AF39E9" w:rsidP="00AF39E9">
      <w:pPr>
        <w:jc w:val="both"/>
        <w:rPr>
          <w:rFonts w:ascii="Tahoma" w:hAnsi="Tahoma" w:cs="Tahoma"/>
          <w:sz w:val="24"/>
          <w:szCs w:val="24"/>
          <w:lang w:val="en-US"/>
        </w:rPr>
      </w:pPr>
      <w:r w:rsidRPr="00AF39E9">
        <w:rPr>
          <w:rFonts w:ascii="Tahoma" w:hAnsi="Tahoma" w:cs="Tahoma"/>
          <w:sz w:val="24"/>
          <w:szCs w:val="24"/>
          <w:lang w:val="en-US"/>
        </w:rPr>
        <w:t>As of November 2024, Zimbabwe's merchandise trade surged 21.1% month-on-month to USD1.857 billion in November 2024, driven by growth in both exports and imports, with a 23.2% year-on-year increase. The trade deficit narrowed significantly to USD46.9 million, while exports jumped 29.7% to USD905.2 million, led by gold, tobacco, and platinum group metals (PGMs), with key destinations being the UAE, China, and South Africa. Imports rose 13.9% to USD952.1 million, driven by increased purchases of diesel, maize, petrol, and crude soybean oil, primarily sourced from South Africa, China, and the Bahamas</w:t>
      </w:r>
      <w:r w:rsidRPr="00AF39E9">
        <w:rPr>
          <w:rFonts w:ascii="Tahoma" w:hAnsi="Tahoma" w:cs="Tahoma"/>
          <w:sz w:val="24"/>
          <w:szCs w:val="24"/>
        </w:rPr>
        <w:t>.</w:t>
      </w:r>
    </w:p>
    <w:p w14:paraId="7B429E08" w14:textId="77777777" w:rsidR="00AF39E9" w:rsidRPr="00AF39E9" w:rsidRDefault="00AF39E9" w:rsidP="00AF39E9">
      <w:pPr>
        <w:jc w:val="both"/>
        <w:rPr>
          <w:rFonts w:ascii="Tahoma" w:hAnsi="Tahoma" w:cs="Tahoma"/>
          <w:sz w:val="24"/>
          <w:szCs w:val="24"/>
        </w:rPr>
      </w:pPr>
      <w:r w:rsidRPr="00AF39E9">
        <w:rPr>
          <w:rFonts w:ascii="Tahoma" w:hAnsi="Tahoma" w:cs="Tahoma"/>
          <w:sz w:val="24"/>
          <w:szCs w:val="24"/>
        </w:rPr>
        <w:t xml:space="preserve">In January 2025, the ZWG weakened against major currencies, including the USD, GBP, EUR, and ZAR, due to a stronger USD following the US elections. The ZWG's depreciation was observed on both year-to-date and year-on-year bases. Meanwhile, the parallel market exchange rate declined, but remained higher than the official rate. </w:t>
      </w:r>
      <w:r w:rsidRPr="00AF39E9">
        <w:rPr>
          <w:rFonts w:ascii="Tahoma" w:hAnsi="Tahoma" w:cs="Tahoma"/>
          <w:sz w:val="24"/>
          <w:szCs w:val="24"/>
        </w:rPr>
        <w:lastRenderedPageBreak/>
        <w:t>The official exchange rate slightly increased, narrowing the gap between the two rates and reducing the market premium. The USD also experienced fluctuations, gaining against the GBP but losing against the ZAR on a month-on-month basis, with mixed performance on year-to-date and year-on-year basis.</w:t>
      </w:r>
    </w:p>
    <w:p w14:paraId="45B58960" w14:textId="3E15D569" w:rsidR="00AF39E9" w:rsidRPr="00AF39E9" w:rsidRDefault="00AF39E9" w:rsidP="00AF39E9">
      <w:pPr>
        <w:jc w:val="both"/>
        <w:rPr>
          <w:rFonts w:ascii="Tahoma" w:hAnsi="Tahoma" w:cs="Tahoma"/>
          <w:sz w:val="24"/>
          <w:szCs w:val="24"/>
          <w:lang w:val="en-US"/>
        </w:rPr>
      </w:pPr>
      <w:r w:rsidRPr="00AF39E9">
        <w:rPr>
          <w:rFonts w:ascii="Tahoma" w:hAnsi="Tahoma" w:cs="Tahoma"/>
          <w:sz w:val="24"/>
          <w:szCs w:val="24"/>
          <w:lang w:val="en-US"/>
        </w:rPr>
        <w:t xml:space="preserve">Zimbabwe's month-on-month inflation rate </w:t>
      </w:r>
      <w:r w:rsidR="00E30D4B">
        <w:rPr>
          <w:rFonts w:ascii="Tahoma" w:hAnsi="Tahoma" w:cs="Tahoma"/>
          <w:sz w:val="24"/>
          <w:szCs w:val="24"/>
          <w:lang w:val="en-US"/>
        </w:rPr>
        <w:t>increased significantly</w:t>
      </w:r>
      <w:r w:rsidRPr="00AF39E9">
        <w:rPr>
          <w:rFonts w:ascii="Tahoma" w:hAnsi="Tahoma" w:cs="Tahoma"/>
          <w:sz w:val="24"/>
          <w:szCs w:val="24"/>
          <w:lang w:val="en-US"/>
        </w:rPr>
        <w:t xml:space="preserve"> from 3.67% in December 2024 to 10.5% in January 2025, largely due to the devastating drought and new taxes introduced on items like fast food and sports betting. Additionally, weighted inflation surged to 11.60% in January, marking its first double-digit increase since the introduction of the ZWG, driven by accelerating inflation in both ZWG and USD-denominated prices.</w:t>
      </w:r>
    </w:p>
    <w:p w14:paraId="6063F413" w14:textId="77777777" w:rsidR="00AF39E9" w:rsidRPr="00AF39E9" w:rsidRDefault="00AF39E9" w:rsidP="00AF39E9">
      <w:pPr>
        <w:jc w:val="both"/>
        <w:rPr>
          <w:rFonts w:ascii="Tahoma" w:hAnsi="Tahoma" w:cs="Tahoma"/>
          <w:sz w:val="24"/>
          <w:szCs w:val="24"/>
        </w:rPr>
      </w:pPr>
      <w:r w:rsidRPr="00AF39E9">
        <w:rPr>
          <w:rFonts w:ascii="Tahoma" w:hAnsi="Tahoma" w:cs="Tahoma"/>
          <w:sz w:val="24"/>
          <w:szCs w:val="24"/>
          <w:lang w:val="en-US"/>
        </w:rPr>
        <w:t>As of November 2024, Zimbabwe's broad money stock decreased by 4.97% to ZWG83.23 billion in November 2024, primarily due to exchange rate fluctuations. The money supply composition consisted mainly of foreign deposits (83.87%), followed by local currency deposits (16.01%), and a small portion of local currency in circulation (0.12%). Notably, the foreign currency component of broad money declined by 7.84%, while the local currency component grew by 13.34% on a month-on-month basis.</w:t>
      </w:r>
    </w:p>
    <w:p w14:paraId="759772B0" w14:textId="6E92A728" w:rsidR="00AF39E9" w:rsidRPr="00AF39E9" w:rsidRDefault="00AF39E9" w:rsidP="00AF39E9">
      <w:pPr>
        <w:jc w:val="both"/>
        <w:rPr>
          <w:rFonts w:ascii="Tahoma" w:hAnsi="Tahoma" w:cs="Tahoma"/>
          <w:sz w:val="24"/>
          <w:szCs w:val="24"/>
          <w:lang w:val="en-US"/>
        </w:rPr>
      </w:pPr>
      <w:r w:rsidRPr="00AF39E9">
        <w:rPr>
          <w:rFonts w:ascii="Tahoma" w:hAnsi="Tahoma" w:cs="Tahoma"/>
          <w:sz w:val="24"/>
          <w:szCs w:val="24"/>
          <w:lang w:val="en-US"/>
        </w:rPr>
        <w:t xml:space="preserve">As of 17 January 2025, local currency deposit rates were revised downward to 3.38-3.54%, while foreign currency deposit rates remained unchanged at 1.35-1.57%. Lending rates on foreign currency decreased for individuals (12.79-17.33%) and corporates (10.62-16.34%), but increased for local currency loans, with individuals facing rates of 41.60-47.12% and corporates facing rates of 40.16-45.9%. </w:t>
      </w:r>
    </w:p>
    <w:p w14:paraId="4E17B875" w14:textId="77777777" w:rsidR="00AF39E9" w:rsidRPr="00AF39E9" w:rsidRDefault="00AF39E9" w:rsidP="00AF39E9">
      <w:pPr>
        <w:jc w:val="both"/>
        <w:rPr>
          <w:rFonts w:ascii="Tahoma" w:hAnsi="Tahoma" w:cs="Tahoma"/>
          <w:sz w:val="24"/>
          <w:szCs w:val="24"/>
          <w:lang w:val="en-US"/>
        </w:rPr>
      </w:pPr>
      <w:r w:rsidRPr="00AF39E9">
        <w:rPr>
          <w:rFonts w:ascii="Tahoma" w:hAnsi="Tahoma" w:cs="Tahoma"/>
          <w:sz w:val="24"/>
          <w:szCs w:val="24"/>
          <w:lang w:val="en-US"/>
        </w:rPr>
        <w:t xml:space="preserve">Regarding the stock markets, the Zimbabwe Stock Exchange (ZSE) experienced a downturn in January 2025, with key indicators such as the </w:t>
      </w:r>
      <w:proofErr w:type="gramStart"/>
      <w:r w:rsidRPr="00AF39E9">
        <w:rPr>
          <w:rFonts w:ascii="Tahoma" w:hAnsi="Tahoma" w:cs="Tahoma"/>
          <w:sz w:val="24"/>
          <w:szCs w:val="24"/>
          <w:lang w:val="en-US"/>
        </w:rPr>
        <w:t>All Share</w:t>
      </w:r>
      <w:proofErr w:type="gramEnd"/>
      <w:r w:rsidRPr="00AF39E9">
        <w:rPr>
          <w:rFonts w:ascii="Tahoma" w:hAnsi="Tahoma" w:cs="Tahoma"/>
          <w:sz w:val="24"/>
          <w:szCs w:val="24"/>
          <w:lang w:val="en-US"/>
        </w:rPr>
        <w:t xml:space="preserve"> Index, Top 10 Index, value traded, and market capitalization declining by 10.12%, 10.42%, 73.15%, and 9.61%, respectively. Major stocks like Econet, Delta, NMB, and SEEDCO traded negatively, influenced by exchange rate fluctuations and inflationary pressures. In contrast, the Victoria Falls Stock Exchange (VFEX) showed a bullish trend, with its All Share Index rising 0.81%, value traded increasing 109.95%, and market capitalization growing 31.66%.</w:t>
      </w:r>
    </w:p>
    <w:p w14:paraId="275AA547" w14:textId="77777777" w:rsidR="001000B2" w:rsidRDefault="001000B2" w:rsidP="00EA59F9">
      <w:pPr>
        <w:jc w:val="both"/>
        <w:rPr>
          <w:rFonts w:ascii="Tahoma" w:hAnsi="Tahoma" w:cs="Tahoma"/>
          <w:sz w:val="24"/>
          <w:szCs w:val="24"/>
        </w:rPr>
      </w:pPr>
    </w:p>
    <w:p w14:paraId="59526FE3" w14:textId="77777777" w:rsidR="001000B2" w:rsidRDefault="001000B2" w:rsidP="00EA59F9">
      <w:pPr>
        <w:jc w:val="both"/>
        <w:rPr>
          <w:rFonts w:ascii="Tahoma" w:hAnsi="Tahoma" w:cs="Tahoma"/>
          <w:sz w:val="24"/>
          <w:szCs w:val="24"/>
        </w:rPr>
      </w:pPr>
    </w:p>
    <w:p w14:paraId="42CA2073" w14:textId="77777777" w:rsidR="001000B2" w:rsidRDefault="001000B2" w:rsidP="00EA59F9">
      <w:pPr>
        <w:jc w:val="both"/>
        <w:rPr>
          <w:rFonts w:ascii="Tahoma" w:hAnsi="Tahoma" w:cs="Tahoma"/>
          <w:sz w:val="24"/>
          <w:szCs w:val="24"/>
        </w:rPr>
      </w:pPr>
    </w:p>
    <w:p w14:paraId="080FF89D" w14:textId="77777777" w:rsidR="001000B2" w:rsidRDefault="001000B2" w:rsidP="00EA59F9">
      <w:pPr>
        <w:jc w:val="both"/>
        <w:rPr>
          <w:rFonts w:ascii="Tahoma" w:hAnsi="Tahoma" w:cs="Tahoma"/>
          <w:sz w:val="24"/>
          <w:szCs w:val="24"/>
        </w:rPr>
      </w:pPr>
    </w:p>
    <w:p w14:paraId="19BBE1F7" w14:textId="77777777" w:rsidR="00463A60" w:rsidRDefault="00463A60" w:rsidP="00EA59F9">
      <w:pPr>
        <w:jc w:val="both"/>
        <w:rPr>
          <w:rFonts w:ascii="Tahoma" w:hAnsi="Tahoma" w:cs="Tahoma"/>
          <w:sz w:val="24"/>
          <w:szCs w:val="24"/>
        </w:rPr>
      </w:pPr>
    </w:p>
    <w:p w14:paraId="292DA18D" w14:textId="77777777" w:rsidR="00463A60" w:rsidRDefault="00463A60" w:rsidP="00EA59F9">
      <w:pPr>
        <w:jc w:val="both"/>
        <w:rPr>
          <w:rFonts w:ascii="Tahoma" w:hAnsi="Tahoma" w:cs="Tahoma"/>
          <w:sz w:val="24"/>
          <w:szCs w:val="24"/>
        </w:rPr>
      </w:pPr>
    </w:p>
    <w:p w14:paraId="7E36C0E1" w14:textId="77777777" w:rsidR="001000B2" w:rsidRDefault="001000B2" w:rsidP="00EA59F9">
      <w:pPr>
        <w:jc w:val="both"/>
        <w:rPr>
          <w:rFonts w:ascii="Tahoma" w:hAnsi="Tahoma" w:cs="Tahoma"/>
          <w:sz w:val="24"/>
          <w:szCs w:val="24"/>
        </w:rPr>
      </w:pPr>
    </w:p>
    <w:p w14:paraId="0EE56824" w14:textId="77777777" w:rsidR="001000B2" w:rsidRDefault="001000B2" w:rsidP="00EA59F9">
      <w:pPr>
        <w:rPr>
          <w:rFonts w:ascii="Tahoma" w:hAnsi="Tahoma" w:cs="Tahoma"/>
          <w:sz w:val="24"/>
          <w:szCs w:val="24"/>
        </w:rPr>
      </w:pPr>
    </w:p>
    <w:p w14:paraId="03502207" w14:textId="77777777" w:rsidR="000A40EE" w:rsidRPr="00EA59F9" w:rsidRDefault="000A40EE" w:rsidP="00EA59F9">
      <w:pPr>
        <w:rPr>
          <w:lang w:val="en-US"/>
        </w:rPr>
      </w:pPr>
    </w:p>
    <w:p w14:paraId="4B5AB6B3" w14:textId="7379471A" w:rsidR="00D46F37" w:rsidRPr="00F05BD5" w:rsidRDefault="00D46F37" w:rsidP="00F05BD5">
      <w:pPr>
        <w:spacing w:line="360" w:lineRule="auto"/>
        <w:rPr>
          <w:rFonts w:ascii="Tahoma" w:hAnsi="Tahoma" w:cs="Tahoma"/>
          <w:b/>
          <w:bCs/>
          <w:sz w:val="24"/>
          <w:szCs w:val="24"/>
        </w:rPr>
      </w:pPr>
      <w:r w:rsidRPr="00F05BD5">
        <w:rPr>
          <w:rFonts w:ascii="Tahoma" w:hAnsi="Tahoma" w:cs="Tahoma"/>
          <w:b/>
          <w:bCs/>
          <w:sz w:val="24"/>
          <w:szCs w:val="24"/>
        </w:rPr>
        <w:lastRenderedPageBreak/>
        <w:t>Table of Contents</w:t>
      </w:r>
    </w:p>
    <w:p w14:paraId="75E6A0BD" w14:textId="5EF969A7" w:rsidR="00504786" w:rsidRPr="00504786" w:rsidRDefault="00D46F37">
      <w:pPr>
        <w:pStyle w:val="TOC1"/>
        <w:tabs>
          <w:tab w:val="right" w:leader="dot" w:pos="9016"/>
        </w:tabs>
        <w:rPr>
          <w:rFonts w:ascii="Tahoma" w:eastAsiaTheme="minorEastAsia" w:hAnsi="Tahoma" w:cs="Tahoma"/>
          <w:noProof/>
          <w:sz w:val="24"/>
          <w:szCs w:val="24"/>
          <w:lang w:eastAsia="en-ZW"/>
          <w14:ligatures w14:val="standardContextual"/>
        </w:rPr>
      </w:pPr>
      <w:r w:rsidRPr="00504786">
        <w:rPr>
          <w:rFonts w:ascii="Tahoma" w:hAnsi="Tahoma" w:cs="Tahoma"/>
          <w:sz w:val="24"/>
          <w:szCs w:val="24"/>
        </w:rPr>
        <w:fldChar w:fldCharType="begin"/>
      </w:r>
      <w:r w:rsidRPr="00504786">
        <w:rPr>
          <w:rFonts w:ascii="Tahoma" w:hAnsi="Tahoma" w:cs="Tahoma"/>
          <w:sz w:val="24"/>
          <w:szCs w:val="24"/>
        </w:rPr>
        <w:instrText xml:space="preserve"> TOC \o "1-3" \h \z \u </w:instrText>
      </w:r>
      <w:r w:rsidRPr="00504786">
        <w:rPr>
          <w:rFonts w:ascii="Tahoma" w:hAnsi="Tahoma" w:cs="Tahoma"/>
          <w:sz w:val="24"/>
          <w:szCs w:val="24"/>
        </w:rPr>
        <w:fldChar w:fldCharType="separate"/>
      </w:r>
      <w:hyperlink w:anchor="_Toc189745269" w:history="1">
        <w:r w:rsidR="00504786" w:rsidRPr="00504786">
          <w:rPr>
            <w:rStyle w:val="Hyperlink"/>
            <w:rFonts w:ascii="Tahoma" w:hAnsi="Tahoma" w:cs="Tahoma"/>
            <w:noProof/>
            <w:sz w:val="24"/>
            <w:szCs w:val="24"/>
            <w:lang w:val="en-US"/>
          </w:rPr>
          <w:t>Executive Summary</w:t>
        </w:r>
        <w:r w:rsidR="00504786" w:rsidRPr="00504786">
          <w:rPr>
            <w:rFonts w:ascii="Tahoma" w:hAnsi="Tahoma" w:cs="Tahoma"/>
            <w:noProof/>
            <w:webHidden/>
            <w:sz w:val="24"/>
            <w:szCs w:val="24"/>
          </w:rPr>
          <w:tab/>
        </w:r>
        <w:r w:rsidR="00504786" w:rsidRPr="00504786">
          <w:rPr>
            <w:rFonts w:ascii="Tahoma" w:hAnsi="Tahoma" w:cs="Tahoma"/>
            <w:noProof/>
            <w:webHidden/>
            <w:sz w:val="24"/>
            <w:szCs w:val="24"/>
          </w:rPr>
          <w:fldChar w:fldCharType="begin"/>
        </w:r>
        <w:r w:rsidR="00504786" w:rsidRPr="00504786">
          <w:rPr>
            <w:rFonts w:ascii="Tahoma" w:hAnsi="Tahoma" w:cs="Tahoma"/>
            <w:noProof/>
            <w:webHidden/>
            <w:sz w:val="24"/>
            <w:szCs w:val="24"/>
          </w:rPr>
          <w:instrText xml:space="preserve"> PAGEREF _Toc189745269 \h </w:instrText>
        </w:r>
        <w:r w:rsidR="00504786" w:rsidRPr="00504786">
          <w:rPr>
            <w:rFonts w:ascii="Tahoma" w:hAnsi="Tahoma" w:cs="Tahoma"/>
            <w:noProof/>
            <w:webHidden/>
            <w:sz w:val="24"/>
            <w:szCs w:val="24"/>
          </w:rPr>
        </w:r>
        <w:r w:rsidR="00504786" w:rsidRPr="00504786">
          <w:rPr>
            <w:rFonts w:ascii="Tahoma" w:hAnsi="Tahoma" w:cs="Tahoma"/>
            <w:noProof/>
            <w:webHidden/>
            <w:sz w:val="24"/>
            <w:szCs w:val="24"/>
          </w:rPr>
          <w:fldChar w:fldCharType="separate"/>
        </w:r>
        <w:r w:rsidR="00504786" w:rsidRPr="00504786">
          <w:rPr>
            <w:rFonts w:ascii="Tahoma" w:hAnsi="Tahoma" w:cs="Tahoma"/>
            <w:noProof/>
            <w:webHidden/>
            <w:sz w:val="24"/>
            <w:szCs w:val="24"/>
          </w:rPr>
          <w:t>i</w:t>
        </w:r>
        <w:r w:rsidR="00504786" w:rsidRPr="00504786">
          <w:rPr>
            <w:rFonts w:ascii="Tahoma" w:hAnsi="Tahoma" w:cs="Tahoma"/>
            <w:noProof/>
            <w:webHidden/>
            <w:sz w:val="24"/>
            <w:szCs w:val="24"/>
          </w:rPr>
          <w:fldChar w:fldCharType="end"/>
        </w:r>
      </w:hyperlink>
    </w:p>
    <w:p w14:paraId="2BB15EB5" w14:textId="0B8AE90F" w:rsidR="00504786" w:rsidRPr="00504786" w:rsidRDefault="00504786">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9745270" w:history="1">
        <w:r w:rsidRPr="00504786">
          <w:rPr>
            <w:rStyle w:val="Hyperlink"/>
            <w:rFonts w:ascii="Tahoma" w:hAnsi="Tahoma" w:cs="Tahoma"/>
            <w:noProof/>
            <w:sz w:val="24"/>
            <w:szCs w:val="24"/>
            <w:lang w:val="en-US"/>
          </w:rPr>
          <w:t>1.0</w:t>
        </w:r>
        <w:r w:rsidRPr="00504786">
          <w:rPr>
            <w:rFonts w:ascii="Tahoma" w:eastAsiaTheme="minorEastAsia" w:hAnsi="Tahoma" w:cs="Tahoma"/>
            <w:noProof/>
            <w:sz w:val="24"/>
            <w:szCs w:val="24"/>
            <w:lang w:eastAsia="en-ZW"/>
            <w14:ligatures w14:val="standardContextual"/>
          </w:rPr>
          <w:tab/>
        </w:r>
        <w:r w:rsidRPr="00504786">
          <w:rPr>
            <w:rStyle w:val="Hyperlink"/>
            <w:rFonts w:ascii="Tahoma" w:hAnsi="Tahoma" w:cs="Tahoma"/>
            <w:noProof/>
            <w:sz w:val="24"/>
            <w:szCs w:val="24"/>
            <w:lang w:val="en-US"/>
          </w:rPr>
          <w:t>World Economic Developments</w:t>
        </w:r>
        <w:r w:rsidRPr="00504786">
          <w:rPr>
            <w:rFonts w:ascii="Tahoma" w:hAnsi="Tahoma" w:cs="Tahoma"/>
            <w:noProof/>
            <w:webHidden/>
            <w:sz w:val="24"/>
            <w:szCs w:val="24"/>
          </w:rPr>
          <w:tab/>
        </w:r>
        <w:r w:rsidRPr="00504786">
          <w:rPr>
            <w:rFonts w:ascii="Tahoma" w:hAnsi="Tahoma" w:cs="Tahoma"/>
            <w:noProof/>
            <w:webHidden/>
            <w:sz w:val="24"/>
            <w:szCs w:val="24"/>
          </w:rPr>
          <w:fldChar w:fldCharType="begin"/>
        </w:r>
        <w:r w:rsidRPr="00504786">
          <w:rPr>
            <w:rFonts w:ascii="Tahoma" w:hAnsi="Tahoma" w:cs="Tahoma"/>
            <w:noProof/>
            <w:webHidden/>
            <w:sz w:val="24"/>
            <w:szCs w:val="24"/>
          </w:rPr>
          <w:instrText xml:space="preserve"> PAGEREF _Toc189745270 \h </w:instrText>
        </w:r>
        <w:r w:rsidRPr="00504786">
          <w:rPr>
            <w:rFonts w:ascii="Tahoma" w:hAnsi="Tahoma" w:cs="Tahoma"/>
            <w:noProof/>
            <w:webHidden/>
            <w:sz w:val="24"/>
            <w:szCs w:val="24"/>
          </w:rPr>
        </w:r>
        <w:r w:rsidRPr="00504786">
          <w:rPr>
            <w:rFonts w:ascii="Tahoma" w:hAnsi="Tahoma" w:cs="Tahoma"/>
            <w:noProof/>
            <w:webHidden/>
            <w:sz w:val="24"/>
            <w:szCs w:val="24"/>
          </w:rPr>
          <w:fldChar w:fldCharType="separate"/>
        </w:r>
        <w:r w:rsidRPr="00504786">
          <w:rPr>
            <w:rFonts w:ascii="Tahoma" w:hAnsi="Tahoma" w:cs="Tahoma"/>
            <w:noProof/>
            <w:webHidden/>
            <w:sz w:val="24"/>
            <w:szCs w:val="24"/>
          </w:rPr>
          <w:t>1</w:t>
        </w:r>
        <w:r w:rsidRPr="00504786">
          <w:rPr>
            <w:rFonts w:ascii="Tahoma" w:hAnsi="Tahoma" w:cs="Tahoma"/>
            <w:noProof/>
            <w:webHidden/>
            <w:sz w:val="24"/>
            <w:szCs w:val="24"/>
          </w:rPr>
          <w:fldChar w:fldCharType="end"/>
        </w:r>
      </w:hyperlink>
    </w:p>
    <w:p w14:paraId="4E8B1CE5" w14:textId="347DFD9D" w:rsidR="00504786" w:rsidRPr="00504786" w:rsidRDefault="00504786">
      <w:pPr>
        <w:pStyle w:val="TOC2"/>
        <w:rPr>
          <w:rFonts w:eastAsiaTheme="minorEastAsia"/>
          <w:b w:val="0"/>
          <w:lang w:val="en-ZW" w:eastAsia="en-ZW"/>
          <w14:ligatures w14:val="standardContextual"/>
        </w:rPr>
      </w:pPr>
      <w:hyperlink w:anchor="_Toc189745271" w:history="1">
        <w:r w:rsidRPr="00504786">
          <w:rPr>
            <w:rStyle w:val="Hyperlink"/>
            <w:b w:val="0"/>
          </w:rPr>
          <w:t xml:space="preserve">1.1 </w:t>
        </w:r>
        <w:r w:rsidRPr="00504786">
          <w:rPr>
            <w:rFonts w:eastAsiaTheme="minorEastAsia"/>
            <w:b w:val="0"/>
            <w:lang w:val="en-ZW" w:eastAsia="en-ZW"/>
            <w14:ligatures w14:val="standardContextual"/>
          </w:rPr>
          <w:tab/>
        </w:r>
        <w:r w:rsidRPr="00504786">
          <w:rPr>
            <w:rStyle w:val="Hyperlink"/>
            <w:b w:val="0"/>
          </w:rPr>
          <w:t>World Output</w:t>
        </w:r>
        <w:r w:rsidRPr="00504786">
          <w:rPr>
            <w:b w:val="0"/>
            <w:webHidden/>
          </w:rPr>
          <w:tab/>
        </w:r>
        <w:r w:rsidRPr="00504786">
          <w:rPr>
            <w:b w:val="0"/>
            <w:webHidden/>
          </w:rPr>
          <w:fldChar w:fldCharType="begin"/>
        </w:r>
        <w:r w:rsidRPr="00504786">
          <w:rPr>
            <w:b w:val="0"/>
            <w:webHidden/>
          </w:rPr>
          <w:instrText xml:space="preserve"> PAGEREF _Toc189745271 \h </w:instrText>
        </w:r>
        <w:r w:rsidRPr="00504786">
          <w:rPr>
            <w:b w:val="0"/>
            <w:webHidden/>
          </w:rPr>
        </w:r>
        <w:r w:rsidRPr="00504786">
          <w:rPr>
            <w:b w:val="0"/>
            <w:webHidden/>
          </w:rPr>
          <w:fldChar w:fldCharType="separate"/>
        </w:r>
        <w:r w:rsidRPr="00504786">
          <w:rPr>
            <w:b w:val="0"/>
            <w:webHidden/>
          </w:rPr>
          <w:t>1</w:t>
        </w:r>
        <w:r w:rsidRPr="00504786">
          <w:rPr>
            <w:b w:val="0"/>
            <w:webHidden/>
          </w:rPr>
          <w:fldChar w:fldCharType="end"/>
        </w:r>
      </w:hyperlink>
    </w:p>
    <w:p w14:paraId="49E0608C" w14:textId="001218DB" w:rsidR="00504786" w:rsidRPr="00504786" w:rsidRDefault="00504786">
      <w:pPr>
        <w:pStyle w:val="TOC2"/>
        <w:rPr>
          <w:rFonts w:eastAsiaTheme="minorEastAsia"/>
          <w:b w:val="0"/>
          <w:lang w:val="en-ZW" w:eastAsia="en-ZW"/>
          <w14:ligatures w14:val="standardContextual"/>
        </w:rPr>
      </w:pPr>
      <w:hyperlink w:anchor="_Toc189745272" w:history="1">
        <w:r w:rsidRPr="00504786">
          <w:rPr>
            <w:rStyle w:val="Hyperlink"/>
            <w:b w:val="0"/>
          </w:rPr>
          <w:t>1.2</w:t>
        </w:r>
        <w:r w:rsidRPr="00504786">
          <w:rPr>
            <w:rFonts w:eastAsiaTheme="minorEastAsia"/>
            <w:b w:val="0"/>
            <w:lang w:val="en-ZW" w:eastAsia="en-ZW"/>
            <w14:ligatures w14:val="standardContextual"/>
          </w:rPr>
          <w:tab/>
        </w:r>
        <w:r w:rsidRPr="00504786">
          <w:rPr>
            <w:rStyle w:val="Hyperlink"/>
            <w:b w:val="0"/>
          </w:rPr>
          <w:t>Global Inflation Developments</w:t>
        </w:r>
        <w:r w:rsidRPr="00504786">
          <w:rPr>
            <w:b w:val="0"/>
            <w:webHidden/>
          </w:rPr>
          <w:tab/>
        </w:r>
        <w:r w:rsidRPr="00504786">
          <w:rPr>
            <w:b w:val="0"/>
            <w:webHidden/>
          </w:rPr>
          <w:fldChar w:fldCharType="begin"/>
        </w:r>
        <w:r w:rsidRPr="00504786">
          <w:rPr>
            <w:b w:val="0"/>
            <w:webHidden/>
          </w:rPr>
          <w:instrText xml:space="preserve"> PAGEREF _Toc189745272 \h </w:instrText>
        </w:r>
        <w:r w:rsidRPr="00504786">
          <w:rPr>
            <w:b w:val="0"/>
            <w:webHidden/>
          </w:rPr>
        </w:r>
        <w:r w:rsidRPr="00504786">
          <w:rPr>
            <w:b w:val="0"/>
            <w:webHidden/>
          </w:rPr>
          <w:fldChar w:fldCharType="separate"/>
        </w:r>
        <w:r w:rsidRPr="00504786">
          <w:rPr>
            <w:b w:val="0"/>
            <w:webHidden/>
          </w:rPr>
          <w:t>1</w:t>
        </w:r>
        <w:r w:rsidRPr="00504786">
          <w:rPr>
            <w:b w:val="0"/>
            <w:webHidden/>
          </w:rPr>
          <w:fldChar w:fldCharType="end"/>
        </w:r>
      </w:hyperlink>
    </w:p>
    <w:p w14:paraId="3FE4AF27" w14:textId="47337613" w:rsidR="00504786" w:rsidRPr="00504786" w:rsidRDefault="00504786">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9745273" w:history="1">
        <w:r w:rsidRPr="00504786">
          <w:rPr>
            <w:rStyle w:val="Hyperlink"/>
            <w:rFonts w:ascii="Tahoma" w:hAnsi="Tahoma" w:cs="Tahoma"/>
            <w:noProof/>
            <w:sz w:val="24"/>
            <w:szCs w:val="24"/>
            <w:lang w:val="en-US"/>
          </w:rPr>
          <w:t>2.0</w:t>
        </w:r>
        <w:r w:rsidRPr="00504786">
          <w:rPr>
            <w:rFonts w:ascii="Tahoma" w:eastAsiaTheme="minorEastAsia" w:hAnsi="Tahoma" w:cs="Tahoma"/>
            <w:noProof/>
            <w:sz w:val="24"/>
            <w:szCs w:val="24"/>
            <w:lang w:eastAsia="en-ZW"/>
            <w14:ligatures w14:val="standardContextual"/>
          </w:rPr>
          <w:tab/>
        </w:r>
        <w:r w:rsidRPr="00504786">
          <w:rPr>
            <w:rStyle w:val="Hyperlink"/>
            <w:rFonts w:ascii="Tahoma" w:hAnsi="Tahoma" w:cs="Tahoma"/>
            <w:noProof/>
            <w:sz w:val="24"/>
            <w:szCs w:val="24"/>
            <w:lang w:val="en-US"/>
          </w:rPr>
          <w:t>International Commodity Prices</w:t>
        </w:r>
        <w:r w:rsidRPr="00504786">
          <w:rPr>
            <w:rFonts w:ascii="Tahoma" w:hAnsi="Tahoma" w:cs="Tahoma"/>
            <w:noProof/>
            <w:webHidden/>
            <w:sz w:val="24"/>
            <w:szCs w:val="24"/>
          </w:rPr>
          <w:tab/>
        </w:r>
        <w:r w:rsidRPr="00504786">
          <w:rPr>
            <w:rFonts w:ascii="Tahoma" w:hAnsi="Tahoma" w:cs="Tahoma"/>
            <w:noProof/>
            <w:webHidden/>
            <w:sz w:val="24"/>
            <w:szCs w:val="24"/>
          </w:rPr>
          <w:fldChar w:fldCharType="begin"/>
        </w:r>
        <w:r w:rsidRPr="00504786">
          <w:rPr>
            <w:rFonts w:ascii="Tahoma" w:hAnsi="Tahoma" w:cs="Tahoma"/>
            <w:noProof/>
            <w:webHidden/>
            <w:sz w:val="24"/>
            <w:szCs w:val="24"/>
          </w:rPr>
          <w:instrText xml:space="preserve"> PAGEREF _Toc189745273 \h </w:instrText>
        </w:r>
        <w:r w:rsidRPr="00504786">
          <w:rPr>
            <w:rFonts w:ascii="Tahoma" w:hAnsi="Tahoma" w:cs="Tahoma"/>
            <w:noProof/>
            <w:webHidden/>
            <w:sz w:val="24"/>
            <w:szCs w:val="24"/>
          </w:rPr>
        </w:r>
        <w:r w:rsidRPr="00504786">
          <w:rPr>
            <w:rFonts w:ascii="Tahoma" w:hAnsi="Tahoma" w:cs="Tahoma"/>
            <w:noProof/>
            <w:webHidden/>
            <w:sz w:val="24"/>
            <w:szCs w:val="24"/>
          </w:rPr>
          <w:fldChar w:fldCharType="separate"/>
        </w:r>
        <w:r w:rsidRPr="00504786">
          <w:rPr>
            <w:rFonts w:ascii="Tahoma" w:hAnsi="Tahoma" w:cs="Tahoma"/>
            <w:noProof/>
            <w:webHidden/>
            <w:sz w:val="24"/>
            <w:szCs w:val="24"/>
          </w:rPr>
          <w:t>2</w:t>
        </w:r>
        <w:r w:rsidRPr="00504786">
          <w:rPr>
            <w:rFonts w:ascii="Tahoma" w:hAnsi="Tahoma" w:cs="Tahoma"/>
            <w:noProof/>
            <w:webHidden/>
            <w:sz w:val="24"/>
            <w:szCs w:val="24"/>
          </w:rPr>
          <w:fldChar w:fldCharType="end"/>
        </w:r>
      </w:hyperlink>
    </w:p>
    <w:p w14:paraId="43205245" w14:textId="087D003A" w:rsidR="00504786" w:rsidRPr="00504786" w:rsidRDefault="00504786">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9745274" w:history="1">
        <w:r w:rsidRPr="00504786">
          <w:rPr>
            <w:rStyle w:val="Hyperlink"/>
            <w:rFonts w:ascii="Tahoma" w:hAnsi="Tahoma" w:cs="Tahoma"/>
            <w:noProof/>
            <w:sz w:val="24"/>
            <w:szCs w:val="24"/>
            <w:lang w:val="en-US"/>
          </w:rPr>
          <w:t>3.0</w:t>
        </w:r>
        <w:r w:rsidRPr="00504786">
          <w:rPr>
            <w:rFonts w:ascii="Tahoma" w:eastAsiaTheme="minorEastAsia" w:hAnsi="Tahoma" w:cs="Tahoma"/>
            <w:noProof/>
            <w:sz w:val="24"/>
            <w:szCs w:val="24"/>
            <w:lang w:eastAsia="en-ZW"/>
            <w14:ligatures w14:val="standardContextual"/>
          </w:rPr>
          <w:tab/>
        </w:r>
        <w:r w:rsidRPr="00504786">
          <w:rPr>
            <w:rStyle w:val="Hyperlink"/>
            <w:rFonts w:ascii="Tahoma" w:hAnsi="Tahoma" w:cs="Tahoma"/>
            <w:noProof/>
            <w:sz w:val="24"/>
            <w:szCs w:val="24"/>
            <w:lang w:val="en-US"/>
          </w:rPr>
          <w:t>Zimbabwe GDP Growth Update</w:t>
        </w:r>
        <w:r w:rsidRPr="00504786">
          <w:rPr>
            <w:rFonts w:ascii="Tahoma" w:hAnsi="Tahoma" w:cs="Tahoma"/>
            <w:noProof/>
            <w:webHidden/>
            <w:sz w:val="24"/>
            <w:szCs w:val="24"/>
          </w:rPr>
          <w:tab/>
        </w:r>
        <w:r w:rsidRPr="00504786">
          <w:rPr>
            <w:rFonts w:ascii="Tahoma" w:hAnsi="Tahoma" w:cs="Tahoma"/>
            <w:noProof/>
            <w:webHidden/>
            <w:sz w:val="24"/>
            <w:szCs w:val="24"/>
          </w:rPr>
          <w:fldChar w:fldCharType="begin"/>
        </w:r>
        <w:r w:rsidRPr="00504786">
          <w:rPr>
            <w:rFonts w:ascii="Tahoma" w:hAnsi="Tahoma" w:cs="Tahoma"/>
            <w:noProof/>
            <w:webHidden/>
            <w:sz w:val="24"/>
            <w:szCs w:val="24"/>
          </w:rPr>
          <w:instrText xml:space="preserve"> PAGEREF _Toc189745274 \h </w:instrText>
        </w:r>
        <w:r w:rsidRPr="00504786">
          <w:rPr>
            <w:rFonts w:ascii="Tahoma" w:hAnsi="Tahoma" w:cs="Tahoma"/>
            <w:noProof/>
            <w:webHidden/>
            <w:sz w:val="24"/>
            <w:szCs w:val="24"/>
          </w:rPr>
        </w:r>
        <w:r w:rsidRPr="00504786">
          <w:rPr>
            <w:rFonts w:ascii="Tahoma" w:hAnsi="Tahoma" w:cs="Tahoma"/>
            <w:noProof/>
            <w:webHidden/>
            <w:sz w:val="24"/>
            <w:szCs w:val="24"/>
          </w:rPr>
          <w:fldChar w:fldCharType="separate"/>
        </w:r>
        <w:r w:rsidRPr="00504786">
          <w:rPr>
            <w:rFonts w:ascii="Tahoma" w:hAnsi="Tahoma" w:cs="Tahoma"/>
            <w:noProof/>
            <w:webHidden/>
            <w:sz w:val="24"/>
            <w:szCs w:val="24"/>
          </w:rPr>
          <w:t>3</w:t>
        </w:r>
        <w:r w:rsidRPr="00504786">
          <w:rPr>
            <w:rFonts w:ascii="Tahoma" w:hAnsi="Tahoma" w:cs="Tahoma"/>
            <w:noProof/>
            <w:webHidden/>
            <w:sz w:val="24"/>
            <w:szCs w:val="24"/>
          </w:rPr>
          <w:fldChar w:fldCharType="end"/>
        </w:r>
      </w:hyperlink>
    </w:p>
    <w:p w14:paraId="4A00F882" w14:textId="720C2E9A" w:rsidR="00504786" w:rsidRPr="00504786" w:rsidRDefault="00504786">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9745275" w:history="1">
        <w:r w:rsidRPr="00504786">
          <w:rPr>
            <w:rStyle w:val="Hyperlink"/>
            <w:rFonts w:ascii="Tahoma" w:hAnsi="Tahoma" w:cs="Tahoma"/>
            <w:noProof/>
            <w:sz w:val="24"/>
            <w:szCs w:val="24"/>
            <w:lang w:val="en-US"/>
          </w:rPr>
          <w:t>4.0</w:t>
        </w:r>
        <w:r w:rsidRPr="00504786">
          <w:rPr>
            <w:rFonts w:ascii="Tahoma" w:eastAsiaTheme="minorEastAsia" w:hAnsi="Tahoma" w:cs="Tahoma"/>
            <w:noProof/>
            <w:sz w:val="24"/>
            <w:szCs w:val="24"/>
            <w:lang w:eastAsia="en-ZW"/>
            <w14:ligatures w14:val="standardContextual"/>
          </w:rPr>
          <w:tab/>
        </w:r>
        <w:r w:rsidRPr="00504786">
          <w:rPr>
            <w:rStyle w:val="Hyperlink"/>
            <w:rFonts w:ascii="Tahoma" w:hAnsi="Tahoma" w:cs="Tahoma"/>
            <w:noProof/>
            <w:sz w:val="24"/>
            <w:szCs w:val="24"/>
            <w:lang w:val="en-US"/>
          </w:rPr>
          <w:t>Merchandise Trade Developments</w:t>
        </w:r>
        <w:r w:rsidRPr="00504786">
          <w:rPr>
            <w:rFonts w:ascii="Tahoma" w:hAnsi="Tahoma" w:cs="Tahoma"/>
            <w:noProof/>
            <w:webHidden/>
            <w:sz w:val="24"/>
            <w:szCs w:val="24"/>
          </w:rPr>
          <w:tab/>
        </w:r>
        <w:r w:rsidRPr="00504786">
          <w:rPr>
            <w:rFonts w:ascii="Tahoma" w:hAnsi="Tahoma" w:cs="Tahoma"/>
            <w:noProof/>
            <w:webHidden/>
            <w:sz w:val="24"/>
            <w:szCs w:val="24"/>
          </w:rPr>
          <w:fldChar w:fldCharType="begin"/>
        </w:r>
        <w:r w:rsidRPr="00504786">
          <w:rPr>
            <w:rFonts w:ascii="Tahoma" w:hAnsi="Tahoma" w:cs="Tahoma"/>
            <w:noProof/>
            <w:webHidden/>
            <w:sz w:val="24"/>
            <w:szCs w:val="24"/>
          </w:rPr>
          <w:instrText xml:space="preserve"> PAGEREF _Toc189745275 \h </w:instrText>
        </w:r>
        <w:r w:rsidRPr="00504786">
          <w:rPr>
            <w:rFonts w:ascii="Tahoma" w:hAnsi="Tahoma" w:cs="Tahoma"/>
            <w:noProof/>
            <w:webHidden/>
            <w:sz w:val="24"/>
            <w:szCs w:val="24"/>
          </w:rPr>
        </w:r>
        <w:r w:rsidRPr="00504786">
          <w:rPr>
            <w:rFonts w:ascii="Tahoma" w:hAnsi="Tahoma" w:cs="Tahoma"/>
            <w:noProof/>
            <w:webHidden/>
            <w:sz w:val="24"/>
            <w:szCs w:val="24"/>
          </w:rPr>
          <w:fldChar w:fldCharType="separate"/>
        </w:r>
        <w:r w:rsidRPr="00504786">
          <w:rPr>
            <w:rFonts w:ascii="Tahoma" w:hAnsi="Tahoma" w:cs="Tahoma"/>
            <w:noProof/>
            <w:webHidden/>
            <w:sz w:val="24"/>
            <w:szCs w:val="24"/>
          </w:rPr>
          <w:t>3</w:t>
        </w:r>
        <w:r w:rsidRPr="00504786">
          <w:rPr>
            <w:rFonts w:ascii="Tahoma" w:hAnsi="Tahoma" w:cs="Tahoma"/>
            <w:noProof/>
            <w:webHidden/>
            <w:sz w:val="24"/>
            <w:szCs w:val="24"/>
          </w:rPr>
          <w:fldChar w:fldCharType="end"/>
        </w:r>
      </w:hyperlink>
    </w:p>
    <w:p w14:paraId="224A6C18" w14:textId="6239A0B7" w:rsidR="00504786" w:rsidRPr="00504786" w:rsidRDefault="00504786">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9745276" w:history="1">
        <w:r w:rsidRPr="00504786">
          <w:rPr>
            <w:rStyle w:val="Hyperlink"/>
            <w:rFonts w:ascii="Tahoma" w:hAnsi="Tahoma" w:cs="Tahoma"/>
            <w:noProof/>
            <w:sz w:val="24"/>
            <w:szCs w:val="24"/>
            <w:lang w:val="en-US"/>
          </w:rPr>
          <w:t>5.0</w:t>
        </w:r>
        <w:r w:rsidRPr="00504786">
          <w:rPr>
            <w:rFonts w:ascii="Tahoma" w:eastAsiaTheme="minorEastAsia" w:hAnsi="Tahoma" w:cs="Tahoma"/>
            <w:noProof/>
            <w:sz w:val="24"/>
            <w:szCs w:val="24"/>
            <w:lang w:eastAsia="en-ZW"/>
            <w14:ligatures w14:val="standardContextual"/>
          </w:rPr>
          <w:tab/>
        </w:r>
        <w:r w:rsidRPr="00504786">
          <w:rPr>
            <w:rStyle w:val="Hyperlink"/>
            <w:rFonts w:ascii="Tahoma" w:hAnsi="Tahoma" w:cs="Tahoma"/>
            <w:noProof/>
            <w:sz w:val="24"/>
            <w:szCs w:val="24"/>
            <w:lang w:val="en-US"/>
          </w:rPr>
          <w:t>Exchange Rate Developments</w:t>
        </w:r>
        <w:r w:rsidRPr="00504786">
          <w:rPr>
            <w:rFonts w:ascii="Tahoma" w:hAnsi="Tahoma" w:cs="Tahoma"/>
            <w:noProof/>
            <w:webHidden/>
            <w:sz w:val="24"/>
            <w:szCs w:val="24"/>
          </w:rPr>
          <w:tab/>
        </w:r>
        <w:r w:rsidRPr="00504786">
          <w:rPr>
            <w:rFonts w:ascii="Tahoma" w:hAnsi="Tahoma" w:cs="Tahoma"/>
            <w:noProof/>
            <w:webHidden/>
            <w:sz w:val="24"/>
            <w:szCs w:val="24"/>
          </w:rPr>
          <w:fldChar w:fldCharType="begin"/>
        </w:r>
        <w:r w:rsidRPr="00504786">
          <w:rPr>
            <w:rFonts w:ascii="Tahoma" w:hAnsi="Tahoma" w:cs="Tahoma"/>
            <w:noProof/>
            <w:webHidden/>
            <w:sz w:val="24"/>
            <w:szCs w:val="24"/>
          </w:rPr>
          <w:instrText xml:space="preserve"> PAGEREF _Toc189745276 \h </w:instrText>
        </w:r>
        <w:r w:rsidRPr="00504786">
          <w:rPr>
            <w:rFonts w:ascii="Tahoma" w:hAnsi="Tahoma" w:cs="Tahoma"/>
            <w:noProof/>
            <w:webHidden/>
            <w:sz w:val="24"/>
            <w:szCs w:val="24"/>
          </w:rPr>
        </w:r>
        <w:r w:rsidRPr="00504786">
          <w:rPr>
            <w:rFonts w:ascii="Tahoma" w:hAnsi="Tahoma" w:cs="Tahoma"/>
            <w:noProof/>
            <w:webHidden/>
            <w:sz w:val="24"/>
            <w:szCs w:val="24"/>
          </w:rPr>
          <w:fldChar w:fldCharType="separate"/>
        </w:r>
        <w:r w:rsidRPr="00504786">
          <w:rPr>
            <w:rFonts w:ascii="Tahoma" w:hAnsi="Tahoma" w:cs="Tahoma"/>
            <w:noProof/>
            <w:webHidden/>
            <w:sz w:val="24"/>
            <w:szCs w:val="24"/>
          </w:rPr>
          <w:t>4</w:t>
        </w:r>
        <w:r w:rsidRPr="00504786">
          <w:rPr>
            <w:rFonts w:ascii="Tahoma" w:hAnsi="Tahoma" w:cs="Tahoma"/>
            <w:noProof/>
            <w:webHidden/>
            <w:sz w:val="24"/>
            <w:szCs w:val="24"/>
          </w:rPr>
          <w:fldChar w:fldCharType="end"/>
        </w:r>
      </w:hyperlink>
    </w:p>
    <w:p w14:paraId="1C219888" w14:textId="01D92E4F" w:rsidR="00504786" w:rsidRPr="00504786" w:rsidRDefault="00504786">
      <w:pPr>
        <w:pStyle w:val="TOC2"/>
        <w:rPr>
          <w:rFonts w:eastAsiaTheme="minorEastAsia"/>
          <w:b w:val="0"/>
          <w:lang w:val="en-ZW" w:eastAsia="en-ZW"/>
          <w14:ligatures w14:val="standardContextual"/>
        </w:rPr>
      </w:pPr>
      <w:hyperlink w:anchor="_Toc189745277" w:history="1">
        <w:r w:rsidRPr="00504786">
          <w:rPr>
            <w:rStyle w:val="Hyperlink"/>
            <w:b w:val="0"/>
          </w:rPr>
          <w:t>5.1</w:t>
        </w:r>
        <w:r w:rsidRPr="00504786">
          <w:rPr>
            <w:rFonts w:eastAsiaTheme="minorEastAsia"/>
            <w:b w:val="0"/>
            <w:lang w:val="en-ZW" w:eastAsia="en-ZW"/>
            <w14:ligatures w14:val="standardContextual"/>
          </w:rPr>
          <w:tab/>
        </w:r>
        <w:r w:rsidRPr="00504786">
          <w:rPr>
            <w:rStyle w:val="Hyperlink"/>
            <w:b w:val="0"/>
          </w:rPr>
          <w:t>ZWG Exchange Rate Developments</w:t>
        </w:r>
        <w:r w:rsidRPr="00504786">
          <w:rPr>
            <w:b w:val="0"/>
            <w:webHidden/>
          </w:rPr>
          <w:tab/>
        </w:r>
        <w:r w:rsidRPr="00504786">
          <w:rPr>
            <w:b w:val="0"/>
            <w:webHidden/>
          </w:rPr>
          <w:fldChar w:fldCharType="begin"/>
        </w:r>
        <w:r w:rsidRPr="00504786">
          <w:rPr>
            <w:b w:val="0"/>
            <w:webHidden/>
          </w:rPr>
          <w:instrText xml:space="preserve"> PAGEREF _Toc189745277 \h </w:instrText>
        </w:r>
        <w:r w:rsidRPr="00504786">
          <w:rPr>
            <w:b w:val="0"/>
            <w:webHidden/>
          </w:rPr>
        </w:r>
        <w:r w:rsidRPr="00504786">
          <w:rPr>
            <w:b w:val="0"/>
            <w:webHidden/>
          </w:rPr>
          <w:fldChar w:fldCharType="separate"/>
        </w:r>
        <w:r w:rsidRPr="00504786">
          <w:rPr>
            <w:b w:val="0"/>
            <w:webHidden/>
          </w:rPr>
          <w:t>4</w:t>
        </w:r>
        <w:r w:rsidRPr="00504786">
          <w:rPr>
            <w:b w:val="0"/>
            <w:webHidden/>
          </w:rPr>
          <w:fldChar w:fldCharType="end"/>
        </w:r>
      </w:hyperlink>
    </w:p>
    <w:p w14:paraId="4FE55BA4" w14:textId="0A3DFBA1" w:rsidR="00504786" w:rsidRPr="00504786" w:rsidRDefault="00504786">
      <w:pPr>
        <w:pStyle w:val="TOC2"/>
        <w:rPr>
          <w:rFonts w:eastAsiaTheme="minorEastAsia"/>
          <w:b w:val="0"/>
          <w:lang w:val="en-ZW" w:eastAsia="en-ZW"/>
          <w14:ligatures w14:val="standardContextual"/>
        </w:rPr>
      </w:pPr>
      <w:hyperlink w:anchor="_Toc189745278" w:history="1">
        <w:r w:rsidRPr="00504786">
          <w:rPr>
            <w:rStyle w:val="Hyperlink"/>
            <w:b w:val="0"/>
          </w:rPr>
          <w:t>5.2</w:t>
        </w:r>
        <w:r w:rsidRPr="00504786">
          <w:rPr>
            <w:rFonts w:eastAsiaTheme="minorEastAsia"/>
            <w:b w:val="0"/>
            <w:lang w:val="en-ZW" w:eastAsia="en-ZW"/>
            <w14:ligatures w14:val="standardContextual"/>
          </w:rPr>
          <w:tab/>
        </w:r>
        <w:r w:rsidRPr="00504786">
          <w:rPr>
            <w:rStyle w:val="Hyperlink"/>
            <w:b w:val="0"/>
          </w:rPr>
          <w:t>Parallel Market Developments</w:t>
        </w:r>
        <w:r w:rsidRPr="00504786">
          <w:rPr>
            <w:b w:val="0"/>
            <w:webHidden/>
          </w:rPr>
          <w:tab/>
        </w:r>
        <w:r w:rsidRPr="00504786">
          <w:rPr>
            <w:b w:val="0"/>
            <w:webHidden/>
          </w:rPr>
          <w:fldChar w:fldCharType="begin"/>
        </w:r>
        <w:r w:rsidRPr="00504786">
          <w:rPr>
            <w:b w:val="0"/>
            <w:webHidden/>
          </w:rPr>
          <w:instrText xml:space="preserve"> PAGEREF _Toc189745278 \h </w:instrText>
        </w:r>
        <w:r w:rsidRPr="00504786">
          <w:rPr>
            <w:b w:val="0"/>
            <w:webHidden/>
          </w:rPr>
        </w:r>
        <w:r w:rsidRPr="00504786">
          <w:rPr>
            <w:b w:val="0"/>
            <w:webHidden/>
          </w:rPr>
          <w:fldChar w:fldCharType="separate"/>
        </w:r>
        <w:r w:rsidRPr="00504786">
          <w:rPr>
            <w:b w:val="0"/>
            <w:webHidden/>
          </w:rPr>
          <w:t>4</w:t>
        </w:r>
        <w:r w:rsidRPr="00504786">
          <w:rPr>
            <w:b w:val="0"/>
            <w:webHidden/>
          </w:rPr>
          <w:fldChar w:fldCharType="end"/>
        </w:r>
      </w:hyperlink>
    </w:p>
    <w:p w14:paraId="2CF9924C" w14:textId="44F3702B" w:rsidR="00504786" w:rsidRPr="00504786" w:rsidRDefault="00504786">
      <w:pPr>
        <w:pStyle w:val="TOC2"/>
        <w:rPr>
          <w:rFonts w:eastAsiaTheme="minorEastAsia"/>
          <w:b w:val="0"/>
          <w:lang w:val="en-ZW" w:eastAsia="en-ZW"/>
          <w14:ligatures w14:val="standardContextual"/>
        </w:rPr>
      </w:pPr>
      <w:hyperlink w:anchor="_Toc189745279" w:history="1">
        <w:r w:rsidRPr="00504786">
          <w:rPr>
            <w:rStyle w:val="Hyperlink"/>
            <w:b w:val="0"/>
          </w:rPr>
          <w:t>5.3</w:t>
        </w:r>
        <w:r w:rsidRPr="00504786">
          <w:rPr>
            <w:rFonts w:eastAsiaTheme="minorEastAsia"/>
            <w:b w:val="0"/>
            <w:lang w:val="en-ZW" w:eastAsia="en-ZW"/>
            <w14:ligatures w14:val="standardContextual"/>
          </w:rPr>
          <w:tab/>
        </w:r>
        <w:r w:rsidRPr="00504786">
          <w:rPr>
            <w:rStyle w:val="Hyperlink"/>
            <w:b w:val="0"/>
          </w:rPr>
          <w:t>Cross Rate Developments</w:t>
        </w:r>
        <w:r w:rsidRPr="00504786">
          <w:rPr>
            <w:b w:val="0"/>
            <w:webHidden/>
          </w:rPr>
          <w:tab/>
        </w:r>
        <w:r w:rsidRPr="00504786">
          <w:rPr>
            <w:b w:val="0"/>
            <w:webHidden/>
          </w:rPr>
          <w:fldChar w:fldCharType="begin"/>
        </w:r>
        <w:r w:rsidRPr="00504786">
          <w:rPr>
            <w:b w:val="0"/>
            <w:webHidden/>
          </w:rPr>
          <w:instrText xml:space="preserve"> PAGEREF _Toc189745279 \h </w:instrText>
        </w:r>
        <w:r w:rsidRPr="00504786">
          <w:rPr>
            <w:b w:val="0"/>
            <w:webHidden/>
          </w:rPr>
        </w:r>
        <w:r w:rsidRPr="00504786">
          <w:rPr>
            <w:b w:val="0"/>
            <w:webHidden/>
          </w:rPr>
          <w:fldChar w:fldCharType="separate"/>
        </w:r>
        <w:r w:rsidRPr="00504786">
          <w:rPr>
            <w:b w:val="0"/>
            <w:webHidden/>
          </w:rPr>
          <w:t>5</w:t>
        </w:r>
        <w:r w:rsidRPr="00504786">
          <w:rPr>
            <w:b w:val="0"/>
            <w:webHidden/>
          </w:rPr>
          <w:fldChar w:fldCharType="end"/>
        </w:r>
      </w:hyperlink>
    </w:p>
    <w:p w14:paraId="7D6E40C7" w14:textId="55B2CF7B" w:rsidR="00504786" w:rsidRPr="00504786" w:rsidRDefault="00504786">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9745280" w:history="1">
        <w:r w:rsidRPr="00504786">
          <w:rPr>
            <w:rStyle w:val="Hyperlink"/>
            <w:rFonts w:ascii="Tahoma" w:hAnsi="Tahoma" w:cs="Tahoma"/>
            <w:noProof/>
            <w:sz w:val="24"/>
            <w:szCs w:val="24"/>
            <w:lang w:val="en-US"/>
          </w:rPr>
          <w:t>6.0</w:t>
        </w:r>
        <w:r w:rsidRPr="00504786">
          <w:rPr>
            <w:rFonts w:ascii="Tahoma" w:eastAsiaTheme="minorEastAsia" w:hAnsi="Tahoma" w:cs="Tahoma"/>
            <w:noProof/>
            <w:sz w:val="24"/>
            <w:szCs w:val="24"/>
            <w:lang w:eastAsia="en-ZW"/>
            <w14:ligatures w14:val="standardContextual"/>
          </w:rPr>
          <w:tab/>
        </w:r>
        <w:r w:rsidRPr="00504786">
          <w:rPr>
            <w:rStyle w:val="Hyperlink"/>
            <w:rFonts w:ascii="Tahoma" w:hAnsi="Tahoma" w:cs="Tahoma"/>
            <w:noProof/>
            <w:sz w:val="24"/>
            <w:szCs w:val="24"/>
            <w:lang w:val="en-US"/>
          </w:rPr>
          <w:t>Inflation Developments</w:t>
        </w:r>
        <w:r w:rsidRPr="00504786">
          <w:rPr>
            <w:rFonts w:ascii="Tahoma" w:hAnsi="Tahoma" w:cs="Tahoma"/>
            <w:noProof/>
            <w:webHidden/>
            <w:sz w:val="24"/>
            <w:szCs w:val="24"/>
          </w:rPr>
          <w:tab/>
        </w:r>
        <w:r w:rsidRPr="00504786">
          <w:rPr>
            <w:rFonts w:ascii="Tahoma" w:hAnsi="Tahoma" w:cs="Tahoma"/>
            <w:noProof/>
            <w:webHidden/>
            <w:sz w:val="24"/>
            <w:szCs w:val="24"/>
          </w:rPr>
          <w:fldChar w:fldCharType="begin"/>
        </w:r>
        <w:r w:rsidRPr="00504786">
          <w:rPr>
            <w:rFonts w:ascii="Tahoma" w:hAnsi="Tahoma" w:cs="Tahoma"/>
            <w:noProof/>
            <w:webHidden/>
            <w:sz w:val="24"/>
            <w:szCs w:val="24"/>
          </w:rPr>
          <w:instrText xml:space="preserve"> PAGEREF _Toc189745280 \h </w:instrText>
        </w:r>
        <w:r w:rsidRPr="00504786">
          <w:rPr>
            <w:rFonts w:ascii="Tahoma" w:hAnsi="Tahoma" w:cs="Tahoma"/>
            <w:noProof/>
            <w:webHidden/>
            <w:sz w:val="24"/>
            <w:szCs w:val="24"/>
          </w:rPr>
        </w:r>
        <w:r w:rsidRPr="00504786">
          <w:rPr>
            <w:rFonts w:ascii="Tahoma" w:hAnsi="Tahoma" w:cs="Tahoma"/>
            <w:noProof/>
            <w:webHidden/>
            <w:sz w:val="24"/>
            <w:szCs w:val="24"/>
          </w:rPr>
          <w:fldChar w:fldCharType="separate"/>
        </w:r>
        <w:r w:rsidRPr="00504786">
          <w:rPr>
            <w:rFonts w:ascii="Tahoma" w:hAnsi="Tahoma" w:cs="Tahoma"/>
            <w:noProof/>
            <w:webHidden/>
            <w:sz w:val="24"/>
            <w:szCs w:val="24"/>
          </w:rPr>
          <w:t>5</w:t>
        </w:r>
        <w:r w:rsidRPr="00504786">
          <w:rPr>
            <w:rFonts w:ascii="Tahoma" w:hAnsi="Tahoma" w:cs="Tahoma"/>
            <w:noProof/>
            <w:webHidden/>
            <w:sz w:val="24"/>
            <w:szCs w:val="24"/>
          </w:rPr>
          <w:fldChar w:fldCharType="end"/>
        </w:r>
      </w:hyperlink>
    </w:p>
    <w:p w14:paraId="09B803F6" w14:textId="66C93830" w:rsidR="00504786" w:rsidRPr="00504786" w:rsidRDefault="00504786">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9745281" w:history="1">
        <w:r w:rsidRPr="00504786">
          <w:rPr>
            <w:rStyle w:val="Hyperlink"/>
            <w:rFonts w:ascii="Tahoma" w:hAnsi="Tahoma" w:cs="Tahoma"/>
            <w:noProof/>
            <w:sz w:val="24"/>
            <w:szCs w:val="24"/>
            <w:lang w:val="en-US"/>
          </w:rPr>
          <w:t>7.0</w:t>
        </w:r>
        <w:r w:rsidRPr="00504786">
          <w:rPr>
            <w:rFonts w:ascii="Tahoma" w:eastAsiaTheme="minorEastAsia" w:hAnsi="Tahoma" w:cs="Tahoma"/>
            <w:noProof/>
            <w:sz w:val="24"/>
            <w:szCs w:val="24"/>
            <w:lang w:eastAsia="en-ZW"/>
            <w14:ligatures w14:val="standardContextual"/>
          </w:rPr>
          <w:tab/>
        </w:r>
        <w:r w:rsidRPr="00504786">
          <w:rPr>
            <w:rStyle w:val="Hyperlink"/>
            <w:rFonts w:ascii="Tahoma" w:hAnsi="Tahoma" w:cs="Tahoma"/>
            <w:noProof/>
            <w:sz w:val="24"/>
            <w:szCs w:val="24"/>
            <w:lang w:val="en-US"/>
          </w:rPr>
          <w:t>Monetary Developments</w:t>
        </w:r>
        <w:r w:rsidRPr="00504786">
          <w:rPr>
            <w:rFonts w:ascii="Tahoma" w:hAnsi="Tahoma" w:cs="Tahoma"/>
            <w:noProof/>
            <w:webHidden/>
            <w:sz w:val="24"/>
            <w:szCs w:val="24"/>
          </w:rPr>
          <w:tab/>
        </w:r>
        <w:r w:rsidRPr="00504786">
          <w:rPr>
            <w:rFonts w:ascii="Tahoma" w:hAnsi="Tahoma" w:cs="Tahoma"/>
            <w:noProof/>
            <w:webHidden/>
            <w:sz w:val="24"/>
            <w:szCs w:val="24"/>
          </w:rPr>
          <w:fldChar w:fldCharType="begin"/>
        </w:r>
        <w:r w:rsidRPr="00504786">
          <w:rPr>
            <w:rFonts w:ascii="Tahoma" w:hAnsi="Tahoma" w:cs="Tahoma"/>
            <w:noProof/>
            <w:webHidden/>
            <w:sz w:val="24"/>
            <w:szCs w:val="24"/>
          </w:rPr>
          <w:instrText xml:space="preserve"> PAGEREF _Toc189745281 \h </w:instrText>
        </w:r>
        <w:r w:rsidRPr="00504786">
          <w:rPr>
            <w:rFonts w:ascii="Tahoma" w:hAnsi="Tahoma" w:cs="Tahoma"/>
            <w:noProof/>
            <w:webHidden/>
            <w:sz w:val="24"/>
            <w:szCs w:val="24"/>
          </w:rPr>
        </w:r>
        <w:r w:rsidRPr="00504786">
          <w:rPr>
            <w:rFonts w:ascii="Tahoma" w:hAnsi="Tahoma" w:cs="Tahoma"/>
            <w:noProof/>
            <w:webHidden/>
            <w:sz w:val="24"/>
            <w:szCs w:val="24"/>
          </w:rPr>
          <w:fldChar w:fldCharType="separate"/>
        </w:r>
        <w:r w:rsidRPr="00504786">
          <w:rPr>
            <w:rFonts w:ascii="Tahoma" w:hAnsi="Tahoma" w:cs="Tahoma"/>
            <w:noProof/>
            <w:webHidden/>
            <w:sz w:val="24"/>
            <w:szCs w:val="24"/>
          </w:rPr>
          <w:t>7</w:t>
        </w:r>
        <w:r w:rsidRPr="00504786">
          <w:rPr>
            <w:rFonts w:ascii="Tahoma" w:hAnsi="Tahoma" w:cs="Tahoma"/>
            <w:noProof/>
            <w:webHidden/>
            <w:sz w:val="24"/>
            <w:szCs w:val="24"/>
          </w:rPr>
          <w:fldChar w:fldCharType="end"/>
        </w:r>
      </w:hyperlink>
    </w:p>
    <w:p w14:paraId="737CBCF8" w14:textId="0793030C" w:rsidR="00504786" w:rsidRPr="00504786" w:rsidRDefault="00504786">
      <w:pPr>
        <w:pStyle w:val="TOC2"/>
        <w:rPr>
          <w:rFonts w:eastAsiaTheme="minorEastAsia"/>
          <w:b w:val="0"/>
          <w:lang w:val="en-ZW" w:eastAsia="en-ZW"/>
          <w14:ligatures w14:val="standardContextual"/>
        </w:rPr>
      </w:pPr>
      <w:hyperlink w:anchor="_Toc189745282" w:history="1">
        <w:r w:rsidRPr="00504786">
          <w:rPr>
            <w:rStyle w:val="Hyperlink"/>
            <w:b w:val="0"/>
          </w:rPr>
          <w:t>7.1</w:t>
        </w:r>
        <w:r w:rsidRPr="00504786">
          <w:rPr>
            <w:rFonts w:eastAsiaTheme="minorEastAsia"/>
            <w:b w:val="0"/>
            <w:lang w:val="en-ZW" w:eastAsia="en-ZW"/>
            <w14:ligatures w14:val="standardContextual"/>
          </w:rPr>
          <w:tab/>
        </w:r>
        <w:r w:rsidRPr="00504786">
          <w:rPr>
            <w:rStyle w:val="Hyperlink"/>
            <w:b w:val="0"/>
          </w:rPr>
          <w:t>Money Supply</w:t>
        </w:r>
        <w:r w:rsidRPr="00504786">
          <w:rPr>
            <w:b w:val="0"/>
            <w:webHidden/>
          </w:rPr>
          <w:tab/>
        </w:r>
        <w:r w:rsidRPr="00504786">
          <w:rPr>
            <w:b w:val="0"/>
            <w:webHidden/>
          </w:rPr>
          <w:fldChar w:fldCharType="begin"/>
        </w:r>
        <w:r w:rsidRPr="00504786">
          <w:rPr>
            <w:b w:val="0"/>
            <w:webHidden/>
          </w:rPr>
          <w:instrText xml:space="preserve"> PAGEREF _Toc189745282 \h </w:instrText>
        </w:r>
        <w:r w:rsidRPr="00504786">
          <w:rPr>
            <w:b w:val="0"/>
            <w:webHidden/>
          </w:rPr>
        </w:r>
        <w:r w:rsidRPr="00504786">
          <w:rPr>
            <w:b w:val="0"/>
            <w:webHidden/>
          </w:rPr>
          <w:fldChar w:fldCharType="separate"/>
        </w:r>
        <w:r w:rsidRPr="00504786">
          <w:rPr>
            <w:b w:val="0"/>
            <w:webHidden/>
          </w:rPr>
          <w:t>7</w:t>
        </w:r>
        <w:r w:rsidRPr="00504786">
          <w:rPr>
            <w:b w:val="0"/>
            <w:webHidden/>
          </w:rPr>
          <w:fldChar w:fldCharType="end"/>
        </w:r>
      </w:hyperlink>
    </w:p>
    <w:p w14:paraId="136A76AC" w14:textId="63FA55F6" w:rsidR="00504786" w:rsidRPr="00504786" w:rsidRDefault="00504786">
      <w:pPr>
        <w:pStyle w:val="TOC2"/>
        <w:rPr>
          <w:rFonts w:eastAsiaTheme="minorEastAsia"/>
          <w:b w:val="0"/>
          <w:lang w:val="en-ZW" w:eastAsia="en-ZW"/>
          <w14:ligatures w14:val="standardContextual"/>
        </w:rPr>
      </w:pPr>
      <w:hyperlink w:anchor="_Toc189745283" w:history="1">
        <w:r w:rsidRPr="00504786">
          <w:rPr>
            <w:rStyle w:val="Hyperlink"/>
            <w:b w:val="0"/>
          </w:rPr>
          <w:t>7.2</w:t>
        </w:r>
        <w:r w:rsidRPr="00504786">
          <w:rPr>
            <w:rFonts w:eastAsiaTheme="minorEastAsia"/>
            <w:b w:val="0"/>
            <w:lang w:val="en-ZW" w:eastAsia="en-ZW"/>
            <w14:ligatures w14:val="standardContextual"/>
          </w:rPr>
          <w:tab/>
        </w:r>
        <w:r w:rsidRPr="00504786">
          <w:rPr>
            <w:rStyle w:val="Hyperlink"/>
            <w:b w:val="0"/>
          </w:rPr>
          <w:t>Interest Rates</w:t>
        </w:r>
        <w:r w:rsidRPr="00504786">
          <w:rPr>
            <w:b w:val="0"/>
            <w:webHidden/>
          </w:rPr>
          <w:tab/>
        </w:r>
        <w:r w:rsidRPr="00504786">
          <w:rPr>
            <w:b w:val="0"/>
            <w:webHidden/>
          </w:rPr>
          <w:fldChar w:fldCharType="begin"/>
        </w:r>
        <w:r w:rsidRPr="00504786">
          <w:rPr>
            <w:b w:val="0"/>
            <w:webHidden/>
          </w:rPr>
          <w:instrText xml:space="preserve"> PAGEREF _Toc189745283 \h </w:instrText>
        </w:r>
        <w:r w:rsidRPr="00504786">
          <w:rPr>
            <w:b w:val="0"/>
            <w:webHidden/>
          </w:rPr>
        </w:r>
        <w:r w:rsidRPr="00504786">
          <w:rPr>
            <w:b w:val="0"/>
            <w:webHidden/>
          </w:rPr>
          <w:fldChar w:fldCharType="separate"/>
        </w:r>
        <w:r w:rsidRPr="00504786">
          <w:rPr>
            <w:b w:val="0"/>
            <w:webHidden/>
          </w:rPr>
          <w:t>8</w:t>
        </w:r>
        <w:r w:rsidRPr="00504786">
          <w:rPr>
            <w:b w:val="0"/>
            <w:webHidden/>
          </w:rPr>
          <w:fldChar w:fldCharType="end"/>
        </w:r>
      </w:hyperlink>
    </w:p>
    <w:p w14:paraId="765772A2" w14:textId="4FDAE3C4" w:rsidR="00504786" w:rsidRPr="00504786" w:rsidRDefault="00504786">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9745284" w:history="1">
        <w:r w:rsidRPr="00504786">
          <w:rPr>
            <w:rStyle w:val="Hyperlink"/>
            <w:rFonts w:ascii="Tahoma" w:hAnsi="Tahoma" w:cs="Tahoma"/>
            <w:noProof/>
            <w:sz w:val="24"/>
            <w:szCs w:val="24"/>
            <w:lang w:val="en-US"/>
          </w:rPr>
          <w:t>8.0</w:t>
        </w:r>
        <w:r w:rsidRPr="00504786">
          <w:rPr>
            <w:rFonts w:ascii="Tahoma" w:eastAsiaTheme="minorEastAsia" w:hAnsi="Tahoma" w:cs="Tahoma"/>
            <w:noProof/>
            <w:sz w:val="24"/>
            <w:szCs w:val="24"/>
            <w:lang w:eastAsia="en-ZW"/>
            <w14:ligatures w14:val="standardContextual"/>
          </w:rPr>
          <w:tab/>
        </w:r>
        <w:r w:rsidRPr="00504786">
          <w:rPr>
            <w:rStyle w:val="Hyperlink"/>
            <w:rFonts w:ascii="Tahoma" w:hAnsi="Tahoma" w:cs="Tahoma"/>
            <w:noProof/>
            <w:sz w:val="24"/>
            <w:szCs w:val="24"/>
            <w:lang w:val="en-US"/>
          </w:rPr>
          <w:t>Stock Market Developments</w:t>
        </w:r>
        <w:r w:rsidRPr="00504786">
          <w:rPr>
            <w:rFonts w:ascii="Tahoma" w:hAnsi="Tahoma" w:cs="Tahoma"/>
            <w:noProof/>
            <w:webHidden/>
            <w:sz w:val="24"/>
            <w:szCs w:val="24"/>
          </w:rPr>
          <w:tab/>
        </w:r>
        <w:r w:rsidRPr="00504786">
          <w:rPr>
            <w:rFonts w:ascii="Tahoma" w:hAnsi="Tahoma" w:cs="Tahoma"/>
            <w:noProof/>
            <w:webHidden/>
            <w:sz w:val="24"/>
            <w:szCs w:val="24"/>
          </w:rPr>
          <w:fldChar w:fldCharType="begin"/>
        </w:r>
        <w:r w:rsidRPr="00504786">
          <w:rPr>
            <w:rFonts w:ascii="Tahoma" w:hAnsi="Tahoma" w:cs="Tahoma"/>
            <w:noProof/>
            <w:webHidden/>
            <w:sz w:val="24"/>
            <w:szCs w:val="24"/>
          </w:rPr>
          <w:instrText xml:space="preserve"> PAGEREF _Toc189745284 \h </w:instrText>
        </w:r>
        <w:r w:rsidRPr="00504786">
          <w:rPr>
            <w:rFonts w:ascii="Tahoma" w:hAnsi="Tahoma" w:cs="Tahoma"/>
            <w:noProof/>
            <w:webHidden/>
            <w:sz w:val="24"/>
            <w:szCs w:val="24"/>
          </w:rPr>
        </w:r>
        <w:r w:rsidRPr="00504786">
          <w:rPr>
            <w:rFonts w:ascii="Tahoma" w:hAnsi="Tahoma" w:cs="Tahoma"/>
            <w:noProof/>
            <w:webHidden/>
            <w:sz w:val="24"/>
            <w:szCs w:val="24"/>
          </w:rPr>
          <w:fldChar w:fldCharType="separate"/>
        </w:r>
        <w:r w:rsidRPr="00504786">
          <w:rPr>
            <w:rFonts w:ascii="Tahoma" w:hAnsi="Tahoma" w:cs="Tahoma"/>
            <w:noProof/>
            <w:webHidden/>
            <w:sz w:val="24"/>
            <w:szCs w:val="24"/>
          </w:rPr>
          <w:t>8</w:t>
        </w:r>
        <w:r w:rsidRPr="00504786">
          <w:rPr>
            <w:rFonts w:ascii="Tahoma" w:hAnsi="Tahoma" w:cs="Tahoma"/>
            <w:noProof/>
            <w:webHidden/>
            <w:sz w:val="24"/>
            <w:szCs w:val="24"/>
          </w:rPr>
          <w:fldChar w:fldCharType="end"/>
        </w:r>
      </w:hyperlink>
    </w:p>
    <w:p w14:paraId="13D59C01" w14:textId="6B45F4CA" w:rsidR="00504786" w:rsidRPr="00504786" w:rsidRDefault="00504786">
      <w:pPr>
        <w:pStyle w:val="TOC2"/>
        <w:rPr>
          <w:rFonts w:eastAsiaTheme="minorEastAsia"/>
          <w:b w:val="0"/>
          <w:lang w:val="en-ZW" w:eastAsia="en-ZW"/>
          <w14:ligatures w14:val="standardContextual"/>
        </w:rPr>
      </w:pPr>
      <w:hyperlink w:anchor="_Toc189745285" w:history="1">
        <w:r w:rsidRPr="00504786">
          <w:rPr>
            <w:rStyle w:val="Hyperlink"/>
            <w:b w:val="0"/>
          </w:rPr>
          <w:t>8.1</w:t>
        </w:r>
        <w:r w:rsidRPr="00504786">
          <w:rPr>
            <w:rFonts w:eastAsiaTheme="minorEastAsia"/>
            <w:b w:val="0"/>
            <w:lang w:val="en-ZW" w:eastAsia="en-ZW"/>
            <w14:ligatures w14:val="standardContextual"/>
          </w:rPr>
          <w:tab/>
        </w:r>
        <w:r w:rsidRPr="00504786">
          <w:rPr>
            <w:rStyle w:val="Hyperlink"/>
            <w:b w:val="0"/>
          </w:rPr>
          <w:t>Zimbabwe Stock Exchange (ZSE)</w:t>
        </w:r>
        <w:r w:rsidRPr="00504786">
          <w:rPr>
            <w:b w:val="0"/>
            <w:webHidden/>
          </w:rPr>
          <w:tab/>
        </w:r>
        <w:r w:rsidRPr="00504786">
          <w:rPr>
            <w:b w:val="0"/>
            <w:webHidden/>
          </w:rPr>
          <w:fldChar w:fldCharType="begin"/>
        </w:r>
        <w:r w:rsidRPr="00504786">
          <w:rPr>
            <w:b w:val="0"/>
            <w:webHidden/>
          </w:rPr>
          <w:instrText xml:space="preserve"> PAGEREF _Toc189745285 \h </w:instrText>
        </w:r>
        <w:r w:rsidRPr="00504786">
          <w:rPr>
            <w:b w:val="0"/>
            <w:webHidden/>
          </w:rPr>
        </w:r>
        <w:r w:rsidRPr="00504786">
          <w:rPr>
            <w:b w:val="0"/>
            <w:webHidden/>
          </w:rPr>
          <w:fldChar w:fldCharType="separate"/>
        </w:r>
        <w:r w:rsidRPr="00504786">
          <w:rPr>
            <w:b w:val="0"/>
            <w:webHidden/>
          </w:rPr>
          <w:t>8</w:t>
        </w:r>
        <w:r w:rsidRPr="00504786">
          <w:rPr>
            <w:b w:val="0"/>
            <w:webHidden/>
          </w:rPr>
          <w:fldChar w:fldCharType="end"/>
        </w:r>
      </w:hyperlink>
    </w:p>
    <w:p w14:paraId="04CE7C41" w14:textId="473BA5D3" w:rsidR="00504786" w:rsidRPr="00504786" w:rsidRDefault="00504786">
      <w:pPr>
        <w:pStyle w:val="TOC2"/>
        <w:rPr>
          <w:rFonts w:eastAsiaTheme="minorEastAsia"/>
          <w:b w:val="0"/>
          <w:lang w:val="en-ZW" w:eastAsia="en-ZW"/>
          <w14:ligatures w14:val="standardContextual"/>
        </w:rPr>
      </w:pPr>
      <w:hyperlink w:anchor="_Toc189745286" w:history="1">
        <w:r w:rsidRPr="00504786">
          <w:rPr>
            <w:rStyle w:val="Hyperlink"/>
            <w:b w:val="0"/>
          </w:rPr>
          <w:t>8.2</w:t>
        </w:r>
        <w:r w:rsidRPr="00504786">
          <w:rPr>
            <w:rFonts w:eastAsiaTheme="minorEastAsia"/>
            <w:b w:val="0"/>
            <w:lang w:val="en-ZW" w:eastAsia="en-ZW"/>
            <w14:ligatures w14:val="standardContextual"/>
          </w:rPr>
          <w:tab/>
        </w:r>
        <w:r w:rsidRPr="00504786">
          <w:rPr>
            <w:rStyle w:val="Hyperlink"/>
            <w:b w:val="0"/>
          </w:rPr>
          <w:t>Victoria Falls Stock Exchange (VFEX)</w:t>
        </w:r>
        <w:r w:rsidRPr="00504786">
          <w:rPr>
            <w:b w:val="0"/>
            <w:webHidden/>
          </w:rPr>
          <w:tab/>
        </w:r>
        <w:r w:rsidRPr="00504786">
          <w:rPr>
            <w:b w:val="0"/>
            <w:webHidden/>
          </w:rPr>
          <w:fldChar w:fldCharType="begin"/>
        </w:r>
        <w:r w:rsidRPr="00504786">
          <w:rPr>
            <w:b w:val="0"/>
            <w:webHidden/>
          </w:rPr>
          <w:instrText xml:space="preserve"> PAGEREF _Toc189745286 \h </w:instrText>
        </w:r>
        <w:r w:rsidRPr="00504786">
          <w:rPr>
            <w:b w:val="0"/>
            <w:webHidden/>
          </w:rPr>
        </w:r>
        <w:r w:rsidRPr="00504786">
          <w:rPr>
            <w:b w:val="0"/>
            <w:webHidden/>
          </w:rPr>
          <w:fldChar w:fldCharType="separate"/>
        </w:r>
        <w:r w:rsidRPr="00504786">
          <w:rPr>
            <w:b w:val="0"/>
            <w:webHidden/>
          </w:rPr>
          <w:t>9</w:t>
        </w:r>
        <w:r w:rsidRPr="00504786">
          <w:rPr>
            <w:b w:val="0"/>
            <w:webHidden/>
          </w:rPr>
          <w:fldChar w:fldCharType="end"/>
        </w:r>
      </w:hyperlink>
    </w:p>
    <w:p w14:paraId="00816B56" w14:textId="101A476A" w:rsidR="00504786" w:rsidRPr="00504786" w:rsidRDefault="00504786">
      <w:pPr>
        <w:pStyle w:val="TOC1"/>
        <w:tabs>
          <w:tab w:val="left" w:pos="720"/>
          <w:tab w:val="right" w:leader="dot" w:pos="9016"/>
        </w:tabs>
        <w:rPr>
          <w:rFonts w:ascii="Tahoma" w:eastAsiaTheme="minorEastAsia" w:hAnsi="Tahoma" w:cs="Tahoma"/>
          <w:noProof/>
          <w:sz w:val="24"/>
          <w:szCs w:val="24"/>
          <w:lang w:eastAsia="en-ZW"/>
          <w14:ligatures w14:val="standardContextual"/>
        </w:rPr>
      </w:pPr>
      <w:hyperlink w:anchor="_Toc189745287" w:history="1">
        <w:r w:rsidRPr="00504786">
          <w:rPr>
            <w:rStyle w:val="Hyperlink"/>
            <w:rFonts w:ascii="Tahoma" w:hAnsi="Tahoma" w:cs="Tahoma"/>
            <w:noProof/>
            <w:sz w:val="24"/>
            <w:szCs w:val="24"/>
            <w:lang w:val="en-US"/>
          </w:rPr>
          <w:t>9.0</w:t>
        </w:r>
        <w:r w:rsidRPr="00504786">
          <w:rPr>
            <w:rFonts w:ascii="Tahoma" w:eastAsiaTheme="minorEastAsia" w:hAnsi="Tahoma" w:cs="Tahoma"/>
            <w:noProof/>
            <w:sz w:val="24"/>
            <w:szCs w:val="24"/>
            <w:lang w:eastAsia="en-ZW"/>
            <w14:ligatures w14:val="standardContextual"/>
          </w:rPr>
          <w:tab/>
        </w:r>
        <w:r w:rsidRPr="00504786">
          <w:rPr>
            <w:rStyle w:val="Hyperlink"/>
            <w:rFonts w:ascii="Tahoma" w:hAnsi="Tahoma" w:cs="Tahoma"/>
            <w:noProof/>
            <w:sz w:val="24"/>
            <w:szCs w:val="24"/>
            <w:lang w:val="en-US"/>
          </w:rPr>
          <w:t>Recommendations</w:t>
        </w:r>
        <w:r w:rsidRPr="00504786">
          <w:rPr>
            <w:rFonts w:ascii="Tahoma" w:hAnsi="Tahoma" w:cs="Tahoma"/>
            <w:noProof/>
            <w:webHidden/>
            <w:sz w:val="24"/>
            <w:szCs w:val="24"/>
          </w:rPr>
          <w:tab/>
        </w:r>
        <w:r w:rsidRPr="00504786">
          <w:rPr>
            <w:rFonts w:ascii="Tahoma" w:hAnsi="Tahoma" w:cs="Tahoma"/>
            <w:noProof/>
            <w:webHidden/>
            <w:sz w:val="24"/>
            <w:szCs w:val="24"/>
          </w:rPr>
          <w:fldChar w:fldCharType="begin"/>
        </w:r>
        <w:r w:rsidRPr="00504786">
          <w:rPr>
            <w:rFonts w:ascii="Tahoma" w:hAnsi="Tahoma" w:cs="Tahoma"/>
            <w:noProof/>
            <w:webHidden/>
            <w:sz w:val="24"/>
            <w:szCs w:val="24"/>
          </w:rPr>
          <w:instrText xml:space="preserve"> PAGEREF _Toc189745287 \h </w:instrText>
        </w:r>
        <w:r w:rsidRPr="00504786">
          <w:rPr>
            <w:rFonts w:ascii="Tahoma" w:hAnsi="Tahoma" w:cs="Tahoma"/>
            <w:noProof/>
            <w:webHidden/>
            <w:sz w:val="24"/>
            <w:szCs w:val="24"/>
          </w:rPr>
        </w:r>
        <w:r w:rsidRPr="00504786">
          <w:rPr>
            <w:rFonts w:ascii="Tahoma" w:hAnsi="Tahoma" w:cs="Tahoma"/>
            <w:noProof/>
            <w:webHidden/>
            <w:sz w:val="24"/>
            <w:szCs w:val="24"/>
          </w:rPr>
          <w:fldChar w:fldCharType="separate"/>
        </w:r>
        <w:r w:rsidRPr="00504786">
          <w:rPr>
            <w:rFonts w:ascii="Tahoma" w:hAnsi="Tahoma" w:cs="Tahoma"/>
            <w:noProof/>
            <w:webHidden/>
            <w:sz w:val="24"/>
            <w:szCs w:val="24"/>
          </w:rPr>
          <w:t>10</w:t>
        </w:r>
        <w:r w:rsidRPr="00504786">
          <w:rPr>
            <w:rFonts w:ascii="Tahoma" w:hAnsi="Tahoma" w:cs="Tahoma"/>
            <w:noProof/>
            <w:webHidden/>
            <w:sz w:val="24"/>
            <w:szCs w:val="24"/>
          </w:rPr>
          <w:fldChar w:fldCharType="end"/>
        </w:r>
      </w:hyperlink>
    </w:p>
    <w:p w14:paraId="7FFF6BAD" w14:textId="46CBCCBA" w:rsidR="00504786" w:rsidRPr="00504786" w:rsidRDefault="00504786">
      <w:pPr>
        <w:pStyle w:val="TOC1"/>
        <w:tabs>
          <w:tab w:val="right" w:leader="dot" w:pos="9016"/>
        </w:tabs>
        <w:rPr>
          <w:rFonts w:ascii="Tahoma" w:eastAsiaTheme="minorEastAsia" w:hAnsi="Tahoma" w:cs="Tahoma"/>
          <w:noProof/>
          <w:sz w:val="24"/>
          <w:szCs w:val="24"/>
          <w:lang w:eastAsia="en-ZW"/>
          <w14:ligatures w14:val="standardContextual"/>
        </w:rPr>
      </w:pPr>
      <w:hyperlink w:anchor="_Toc189745288" w:history="1">
        <w:r w:rsidRPr="00504786">
          <w:rPr>
            <w:rStyle w:val="Hyperlink"/>
            <w:rFonts w:ascii="Tahoma" w:hAnsi="Tahoma" w:cs="Tahoma"/>
            <w:noProof/>
            <w:sz w:val="24"/>
            <w:szCs w:val="24"/>
            <w:lang w:val="en-GB"/>
          </w:rPr>
          <w:t xml:space="preserve">10 </w:t>
        </w:r>
        <w:r w:rsidRPr="00504786">
          <w:rPr>
            <w:rStyle w:val="Hyperlink"/>
            <w:rFonts w:ascii="Tahoma" w:hAnsi="Tahoma" w:cs="Tahoma"/>
            <w:noProof/>
            <w:sz w:val="24"/>
            <w:szCs w:val="24"/>
          </w:rPr>
          <w:t>References</w:t>
        </w:r>
        <w:r w:rsidRPr="00504786">
          <w:rPr>
            <w:rFonts w:ascii="Tahoma" w:hAnsi="Tahoma" w:cs="Tahoma"/>
            <w:noProof/>
            <w:webHidden/>
            <w:sz w:val="24"/>
            <w:szCs w:val="24"/>
          </w:rPr>
          <w:tab/>
        </w:r>
        <w:r w:rsidRPr="00504786">
          <w:rPr>
            <w:rFonts w:ascii="Tahoma" w:hAnsi="Tahoma" w:cs="Tahoma"/>
            <w:noProof/>
            <w:webHidden/>
            <w:sz w:val="24"/>
            <w:szCs w:val="24"/>
          </w:rPr>
          <w:fldChar w:fldCharType="begin"/>
        </w:r>
        <w:r w:rsidRPr="00504786">
          <w:rPr>
            <w:rFonts w:ascii="Tahoma" w:hAnsi="Tahoma" w:cs="Tahoma"/>
            <w:noProof/>
            <w:webHidden/>
            <w:sz w:val="24"/>
            <w:szCs w:val="24"/>
          </w:rPr>
          <w:instrText xml:space="preserve"> PAGEREF _Toc189745288 \h </w:instrText>
        </w:r>
        <w:r w:rsidRPr="00504786">
          <w:rPr>
            <w:rFonts w:ascii="Tahoma" w:hAnsi="Tahoma" w:cs="Tahoma"/>
            <w:noProof/>
            <w:webHidden/>
            <w:sz w:val="24"/>
            <w:szCs w:val="24"/>
          </w:rPr>
        </w:r>
        <w:r w:rsidRPr="00504786">
          <w:rPr>
            <w:rFonts w:ascii="Tahoma" w:hAnsi="Tahoma" w:cs="Tahoma"/>
            <w:noProof/>
            <w:webHidden/>
            <w:sz w:val="24"/>
            <w:szCs w:val="24"/>
          </w:rPr>
          <w:fldChar w:fldCharType="separate"/>
        </w:r>
        <w:r w:rsidRPr="00504786">
          <w:rPr>
            <w:rFonts w:ascii="Tahoma" w:hAnsi="Tahoma" w:cs="Tahoma"/>
            <w:noProof/>
            <w:webHidden/>
            <w:sz w:val="24"/>
            <w:szCs w:val="24"/>
          </w:rPr>
          <w:t>11</w:t>
        </w:r>
        <w:r w:rsidRPr="00504786">
          <w:rPr>
            <w:rFonts w:ascii="Tahoma" w:hAnsi="Tahoma" w:cs="Tahoma"/>
            <w:noProof/>
            <w:webHidden/>
            <w:sz w:val="24"/>
            <w:szCs w:val="24"/>
          </w:rPr>
          <w:fldChar w:fldCharType="end"/>
        </w:r>
      </w:hyperlink>
    </w:p>
    <w:p w14:paraId="05A57219" w14:textId="04D2B6DA" w:rsidR="00D46F37" w:rsidRPr="00F05BD5" w:rsidRDefault="00D46F37" w:rsidP="00F05BD5">
      <w:pPr>
        <w:jc w:val="both"/>
      </w:pPr>
      <w:r w:rsidRPr="00504786">
        <w:rPr>
          <w:rFonts w:ascii="Tahoma" w:hAnsi="Tahoma" w:cs="Tahoma"/>
          <w:noProof/>
          <w:sz w:val="24"/>
          <w:szCs w:val="24"/>
        </w:rPr>
        <w:fldChar w:fldCharType="end"/>
      </w:r>
    </w:p>
    <w:p w14:paraId="3716E9F9" w14:textId="77777777" w:rsidR="00D46F37" w:rsidRDefault="00D46F37" w:rsidP="00D46F37">
      <w:pPr>
        <w:rPr>
          <w:lang w:val="en-US"/>
        </w:rPr>
      </w:pPr>
    </w:p>
    <w:p w14:paraId="051AB47A" w14:textId="77777777" w:rsidR="00D46F37" w:rsidRDefault="00D46F37" w:rsidP="00D46F37">
      <w:pPr>
        <w:rPr>
          <w:lang w:val="en-US"/>
        </w:rPr>
      </w:pPr>
    </w:p>
    <w:p w14:paraId="6C8A5694" w14:textId="77777777" w:rsidR="00D46F37" w:rsidRDefault="00D46F37" w:rsidP="00D46F37">
      <w:pPr>
        <w:rPr>
          <w:lang w:val="en-US"/>
        </w:rPr>
      </w:pPr>
    </w:p>
    <w:p w14:paraId="122856B1" w14:textId="77777777" w:rsidR="00D46F37" w:rsidRDefault="00D46F37" w:rsidP="00D46F37">
      <w:pPr>
        <w:rPr>
          <w:lang w:val="en-US"/>
        </w:rPr>
      </w:pPr>
    </w:p>
    <w:p w14:paraId="30927F92" w14:textId="77777777" w:rsidR="00D46F37" w:rsidRDefault="00D46F37" w:rsidP="00D46F37">
      <w:pPr>
        <w:rPr>
          <w:lang w:val="en-US"/>
        </w:rPr>
      </w:pPr>
    </w:p>
    <w:p w14:paraId="27499881" w14:textId="77777777" w:rsidR="00463A60" w:rsidRDefault="00463A60" w:rsidP="00D46F37">
      <w:pPr>
        <w:rPr>
          <w:lang w:val="en-US"/>
        </w:rPr>
      </w:pPr>
    </w:p>
    <w:p w14:paraId="514E28D7" w14:textId="77777777" w:rsidR="00463A60" w:rsidRDefault="00463A60" w:rsidP="00D46F37">
      <w:pPr>
        <w:rPr>
          <w:lang w:val="en-US"/>
        </w:rPr>
      </w:pPr>
    </w:p>
    <w:p w14:paraId="7F34D183" w14:textId="77777777" w:rsidR="00A26B7B" w:rsidRDefault="00A26B7B" w:rsidP="00D46F37">
      <w:pPr>
        <w:rPr>
          <w:lang w:val="en-US"/>
        </w:rPr>
      </w:pPr>
    </w:p>
    <w:p w14:paraId="285687C0" w14:textId="77777777" w:rsidR="00D46F37" w:rsidRDefault="00D46F37" w:rsidP="00D46F37">
      <w:pPr>
        <w:rPr>
          <w:lang w:val="en-US"/>
        </w:rPr>
      </w:pPr>
    </w:p>
    <w:p w14:paraId="2CFE9466" w14:textId="77777777" w:rsidR="00D46F37" w:rsidRDefault="00D46F37" w:rsidP="00D46F37">
      <w:pPr>
        <w:rPr>
          <w:lang w:val="en-US"/>
        </w:rPr>
      </w:pPr>
    </w:p>
    <w:p w14:paraId="3D8FCB05" w14:textId="77777777" w:rsidR="00732393" w:rsidRPr="00E36073" w:rsidRDefault="00F67469" w:rsidP="005D76CA">
      <w:pPr>
        <w:rPr>
          <w:rFonts w:ascii="Tahoma" w:hAnsi="Tahoma" w:cs="Tahoma"/>
          <w:b/>
          <w:color w:val="000000"/>
          <w:sz w:val="24"/>
          <w:szCs w:val="24"/>
          <w:lang w:val="en-US"/>
        </w:rPr>
      </w:pPr>
      <w:r w:rsidRPr="00863A17">
        <w:rPr>
          <w:rFonts w:ascii="Tahoma" w:hAnsi="Tahoma" w:cs="Tahoma"/>
          <w:b/>
          <w:color w:val="000000"/>
          <w:sz w:val="24"/>
          <w:szCs w:val="24"/>
          <w:lang w:val="en-US"/>
        </w:rPr>
        <w:lastRenderedPageBreak/>
        <w:t xml:space="preserve">List of </w:t>
      </w:r>
      <w:r w:rsidR="009744EB">
        <w:rPr>
          <w:rFonts w:ascii="Tahoma" w:hAnsi="Tahoma" w:cs="Tahoma"/>
          <w:b/>
          <w:color w:val="000000"/>
          <w:sz w:val="24"/>
          <w:szCs w:val="24"/>
          <w:lang w:val="en-US"/>
        </w:rPr>
        <w:t>Tables</w:t>
      </w:r>
      <w:r w:rsidRPr="00863A17">
        <w:rPr>
          <w:rFonts w:ascii="Tahoma" w:hAnsi="Tahoma" w:cs="Tahoma"/>
          <w:b/>
          <w:color w:val="000000"/>
          <w:sz w:val="24"/>
          <w:szCs w:val="24"/>
          <w:lang w:val="en-US"/>
        </w:rPr>
        <w:t xml:space="preserve"> </w:t>
      </w:r>
    </w:p>
    <w:p w14:paraId="46B7C23C" w14:textId="6BED1B52" w:rsidR="00CB099B" w:rsidRPr="00CB099B" w:rsidRDefault="00E36073">
      <w:pPr>
        <w:pStyle w:val="TableofFigures"/>
        <w:tabs>
          <w:tab w:val="right" w:leader="dot" w:pos="9016"/>
        </w:tabs>
        <w:rPr>
          <w:rFonts w:ascii="Tahoma" w:eastAsiaTheme="minorEastAsia" w:hAnsi="Tahoma" w:cs="Tahoma"/>
          <w:noProof/>
          <w:sz w:val="24"/>
          <w:szCs w:val="24"/>
          <w:lang w:eastAsia="en-ZW"/>
          <w14:ligatures w14:val="standardContextual"/>
        </w:rPr>
      </w:pPr>
      <w:r w:rsidRPr="004D35AC">
        <w:rPr>
          <w:rFonts w:ascii="Tahoma" w:hAnsi="Tahoma" w:cs="Tahoma"/>
          <w:b/>
          <w:iCs/>
          <w:sz w:val="24"/>
          <w:szCs w:val="24"/>
          <w:lang w:val="en-US"/>
        </w:rPr>
        <w:fldChar w:fldCharType="begin"/>
      </w:r>
      <w:r w:rsidRPr="004D35AC">
        <w:rPr>
          <w:rFonts w:ascii="Tahoma" w:hAnsi="Tahoma" w:cs="Tahoma"/>
          <w:b/>
          <w:iCs/>
          <w:sz w:val="24"/>
          <w:szCs w:val="24"/>
          <w:lang w:val="en-US"/>
        </w:rPr>
        <w:instrText xml:space="preserve"> TOC \f F \h \z \t "List of Tables" \c </w:instrText>
      </w:r>
      <w:r w:rsidRPr="004D35AC">
        <w:rPr>
          <w:rFonts w:ascii="Tahoma" w:hAnsi="Tahoma" w:cs="Tahoma"/>
          <w:b/>
          <w:iCs/>
          <w:sz w:val="24"/>
          <w:szCs w:val="24"/>
          <w:lang w:val="en-US"/>
        </w:rPr>
        <w:fldChar w:fldCharType="separate"/>
      </w:r>
      <w:hyperlink w:anchor="_Toc189745373" w:history="1">
        <w:r w:rsidR="00CB099B" w:rsidRPr="00CB099B">
          <w:rPr>
            <w:rStyle w:val="Hyperlink"/>
            <w:rFonts w:ascii="Tahoma" w:hAnsi="Tahoma" w:cs="Tahoma"/>
            <w:noProof/>
            <w:sz w:val="24"/>
            <w:szCs w:val="24"/>
          </w:rPr>
          <w:t xml:space="preserve">Table 1: </w:t>
        </w:r>
        <w:r w:rsidR="00CB099B" w:rsidRPr="00CB099B">
          <w:rPr>
            <w:rStyle w:val="Hyperlink"/>
            <w:rFonts w:ascii="Tahoma" w:hAnsi="Tahoma" w:cs="Tahoma"/>
            <w:noProof/>
            <w:sz w:val="24"/>
            <w:szCs w:val="24"/>
            <w:lang w:val="en-US"/>
          </w:rPr>
          <w:t>Global Economic Growth Developments</w:t>
        </w:r>
        <w:r w:rsidR="00CB099B" w:rsidRPr="00CB099B">
          <w:rPr>
            <w:rFonts w:ascii="Tahoma" w:hAnsi="Tahoma" w:cs="Tahoma"/>
            <w:noProof/>
            <w:webHidden/>
            <w:sz w:val="24"/>
            <w:szCs w:val="24"/>
          </w:rPr>
          <w:tab/>
        </w:r>
        <w:r w:rsidR="00CB099B" w:rsidRPr="00CB099B">
          <w:rPr>
            <w:rFonts w:ascii="Tahoma" w:hAnsi="Tahoma" w:cs="Tahoma"/>
            <w:noProof/>
            <w:webHidden/>
            <w:sz w:val="24"/>
            <w:szCs w:val="24"/>
          </w:rPr>
          <w:fldChar w:fldCharType="begin"/>
        </w:r>
        <w:r w:rsidR="00CB099B" w:rsidRPr="00CB099B">
          <w:rPr>
            <w:rFonts w:ascii="Tahoma" w:hAnsi="Tahoma" w:cs="Tahoma"/>
            <w:noProof/>
            <w:webHidden/>
            <w:sz w:val="24"/>
            <w:szCs w:val="24"/>
          </w:rPr>
          <w:instrText xml:space="preserve"> PAGEREF _Toc189745373 \h </w:instrText>
        </w:r>
        <w:r w:rsidR="00CB099B" w:rsidRPr="00CB099B">
          <w:rPr>
            <w:rFonts w:ascii="Tahoma" w:hAnsi="Tahoma" w:cs="Tahoma"/>
            <w:noProof/>
            <w:webHidden/>
            <w:sz w:val="24"/>
            <w:szCs w:val="24"/>
          </w:rPr>
        </w:r>
        <w:r w:rsidR="00CB099B" w:rsidRPr="00CB099B">
          <w:rPr>
            <w:rFonts w:ascii="Tahoma" w:hAnsi="Tahoma" w:cs="Tahoma"/>
            <w:noProof/>
            <w:webHidden/>
            <w:sz w:val="24"/>
            <w:szCs w:val="24"/>
          </w:rPr>
          <w:fldChar w:fldCharType="separate"/>
        </w:r>
        <w:r w:rsidR="00CB099B" w:rsidRPr="00CB099B">
          <w:rPr>
            <w:rFonts w:ascii="Tahoma" w:hAnsi="Tahoma" w:cs="Tahoma"/>
            <w:noProof/>
            <w:webHidden/>
            <w:sz w:val="24"/>
            <w:szCs w:val="24"/>
          </w:rPr>
          <w:t>1</w:t>
        </w:r>
        <w:r w:rsidR="00CB099B" w:rsidRPr="00CB099B">
          <w:rPr>
            <w:rFonts w:ascii="Tahoma" w:hAnsi="Tahoma" w:cs="Tahoma"/>
            <w:noProof/>
            <w:webHidden/>
            <w:sz w:val="24"/>
            <w:szCs w:val="24"/>
          </w:rPr>
          <w:fldChar w:fldCharType="end"/>
        </w:r>
      </w:hyperlink>
    </w:p>
    <w:p w14:paraId="12A35AC8" w14:textId="7193A1D4" w:rsidR="00CB099B" w:rsidRPr="00CB099B" w:rsidRDefault="00CB099B">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9745374" w:history="1">
        <w:r w:rsidRPr="00CB099B">
          <w:rPr>
            <w:rStyle w:val="Hyperlink"/>
            <w:rFonts w:ascii="Tahoma" w:hAnsi="Tahoma" w:cs="Tahoma"/>
            <w:noProof/>
            <w:sz w:val="24"/>
            <w:szCs w:val="24"/>
          </w:rPr>
          <w:t>Table 2:</w:t>
        </w:r>
        <w:r w:rsidRPr="00CB099B">
          <w:rPr>
            <w:rStyle w:val="Hyperlink"/>
            <w:rFonts w:ascii="Tahoma" w:hAnsi="Tahoma" w:cs="Tahoma"/>
            <w:noProof/>
            <w:sz w:val="24"/>
            <w:szCs w:val="24"/>
            <w:lang w:val="en-US"/>
          </w:rPr>
          <w:t xml:space="preserve"> Commodity Price Movements – Month Ending 31 January 2025</w:t>
        </w:r>
        <w:r w:rsidRPr="00CB099B">
          <w:rPr>
            <w:rFonts w:ascii="Tahoma" w:hAnsi="Tahoma" w:cs="Tahoma"/>
            <w:noProof/>
            <w:webHidden/>
            <w:sz w:val="24"/>
            <w:szCs w:val="24"/>
          </w:rPr>
          <w:tab/>
        </w:r>
        <w:r w:rsidRPr="00CB099B">
          <w:rPr>
            <w:rFonts w:ascii="Tahoma" w:hAnsi="Tahoma" w:cs="Tahoma"/>
            <w:noProof/>
            <w:webHidden/>
            <w:sz w:val="24"/>
            <w:szCs w:val="24"/>
          </w:rPr>
          <w:fldChar w:fldCharType="begin"/>
        </w:r>
        <w:r w:rsidRPr="00CB099B">
          <w:rPr>
            <w:rFonts w:ascii="Tahoma" w:hAnsi="Tahoma" w:cs="Tahoma"/>
            <w:noProof/>
            <w:webHidden/>
            <w:sz w:val="24"/>
            <w:szCs w:val="24"/>
          </w:rPr>
          <w:instrText xml:space="preserve"> PAGEREF _Toc189745374 \h </w:instrText>
        </w:r>
        <w:r w:rsidRPr="00CB099B">
          <w:rPr>
            <w:rFonts w:ascii="Tahoma" w:hAnsi="Tahoma" w:cs="Tahoma"/>
            <w:noProof/>
            <w:webHidden/>
            <w:sz w:val="24"/>
            <w:szCs w:val="24"/>
          </w:rPr>
        </w:r>
        <w:r w:rsidRPr="00CB099B">
          <w:rPr>
            <w:rFonts w:ascii="Tahoma" w:hAnsi="Tahoma" w:cs="Tahoma"/>
            <w:noProof/>
            <w:webHidden/>
            <w:sz w:val="24"/>
            <w:szCs w:val="24"/>
          </w:rPr>
          <w:fldChar w:fldCharType="separate"/>
        </w:r>
        <w:r w:rsidRPr="00CB099B">
          <w:rPr>
            <w:rFonts w:ascii="Tahoma" w:hAnsi="Tahoma" w:cs="Tahoma"/>
            <w:noProof/>
            <w:webHidden/>
            <w:sz w:val="24"/>
            <w:szCs w:val="24"/>
          </w:rPr>
          <w:t>3</w:t>
        </w:r>
        <w:r w:rsidRPr="00CB099B">
          <w:rPr>
            <w:rFonts w:ascii="Tahoma" w:hAnsi="Tahoma" w:cs="Tahoma"/>
            <w:noProof/>
            <w:webHidden/>
            <w:sz w:val="24"/>
            <w:szCs w:val="24"/>
          </w:rPr>
          <w:fldChar w:fldCharType="end"/>
        </w:r>
      </w:hyperlink>
    </w:p>
    <w:p w14:paraId="1FDE5C1C" w14:textId="6E1B893B" w:rsidR="00CB099B" w:rsidRPr="00CB099B" w:rsidRDefault="00CB099B">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9745375" w:history="1">
        <w:r w:rsidRPr="00CB099B">
          <w:rPr>
            <w:rStyle w:val="Hyperlink"/>
            <w:rFonts w:ascii="Tahoma" w:hAnsi="Tahoma" w:cs="Tahoma"/>
            <w:noProof/>
            <w:sz w:val="24"/>
            <w:szCs w:val="24"/>
          </w:rPr>
          <w:t>Table 3: ZWG Exchange Rate Movements-Month Ending 31 January 2025</w:t>
        </w:r>
        <w:r w:rsidRPr="00CB099B">
          <w:rPr>
            <w:rFonts w:ascii="Tahoma" w:hAnsi="Tahoma" w:cs="Tahoma"/>
            <w:noProof/>
            <w:webHidden/>
            <w:sz w:val="24"/>
            <w:szCs w:val="24"/>
          </w:rPr>
          <w:tab/>
        </w:r>
        <w:r w:rsidRPr="00CB099B">
          <w:rPr>
            <w:rFonts w:ascii="Tahoma" w:hAnsi="Tahoma" w:cs="Tahoma"/>
            <w:noProof/>
            <w:webHidden/>
            <w:sz w:val="24"/>
            <w:szCs w:val="24"/>
          </w:rPr>
          <w:fldChar w:fldCharType="begin"/>
        </w:r>
        <w:r w:rsidRPr="00CB099B">
          <w:rPr>
            <w:rFonts w:ascii="Tahoma" w:hAnsi="Tahoma" w:cs="Tahoma"/>
            <w:noProof/>
            <w:webHidden/>
            <w:sz w:val="24"/>
            <w:szCs w:val="24"/>
          </w:rPr>
          <w:instrText xml:space="preserve"> PAGEREF _Toc189745375 \h </w:instrText>
        </w:r>
        <w:r w:rsidRPr="00CB099B">
          <w:rPr>
            <w:rFonts w:ascii="Tahoma" w:hAnsi="Tahoma" w:cs="Tahoma"/>
            <w:noProof/>
            <w:webHidden/>
            <w:sz w:val="24"/>
            <w:szCs w:val="24"/>
          </w:rPr>
        </w:r>
        <w:r w:rsidRPr="00CB099B">
          <w:rPr>
            <w:rFonts w:ascii="Tahoma" w:hAnsi="Tahoma" w:cs="Tahoma"/>
            <w:noProof/>
            <w:webHidden/>
            <w:sz w:val="24"/>
            <w:szCs w:val="24"/>
          </w:rPr>
          <w:fldChar w:fldCharType="separate"/>
        </w:r>
        <w:r w:rsidRPr="00CB099B">
          <w:rPr>
            <w:rFonts w:ascii="Tahoma" w:hAnsi="Tahoma" w:cs="Tahoma"/>
            <w:noProof/>
            <w:webHidden/>
            <w:sz w:val="24"/>
            <w:szCs w:val="24"/>
          </w:rPr>
          <w:t>4</w:t>
        </w:r>
        <w:r w:rsidRPr="00CB099B">
          <w:rPr>
            <w:rFonts w:ascii="Tahoma" w:hAnsi="Tahoma" w:cs="Tahoma"/>
            <w:noProof/>
            <w:webHidden/>
            <w:sz w:val="24"/>
            <w:szCs w:val="24"/>
          </w:rPr>
          <w:fldChar w:fldCharType="end"/>
        </w:r>
      </w:hyperlink>
    </w:p>
    <w:p w14:paraId="30807384" w14:textId="2F1FE2A2" w:rsidR="00CB099B" w:rsidRPr="00CB099B" w:rsidRDefault="00CB099B">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9745376" w:history="1">
        <w:r w:rsidRPr="00CB099B">
          <w:rPr>
            <w:rStyle w:val="Hyperlink"/>
            <w:rFonts w:ascii="Tahoma" w:hAnsi="Tahoma" w:cs="Tahoma"/>
            <w:noProof/>
            <w:sz w:val="24"/>
            <w:szCs w:val="24"/>
          </w:rPr>
          <w:t xml:space="preserve">Table 4: </w:t>
        </w:r>
        <w:r w:rsidRPr="00CB099B">
          <w:rPr>
            <w:rStyle w:val="Hyperlink"/>
            <w:rFonts w:ascii="Tahoma" w:hAnsi="Tahoma" w:cs="Tahoma"/>
            <w:noProof/>
            <w:sz w:val="24"/>
            <w:szCs w:val="24"/>
            <w:lang w:val="en-US"/>
          </w:rPr>
          <w:t>USD Exchange Rate Movements–Month Ended 31 January 2025</w:t>
        </w:r>
        <w:r w:rsidRPr="00CB099B">
          <w:rPr>
            <w:rFonts w:ascii="Tahoma" w:hAnsi="Tahoma" w:cs="Tahoma"/>
            <w:noProof/>
            <w:webHidden/>
            <w:sz w:val="24"/>
            <w:szCs w:val="24"/>
          </w:rPr>
          <w:tab/>
        </w:r>
        <w:r w:rsidRPr="00CB099B">
          <w:rPr>
            <w:rFonts w:ascii="Tahoma" w:hAnsi="Tahoma" w:cs="Tahoma"/>
            <w:noProof/>
            <w:webHidden/>
            <w:sz w:val="24"/>
            <w:szCs w:val="24"/>
          </w:rPr>
          <w:fldChar w:fldCharType="begin"/>
        </w:r>
        <w:r w:rsidRPr="00CB099B">
          <w:rPr>
            <w:rFonts w:ascii="Tahoma" w:hAnsi="Tahoma" w:cs="Tahoma"/>
            <w:noProof/>
            <w:webHidden/>
            <w:sz w:val="24"/>
            <w:szCs w:val="24"/>
          </w:rPr>
          <w:instrText xml:space="preserve"> PAGEREF _Toc189745376 \h </w:instrText>
        </w:r>
        <w:r w:rsidRPr="00CB099B">
          <w:rPr>
            <w:rFonts w:ascii="Tahoma" w:hAnsi="Tahoma" w:cs="Tahoma"/>
            <w:noProof/>
            <w:webHidden/>
            <w:sz w:val="24"/>
            <w:szCs w:val="24"/>
          </w:rPr>
        </w:r>
        <w:r w:rsidRPr="00CB099B">
          <w:rPr>
            <w:rFonts w:ascii="Tahoma" w:hAnsi="Tahoma" w:cs="Tahoma"/>
            <w:noProof/>
            <w:webHidden/>
            <w:sz w:val="24"/>
            <w:szCs w:val="24"/>
          </w:rPr>
          <w:fldChar w:fldCharType="separate"/>
        </w:r>
        <w:r w:rsidRPr="00CB099B">
          <w:rPr>
            <w:rFonts w:ascii="Tahoma" w:hAnsi="Tahoma" w:cs="Tahoma"/>
            <w:noProof/>
            <w:webHidden/>
            <w:sz w:val="24"/>
            <w:szCs w:val="24"/>
          </w:rPr>
          <w:t>5</w:t>
        </w:r>
        <w:r w:rsidRPr="00CB099B">
          <w:rPr>
            <w:rFonts w:ascii="Tahoma" w:hAnsi="Tahoma" w:cs="Tahoma"/>
            <w:noProof/>
            <w:webHidden/>
            <w:sz w:val="24"/>
            <w:szCs w:val="24"/>
          </w:rPr>
          <w:fldChar w:fldCharType="end"/>
        </w:r>
      </w:hyperlink>
    </w:p>
    <w:p w14:paraId="4ADC6485" w14:textId="165A207E" w:rsidR="00CB099B" w:rsidRPr="00CB099B" w:rsidRDefault="00CB099B">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9745377" w:history="1">
        <w:r w:rsidRPr="00CB099B">
          <w:rPr>
            <w:rStyle w:val="Hyperlink"/>
            <w:rFonts w:ascii="Tahoma" w:hAnsi="Tahoma" w:cs="Tahoma"/>
            <w:noProof/>
            <w:sz w:val="24"/>
            <w:szCs w:val="24"/>
          </w:rPr>
          <w:t xml:space="preserve">Table 5: Monthly </w:t>
        </w:r>
        <w:r w:rsidRPr="00CB099B">
          <w:rPr>
            <w:rStyle w:val="Hyperlink"/>
            <w:rFonts w:ascii="Tahoma" w:hAnsi="Tahoma" w:cs="Tahoma"/>
            <w:noProof/>
            <w:sz w:val="24"/>
            <w:szCs w:val="24"/>
            <w:lang w:val="en-US"/>
          </w:rPr>
          <w:t>Inflation for January 2025</w:t>
        </w:r>
        <w:r w:rsidRPr="00CB099B">
          <w:rPr>
            <w:rFonts w:ascii="Tahoma" w:hAnsi="Tahoma" w:cs="Tahoma"/>
            <w:noProof/>
            <w:webHidden/>
            <w:sz w:val="24"/>
            <w:szCs w:val="24"/>
          </w:rPr>
          <w:tab/>
        </w:r>
        <w:r w:rsidRPr="00CB099B">
          <w:rPr>
            <w:rFonts w:ascii="Tahoma" w:hAnsi="Tahoma" w:cs="Tahoma"/>
            <w:noProof/>
            <w:webHidden/>
            <w:sz w:val="24"/>
            <w:szCs w:val="24"/>
          </w:rPr>
          <w:fldChar w:fldCharType="begin"/>
        </w:r>
        <w:r w:rsidRPr="00CB099B">
          <w:rPr>
            <w:rFonts w:ascii="Tahoma" w:hAnsi="Tahoma" w:cs="Tahoma"/>
            <w:noProof/>
            <w:webHidden/>
            <w:sz w:val="24"/>
            <w:szCs w:val="24"/>
          </w:rPr>
          <w:instrText xml:space="preserve"> PAGEREF _Toc189745377 \h </w:instrText>
        </w:r>
        <w:r w:rsidRPr="00CB099B">
          <w:rPr>
            <w:rFonts w:ascii="Tahoma" w:hAnsi="Tahoma" w:cs="Tahoma"/>
            <w:noProof/>
            <w:webHidden/>
            <w:sz w:val="24"/>
            <w:szCs w:val="24"/>
          </w:rPr>
        </w:r>
        <w:r w:rsidRPr="00CB099B">
          <w:rPr>
            <w:rFonts w:ascii="Tahoma" w:hAnsi="Tahoma" w:cs="Tahoma"/>
            <w:noProof/>
            <w:webHidden/>
            <w:sz w:val="24"/>
            <w:szCs w:val="24"/>
          </w:rPr>
          <w:fldChar w:fldCharType="separate"/>
        </w:r>
        <w:r w:rsidRPr="00CB099B">
          <w:rPr>
            <w:rFonts w:ascii="Tahoma" w:hAnsi="Tahoma" w:cs="Tahoma"/>
            <w:noProof/>
            <w:webHidden/>
            <w:sz w:val="24"/>
            <w:szCs w:val="24"/>
          </w:rPr>
          <w:t>7</w:t>
        </w:r>
        <w:r w:rsidRPr="00CB099B">
          <w:rPr>
            <w:rFonts w:ascii="Tahoma" w:hAnsi="Tahoma" w:cs="Tahoma"/>
            <w:noProof/>
            <w:webHidden/>
            <w:sz w:val="24"/>
            <w:szCs w:val="24"/>
          </w:rPr>
          <w:fldChar w:fldCharType="end"/>
        </w:r>
      </w:hyperlink>
    </w:p>
    <w:p w14:paraId="04092CCB" w14:textId="1E77163F" w:rsidR="00CB099B" w:rsidRPr="00CB099B" w:rsidRDefault="00CB099B">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9745378" w:history="1">
        <w:r w:rsidRPr="00CB099B">
          <w:rPr>
            <w:rStyle w:val="Hyperlink"/>
            <w:rFonts w:ascii="Tahoma" w:hAnsi="Tahoma" w:cs="Tahoma"/>
            <w:noProof/>
            <w:sz w:val="24"/>
            <w:szCs w:val="24"/>
            <w:lang w:val="en-US"/>
          </w:rPr>
          <w:t>Table 6: Interest Rates as of 17 January 2025</w:t>
        </w:r>
        <w:r w:rsidRPr="00CB099B">
          <w:rPr>
            <w:rFonts w:ascii="Tahoma" w:hAnsi="Tahoma" w:cs="Tahoma"/>
            <w:noProof/>
            <w:webHidden/>
            <w:sz w:val="24"/>
            <w:szCs w:val="24"/>
          </w:rPr>
          <w:tab/>
        </w:r>
        <w:r w:rsidRPr="00CB099B">
          <w:rPr>
            <w:rFonts w:ascii="Tahoma" w:hAnsi="Tahoma" w:cs="Tahoma"/>
            <w:noProof/>
            <w:webHidden/>
            <w:sz w:val="24"/>
            <w:szCs w:val="24"/>
          </w:rPr>
          <w:fldChar w:fldCharType="begin"/>
        </w:r>
        <w:r w:rsidRPr="00CB099B">
          <w:rPr>
            <w:rFonts w:ascii="Tahoma" w:hAnsi="Tahoma" w:cs="Tahoma"/>
            <w:noProof/>
            <w:webHidden/>
            <w:sz w:val="24"/>
            <w:szCs w:val="24"/>
          </w:rPr>
          <w:instrText xml:space="preserve"> PAGEREF _Toc189745378 \h </w:instrText>
        </w:r>
        <w:r w:rsidRPr="00CB099B">
          <w:rPr>
            <w:rFonts w:ascii="Tahoma" w:hAnsi="Tahoma" w:cs="Tahoma"/>
            <w:noProof/>
            <w:webHidden/>
            <w:sz w:val="24"/>
            <w:szCs w:val="24"/>
          </w:rPr>
        </w:r>
        <w:r w:rsidRPr="00CB099B">
          <w:rPr>
            <w:rFonts w:ascii="Tahoma" w:hAnsi="Tahoma" w:cs="Tahoma"/>
            <w:noProof/>
            <w:webHidden/>
            <w:sz w:val="24"/>
            <w:szCs w:val="24"/>
          </w:rPr>
          <w:fldChar w:fldCharType="separate"/>
        </w:r>
        <w:r w:rsidRPr="00CB099B">
          <w:rPr>
            <w:rFonts w:ascii="Tahoma" w:hAnsi="Tahoma" w:cs="Tahoma"/>
            <w:noProof/>
            <w:webHidden/>
            <w:sz w:val="24"/>
            <w:szCs w:val="24"/>
          </w:rPr>
          <w:t>8</w:t>
        </w:r>
        <w:r w:rsidRPr="00CB099B">
          <w:rPr>
            <w:rFonts w:ascii="Tahoma" w:hAnsi="Tahoma" w:cs="Tahoma"/>
            <w:noProof/>
            <w:webHidden/>
            <w:sz w:val="24"/>
            <w:szCs w:val="24"/>
          </w:rPr>
          <w:fldChar w:fldCharType="end"/>
        </w:r>
      </w:hyperlink>
    </w:p>
    <w:p w14:paraId="6F081F7D" w14:textId="035DE667" w:rsidR="00CB099B" w:rsidRPr="00CB099B" w:rsidRDefault="00CB099B">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9745379" w:history="1">
        <w:r w:rsidRPr="00CB099B">
          <w:rPr>
            <w:rStyle w:val="Hyperlink"/>
            <w:rFonts w:ascii="Tahoma" w:hAnsi="Tahoma" w:cs="Tahoma"/>
            <w:noProof/>
            <w:sz w:val="24"/>
            <w:szCs w:val="24"/>
          </w:rPr>
          <w:t>Table 7: Zimbabwe Stock Exchange Movements</w:t>
        </w:r>
        <w:r w:rsidRPr="00CB099B">
          <w:rPr>
            <w:rFonts w:ascii="Tahoma" w:hAnsi="Tahoma" w:cs="Tahoma"/>
            <w:noProof/>
            <w:webHidden/>
            <w:sz w:val="24"/>
            <w:szCs w:val="24"/>
          </w:rPr>
          <w:tab/>
        </w:r>
        <w:r w:rsidRPr="00CB099B">
          <w:rPr>
            <w:rFonts w:ascii="Tahoma" w:hAnsi="Tahoma" w:cs="Tahoma"/>
            <w:noProof/>
            <w:webHidden/>
            <w:sz w:val="24"/>
            <w:szCs w:val="24"/>
          </w:rPr>
          <w:fldChar w:fldCharType="begin"/>
        </w:r>
        <w:r w:rsidRPr="00CB099B">
          <w:rPr>
            <w:rFonts w:ascii="Tahoma" w:hAnsi="Tahoma" w:cs="Tahoma"/>
            <w:noProof/>
            <w:webHidden/>
            <w:sz w:val="24"/>
            <w:szCs w:val="24"/>
          </w:rPr>
          <w:instrText xml:space="preserve"> PAGEREF _Toc189745379 \h </w:instrText>
        </w:r>
        <w:r w:rsidRPr="00CB099B">
          <w:rPr>
            <w:rFonts w:ascii="Tahoma" w:hAnsi="Tahoma" w:cs="Tahoma"/>
            <w:noProof/>
            <w:webHidden/>
            <w:sz w:val="24"/>
            <w:szCs w:val="24"/>
          </w:rPr>
        </w:r>
        <w:r w:rsidRPr="00CB099B">
          <w:rPr>
            <w:rFonts w:ascii="Tahoma" w:hAnsi="Tahoma" w:cs="Tahoma"/>
            <w:noProof/>
            <w:webHidden/>
            <w:sz w:val="24"/>
            <w:szCs w:val="24"/>
          </w:rPr>
          <w:fldChar w:fldCharType="separate"/>
        </w:r>
        <w:r w:rsidRPr="00CB099B">
          <w:rPr>
            <w:rFonts w:ascii="Tahoma" w:hAnsi="Tahoma" w:cs="Tahoma"/>
            <w:noProof/>
            <w:webHidden/>
            <w:sz w:val="24"/>
            <w:szCs w:val="24"/>
          </w:rPr>
          <w:t>9</w:t>
        </w:r>
        <w:r w:rsidRPr="00CB099B">
          <w:rPr>
            <w:rFonts w:ascii="Tahoma" w:hAnsi="Tahoma" w:cs="Tahoma"/>
            <w:noProof/>
            <w:webHidden/>
            <w:sz w:val="24"/>
            <w:szCs w:val="24"/>
          </w:rPr>
          <w:fldChar w:fldCharType="end"/>
        </w:r>
      </w:hyperlink>
    </w:p>
    <w:p w14:paraId="25AD0402" w14:textId="45E69203" w:rsidR="00CB099B" w:rsidRPr="00CB099B" w:rsidRDefault="00CB099B">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9745380" w:history="1">
        <w:r w:rsidRPr="00CB099B">
          <w:rPr>
            <w:rStyle w:val="Hyperlink"/>
            <w:rFonts w:ascii="Tahoma" w:hAnsi="Tahoma" w:cs="Tahoma"/>
            <w:noProof/>
            <w:sz w:val="24"/>
            <w:szCs w:val="24"/>
          </w:rPr>
          <w:t>Table 8: Victoria Falls Stock Exchange Movements</w:t>
        </w:r>
        <w:r w:rsidRPr="00CB099B">
          <w:rPr>
            <w:rFonts w:ascii="Tahoma" w:hAnsi="Tahoma" w:cs="Tahoma"/>
            <w:noProof/>
            <w:webHidden/>
            <w:sz w:val="24"/>
            <w:szCs w:val="24"/>
          </w:rPr>
          <w:tab/>
        </w:r>
        <w:r w:rsidRPr="00CB099B">
          <w:rPr>
            <w:rFonts w:ascii="Tahoma" w:hAnsi="Tahoma" w:cs="Tahoma"/>
            <w:noProof/>
            <w:webHidden/>
            <w:sz w:val="24"/>
            <w:szCs w:val="24"/>
          </w:rPr>
          <w:fldChar w:fldCharType="begin"/>
        </w:r>
        <w:r w:rsidRPr="00CB099B">
          <w:rPr>
            <w:rFonts w:ascii="Tahoma" w:hAnsi="Tahoma" w:cs="Tahoma"/>
            <w:noProof/>
            <w:webHidden/>
            <w:sz w:val="24"/>
            <w:szCs w:val="24"/>
          </w:rPr>
          <w:instrText xml:space="preserve"> PAGEREF _Toc189745380 \h </w:instrText>
        </w:r>
        <w:r w:rsidRPr="00CB099B">
          <w:rPr>
            <w:rFonts w:ascii="Tahoma" w:hAnsi="Tahoma" w:cs="Tahoma"/>
            <w:noProof/>
            <w:webHidden/>
            <w:sz w:val="24"/>
            <w:szCs w:val="24"/>
          </w:rPr>
        </w:r>
        <w:r w:rsidRPr="00CB099B">
          <w:rPr>
            <w:rFonts w:ascii="Tahoma" w:hAnsi="Tahoma" w:cs="Tahoma"/>
            <w:noProof/>
            <w:webHidden/>
            <w:sz w:val="24"/>
            <w:szCs w:val="24"/>
          </w:rPr>
          <w:fldChar w:fldCharType="separate"/>
        </w:r>
        <w:r w:rsidRPr="00CB099B">
          <w:rPr>
            <w:rFonts w:ascii="Tahoma" w:hAnsi="Tahoma" w:cs="Tahoma"/>
            <w:noProof/>
            <w:webHidden/>
            <w:sz w:val="24"/>
            <w:szCs w:val="24"/>
          </w:rPr>
          <w:t>9</w:t>
        </w:r>
        <w:r w:rsidRPr="00CB099B">
          <w:rPr>
            <w:rFonts w:ascii="Tahoma" w:hAnsi="Tahoma" w:cs="Tahoma"/>
            <w:noProof/>
            <w:webHidden/>
            <w:sz w:val="24"/>
            <w:szCs w:val="24"/>
          </w:rPr>
          <w:fldChar w:fldCharType="end"/>
        </w:r>
      </w:hyperlink>
    </w:p>
    <w:p w14:paraId="06881970" w14:textId="797F9578" w:rsidR="00DA458A" w:rsidRPr="008A3AD2" w:rsidRDefault="00E36073">
      <w:pPr>
        <w:rPr>
          <w:rFonts w:ascii="Tahoma" w:hAnsi="Tahoma" w:cs="Tahoma"/>
          <w:b/>
          <w:bCs/>
          <w:sz w:val="24"/>
          <w:szCs w:val="24"/>
          <w:lang w:val="en-US"/>
        </w:rPr>
      </w:pPr>
      <w:r w:rsidRPr="004D35AC">
        <w:rPr>
          <w:rFonts w:ascii="Tahoma" w:hAnsi="Tahoma" w:cs="Tahoma"/>
          <w:b/>
          <w:iCs/>
          <w:sz w:val="24"/>
          <w:szCs w:val="24"/>
          <w:lang w:val="en-US"/>
        </w:rPr>
        <w:fldChar w:fldCharType="end"/>
      </w:r>
    </w:p>
    <w:p w14:paraId="5E19E04B" w14:textId="77777777" w:rsidR="00625D0B" w:rsidRDefault="00654F03" w:rsidP="000129B7">
      <w:pPr>
        <w:rPr>
          <w:noProof/>
        </w:rPr>
      </w:pPr>
      <w:r w:rsidRPr="00863A17">
        <w:rPr>
          <w:rFonts w:ascii="Tahoma" w:hAnsi="Tahoma" w:cs="Tahoma"/>
          <w:sz w:val="24"/>
          <w:szCs w:val="24"/>
          <w:lang w:val="en-US"/>
        </w:rPr>
        <w:br w:type="page"/>
      </w:r>
      <w:r w:rsidR="00E76009" w:rsidRPr="00DB4775">
        <w:rPr>
          <w:rFonts w:ascii="Tahoma" w:hAnsi="Tahoma" w:cs="Tahoma"/>
          <w:b/>
          <w:bCs/>
          <w:sz w:val="24"/>
          <w:szCs w:val="24"/>
          <w:lang w:val="en-US"/>
        </w:rPr>
        <w:lastRenderedPageBreak/>
        <w:t>List of Figures</w:t>
      </w:r>
      <w:r w:rsidR="00E76009" w:rsidRPr="00BF727A">
        <w:rPr>
          <w:rFonts w:ascii="Tahoma" w:hAnsi="Tahoma" w:cs="Tahoma"/>
          <w:b/>
          <w:bCs/>
          <w:sz w:val="24"/>
          <w:szCs w:val="24"/>
          <w:lang w:val="en-US"/>
        </w:rPr>
        <w:fldChar w:fldCharType="begin"/>
      </w:r>
      <w:r w:rsidR="00E76009" w:rsidRPr="00BF727A">
        <w:rPr>
          <w:rFonts w:ascii="Tahoma" w:hAnsi="Tahoma" w:cs="Tahoma"/>
          <w:b/>
          <w:bCs/>
          <w:sz w:val="24"/>
          <w:szCs w:val="24"/>
          <w:lang w:val="en-US"/>
        </w:rPr>
        <w:instrText xml:space="preserve"> TOC \h \z \t "List of Figures" \c </w:instrText>
      </w:r>
      <w:r w:rsidR="00E76009" w:rsidRPr="00BF727A">
        <w:rPr>
          <w:rFonts w:ascii="Tahoma" w:hAnsi="Tahoma" w:cs="Tahoma"/>
          <w:b/>
          <w:bCs/>
          <w:sz w:val="24"/>
          <w:szCs w:val="24"/>
          <w:lang w:val="en-US"/>
        </w:rPr>
        <w:fldChar w:fldCharType="separate"/>
      </w:r>
    </w:p>
    <w:p w14:paraId="21BE906A" w14:textId="4E96D4B6" w:rsidR="00625D0B" w:rsidRPr="00625D0B" w:rsidRDefault="00625D0B">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9745425" w:history="1">
        <w:r w:rsidRPr="00625D0B">
          <w:rPr>
            <w:rStyle w:val="Hyperlink"/>
            <w:rFonts w:ascii="Tahoma" w:hAnsi="Tahoma" w:cs="Tahoma"/>
            <w:noProof/>
            <w:sz w:val="24"/>
            <w:szCs w:val="24"/>
            <w:lang w:val="en-US"/>
          </w:rPr>
          <w:t>Figure 1: Global Inflation</w:t>
        </w:r>
        <w:r w:rsidRPr="00625D0B">
          <w:rPr>
            <w:rFonts w:ascii="Tahoma" w:hAnsi="Tahoma" w:cs="Tahoma"/>
            <w:noProof/>
            <w:webHidden/>
            <w:sz w:val="24"/>
            <w:szCs w:val="24"/>
          </w:rPr>
          <w:tab/>
        </w:r>
        <w:r w:rsidRPr="00625D0B">
          <w:rPr>
            <w:rFonts w:ascii="Tahoma" w:hAnsi="Tahoma" w:cs="Tahoma"/>
            <w:noProof/>
            <w:webHidden/>
            <w:sz w:val="24"/>
            <w:szCs w:val="24"/>
          </w:rPr>
          <w:fldChar w:fldCharType="begin"/>
        </w:r>
        <w:r w:rsidRPr="00625D0B">
          <w:rPr>
            <w:rFonts w:ascii="Tahoma" w:hAnsi="Tahoma" w:cs="Tahoma"/>
            <w:noProof/>
            <w:webHidden/>
            <w:sz w:val="24"/>
            <w:szCs w:val="24"/>
          </w:rPr>
          <w:instrText xml:space="preserve"> PAGEREF _Toc189745425 \h </w:instrText>
        </w:r>
        <w:r w:rsidRPr="00625D0B">
          <w:rPr>
            <w:rFonts w:ascii="Tahoma" w:hAnsi="Tahoma" w:cs="Tahoma"/>
            <w:noProof/>
            <w:webHidden/>
            <w:sz w:val="24"/>
            <w:szCs w:val="24"/>
          </w:rPr>
        </w:r>
        <w:r w:rsidRPr="00625D0B">
          <w:rPr>
            <w:rFonts w:ascii="Tahoma" w:hAnsi="Tahoma" w:cs="Tahoma"/>
            <w:noProof/>
            <w:webHidden/>
            <w:sz w:val="24"/>
            <w:szCs w:val="24"/>
          </w:rPr>
          <w:fldChar w:fldCharType="separate"/>
        </w:r>
        <w:r w:rsidRPr="00625D0B">
          <w:rPr>
            <w:rFonts w:ascii="Tahoma" w:hAnsi="Tahoma" w:cs="Tahoma"/>
            <w:noProof/>
            <w:webHidden/>
            <w:sz w:val="24"/>
            <w:szCs w:val="24"/>
          </w:rPr>
          <w:t>2</w:t>
        </w:r>
        <w:r w:rsidRPr="00625D0B">
          <w:rPr>
            <w:rFonts w:ascii="Tahoma" w:hAnsi="Tahoma" w:cs="Tahoma"/>
            <w:noProof/>
            <w:webHidden/>
            <w:sz w:val="24"/>
            <w:szCs w:val="24"/>
          </w:rPr>
          <w:fldChar w:fldCharType="end"/>
        </w:r>
      </w:hyperlink>
    </w:p>
    <w:p w14:paraId="26B6ECF4" w14:textId="4F88568B" w:rsidR="00625D0B" w:rsidRPr="00625D0B" w:rsidRDefault="00625D0B">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9745426" w:history="1">
        <w:r w:rsidRPr="00625D0B">
          <w:rPr>
            <w:rStyle w:val="Hyperlink"/>
            <w:rFonts w:ascii="Tahoma" w:hAnsi="Tahoma" w:cs="Tahoma"/>
            <w:noProof/>
            <w:sz w:val="24"/>
            <w:szCs w:val="24"/>
          </w:rPr>
          <w:t xml:space="preserve">Figure </w:t>
        </w:r>
        <w:r w:rsidRPr="00625D0B">
          <w:rPr>
            <w:rStyle w:val="Hyperlink"/>
            <w:rFonts w:ascii="Tahoma" w:hAnsi="Tahoma" w:cs="Tahoma"/>
            <w:bCs/>
            <w:noProof/>
            <w:sz w:val="24"/>
            <w:szCs w:val="24"/>
          </w:rPr>
          <w:t>2</w:t>
        </w:r>
        <w:r w:rsidRPr="00625D0B">
          <w:rPr>
            <w:rStyle w:val="Hyperlink"/>
            <w:rFonts w:ascii="Tahoma" w:hAnsi="Tahoma" w:cs="Tahoma"/>
            <w:noProof/>
            <w:sz w:val="24"/>
            <w:szCs w:val="24"/>
          </w:rPr>
          <w:t xml:space="preserve">: </w:t>
        </w:r>
        <w:r w:rsidRPr="00625D0B">
          <w:rPr>
            <w:rStyle w:val="Hyperlink"/>
            <w:rFonts w:ascii="Tahoma" w:hAnsi="Tahoma" w:cs="Tahoma"/>
            <w:noProof/>
            <w:sz w:val="24"/>
            <w:szCs w:val="24"/>
            <w:lang w:val="en-US"/>
          </w:rPr>
          <w:t>Merchandise Trade Developments</w:t>
        </w:r>
        <w:r w:rsidRPr="00625D0B">
          <w:rPr>
            <w:rFonts w:ascii="Tahoma" w:hAnsi="Tahoma" w:cs="Tahoma"/>
            <w:noProof/>
            <w:webHidden/>
            <w:sz w:val="24"/>
            <w:szCs w:val="24"/>
          </w:rPr>
          <w:tab/>
        </w:r>
        <w:r w:rsidRPr="00625D0B">
          <w:rPr>
            <w:rFonts w:ascii="Tahoma" w:hAnsi="Tahoma" w:cs="Tahoma"/>
            <w:noProof/>
            <w:webHidden/>
            <w:sz w:val="24"/>
            <w:szCs w:val="24"/>
          </w:rPr>
          <w:fldChar w:fldCharType="begin"/>
        </w:r>
        <w:r w:rsidRPr="00625D0B">
          <w:rPr>
            <w:rFonts w:ascii="Tahoma" w:hAnsi="Tahoma" w:cs="Tahoma"/>
            <w:noProof/>
            <w:webHidden/>
            <w:sz w:val="24"/>
            <w:szCs w:val="24"/>
          </w:rPr>
          <w:instrText xml:space="preserve"> PAGEREF _Toc189745426 \h </w:instrText>
        </w:r>
        <w:r w:rsidRPr="00625D0B">
          <w:rPr>
            <w:rFonts w:ascii="Tahoma" w:hAnsi="Tahoma" w:cs="Tahoma"/>
            <w:noProof/>
            <w:webHidden/>
            <w:sz w:val="24"/>
            <w:szCs w:val="24"/>
          </w:rPr>
        </w:r>
        <w:r w:rsidRPr="00625D0B">
          <w:rPr>
            <w:rFonts w:ascii="Tahoma" w:hAnsi="Tahoma" w:cs="Tahoma"/>
            <w:noProof/>
            <w:webHidden/>
            <w:sz w:val="24"/>
            <w:szCs w:val="24"/>
          </w:rPr>
          <w:fldChar w:fldCharType="separate"/>
        </w:r>
        <w:r w:rsidRPr="00625D0B">
          <w:rPr>
            <w:rFonts w:ascii="Tahoma" w:hAnsi="Tahoma" w:cs="Tahoma"/>
            <w:noProof/>
            <w:webHidden/>
            <w:sz w:val="24"/>
            <w:szCs w:val="24"/>
          </w:rPr>
          <w:t>3</w:t>
        </w:r>
        <w:r w:rsidRPr="00625D0B">
          <w:rPr>
            <w:rFonts w:ascii="Tahoma" w:hAnsi="Tahoma" w:cs="Tahoma"/>
            <w:noProof/>
            <w:webHidden/>
            <w:sz w:val="24"/>
            <w:szCs w:val="24"/>
          </w:rPr>
          <w:fldChar w:fldCharType="end"/>
        </w:r>
      </w:hyperlink>
    </w:p>
    <w:p w14:paraId="52AD1A31" w14:textId="52EA4FD9" w:rsidR="00625D0B" w:rsidRPr="00625D0B" w:rsidRDefault="00625D0B">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9745427" w:history="1">
        <w:r w:rsidRPr="00625D0B">
          <w:rPr>
            <w:rStyle w:val="Hyperlink"/>
            <w:rFonts w:ascii="Tahoma" w:hAnsi="Tahoma" w:cs="Tahoma"/>
            <w:noProof/>
            <w:sz w:val="24"/>
            <w:szCs w:val="24"/>
          </w:rPr>
          <w:t>Figure 3: Parallel Market Developments – January 2025</w:t>
        </w:r>
        <w:r w:rsidRPr="00625D0B">
          <w:rPr>
            <w:rFonts w:ascii="Tahoma" w:hAnsi="Tahoma" w:cs="Tahoma"/>
            <w:noProof/>
            <w:webHidden/>
            <w:sz w:val="24"/>
            <w:szCs w:val="24"/>
          </w:rPr>
          <w:tab/>
        </w:r>
        <w:r w:rsidRPr="00625D0B">
          <w:rPr>
            <w:rFonts w:ascii="Tahoma" w:hAnsi="Tahoma" w:cs="Tahoma"/>
            <w:noProof/>
            <w:webHidden/>
            <w:sz w:val="24"/>
            <w:szCs w:val="24"/>
          </w:rPr>
          <w:fldChar w:fldCharType="begin"/>
        </w:r>
        <w:r w:rsidRPr="00625D0B">
          <w:rPr>
            <w:rFonts w:ascii="Tahoma" w:hAnsi="Tahoma" w:cs="Tahoma"/>
            <w:noProof/>
            <w:webHidden/>
            <w:sz w:val="24"/>
            <w:szCs w:val="24"/>
          </w:rPr>
          <w:instrText xml:space="preserve"> PAGEREF _Toc189745427 \h </w:instrText>
        </w:r>
        <w:r w:rsidRPr="00625D0B">
          <w:rPr>
            <w:rFonts w:ascii="Tahoma" w:hAnsi="Tahoma" w:cs="Tahoma"/>
            <w:noProof/>
            <w:webHidden/>
            <w:sz w:val="24"/>
            <w:szCs w:val="24"/>
          </w:rPr>
        </w:r>
        <w:r w:rsidRPr="00625D0B">
          <w:rPr>
            <w:rFonts w:ascii="Tahoma" w:hAnsi="Tahoma" w:cs="Tahoma"/>
            <w:noProof/>
            <w:webHidden/>
            <w:sz w:val="24"/>
            <w:szCs w:val="24"/>
          </w:rPr>
          <w:fldChar w:fldCharType="separate"/>
        </w:r>
        <w:r w:rsidRPr="00625D0B">
          <w:rPr>
            <w:rFonts w:ascii="Tahoma" w:hAnsi="Tahoma" w:cs="Tahoma"/>
            <w:noProof/>
            <w:webHidden/>
            <w:sz w:val="24"/>
            <w:szCs w:val="24"/>
          </w:rPr>
          <w:t>4</w:t>
        </w:r>
        <w:r w:rsidRPr="00625D0B">
          <w:rPr>
            <w:rFonts w:ascii="Tahoma" w:hAnsi="Tahoma" w:cs="Tahoma"/>
            <w:noProof/>
            <w:webHidden/>
            <w:sz w:val="24"/>
            <w:szCs w:val="24"/>
          </w:rPr>
          <w:fldChar w:fldCharType="end"/>
        </w:r>
      </w:hyperlink>
    </w:p>
    <w:p w14:paraId="55D2A390" w14:textId="22707F10" w:rsidR="00625D0B" w:rsidRPr="00625D0B" w:rsidRDefault="00625D0B">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9745428" w:history="1">
        <w:r w:rsidRPr="00625D0B">
          <w:rPr>
            <w:rStyle w:val="Hyperlink"/>
            <w:rFonts w:ascii="Tahoma" w:hAnsi="Tahoma" w:cs="Tahoma"/>
            <w:noProof/>
            <w:sz w:val="24"/>
            <w:szCs w:val="24"/>
          </w:rPr>
          <w:t>Figure 4: Month-on-Month ZWG Inflation Outturn</w:t>
        </w:r>
        <w:r w:rsidRPr="00625D0B">
          <w:rPr>
            <w:rFonts w:ascii="Tahoma" w:hAnsi="Tahoma" w:cs="Tahoma"/>
            <w:noProof/>
            <w:webHidden/>
            <w:sz w:val="24"/>
            <w:szCs w:val="24"/>
          </w:rPr>
          <w:tab/>
        </w:r>
        <w:r w:rsidRPr="00625D0B">
          <w:rPr>
            <w:rFonts w:ascii="Tahoma" w:hAnsi="Tahoma" w:cs="Tahoma"/>
            <w:noProof/>
            <w:webHidden/>
            <w:sz w:val="24"/>
            <w:szCs w:val="24"/>
          </w:rPr>
          <w:fldChar w:fldCharType="begin"/>
        </w:r>
        <w:r w:rsidRPr="00625D0B">
          <w:rPr>
            <w:rFonts w:ascii="Tahoma" w:hAnsi="Tahoma" w:cs="Tahoma"/>
            <w:noProof/>
            <w:webHidden/>
            <w:sz w:val="24"/>
            <w:szCs w:val="24"/>
          </w:rPr>
          <w:instrText xml:space="preserve"> PAGEREF _Toc189745428 \h </w:instrText>
        </w:r>
        <w:r w:rsidRPr="00625D0B">
          <w:rPr>
            <w:rFonts w:ascii="Tahoma" w:hAnsi="Tahoma" w:cs="Tahoma"/>
            <w:noProof/>
            <w:webHidden/>
            <w:sz w:val="24"/>
            <w:szCs w:val="24"/>
          </w:rPr>
        </w:r>
        <w:r w:rsidRPr="00625D0B">
          <w:rPr>
            <w:rFonts w:ascii="Tahoma" w:hAnsi="Tahoma" w:cs="Tahoma"/>
            <w:noProof/>
            <w:webHidden/>
            <w:sz w:val="24"/>
            <w:szCs w:val="24"/>
          </w:rPr>
          <w:fldChar w:fldCharType="separate"/>
        </w:r>
        <w:r w:rsidRPr="00625D0B">
          <w:rPr>
            <w:rFonts w:ascii="Tahoma" w:hAnsi="Tahoma" w:cs="Tahoma"/>
            <w:noProof/>
            <w:webHidden/>
            <w:sz w:val="24"/>
            <w:szCs w:val="24"/>
          </w:rPr>
          <w:t>5</w:t>
        </w:r>
        <w:r w:rsidRPr="00625D0B">
          <w:rPr>
            <w:rFonts w:ascii="Tahoma" w:hAnsi="Tahoma" w:cs="Tahoma"/>
            <w:noProof/>
            <w:webHidden/>
            <w:sz w:val="24"/>
            <w:szCs w:val="24"/>
          </w:rPr>
          <w:fldChar w:fldCharType="end"/>
        </w:r>
      </w:hyperlink>
    </w:p>
    <w:p w14:paraId="0CD9BC62" w14:textId="3AF69B0F" w:rsidR="00625D0B" w:rsidRPr="00625D0B" w:rsidRDefault="00625D0B">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9745429" w:history="1">
        <w:r w:rsidRPr="00625D0B">
          <w:rPr>
            <w:rStyle w:val="Hyperlink"/>
            <w:rFonts w:ascii="Tahoma" w:hAnsi="Tahoma" w:cs="Tahoma"/>
            <w:noProof/>
            <w:sz w:val="24"/>
            <w:szCs w:val="24"/>
          </w:rPr>
          <w:t xml:space="preserve">Figure </w:t>
        </w:r>
        <w:r w:rsidRPr="00625D0B">
          <w:rPr>
            <w:rStyle w:val="Hyperlink"/>
            <w:rFonts w:ascii="Tahoma" w:hAnsi="Tahoma" w:cs="Tahoma"/>
            <w:bCs/>
            <w:noProof/>
            <w:sz w:val="24"/>
            <w:szCs w:val="24"/>
          </w:rPr>
          <w:t>5</w:t>
        </w:r>
        <w:r w:rsidRPr="00625D0B">
          <w:rPr>
            <w:rStyle w:val="Hyperlink"/>
            <w:rFonts w:ascii="Tahoma" w:hAnsi="Tahoma" w:cs="Tahoma"/>
            <w:noProof/>
            <w:sz w:val="24"/>
            <w:szCs w:val="24"/>
          </w:rPr>
          <w:t xml:space="preserve">: </w:t>
        </w:r>
        <w:r w:rsidRPr="00625D0B">
          <w:rPr>
            <w:rStyle w:val="Hyperlink"/>
            <w:rFonts w:ascii="Tahoma" w:hAnsi="Tahoma" w:cs="Tahoma"/>
            <w:noProof/>
            <w:sz w:val="24"/>
            <w:szCs w:val="24"/>
            <w:lang w:val="en-US"/>
          </w:rPr>
          <w:t>Month-on-Month Weighted Inflation Outturn</w:t>
        </w:r>
        <w:r w:rsidRPr="00625D0B">
          <w:rPr>
            <w:rFonts w:ascii="Tahoma" w:hAnsi="Tahoma" w:cs="Tahoma"/>
            <w:noProof/>
            <w:webHidden/>
            <w:sz w:val="24"/>
            <w:szCs w:val="24"/>
          </w:rPr>
          <w:tab/>
        </w:r>
        <w:r w:rsidRPr="00625D0B">
          <w:rPr>
            <w:rFonts w:ascii="Tahoma" w:hAnsi="Tahoma" w:cs="Tahoma"/>
            <w:noProof/>
            <w:webHidden/>
            <w:sz w:val="24"/>
            <w:szCs w:val="24"/>
          </w:rPr>
          <w:fldChar w:fldCharType="begin"/>
        </w:r>
        <w:r w:rsidRPr="00625D0B">
          <w:rPr>
            <w:rFonts w:ascii="Tahoma" w:hAnsi="Tahoma" w:cs="Tahoma"/>
            <w:noProof/>
            <w:webHidden/>
            <w:sz w:val="24"/>
            <w:szCs w:val="24"/>
          </w:rPr>
          <w:instrText xml:space="preserve"> PAGEREF _Toc189745429 \h </w:instrText>
        </w:r>
        <w:r w:rsidRPr="00625D0B">
          <w:rPr>
            <w:rFonts w:ascii="Tahoma" w:hAnsi="Tahoma" w:cs="Tahoma"/>
            <w:noProof/>
            <w:webHidden/>
            <w:sz w:val="24"/>
            <w:szCs w:val="24"/>
          </w:rPr>
        </w:r>
        <w:r w:rsidRPr="00625D0B">
          <w:rPr>
            <w:rFonts w:ascii="Tahoma" w:hAnsi="Tahoma" w:cs="Tahoma"/>
            <w:noProof/>
            <w:webHidden/>
            <w:sz w:val="24"/>
            <w:szCs w:val="24"/>
          </w:rPr>
          <w:fldChar w:fldCharType="separate"/>
        </w:r>
        <w:r w:rsidRPr="00625D0B">
          <w:rPr>
            <w:rFonts w:ascii="Tahoma" w:hAnsi="Tahoma" w:cs="Tahoma"/>
            <w:noProof/>
            <w:webHidden/>
            <w:sz w:val="24"/>
            <w:szCs w:val="24"/>
          </w:rPr>
          <w:t>6</w:t>
        </w:r>
        <w:r w:rsidRPr="00625D0B">
          <w:rPr>
            <w:rFonts w:ascii="Tahoma" w:hAnsi="Tahoma" w:cs="Tahoma"/>
            <w:noProof/>
            <w:webHidden/>
            <w:sz w:val="24"/>
            <w:szCs w:val="24"/>
          </w:rPr>
          <w:fldChar w:fldCharType="end"/>
        </w:r>
      </w:hyperlink>
    </w:p>
    <w:p w14:paraId="181CB2C0" w14:textId="0DEB9A51" w:rsidR="00625D0B" w:rsidRPr="00625D0B" w:rsidRDefault="00625D0B">
      <w:pPr>
        <w:pStyle w:val="TableofFigures"/>
        <w:tabs>
          <w:tab w:val="right" w:leader="dot" w:pos="9016"/>
        </w:tabs>
        <w:rPr>
          <w:rFonts w:ascii="Tahoma" w:eastAsiaTheme="minorEastAsia" w:hAnsi="Tahoma" w:cs="Tahoma"/>
          <w:noProof/>
          <w:sz w:val="24"/>
          <w:szCs w:val="24"/>
          <w:lang w:eastAsia="en-ZW"/>
          <w14:ligatures w14:val="standardContextual"/>
        </w:rPr>
      </w:pPr>
      <w:hyperlink w:anchor="_Toc189745430" w:history="1">
        <w:r w:rsidRPr="00625D0B">
          <w:rPr>
            <w:rStyle w:val="Hyperlink"/>
            <w:rFonts w:ascii="Tahoma" w:hAnsi="Tahoma" w:cs="Tahoma"/>
            <w:noProof/>
            <w:sz w:val="24"/>
            <w:szCs w:val="24"/>
          </w:rPr>
          <w:t>Figure 6: Broad Money (M3) Supply</w:t>
        </w:r>
        <w:r w:rsidRPr="00625D0B">
          <w:rPr>
            <w:rFonts w:ascii="Tahoma" w:hAnsi="Tahoma" w:cs="Tahoma"/>
            <w:noProof/>
            <w:webHidden/>
            <w:sz w:val="24"/>
            <w:szCs w:val="24"/>
          </w:rPr>
          <w:tab/>
        </w:r>
        <w:r w:rsidRPr="00625D0B">
          <w:rPr>
            <w:rFonts w:ascii="Tahoma" w:hAnsi="Tahoma" w:cs="Tahoma"/>
            <w:noProof/>
            <w:webHidden/>
            <w:sz w:val="24"/>
            <w:szCs w:val="24"/>
          </w:rPr>
          <w:fldChar w:fldCharType="begin"/>
        </w:r>
        <w:r w:rsidRPr="00625D0B">
          <w:rPr>
            <w:rFonts w:ascii="Tahoma" w:hAnsi="Tahoma" w:cs="Tahoma"/>
            <w:noProof/>
            <w:webHidden/>
            <w:sz w:val="24"/>
            <w:szCs w:val="24"/>
          </w:rPr>
          <w:instrText xml:space="preserve"> PAGEREF _Toc189745430 \h </w:instrText>
        </w:r>
        <w:r w:rsidRPr="00625D0B">
          <w:rPr>
            <w:rFonts w:ascii="Tahoma" w:hAnsi="Tahoma" w:cs="Tahoma"/>
            <w:noProof/>
            <w:webHidden/>
            <w:sz w:val="24"/>
            <w:szCs w:val="24"/>
          </w:rPr>
        </w:r>
        <w:r w:rsidRPr="00625D0B">
          <w:rPr>
            <w:rFonts w:ascii="Tahoma" w:hAnsi="Tahoma" w:cs="Tahoma"/>
            <w:noProof/>
            <w:webHidden/>
            <w:sz w:val="24"/>
            <w:szCs w:val="24"/>
          </w:rPr>
          <w:fldChar w:fldCharType="separate"/>
        </w:r>
        <w:r w:rsidRPr="00625D0B">
          <w:rPr>
            <w:rFonts w:ascii="Tahoma" w:hAnsi="Tahoma" w:cs="Tahoma"/>
            <w:noProof/>
            <w:webHidden/>
            <w:sz w:val="24"/>
            <w:szCs w:val="24"/>
          </w:rPr>
          <w:t>7</w:t>
        </w:r>
        <w:r w:rsidRPr="00625D0B">
          <w:rPr>
            <w:rFonts w:ascii="Tahoma" w:hAnsi="Tahoma" w:cs="Tahoma"/>
            <w:noProof/>
            <w:webHidden/>
            <w:sz w:val="24"/>
            <w:szCs w:val="24"/>
          </w:rPr>
          <w:fldChar w:fldCharType="end"/>
        </w:r>
      </w:hyperlink>
    </w:p>
    <w:p w14:paraId="45D7305C" w14:textId="77777777" w:rsidR="000129B7" w:rsidRPr="00BF727A" w:rsidRDefault="00E76009" w:rsidP="000129B7">
      <w:pPr>
        <w:rPr>
          <w:rFonts w:ascii="Tahoma" w:hAnsi="Tahoma" w:cs="Tahoma"/>
          <w:b/>
          <w:color w:val="000000"/>
          <w:sz w:val="24"/>
          <w:szCs w:val="24"/>
          <w:lang w:val="en-US"/>
        </w:rPr>
        <w:sectPr w:rsidR="000129B7" w:rsidRPr="00BF727A" w:rsidSect="006D22C2">
          <w:pgSz w:w="11906" w:h="16838"/>
          <w:pgMar w:top="1440" w:right="1440" w:bottom="1440" w:left="1440" w:header="708" w:footer="708" w:gutter="0"/>
          <w:pgNumType w:fmt="lowerRoman" w:start="1"/>
          <w:cols w:space="708"/>
          <w:docGrid w:linePitch="360"/>
        </w:sectPr>
      </w:pPr>
      <w:r w:rsidRPr="00BF727A">
        <w:rPr>
          <w:rFonts w:ascii="Tahoma" w:hAnsi="Tahoma" w:cs="Tahoma"/>
          <w:sz w:val="24"/>
          <w:szCs w:val="24"/>
          <w:lang w:val="en-US"/>
        </w:rPr>
        <w:fldChar w:fldCharType="end"/>
      </w:r>
    </w:p>
    <w:p w14:paraId="6B671069" w14:textId="77777777" w:rsidR="007A3E1D" w:rsidRPr="00721CC2" w:rsidRDefault="004F680D" w:rsidP="00F05BD5">
      <w:pPr>
        <w:pStyle w:val="Heading1"/>
        <w:spacing w:before="0" w:after="240"/>
        <w:rPr>
          <w:lang w:val="en-US"/>
        </w:rPr>
      </w:pPr>
      <w:bookmarkStart w:id="2" w:name="_Toc166607889"/>
      <w:bookmarkStart w:id="3" w:name="_Toc189745270"/>
      <w:r w:rsidRPr="00721CC2">
        <w:rPr>
          <w:lang w:val="en-US"/>
        </w:rPr>
        <w:lastRenderedPageBreak/>
        <w:t>1.0</w:t>
      </w:r>
      <w:r w:rsidRPr="00721CC2">
        <w:rPr>
          <w:lang w:val="en-US"/>
        </w:rPr>
        <w:tab/>
      </w:r>
      <w:r w:rsidR="00E0023D" w:rsidRPr="00721CC2">
        <w:rPr>
          <w:lang w:val="en-US"/>
        </w:rPr>
        <w:t xml:space="preserve">World Economic </w:t>
      </w:r>
      <w:r w:rsidR="007A3E1D" w:rsidRPr="00721CC2">
        <w:rPr>
          <w:lang w:val="en-US"/>
        </w:rPr>
        <w:t>Developments</w:t>
      </w:r>
      <w:bookmarkEnd w:id="2"/>
      <w:bookmarkEnd w:id="3"/>
      <w:r w:rsidR="007A3E1D" w:rsidRPr="00721CC2">
        <w:rPr>
          <w:lang w:val="en-US"/>
        </w:rPr>
        <w:t xml:space="preserve"> </w:t>
      </w:r>
    </w:p>
    <w:p w14:paraId="6BED87EC" w14:textId="77777777" w:rsidR="00E0023D" w:rsidRPr="00863A17" w:rsidRDefault="004F680D" w:rsidP="00BC5A90">
      <w:pPr>
        <w:pStyle w:val="Heading2"/>
        <w:spacing w:before="0" w:after="240" w:line="240" w:lineRule="auto"/>
        <w:rPr>
          <w:rFonts w:cs="Tahoma"/>
          <w:b/>
          <w:color w:val="000000"/>
          <w:szCs w:val="24"/>
          <w:lang w:val="en-US"/>
        </w:rPr>
      </w:pPr>
      <w:bookmarkStart w:id="4" w:name="_Toc166607890"/>
      <w:bookmarkStart w:id="5" w:name="_Toc189745271"/>
      <w:r w:rsidRPr="00863A17">
        <w:rPr>
          <w:rFonts w:cs="Tahoma"/>
          <w:b/>
          <w:color w:val="000000"/>
          <w:szCs w:val="24"/>
          <w:lang w:val="en-US"/>
        </w:rPr>
        <w:t xml:space="preserve">1.1 </w:t>
      </w:r>
      <w:r w:rsidRPr="00863A17">
        <w:rPr>
          <w:rFonts w:cs="Tahoma"/>
          <w:b/>
          <w:color w:val="000000"/>
          <w:szCs w:val="24"/>
          <w:lang w:val="en-US"/>
        </w:rPr>
        <w:tab/>
      </w:r>
      <w:r w:rsidR="00E0023D" w:rsidRPr="00863A17">
        <w:rPr>
          <w:rFonts w:cs="Tahoma"/>
          <w:b/>
          <w:color w:val="000000"/>
          <w:szCs w:val="24"/>
          <w:lang w:val="en-US"/>
        </w:rPr>
        <w:t>World Output</w:t>
      </w:r>
      <w:bookmarkEnd w:id="4"/>
      <w:bookmarkEnd w:id="5"/>
      <w:r w:rsidR="00E0023D" w:rsidRPr="00863A17">
        <w:rPr>
          <w:rFonts w:cs="Tahoma"/>
          <w:b/>
          <w:color w:val="000000"/>
          <w:szCs w:val="24"/>
          <w:lang w:val="en-US"/>
        </w:rPr>
        <w:t xml:space="preserve"> </w:t>
      </w:r>
    </w:p>
    <w:p w14:paraId="71788062" w14:textId="211F63AE" w:rsidR="006862E5" w:rsidRDefault="004F680D" w:rsidP="00485B9D">
      <w:pPr>
        <w:ind w:left="720" w:hanging="720"/>
        <w:jc w:val="both"/>
        <w:rPr>
          <w:rFonts w:ascii="Tahoma" w:hAnsi="Tahoma" w:cs="Tahoma"/>
          <w:sz w:val="24"/>
          <w:szCs w:val="24"/>
        </w:rPr>
      </w:pPr>
      <w:r w:rsidRPr="00863A17">
        <w:rPr>
          <w:rFonts w:ascii="Tahoma" w:hAnsi="Tahoma" w:cs="Tahoma"/>
          <w:sz w:val="24"/>
          <w:szCs w:val="24"/>
        </w:rPr>
        <w:t>1.1.1</w:t>
      </w:r>
      <w:r w:rsidR="001F2D81" w:rsidRPr="00863A17">
        <w:rPr>
          <w:rFonts w:ascii="Tahoma" w:hAnsi="Tahoma" w:cs="Tahoma"/>
          <w:sz w:val="24"/>
          <w:szCs w:val="24"/>
        </w:rPr>
        <w:t xml:space="preserve"> </w:t>
      </w:r>
      <w:r w:rsidR="00AB70DE">
        <w:rPr>
          <w:rFonts w:ascii="Tahoma" w:hAnsi="Tahoma" w:cs="Tahoma"/>
          <w:sz w:val="24"/>
          <w:szCs w:val="24"/>
        </w:rPr>
        <w:tab/>
      </w:r>
      <w:r w:rsidR="007D170F">
        <w:rPr>
          <w:rFonts w:ascii="Tahoma" w:hAnsi="Tahoma" w:cs="Tahoma"/>
          <w:sz w:val="24"/>
          <w:szCs w:val="24"/>
        </w:rPr>
        <w:t xml:space="preserve">The global economy is </w:t>
      </w:r>
      <w:r w:rsidR="00E35D40">
        <w:rPr>
          <w:rFonts w:ascii="Tahoma" w:hAnsi="Tahoma" w:cs="Tahoma"/>
          <w:sz w:val="24"/>
          <w:szCs w:val="24"/>
        </w:rPr>
        <w:t>projected to be</w:t>
      </w:r>
      <w:r w:rsidR="007D170F">
        <w:rPr>
          <w:rFonts w:ascii="Tahoma" w:hAnsi="Tahoma" w:cs="Tahoma"/>
          <w:sz w:val="24"/>
          <w:szCs w:val="24"/>
        </w:rPr>
        <w:t xml:space="preserve"> steady</w:t>
      </w:r>
      <w:r w:rsidR="00E35D40">
        <w:rPr>
          <w:rFonts w:ascii="Tahoma" w:hAnsi="Tahoma" w:cs="Tahoma"/>
          <w:sz w:val="24"/>
          <w:szCs w:val="24"/>
        </w:rPr>
        <w:t xml:space="preserve"> at 3.3% in 2025 and 2026</w:t>
      </w:r>
      <w:r w:rsidR="00FB337E">
        <w:rPr>
          <w:rFonts w:ascii="Tahoma" w:hAnsi="Tahoma" w:cs="Tahoma"/>
          <w:sz w:val="24"/>
          <w:szCs w:val="24"/>
        </w:rPr>
        <w:t>, respectively</w:t>
      </w:r>
      <w:r w:rsidR="00552A26">
        <w:rPr>
          <w:rFonts w:ascii="Tahoma" w:hAnsi="Tahoma" w:cs="Tahoma"/>
          <w:sz w:val="24"/>
          <w:szCs w:val="24"/>
        </w:rPr>
        <w:t xml:space="preserve"> as shown in </w:t>
      </w:r>
      <w:r w:rsidR="004645CE">
        <w:rPr>
          <w:rFonts w:ascii="Tahoma" w:hAnsi="Tahoma" w:cs="Tahoma"/>
          <w:sz w:val="24"/>
          <w:szCs w:val="24"/>
        </w:rPr>
        <w:t>Table</w:t>
      </w:r>
      <w:r w:rsidR="00552A26">
        <w:rPr>
          <w:rFonts w:ascii="Tahoma" w:hAnsi="Tahoma" w:cs="Tahoma"/>
          <w:sz w:val="24"/>
          <w:szCs w:val="24"/>
        </w:rPr>
        <w:t xml:space="preserve"> 1</w:t>
      </w:r>
      <w:r w:rsidR="007D170F">
        <w:rPr>
          <w:rFonts w:ascii="Tahoma" w:hAnsi="Tahoma" w:cs="Tahoma"/>
          <w:sz w:val="24"/>
          <w:szCs w:val="24"/>
        </w:rPr>
        <w:t>,</w:t>
      </w:r>
      <w:r w:rsidR="00E35D40">
        <w:rPr>
          <w:rFonts w:ascii="Tahoma" w:hAnsi="Tahoma" w:cs="Tahoma"/>
          <w:sz w:val="24"/>
          <w:szCs w:val="24"/>
        </w:rPr>
        <w:t xml:space="preserve"> albeit </w:t>
      </w:r>
      <w:r w:rsidR="00FB337E">
        <w:rPr>
          <w:rFonts w:ascii="Tahoma" w:hAnsi="Tahoma" w:cs="Tahoma"/>
          <w:sz w:val="24"/>
          <w:szCs w:val="24"/>
        </w:rPr>
        <w:t>lacklustre</w:t>
      </w:r>
      <w:r w:rsidR="00E35D40">
        <w:rPr>
          <w:rFonts w:ascii="Tahoma" w:hAnsi="Tahoma" w:cs="Tahoma"/>
          <w:sz w:val="24"/>
          <w:szCs w:val="24"/>
        </w:rPr>
        <w:t xml:space="preserve"> </w:t>
      </w:r>
      <w:r w:rsidR="00804E66">
        <w:rPr>
          <w:rFonts w:ascii="Tahoma" w:hAnsi="Tahoma" w:cs="Tahoma"/>
          <w:sz w:val="24"/>
          <w:szCs w:val="24"/>
        </w:rPr>
        <w:t xml:space="preserve">economic performance </w:t>
      </w:r>
      <w:r w:rsidR="00E35D40">
        <w:rPr>
          <w:rFonts w:ascii="Tahoma" w:hAnsi="Tahoma" w:cs="Tahoma"/>
          <w:sz w:val="24"/>
          <w:szCs w:val="24"/>
        </w:rPr>
        <w:t>with varied</w:t>
      </w:r>
      <w:r w:rsidR="007D170F">
        <w:rPr>
          <w:rFonts w:ascii="Tahoma" w:hAnsi="Tahoma" w:cs="Tahoma"/>
          <w:sz w:val="24"/>
          <w:szCs w:val="24"/>
        </w:rPr>
        <w:t xml:space="preserve"> degree of grip across countries (IMF</w:t>
      </w:r>
      <w:r w:rsidR="007C4E43">
        <w:rPr>
          <w:rFonts w:ascii="Tahoma" w:hAnsi="Tahoma" w:cs="Tahoma"/>
          <w:sz w:val="24"/>
          <w:szCs w:val="24"/>
        </w:rPr>
        <w:t>, 2025</w:t>
      </w:r>
      <w:r w:rsidR="007D170F">
        <w:rPr>
          <w:rFonts w:ascii="Tahoma" w:hAnsi="Tahoma" w:cs="Tahoma"/>
          <w:sz w:val="24"/>
          <w:szCs w:val="24"/>
        </w:rPr>
        <w:t xml:space="preserve">). </w:t>
      </w:r>
      <w:r w:rsidR="0091423E">
        <w:rPr>
          <w:rFonts w:ascii="Tahoma" w:hAnsi="Tahoma" w:cs="Tahoma"/>
          <w:sz w:val="24"/>
          <w:szCs w:val="24"/>
        </w:rPr>
        <w:t xml:space="preserve">In </w:t>
      </w:r>
      <w:r w:rsidR="00852007">
        <w:rPr>
          <w:rFonts w:ascii="Tahoma" w:hAnsi="Tahoma" w:cs="Tahoma"/>
          <w:sz w:val="24"/>
          <w:szCs w:val="24"/>
        </w:rPr>
        <w:t xml:space="preserve">the </w:t>
      </w:r>
      <w:r w:rsidR="0091423E">
        <w:rPr>
          <w:rFonts w:ascii="Tahoma" w:hAnsi="Tahoma" w:cs="Tahoma"/>
          <w:sz w:val="24"/>
          <w:szCs w:val="24"/>
        </w:rPr>
        <w:t>United States, growth was revised 0.5% higher than the October forecast, reflecting strong wealth effects, less restrictive monetary stance, supportive financial conditions, robust labour markets, accelerating investments and carryover from 2024.</w:t>
      </w:r>
      <w:r w:rsidR="00E30D4B">
        <w:rPr>
          <w:rFonts w:ascii="Tahoma" w:hAnsi="Tahoma" w:cs="Tahoma"/>
          <w:sz w:val="24"/>
          <w:szCs w:val="24"/>
        </w:rPr>
        <w:t xml:space="preserve"> </w:t>
      </w:r>
      <w:r w:rsidR="003C6349">
        <w:rPr>
          <w:rFonts w:ascii="Tahoma" w:hAnsi="Tahoma" w:cs="Tahoma"/>
          <w:sz w:val="24"/>
          <w:szCs w:val="24"/>
        </w:rPr>
        <w:t xml:space="preserve">A downward revision in the Euro-Area growth is due to weaker-than-expected momentum at the end of 2024, especially in manufacturing, heightened political and policy uncertainty. </w:t>
      </w:r>
      <w:r w:rsidR="00211270">
        <w:rPr>
          <w:rFonts w:ascii="Tahoma" w:hAnsi="Tahoma" w:cs="Tahoma"/>
          <w:sz w:val="24"/>
          <w:szCs w:val="24"/>
        </w:rPr>
        <w:t>The revision in China reflects carryover from 2024 and the fiscal package announced in November largely offsetting the negative effects on investment from heightened trade policy uncertainty and property market drag.</w:t>
      </w:r>
      <w:r w:rsidR="001621D0">
        <w:rPr>
          <w:rFonts w:ascii="Tahoma" w:hAnsi="Tahoma" w:cs="Tahoma"/>
          <w:sz w:val="24"/>
          <w:szCs w:val="24"/>
        </w:rPr>
        <w:t xml:space="preserve"> </w:t>
      </w:r>
      <w:r w:rsidR="00485B9D" w:rsidRPr="00485B9D">
        <w:rPr>
          <w:rFonts w:ascii="Tahoma" w:hAnsi="Tahoma" w:cs="Tahoma"/>
          <w:sz w:val="24"/>
          <w:szCs w:val="24"/>
        </w:rPr>
        <w:t>Overall, these revisions balance each other out, resulting in relatively stable global growth forecasts.</w:t>
      </w:r>
    </w:p>
    <w:p w14:paraId="7D220C46" w14:textId="362DF00A" w:rsidR="00E31148" w:rsidRDefault="004645CE" w:rsidP="008A5C51">
      <w:pPr>
        <w:pStyle w:val="ListofTables"/>
        <w:rPr>
          <w:lang w:val="en-US"/>
        </w:rPr>
      </w:pPr>
      <w:bookmarkStart w:id="6" w:name="_Toc164072362"/>
      <w:bookmarkStart w:id="7" w:name="_Toc166658889"/>
      <w:bookmarkStart w:id="8" w:name="_Toc189745373"/>
      <w:r>
        <w:t>Table</w:t>
      </w:r>
      <w:r w:rsidR="00BC5A90" w:rsidRPr="00863A17">
        <w:t xml:space="preserve"> </w:t>
      </w:r>
      <w:r w:rsidR="00BC5A90" w:rsidRPr="00863A17">
        <w:fldChar w:fldCharType="begin"/>
      </w:r>
      <w:r w:rsidR="00BC5A90" w:rsidRPr="00863A17">
        <w:instrText xml:space="preserve"> SEQ Table \* ARABIC </w:instrText>
      </w:r>
      <w:r w:rsidR="00BC5A90" w:rsidRPr="00863A17">
        <w:fldChar w:fldCharType="separate"/>
      </w:r>
      <w:r w:rsidR="00D30418">
        <w:t>1</w:t>
      </w:r>
      <w:r w:rsidR="00BC5A90" w:rsidRPr="00863A17">
        <w:fldChar w:fldCharType="end"/>
      </w:r>
      <w:r w:rsidR="00BC5A90" w:rsidRPr="00863A17">
        <w:t xml:space="preserve">: </w:t>
      </w:r>
      <w:r w:rsidR="00BC5A90" w:rsidRPr="00863A17">
        <w:rPr>
          <w:lang w:val="en-US"/>
        </w:rPr>
        <w:t>Global Economic Growth Developments</w:t>
      </w:r>
      <w:bookmarkEnd w:id="6"/>
      <w:bookmarkEnd w:id="7"/>
      <w:bookmarkEnd w:id="8"/>
    </w:p>
    <w:p w14:paraId="0F0E57A0" w14:textId="55292EF2" w:rsidR="000038E5" w:rsidRPr="000038E5" w:rsidRDefault="00A1337B" w:rsidP="00F05BD5">
      <w:pPr>
        <w:rPr>
          <w:rFonts w:ascii="Tahoma" w:hAnsi="Tahoma" w:cs="Tahoma"/>
          <w:iCs/>
          <w:sz w:val="24"/>
          <w:szCs w:val="24"/>
          <w:lang w:val="en-US"/>
        </w:rPr>
      </w:pPr>
      <w:r w:rsidRPr="00A1337B">
        <w:rPr>
          <w:noProof/>
        </w:rPr>
        <w:drawing>
          <wp:inline distT="0" distB="0" distL="0" distR="0" wp14:anchorId="27FAED28" wp14:editId="2A923C2B">
            <wp:extent cx="5731510" cy="2712720"/>
            <wp:effectExtent l="0" t="0" r="2540" b="0"/>
            <wp:docPr id="24173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38240" name=""/>
                    <pic:cNvPicPr/>
                  </pic:nvPicPr>
                  <pic:blipFill>
                    <a:blip r:embed="rId10"/>
                    <a:stretch>
                      <a:fillRect/>
                    </a:stretch>
                  </pic:blipFill>
                  <pic:spPr>
                    <a:xfrm>
                      <a:off x="0" y="0"/>
                      <a:ext cx="5731510" cy="2712720"/>
                    </a:xfrm>
                    <a:prstGeom prst="rect">
                      <a:avLst/>
                    </a:prstGeom>
                  </pic:spPr>
                </pic:pic>
              </a:graphicData>
            </a:graphic>
          </wp:inline>
        </w:drawing>
      </w:r>
    </w:p>
    <w:p w14:paraId="6A2A3983" w14:textId="6268D7F8" w:rsidR="00E36CF6" w:rsidRPr="00863A17" w:rsidRDefault="00E31148" w:rsidP="00F05BD5">
      <w:pPr>
        <w:rPr>
          <w:rFonts w:ascii="Tahoma" w:hAnsi="Tahoma" w:cs="Tahoma"/>
          <w:i/>
          <w:sz w:val="24"/>
          <w:szCs w:val="24"/>
        </w:rPr>
      </w:pPr>
      <w:r w:rsidRPr="00863A17">
        <w:rPr>
          <w:rFonts w:ascii="Tahoma" w:hAnsi="Tahoma" w:cs="Tahoma"/>
          <w:i/>
          <w:sz w:val="24"/>
          <w:szCs w:val="24"/>
          <w:lang w:val="en-US"/>
        </w:rPr>
        <w:t xml:space="preserve">Source: </w:t>
      </w:r>
      <w:r w:rsidR="00FC73FE">
        <w:rPr>
          <w:rFonts w:ascii="Tahoma" w:hAnsi="Tahoma" w:cs="Tahoma"/>
          <w:i/>
          <w:sz w:val="24"/>
          <w:szCs w:val="24"/>
          <w:lang w:val="en-US"/>
        </w:rPr>
        <w:t xml:space="preserve">IMF, WEO </w:t>
      </w:r>
      <w:r w:rsidR="00A41D77">
        <w:rPr>
          <w:rFonts w:ascii="Tahoma" w:hAnsi="Tahoma" w:cs="Tahoma"/>
          <w:i/>
          <w:sz w:val="24"/>
          <w:szCs w:val="24"/>
          <w:lang w:val="en-US"/>
        </w:rPr>
        <w:t>October</w:t>
      </w:r>
      <w:r w:rsidR="00FC73FE">
        <w:rPr>
          <w:rFonts w:ascii="Tahoma" w:hAnsi="Tahoma" w:cs="Tahoma"/>
          <w:i/>
          <w:sz w:val="24"/>
          <w:szCs w:val="24"/>
          <w:lang w:val="en-US"/>
        </w:rPr>
        <w:t xml:space="preserve"> 2024 </w:t>
      </w:r>
      <w:r w:rsidR="003B0655">
        <w:rPr>
          <w:rFonts w:ascii="Tahoma" w:hAnsi="Tahoma" w:cs="Tahoma"/>
          <w:i/>
          <w:sz w:val="24"/>
          <w:szCs w:val="24"/>
          <w:lang w:val="en-US"/>
        </w:rPr>
        <w:t xml:space="preserve">and January 2025 </w:t>
      </w:r>
      <w:r w:rsidR="00664692">
        <w:rPr>
          <w:rFonts w:ascii="Tahoma" w:hAnsi="Tahoma" w:cs="Tahoma"/>
          <w:i/>
          <w:sz w:val="24"/>
          <w:szCs w:val="24"/>
          <w:lang w:val="en-US"/>
        </w:rPr>
        <w:t>U</w:t>
      </w:r>
      <w:r w:rsidR="00FC73FE">
        <w:rPr>
          <w:rFonts w:ascii="Tahoma" w:hAnsi="Tahoma" w:cs="Tahoma"/>
          <w:i/>
          <w:sz w:val="24"/>
          <w:szCs w:val="24"/>
          <w:lang w:val="en-US"/>
        </w:rPr>
        <w:t>pdate</w:t>
      </w:r>
      <w:r w:rsidR="003B0655">
        <w:rPr>
          <w:rFonts w:ascii="Tahoma" w:hAnsi="Tahoma" w:cs="Tahoma"/>
          <w:i/>
          <w:sz w:val="24"/>
          <w:szCs w:val="24"/>
          <w:lang w:val="en-US"/>
        </w:rPr>
        <w:t>s</w:t>
      </w:r>
    </w:p>
    <w:p w14:paraId="572B34D6" w14:textId="77777777" w:rsidR="007A3E1D" w:rsidRPr="00863A17" w:rsidRDefault="004F680D" w:rsidP="00BC5A90">
      <w:pPr>
        <w:pStyle w:val="Heading2"/>
        <w:spacing w:before="0" w:after="240" w:line="240" w:lineRule="auto"/>
        <w:rPr>
          <w:rFonts w:cs="Tahoma"/>
          <w:b/>
          <w:color w:val="000000"/>
          <w:szCs w:val="24"/>
          <w:lang w:val="en-US"/>
        </w:rPr>
      </w:pPr>
      <w:bookmarkStart w:id="9" w:name="_Toc166607891"/>
      <w:bookmarkStart w:id="10" w:name="_Toc189745272"/>
      <w:r w:rsidRPr="00863A17">
        <w:rPr>
          <w:rFonts w:cs="Tahoma"/>
          <w:b/>
          <w:color w:val="000000"/>
          <w:szCs w:val="24"/>
          <w:lang w:val="en-US"/>
        </w:rPr>
        <w:t>1.2</w:t>
      </w:r>
      <w:r w:rsidRPr="00863A17">
        <w:rPr>
          <w:rFonts w:cs="Tahoma"/>
          <w:b/>
          <w:color w:val="000000"/>
          <w:szCs w:val="24"/>
          <w:lang w:val="en-US"/>
        </w:rPr>
        <w:tab/>
      </w:r>
      <w:r w:rsidR="007A3E1D" w:rsidRPr="00863A17">
        <w:rPr>
          <w:rFonts w:cs="Tahoma"/>
          <w:b/>
          <w:color w:val="000000"/>
          <w:szCs w:val="24"/>
          <w:lang w:val="en-US"/>
        </w:rPr>
        <w:t>Global Inflation Developments</w:t>
      </w:r>
      <w:bookmarkEnd w:id="9"/>
      <w:bookmarkEnd w:id="10"/>
      <w:r w:rsidR="007A3E1D" w:rsidRPr="00863A17">
        <w:rPr>
          <w:rFonts w:cs="Tahoma"/>
          <w:b/>
          <w:color w:val="000000"/>
          <w:szCs w:val="24"/>
          <w:lang w:val="en-US"/>
        </w:rPr>
        <w:t xml:space="preserve"> </w:t>
      </w:r>
    </w:p>
    <w:p w14:paraId="366A122B" w14:textId="0002088E" w:rsidR="00D269D6" w:rsidRDefault="004F680D" w:rsidP="00890433">
      <w:pPr>
        <w:ind w:left="720" w:hanging="720"/>
        <w:jc w:val="both"/>
        <w:rPr>
          <w:rFonts w:ascii="Tahoma" w:hAnsi="Tahoma" w:cs="Tahoma"/>
          <w:sz w:val="24"/>
          <w:szCs w:val="24"/>
          <w:lang w:val="en-US"/>
        </w:rPr>
      </w:pPr>
      <w:r w:rsidRPr="00863A17">
        <w:rPr>
          <w:rFonts w:ascii="Tahoma" w:hAnsi="Tahoma" w:cs="Tahoma"/>
          <w:sz w:val="24"/>
          <w:szCs w:val="24"/>
          <w:lang w:val="en-US"/>
        </w:rPr>
        <w:t>1.2.1</w:t>
      </w:r>
      <w:r w:rsidRPr="00863A17">
        <w:rPr>
          <w:rFonts w:ascii="Tahoma" w:hAnsi="Tahoma" w:cs="Tahoma"/>
          <w:sz w:val="24"/>
          <w:szCs w:val="24"/>
          <w:lang w:val="en-US"/>
        </w:rPr>
        <w:tab/>
      </w:r>
      <w:r w:rsidR="00552A26">
        <w:rPr>
          <w:rFonts w:ascii="Tahoma" w:hAnsi="Tahoma" w:cs="Tahoma"/>
          <w:sz w:val="24"/>
          <w:szCs w:val="24"/>
          <w:lang w:val="en-US"/>
        </w:rPr>
        <w:t>According to IMF (2025), global headline inflation is expected to decline to 4.2% in 2025 and to 3.5% in 2026</w:t>
      </w:r>
      <w:r w:rsidR="0047209E">
        <w:rPr>
          <w:rFonts w:ascii="Tahoma" w:hAnsi="Tahoma" w:cs="Tahoma"/>
          <w:sz w:val="24"/>
          <w:szCs w:val="24"/>
          <w:lang w:val="en-US"/>
        </w:rPr>
        <w:t xml:space="preserve"> (see Figure 1)</w:t>
      </w:r>
      <w:r w:rsidR="00552A26">
        <w:rPr>
          <w:rFonts w:ascii="Tahoma" w:hAnsi="Tahoma" w:cs="Tahoma"/>
          <w:sz w:val="24"/>
          <w:szCs w:val="24"/>
          <w:lang w:val="en-US"/>
        </w:rPr>
        <w:t>.</w:t>
      </w:r>
      <w:r w:rsidR="00D269D6">
        <w:rPr>
          <w:rFonts w:ascii="Tahoma" w:hAnsi="Tahoma" w:cs="Tahoma"/>
          <w:sz w:val="24"/>
          <w:szCs w:val="24"/>
          <w:lang w:val="en-US"/>
        </w:rPr>
        <w:t xml:space="preserve"> </w:t>
      </w:r>
      <w:r w:rsidR="00D269D6" w:rsidRPr="00D269D6">
        <w:rPr>
          <w:rFonts w:ascii="Tahoma" w:hAnsi="Tahoma" w:cs="Tahoma"/>
          <w:sz w:val="24"/>
          <w:szCs w:val="24"/>
          <w:lang w:val="en-US"/>
        </w:rPr>
        <w:t>As labor markets moderate, demand pressures are likely to ease, while falling energy prices will further contribute to a decline in inflation, moving it closer to the central bank's target range</w:t>
      </w:r>
      <w:r w:rsidR="00D269D6">
        <w:rPr>
          <w:rFonts w:ascii="Tahoma" w:hAnsi="Tahoma" w:cs="Tahoma"/>
          <w:sz w:val="24"/>
          <w:szCs w:val="24"/>
          <w:lang w:val="en-US"/>
        </w:rPr>
        <w:t>. The World Economic Forum (2025) highlighted that global inflation continue</w:t>
      </w:r>
      <w:r w:rsidR="00852007">
        <w:rPr>
          <w:rFonts w:ascii="Tahoma" w:hAnsi="Tahoma" w:cs="Tahoma"/>
          <w:sz w:val="24"/>
          <w:szCs w:val="24"/>
          <w:lang w:val="en-US"/>
        </w:rPr>
        <w:t>s</w:t>
      </w:r>
      <w:r w:rsidR="00D269D6">
        <w:rPr>
          <w:rFonts w:ascii="Tahoma" w:hAnsi="Tahoma" w:cs="Tahoma"/>
          <w:sz w:val="24"/>
          <w:szCs w:val="24"/>
          <w:lang w:val="en-US"/>
        </w:rPr>
        <w:t xml:space="preserve"> to ease, primarily driven by </w:t>
      </w:r>
      <w:r w:rsidR="00D269D6" w:rsidRPr="00F1500F">
        <w:rPr>
          <w:rFonts w:ascii="Tahoma" w:hAnsi="Tahoma" w:cs="Tahoma"/>
          <w:sz w:val="24"/>
          <w:szCs w:val="24"/>
        </w:rPr>
        <w:t xml:space="preserve">the advanced economies, which have been </w:t>
      </w:r>
      <w:r w:rsidR="00D269D6">
        <w:rPr>
          <w:rFonts w:ascii="Tahoma" w:hAnsi="Tahoma" w:cs="Tahoma"/>
          <w:sz w:val="24"/>
          <w:szCs w:val="24"/>
        </w:rPr>
        <w:t>converging</w:t>
      </w:r>
      <w:r w:rsidR="00D269D6" w:rsidRPr="00F1500F">
        <w:rPr>
          <w:rFonts w:ascii="Tahoma" w:hAnsi="Tahoma" w:cs="Tahoma"/>
          <w:sz w:val="24"/>
          <w:szCs w:val="24"/>
        </w:rPr>
        <w:t xml:space="preserve"> to their inflation targets more rapidly than emerging-market and developing economies</w:t>
      </w:r>
      <w:r w:rsidR="00D269D6">
        <w:rPr>
          <w:rFonts w:ascii="Tahoma" w:hAnsi="Tahoma" w:cs="Tahoma"/>
          <w:sz w:val="24"/>
          <w:szCs w:val="24"/>
        </w:rPr>
        <w:t>.</w:t>
      </w:r>
    </w:p>
    <w:p w14:paraId="70BCAD2F" w14:textId="23084933" w:rsidR="00BE6AA3" w:rsidRDefault="00BE6AA3" w:rsidP="00BE6AA3">
      <w:pPr>
        <w:pStyle w:val="ListofFigures"/>
        <w:spacing w:after="0"/>
        <w:rPr>
          <w:lang w:val="en-US"/>
        </w:rPr>
      </w:pPr>
      <w:bookmarkStart w:id="11" w:name="_Toc166608987"/>
      <w:bookmarkStart w:id="12" w:name="_Toc189745425"/>
      <w:r>
        <w:rPr>
          <w:lang w:val="en-US"/>
        </w:rPr>
        <w:lastRenderedPageBreak/>
        <w:t xml:space="preserve">Figure </w:t>
      </w:r>
      <w:r w:rsidR="00B8291A">
        <w:rPr>
          <w:lang w:val="en-US"/>
        </w:rPr>
        <w:t>1</w:t>
      </w:r>
      <w:r>
        <w:rPr>
          <w:lang w:val="en-US"/>
        </w:rPr>
        <w:t>: Global Inflation</w:t>
      </w:r>
      <w:bookmarkEnd w:id="12"/>
    </w:p>
    <w:p w14:paraId="1E5D4786" w14:textId="01507BD8" w:rsidR="00660C80" w:rsidRDefault="00EF0007" w:rsidP="00BE6AA3">
      <w:pPr>
        <w:spacing w:after="0"/>
        <w:ind w:left="720" w:hanging="720"/>
        <w:jc w:val="both"/>
        <w:rPr>
          <w:rFonts w:ascii="Tahoma" w:hAnsi="Tahoma" w:cs="Tahoma"/>
          <w:sz w:val="24"/>
          <w:szCs w:val="24"/>
          <w:lang w:val="en-US"/>
        </w:rPr>
      </w:pPr>
      <w:r>
        <w:rPr>
          <w:noProof/>
        </w:rPr>
        <w:drawing>
          <wp:inline distT="0" distB="0" distL="0" distR="0" wp14:anchorId="07ABC080" wp14:editId="6304965C">
            <wp:extent cx="5661660" cy="2743200"/>
            <wp:effectExtent l="0" t="0" r="15240" b="0"/>
            <wp:docPr id="1379161448" name="Chart 1">
              <a:extLst xmlns:a="http://schemas.openxmlformats.org/drawingml/2006/main">
                <a:ext uri="{FF2B5EF4-FFF2-40B4-BE49-F238E27FC236}">
                  <a16:creationId xmlns:a16="http://schemas.microsoft.com/office/drawing/2014/main" id="{22859E79-6E21-4D06-F845-10E99C0ADF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557B2E" w14:textId="5A3AC296" w:rsidR="00BE6AA3" w:rsidRPr="00BE6AA3" w:rsidRDefault="00BE6AA3" w:rsidP="00DE3766">
      <w:pPr>
        <w:ind w:left="720" w:hanging="720"/>
        <w:jc w:val="both"/>
        <w:rPr>
          <w:rFonts w:ascii="Tahoma" w:hAnsi="Tahoma" w:cs="Tahoma"/>
          <w:i/>
          <w:iCs/>
          <w:sz w:val="24"/>
          <w:szCs w:val="24"/>
          <w:lang w:val="en-US"/>
        </w:rPr>
      </w:pPr>
      <w:r w:rsidRPr="00BE6AA3">
        <w:rPr>
          <w:rFonts w:ascii="Tahoma" w:hAnsi="Tahoma" w:cs="Tahoma"/>
          <w:i/>
          <w:iCs/>
          <w:sz w:val="24"/>
          <w:szCs w:val="24"/>
          <w:lang w:val="en-US"/>
        </w:rPr>
        <w:t xml:space="preserve">Source: IFM, WEO </w:t>
      </w:r>
      <w:r w:rsidR="00EF0007">
        <w:rPr>
          <w:rFonts w:ascii="Tahoma" w:hAnsi="Tahoma" w:cs="Tahoma"/>
          <w:i/>
          <w:iCs/>
          <w:sz w:val="24"/>
          <w:szCs w:val="24"/>
          <w:lang w:val="en-US"/>
        </w:rPr>
        <w:t>January</w:t>
      </w:r>
      <w:r w:rsidRPr="00BE6AA3">
        <w:rPr>
          <w:rFonts w:ascii="Tahoma" w:hAnsi="Tahoma" w:cs="Tahoma"/>
          <w:i/>
          <w:iCs/>
          <w:sz w:val="24"/>
          <w:szCs w:val="24"/>
          <w:lang w:val="en-US"/>
        </w:rPr>
        <w:t xml:space="preserve"> 202</w:t>
      </w:r>
      <w:r w:rsidR="00EF0007">
        <w:rPr>
          <w:rFonts w:ascii="Tahoma" w:hAnsi="Tahoma" w:cs="Tahoma"/>
          <w:i/>
          <w:iCs/>
          <w:sz w:val="24"/>
          <w:szCs w:val="24"/>
          <w:lang w:val="en-US"/>
        </w:rPr>
        <w:t>5</w:t>
      </w:r>
      <w:r w:rsidRPr="00BE6AA3">
        <w:rPr>
          <w:rFonts w:ascii="Tahoma" w:hAnsi="Tahoma" w:cs="Tahoma"/>
          <w:i/>
          <w:iCs/>
          <w:sz w:val="24"/>
          <w:szCs w:val="24"/>
          <w:lang w:val="en-US"/>
        </w:rPr>
        <w:t xml:space="preserve"> update</w:t>
      </w:r>
    </w:p>
    <w:p w14:paraId="254D8D04" w14:textId="0FECF0F0" w:rsidR="00BB6E27" w:rsidRPr="00546CD8" w:rsidRDefault="004F680D" w:rsidP="00B42926">
      <w:pPr>
        <w:pStyle w:val="Heading1"/>
        <w:spacing w:before="0" w:after="240"/>
        <w:rPr>
          <w:lang w:val="en-US"/>
        </w:rPr>
      </w:pPr>
      <w:bookmarkStart w:id="13" w:name="_Toc166607892"/>
      <w:bookmarkStart w:id="14" w:name="_Toc189745273"/>
      <w:bookmarkEnd w:id="11"/>
      <w:r w:rsidRPr="00546CD8">
        <w:rPr>
          <w:lang w:val="en-US"/>
        </w:rPr>
        <w:t>2.0</w:t>
      </w:r>
      <w:r w:rsidRPr="00546CD8">
        <w:rPr>
          <w:lang w:val="en-US"/>
        </w:rPr>
        <w:tab/>
      </w:r>
      <w:r w:rsidR="00EF37FE" w:rsidRPr="00546CD8">
        <w:rPr>
          <w:lang w:val="en-US"/>
        </w:rPr>
        <w:t>International Commodity Prices</w:t>
      </w:r>
      <w:bookmarkEnd w:id="13"/>
      <w:bookmarkEnd w:id="14"/>
      <w:r w:rsidR="00EF37FE" w:rsidRPr="00546CD8">
        <w:rPr>
          <w:lang w:val="en-US"/>
        </w:rPr>
        <w:t xml:space="preserve"> </w:t>
      </w:r>
    </w:p>
    <w:p w14:paraId="2A6811A1" w14:textId="63294B7A" w:rsidR="00DE5869" w:rsidRPr="007C0F05" w:rsidRDefault="004F680D" w:rsidP="007C0F05">
      <w:pPr>
        <w:ind w:left="720" w:hanging="720"/>
        <w:jc w:val="both"/>
        <w:rPr>
          <w:rFonts w:ascii="Tahoma" w:hAnsi="Tahoma" w:cs="Tahoma"/>
          <w:sz w:val="24"/>
          <w:szCs w:val="24"/>
        </w:rPr>
      </w:pPr>
      <w:r w:rsidRPr="00863A17">
        <w:rPr>
          <w:rFonts w:ascii="Tahoma" w:hAnsi="Tahoma" w:cs="Tahoma"/>
          <w:sz w:val="24"/>
          <w:szCs w:val="24"/>
          <w:lang w:val="en-US"/>
        </w:rPr>
        <w:t>2.1</w:t>
      </w:r>
      <w:r w:rsidRPr="00863A17">
        <w:rPr>
          <w:rFonts w:ascii="Tahoma" w:hAnsi="Tahoma" w:cs="Tahoma"/>
          <w:sz w:val="24"/>
          <w:szCs w:val="24"/>
          <w:lang w:val="en-US"/>
        </w:rPr>
        <w:tab/>
      </w:r>
      <w:r w:rsidR="00DE5869">
        <w:rPr>
          <w:rFonts w:ascii="Tahoma" w:hAnsi="Tahoma" w:cs="Tahoma"/>
          <w:sz w:val="24"/>
          <w:szCs w:val="24"/>
          <w:lang w:val="en-US"/>
        </w:rPr>
        <w:t>In January 2025</w:t>
      </w:r>
      <w:r w:rsidR="00A11FA3">
        <w:rPr>
          <w:rFonts w:ascii="Tahoma" w:hAnsi="Tahoma" w:cs="Tahoma"/>
          <w:sz w:val="24"/>
          <w:szCs w:val="24"/>
          <w:lang w:val="en-US"/>
        </w:rPr>
        <w:t>, crude oil,</w:t>
      </w:r>
      <w:r w:rsidR="00DE5869">
        <w:rPr>
          <w:rFonts w:ascii="Tahoma" w:hAnsi="Tahoma" w:cs="Tahoma"/>
          <w:sz w:val="24"/>
          <w:szCs w:val="24"/>
          <w:lang w:val="en-US"/>
        </w:rPr>
        <w:t xml:space="preserve"> aluminum, copper, gold, soyabeans, corn and wheat </w:t>
      </w:r>
      <w:r w:rsidR="00A11FA3">
        <w:rPr>
          <w:rFonts w:ascii="Tahoma" w:hAnsi="Tahoma" w:cs="Tahoma"/>
          <w:sz w:val="24"/>
          <w:szCs w:val="24"/>
          <w:lang w:val="en-US"/>
        </w:rPr>
        <w:t xml:space="preserve">prices </w:t>
      </w:r>
      <w:r w:rsidR="00DE5869">
        <w:rPr>
          <w:rFonts w:ascii="Tahoma" w:hAnsi="Tahoma" w:cs="Tahoma"/>
          <w:sz w:val="24"/>
          <w:szCs w:val="24"/>
          <w:lang w:val="en-US"/>
        </w:rPr>
        <w:t>surged</w:t>
      </w:r>
      <w:r w:rsidR="00A11FA3">
        <w:rPr>
          <w:rFonts w:ascii="Tahoma" w:hAnsi="Tahoma" w:cs="Tahoma"/>
          <w:sz w:val="24"/>
          <w:szCs w:val="24"/>
          <w:lang w:val="en-US"/>
        </w:rPr>
        <w:t xml:space="preserve"> by </w:t>
      </w:r>
      <w:r w:rsidR="00DE5869">
        <w:rPr>
          <w:rFonts w:ascii="Tahoma" w:hAnsi="Tahoma" w:cs="Tahoma"/>
          <w:sz w:val="24"/>
          <w:szCs w:val="24"/>
          <w:lang w:val="en-US"/>
        </w:rPr>
        <w:t>1.38%, 1.72%, 6.92%, 6.58%, 4.38%, 5.13% and 1.45%</w:t>
      </w:r>
      <w:r w:rsidR="00A11FA3">
        <w:rPr>
          <w:rFonts w:ascii="Tahoma" w:hAnsi="Tahoma" w:cs="Tahoma"/>
          <w:sz w:val="24"/>
          <w:szCs w:val="24"/>
          <w:lang w:val="en-US"/>
        </w:rPr>
        <w:t xml:space="preserve"> respectively, </w:t>
      </w:r>
      <w:r w:rsidR="00DE5869">
        <w:rPr>
          <w:rFonts w:ascii="Tahoma" w:hAnsi="Tahoma" w:cs="Tahoma"/>
          <w:sz w:val="24"/>
          <w:szCs w:val="24"/>
          <w:lang w:val="en-US"/>
        </w:rPr>
        <w:t xml:space="preserve">yes natural gas, nickel and cotton prices </w:t>
      </w:r>
      <w:r w:rsidR="00F2449D">
        <w:rPr>
          <w:rFonts w:ascii="Tahoma" w:hAnsi="Tahoma" w:cs="Tahoma"/>
          <w:sz w:val="24"/>
          <w:szCs w:val="24"/>
          <w:lang w:val="en-US"/>
        </w:rPr>
        <w:t>abated</w:t>
      </w:r>
      <w:r w:rsidR="00A11FA3">
        <w:rPr>
          <w:rFonts w:ascii="Tahoma" w:hAnsi="Tahoma" w:cs="Tahoma"/>
          <w:sz w:val="24"/>
          <w:szCs w:val="24"/>
          <w:lang w:val="en-US"/>
        </w:rPr>
        <w:t xml:space="preserve">, see Table </w:t>
      </w:r>
      <w:r w:rsidR="00D92E70">
        <w:rPr>
          <w:rFonts w:ascii="Tahoma" w:hAnsi="Tahoma" w:cs="Tahoma"/>
          <w:sz w:val="24"/>
          <w:szCs w:val="24"/>
          <w:lang w:val="en-US"/>
        </w:rPr>
        <w:t>2</w:t>
      </w:r>
      <w:r w:rsidR="00A11FA3">
        <w:rPr>
          <w:rFonts w:ascii="Tahoma" w:hAnsi="Tahoma" w:cs="Tahoma"/>
          <w:sz w:val="24"/>
          <w:szCs w:val="24"/>
          <w:lang w:val="en-US"/>
        </w:rPr>
        <w:t>.</w:t>
      </w:r>
      <w:r w:rsidR="00C6736E">
        <w:rPr>
          <w:rFonts w:ascii="Tahoma" w:hAnsi="Tahoma" w:cs="Tahoma"/>
          <w:sz w:val="24"/>
          <w:szCs w:val="24"/>
          <w:lang w:val="en-US"/>
        </w:rPr>
        <w:t xml:space="preserve"> </w:t>
      </w:r>
      <w:r w:rsidR="007C0F05">
        <w:rPr>
          <w:rFonts w:ascii="Tahoma" w:hAnsi="Tahoma" w:cs="Tahoma"/>
          <w:sz w:val="24"/>
          <w:szCs w:val="24"/>
        </w:rPr>
        <w:t>According to The Business Insider (2025), January has been a roller coaster for commodities</w:t>
      </w:r>
      <w:r w:rsidR="00B51D8D">
        <w:rPr>
          <w:rFonts w:ascii="Tahoma" w:hAnsi="Tahoma" w:cs="Tahoma"/>
          <w:sz w:val="24"/>
          <w:szCs w:val="24"/>
        </w:rPr>
        <w:t xml:space="preserve"> due to </w:t>
      </w:r>
      <w:r w:rsidR="00B51D8D" w:rsidRPr="00B51D8D">
        <w:rPr>
          <w:rFonts w:ascii="Tahoma" w:hAnsi="Tahoma" w:cs="Tahoma"/>
          <w:sz w:val="24"/>
          <w:szCs w:val="24"/>
        </w:rPr>
        <w:t xml:space="preserve">downside risks, such as slowing global economic growth, the deteriorating US-China relationship and </w:t>
      </w:r>
      <w:r w:rsidR="00441566">
        <w:rPr>
          <w:rFonts w:ascii="Tahoma" w:hAnsi="Tahoma" w:cs="Tahoma"/>
          <w:sz w:val="24"/>
          <w:szCs w:val="24"/>
        </w:rPr>
        <w:t xml:space="preserve">geopolitical </w:t>
      </w:r>
      <w:r w:rsidR="00B51D8D" w:rsidRPr="00B51D8D">
        <w:rPr>
          <w:rFonts w:ascii="Tahoma" w:hAnsi="Tahoma" w:cs="Tahoma"/>
          <w:sz w:val="24"/>
          <w:szCs w:val="24"/>
        </w:rPr>
        <w:t>conflicts in the Middle East and Ukraine</w:t>
      </w:r>
      <w:r w:rsidR="00B51D8D">
        <w:rPr>
          <w:rFonts w:ascii="Tahoma" w:hAnsi="Tahoma" w:cs="Tahoma"/>
          <w:sz w:val="24"/>
          <w:szCs w:val="24"/>
        </w:rPr>
        <w:t>.</w:t>
      </w:r>
    </w:p>
    <w:p w14:paraId="717AAB46" w14:textId="4692C6D7" w:rsidR="00EC632F" w:rsidRPr="00E63C0D" w:rsidRDefault="004F680D" w:rsidP="00B13FFB">
      <w:pPr>
        <w:ind w:left="720" w:hanging="720"/>
        <w:jc w:val="both"/>
        <w:rPr>
          <w:rFonts w:ascii="Tahoma" w:hAnsi="Tahoma" w:cs="Tahoma"/>
          <w:sz w:val="24"/>
          <w:szCs w:val="24"/>
          <w:lang w:val="en-US"/>
        </w:rPr>
      </w:pPr>
      <w:r w:rsidRPr="00863A17">
        <w:rPr>
          <w:rFonts w:ascii="Tahoma" w:hAnsi="Tahoma" w:cs="Tahoma"/>
          <w:sz w:val="24"/>
          <w:szCs w:val="24"/>
          <w:lang w:val="en-US"/>
        </w:rPr>
        <w:t>2.2</w:t>
      </w:r>
      <w:r w:rsidRPr="00863A17">
        <w:rPr>
          <w:rFonts w:ascii="Tahoma" w:hAnsi="Tahoma" w:cs="Tahoma"/>
          <w:sz w:val="24"/>
          <w:szCs w:val="24"/>
          <w:lang w:val="en-US"/>
        </w:rPr>
        <w:tab/>
      </w:r>
      <w:r w:rsidR="00743213">
        <w:rPr>
          <w:rFonts w:ascii="Tahoma" w:hAnsi="Tahoma" w:cs="Tahoma"/>
          <w:sz w:val="24"/>
          <w:szCs w:val="24"/>
          <w:lang w:val="en-US"/>
        </w:rPr>
        <w:t>On a year-to-date basis,</w:t>
      </w:r>
      <w:r w:rsidR="003661D8">
        <w:rPr>
          <w:rFonts w:ascii="Tahoma" w:hAnsi="Tahoma" w:cs="Tahoma"/>
          <w:sz w:val="24"/>
          <w:szCs w:val="24"/>
          <w:lang w:val="en-US"/>
        </w:rPr>
        <w:t xml:space="preserve"> aluminum, copper</w:t>
      </w:r>
      <w:r w:rsidR="00743213">
        <w:rPr>
          <w:rFonts w:ascii="Tahoma" w:hAnsi="Tahoma" w:cs="Tahoma"/>
          <w:sz w:val="24"/>
          <w:szCs w:val="24"/>
          <w:lang w:val="en-US"/>
        </w:rPr>
        <w:t xml:space="preserve">, nickel, </w:t>
      </w:r>
      <w:r w:rsidR="003661D8">
        <w:rPr>
          <w:rFonts w:ascii="Tahoma" w:hAnsi="Tahoma" w:cs="Tahoma"/>
          <w:sz w:val="24"/>
          <w:szCs w:val="24"/>
          <w:lang w:val="en-US"/>
        </w:rPr>
        <w:t>gold</w:t>
      </w:r>
      <w:r w:rsidR="00743213">
        <w:rPr>
          <w:rFonts w:ascii="Tahoma" w:hAnsi="Tahoma" w:cs="Tahoma"/>
          <w:sz w:val="24"/>
          <w:szCs w:val="24"/>
          <w:lang w:val="en-US"/>
        </w:rPr>
        <w:t>, soyabeans, corn and wheat</w:t>
      </w:r>
      <w:r w:rsidR="003661D8">
        <w:rPr>
          <w:rFonts w:ascii="Tahoma" w:hAnsi="Tahoma" w:cs="Tahoma"/>
          <w:sz w:val="24"/>
          <w:szCs w:val="24"/>
          <w:lang w:val="en-US"/>
        </w:rPr>
        <w:t xml:space="preserve"> prices increased</w:t>
      </w:r>
      <w:r w:rsidR="00743213">
        <w:rPr>
          <w:rFonts w:ascii="Tahoma" w:hAnsi="Tahoma" w:cs="Tahoma"/>
          <w:sz w:val="24"/>
          <w:szCs w:val="24"/>
          <w:lang w:val="en-US"/>
        </w:rPr>
        <w:t>, while prices of crude oil, natural gas and cotton declined</w:t>
      </w:r>
      <w:r w:rsidR="00854348">
        <w:rPr>
          <w:rFonts w:ascii="Tahoma" w:hAnsi="Tahoma" w:cs="Tahoma"/>
          <w:sz w:val="24"/>
          <w:szCs w:val="24"/>
          <w:lang w:val="en-US"/>
        </w:rPr>
        <w:t>, as shown Table 2.</w:t>
      </w:r>
    </w:p>
    <w:p w14:paraId="63F4D1CA" w14:textId="3076A9FD" w:rsidR="00D2737C" w:rsidRDefault="004F680D" w:rsidP="004F680D">
      <w:pPr>
        <w:ind w:left="720" w:hanging="720"/>
        <w:jc w:val="both"/>
        <w:rPr>
          <w:rFonts w:ascii="Tahoma" w:hAnsi="Tahoma" w:cs="Tahoma"/>
          <w:sz w:val="24"/>
          <w:szCs w:val="24"/>
          <w:lang w:val="en-US"/>
        </w:rPr>
      </w:pPr>
      <w:r w:rsidRPr="00863A17">
        <w:rPr>
          <w:rFonts w:ascii="Tahoma" w:hAnsi="Tahoma" w:cs="Tahoma"/>
          <w:sz w:val="24"/>
          <w:szCs w:val="24"/>
          <w:lang w:val="en-US"/>
        </w:rPr>
        <w:t>2.3</w:t>
      </w:r>
      <w:r w:rsidRPr="00863A17">
        <w:rPr>
          <w:rFonts w:ascii="Tahoma" w:hAnsi="Tahoma" w:cs="Tahoma"/>
          <w:sz w:val="24"/>
          <w:szCs w:val="24"/>
          <w:lang w:val="en-US"/>
        </w:rPr>
        <w:tab/>
      </w:r>
      <w:bookmarkStart w:id="15" w:name="_Hlk181774988"/>
      <w:r w:rsidR="00671788">
        <w:rPr>
          <w:rFonts w:ascii="Tahoma" w:hAnsi="Tahoma" w:cs="Tahoma"/>
          <w:sz w:val="24"/>
          <w:szCs w:val="24"/>
          <w:lang w:val="en-US"/>
        </w:rPr>
        <w:t>On a year-on-year basis,</w:t>
      </w:r>
      <w:bookmarkEnd w:id="15"/>
      <w:r w:rsidR="00E70CFF">
        <w:rPr>
          <w:rFonts w:ascii="Tahoma" w:hAnsi="Tahoma" w:cs="Tahoma"/>
          <w:sz w:val="24"/>
          <w:szCs w:val="24"/>
          <w:lang w:val="en-US"/>
        </w:rPr>
        <w:t xml:space="preserve"> </w:t>
      </w:r>
      <w:r w:rsidR="00E70CFF" w:rsidRPr="00E70CFF">
        <w:rPr>
          <w:rFonts w:ascii="Tahoma" w:hAnsi="Tahoma" w:cs="Tahoma"/>
          <w:sz w:val="24"/>
          <w:szCs w:val="24"/>
          <w:lang w:val="en-US"/>
        </w:rPr>
        <w:t>prices for natural gas, aluminum, copper, gold, and corn increased, whereas prices for</w:t>
      </w:r>
      <w:r w:rsidR="00E70CFF">
        <w:rPr>
          <w:rFonts w:ascii="Tahoma" w:hAnsi="Tahoma" w:cs="Tahoma"/>
          <w:sz w:val="24"/>
          <w:szCs w:val="24"/>
          <w:lang w:val="en-US"/>
        </w:rPr>
        <w:t xml:space="preserve"> </w:t>
      </w:r>
      <w:r w:rsidR="00E70CFF" w:rsidRPr="00E70CFF">
        <w:rPr>
          <w:rFonts w:ascii="Tahoma" w:hAnsi="Tahoma" w:cs="Tahoma"/>
          <w:sz w:val="24"/>
          <w:szCs w:val="24"/>
          <w:lang w:val="en-US"/>
        </w:rPr>
        <w:t>other commodities declined</w:t>
      </w:r>
    </w:p>
    <w:p w14:paraId="12FAF02F" w14:textId="58022F12" w:rsidR="00EF37FE" w:rsidRPr="00AB0841" w:rsidRDefault="009F5CE5" w:rsidP="00E63964">
      <w:pPr>
        <w:pStyle w:val="ListofTables"/>
        <w:rPr>
          <w:lang w:val="en-US"/>
        </w:rPr>
      </w:pPr>
      <w:bookmarkStart w:id="16" w:name="_Toc164072363"/>
      <w:bookmarkStart w:id="17" w:name="_Toc166658890"/>
      <w:bookmarkStart w:id="18" w:name="_Toc189745374"/>
      <w:r w:rsidRPr="00863A17">
        <w:t xml:space="preserve">Table </w:t>
      </w:r>
      <w:r w:rsidR="00C32272">
        <w:t>2</w:t>
      </w:r>
      <w:r w:rsidRPr="00863A17">
        <w:t>:</w:t>
      </w:r>
      <w:r w:rsidRPr="00863A17">
        <w:rPr>
          <w:lang w:val="en-US"/>
        </w:rPr>
        <w:t xml:space="preserve"> Commodity Price Movements – </w:t>
      </w:r>
      <w:r w:rsidR="00761C54" w:rsidRPr="00863A17">
        <w:rPr>
          <w:lang w:val="en-US"/>
        </w:rPr>
        <w:t>Month</w:t>
      </w:r>
      <w:r w:rsidRPr="00863A17">
        <w:rPr>
          <w:lang w:val="en-US"/>
        </w:rPr>
        <w:t xml:space="preserve"> Ending</w:t>
      </w:r>
      <w:r w:rsidR="0009726E">
        <w:rPr>
          <w:lang w:val="en-US"/>
        </w:rPr>
        <w:t xml:space="preserve"> 31</w:t>
      </w:r>
      <w:r w:rsidR="000A7B2C">
        <w:rPr>
          <w:lang w:val="en-US"/>
        </w:rPr>
        <w:t xml:space="preserve"> </w:t>
      </w:r>
      <w:r w:rsidR="00FD430D">
        <w:rPr>
          <w:lang w:val="en-US"/>
        </w:rPr>
        <w:t>January</w:t>
      </w:r>
      <w:r w:rsidRPr="00863A17">
        <w:rPr>
          <w:lang w:val="en-US"/>
        </w:rPr>
        <w:t xml:space="preserve"> 202</w:t>
      </w:r>
      <w:bookmarkEnd w:id="16"/>
      <w:bookmarkEnd w:id="17"/>
      <w:r w:rsidR="00FD430D">
        <w:rPr>
          <w:lang w:val="en-US"/>
        </w:rPr>
        <w:t>5</w:t>
      </w:r>
      <w:bookmarkEnd w:id="18"/>
    </w:p>
    <w:p w14:paraId="3FDCEEDA" w14:textId="413F3E16" w:rsidR="009D4508" w:rsidRPr="00AB0841" w:rsidRDefault="00433F6A" w:rsidP="0076325F">
      <w:pPr>
        <w:spacing w:after="0"/>
        <w:rPr>
          <w:rFonts w:ascii="Tahoma" w:hAnsi="Tahoma" w:cs="Tahoma"/>
          <w:noProof/>
          <w:sz w:val="24"/>
          <w:szCs w:val="24"/>
          <w:lang w:eastAsia="en-ZW"/>
        </w:rPr>
      </w:pPr>
      <w:r w:rsidRPr="00433F6A">
        <w:rPr>
          <w:noProof/>
        </w:rPr>
        <w:drawing>
          <wp:inline distT="0" distB="0" distL="0" distR="0" wp14:anchorId="323DB712" wp14:editId="40801AC7">
            <wp:extent cx="5731510" cy="2030095"/>
            <wp:effectExtent l="0" t="0" r="2540" b="8255"/>
            <wp:docPr id="82889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97892" name=""/>
                    <pic:cNvPicPr/>
                  </pic:nvPicPr>
                  <pic:blipFill>
                    <a:blip r:embed="rId12"/>
                    <a:stretch>
                      <a:fillRect/>
                    </a:stretch>
                  </pic:blipFill>
                  <pic:spPr>
                    <a:xfrm>
                      <a:off x="0" y="0"/>
                      <a:ext cx="5731510" cy="2030095"/>
                    </a:xfrm>
                    <a:prstGeom prst="rect">
                      <a:avLst/>
                    </a:prstGeom>
                  </pic:spPr>
                </pic:pic>
              </a:graphicData>
            </a:graphic>
          </wp:inline>
        </w:drawing>
      </w:r>
    </w:p>
    <w:p w14:paraId="19C3E861" w14:textId="6B2BE3AE" w:rsidR="00EF37FE" w:rsidRPr="00863A17" w:rsidRDefault="00EF37FE" w:rsidP="00F05BD5">
      <w:pPr>
        <w:spacing w:line="480" w:lineRule="auto"/>
        <w:rPr>
          <w:rFonts w:ascii="Tahoma" w:hAnsi="Tahoma" w:cs="Tahoma"/>
          <w:i/>
          <w:sz w:val="24"/>
          <w:szCs w:val="24"/>
          <w:lang w:val="en-US"/>
        </w:rPr>
      </w:pPr>
      <w:r w:rsidRPr="00863A17">
        <w:rPr>
          <w:rFonts w:ascii="Tahoma" w:hAnsi="Tahoma" w:cs="Tahoma"/>
          <w:i/>
          <w:sz w:val="24"/>
          <w:szCs w:val="24"/>
          <w:lang w:val="en-US"/>
        </w:rPr>
        <w:t xml:space="preserve">Source: </w:t>
      </w:r>
      <w:r w:rsidR="006B3019" w:rsidRPr="00863A17">
        <w:rPr>
          <w:rFonts w:ascii="Tahoma" w:hAnsi="Tahoma" w:cs="Tahoma"/>
          <w:i/>
          <w:sz w:val="24"/>
          <w:szCs w:val="24"/>
          <w:lang w:val="en-US"/>
        </w:rPr>
        <w:t>Trading Economics (202</w:t>
      </w:r>
      <w:r w:rsidR="00433F6A">
        <w:rPr>
          <w:rFonts w:ascii="Tahoma" w:hAnsi="Tahoma" w:cs="Tahoma"/>
          <w:i/>
          <w:sz w:val="24"/>
          <w:szCs w:val="24"/>
          <w:lang w:val="en-US"/>
        </w:rPr>
        <w:t>5</w:t>
      </w:r>
      <w:r w:rsidR="006B3019" w:rsidRPr="00863A17">
        <w:rPr>
          <w:rFonts w:ascii="Tahoma" w:hAnsi="Tahoma" w:cs="Tahoma"/>
          <w:i/>
          <w:sz w:val="24"/>
          <w:szCs w:val="24"/>
          <w:lang w:val="en-US"/>
        </w:rPr>
        <w:t>)</w:t>
      </w:r>
    </w:p>
    <w:p w14:paraId="0BB69A26" w14:textId="77777777" w:rsidR="00EF37FE" w:rsidRPr="00863A17" w:rsidRDefault="004F680D" w:rsidP="00F05BD5">
      <w:pPr>
        <w:pStyle w:val="Heading1"/>
        <w:spacing w:before="0" w:after="240"/>
        <w:rPr>
          <w:lang w:val="en-US"/>
        </w:rPr>
      </w:pPr>
      <w:bookmarkStart w:id="19" w:name="_Toc166607893"/>
      <w:bookmarkStart w:id="20" w:name="_Toc189745274"/>
      <w:r w:rsidRPr="00863A17">
        <w:rPr>
          <w:lang w:val="en-US"/>
        </w:rPr>
        <w:lastRenderedPageBreak/>
        <w:t>3.0</w:t>
      </w:r>
      <w:r w:rsidRPr="00863A17">
        <w:rPr>
          <w:lang w:val="en-US"/>
        </w:rPr>
        <w:tab/>
      </w:r>
      <w:r w:rsidR="00476766" w:rsidRPr="00863A17">
        <w:rPr>
          <w:lang w:val="en-US"/>
        </w:rPr>
        <w:t>Zimbabwe GDP Growth Update</w:t>
      </w:r>
      <w:bookmarkEnd w:id="19"/>
      <w:bookmarkEnd w:id="20"/>
      <w:r w:rsidR="00476766" w:rsidRPr="00863A17">
        <w:rPr>
          <w:lang w:val="en-US"/>
        </w:rPr>
        <w:t xml:space="preserve"> </w:t>
      </w:r>
      <w:r w:rsidR="00EF37FE" w:rsidRPr="00863A17">
        <w:rPr>
          <w:lang w:val="en-US"/>
        </w:rPr>
        <w:t xml:space="preserve"> </w:t>
      </w:r>
    </w:p>
    <w:p w14:paraId="0F6C1357" w14:textId="3ADC50DA" w:rsidR="00487413" w:rsidRPr="006A2497" w:rsidRDefault="004F680D" w:rsidP="006A2497">
      <w:pPr>
        <w:ind w:left="720" w:hanging="720"/>
        <w:jc w:val="both"/>
        <w:rPr>
          <w:rFonts w:ascii="Tahoma" w:hAnsi="Tahoma" w:cs="Tahoma"/>
          <w:sz w:val="24"/>
          <w:szCs w:val="24"/>
          <w:lang w:val="en-US"/>
        </w:rPr>
      </w:pPr>
      <w:r w:rsidRPr="00863A17">
        <w:rPr>
          <w:rFonts w:ascii="Tahoma" w:hAnsi="Tahoma" w:cs="Tahoma"/>
          <w:sz w:val="24"/>
          <w:szCs w:val="24"/>
          <w:lang w:val="en-US"/>
        </w:rPr>
        <w:t>3.1</w:t>
      </w:r>
      <w:r w:rsidRPr="00863A17">
        <w:rPr>
          <w:rFonts w:ascii="Tahoma" w:hAnsi="Tahoma" w:cs="Tahoma"/>
          <w:sz w:val="24"/>
          <w:szCs w:val="24"/>
          <w:lang w:val="en-US"/>
        </w:rPr>
        <w:tab/>
      </w:r>
      <w:bookmarkStart w:id="21" w:name="_Hlk166603728"/>
      <w:r w:rsidR="006A2497">
        <w:rPr>
          <w:rFonts w:ascii="Tahoma" w:hAnsi="Tahoma" w:cs="Tahoma"/>
          <w:sz w:val="24"/>
          <w:szCs w:val="24"/>
          <w:lang w:val="en-US"/>
        </w:rPr>
        <w:t>The country’s</w:t>
      </w:r>
      <w:r w:rsidR="005916C9" w:rsidRPr="005916C9">
        <w:rPr>
          <w:rFonts w:ascii="Tahoma" w:hAnsi="Tahoma" w:cs="Tahoma"/>
          <w:sz w:val="24"/>
          <w:szCs w:val="24"/>
          <w:lang w:val="en-US"/>
        </w:rPr>
        <w:t xml:space="preserve"> economic growth </w:t>
      </w:r>
      <w:r w:rsidR="006A2497">
        <w:rPr>
          <w:rFonts w:ascii="Tahoma" w:hAnsi="Tahoma" w:cs="Tahoma"/>
          <w:sz w:val="24"/>
          <w:szCs w:val="24"/>
          <w:lang w:val="en-US"/>
        </w:rPr>
        <w:t xml:space="preserve">remains </w:t>
      </w:r>
      <w:r w:rsidR="006A2497" w:rsidRPr="005916C9">
        <w:rPr>
          <w:rFonts w:ascii="Tahoma" w:hAnsi="Tahoma" w:cs="Tahoma"/>
          <w:sz w:val="24"/>
          <w:szCs w:val="24"/>
          <w:lang w:val="en-US"/>
        </w:rPr>
        <w:t>projected</w:t>
      </w:r>
      <w:r w:rsidR="005916C9" w:rsidRPr="005916C9">
        <w:rPr>
          <w:rFonts w:ascii="Tahoma" w:hAnsi="Tahoma" w:cs="Tahoma"/>
          <w:sz w:val="24"/>
          <w:szCs w:val="24"/>
          <w:lang w:val="en-US"/>
        </w:rPr>
        <w:t xml:space="preserve"> to</w:t>
      </w:r>
      <w:r w:rsidR="006A2497">
        <w:rPr>
          <w:rFonts w:ascii="Tahoma" w:hAnsi="Tahoma" w:cs="Tahoma"/>
          <w:sz w:val="24"/>
          <w:szCs w:val="24"/>
          <w:lang w:val="en-US"/>
        </w:rPr>
        <w:t xml:space="preserve"> grow by 6% in 2025</w:t>
      </w:r>
      <w:r w:rsidR="005916C9" w:rsidRPr="005916C9">
        <w:rPr>
          <w:rFonts w:ascii="Tahoma" w:hAnsi="Tahoma" w:cs="Tahoma"/>
          <w:sz w:val="24"/>
          <w:szCs w:val="24"/>
          <w:lang w:val="en-US"/>
        </w:rPr>
        <w:t>.</w:t>
      </w:r>
      <w:r w:rsidR="006A2497">
        <w:rPr>
          <w:rFonts w:ascii="Tahoma" w:hAnsi="Tahoma" w:cs="Tahoma"/>
          <w:sz w:val="24"/>
          <w:szCs w:val="24"/>
          <w:lang w:val="en-US"/>
        </w:rPr>
        <w:t xml:space="preserve"> According to the World Bank (2024),</w:t>
      </w:r>
      <w:r w:rsidR="006A2497" w:rsidRPr="006A2497">
        <w:t xml:space="preserve"> </w:t>
      </w:r>
      <w:r w:rsidR="006A2497" w:rsidRPr="006A2497">
        <w:rPr>
          <w:rFonts w:ascii="Tahoma" w:hAnsi="Tahoma" w:cs="Tahoma"/>
          <w:sz w:val="24"/>
          <w:szCs w:val="24"/>
          <w:lang w:val="en-US"/>
        </w:rPr>
        <w:t>Zimbabwe’s economic outlook is positive, due to an expected</w:t>
      </w:r>
      <w:r w:rsidR="006A2497">
        <w:rPr>
          <w:rFonts w:ascii="Tahoma" w:hAnsi="Tahoma" w:cs="Tahoma"/>
          <w:sz w:val="24"/>
          <w:szCs w:val="24"/>
          <w:lang w:val="en-US"/>
        </w:rPr>
        <w:t xml:space="preserve"> </w:t>
      </w:r>
      <w:r w:rsidR="006A2497" w:rsidRPr="006A2497">
        <w:rPr>
          <w:rFonts w:ascii="Tahoma" w:hAnsi="Tahoma" w:cs="Tahoma"/>
          <w:sz w:val="24"/>
          <w:szCs w:val="24"/>
          <w:lang w:val="en-US"/>
        </w:rPr>
        <w:t>recovery in agriculture, and robust growth in industry and services</w:t>
      </w:r>
      <w:r w:rsidR="006A2497">
        <w:rPr>
          <w:rFonts w:ascii="Tahoma" w:hAnsi="Tahoma" w:cs="Tahoma"/>
          <w:sz w:val="24"/>
          <w:szCs w:val="24"/>
          <w:lang w:val="en-US"/>
        </w:rPr>
        <w:t>.</w:t>
      </w:r>
    </w:p>
    <w:p w14:paraId="1251284A" w14:textId="77777777" w:rsidR="00EF37FE" w:rsidRPr="00086539" w:rsidRDefault="00B1678A" w:rsidP="009F5CE5">
      <w:pPr>
        <w:pStyle w:val="Heading1"/>
        <w:spacing w:before="0" w:after="240" w:line="240" w:lineRule="auto"/>
        <w:rPr>
          <w:rFonts w:cs="Tahoma"/>
          <w:bCs/>
          <w:color w:val="000000"/>
          <w:szCs w:val="24"/>
          <w:lang w:val="en-US"/>
        </w:rPr>
      </w:pPr>
      <w:bookmarkStart w:id="22" w:name="_Toc166607894"/>
      <w:bookmarkStart w:id="23" w:name="_Toc189745275"/>
      <w:bookmarkEnd w:id="21"/>
      <w:r w:rsidRPr="00086539">
        <w:rPr>
          <w:rFonts w:cs="Tahoma"/>
          <w:bCs/>
          <w:color w:val="000000"/>
          <w:szCs w:val="24"/>
          <w:lang w:val="en-US"/>
        </w:rPr>
        <w:t>4.0</w:t>
      </w:r>
      <w:r w:rsidRPr="00086539">
        <w:rPr>
          <w:rFonts w:cs="Tahoma"/>
          <w:bCs/>
          <w:color w:val="000000"/>
          <w:szCs w:val="24"/>
          <w:lang w:val="en-US"/>
        </w:rPr>
        <w:tab/>
      </w:r>
      <w:r w:rsidR="00EF37FE" w:rsidRPr="00086539">
        <w:rPr>
          <w:rFonts w:cs="Tahoma"/>
          <w:bCs/>
          <w:color w:val="000000"/>
          <w:szCs w:val="24"/>
          <w:lang w:val="en-US"/>
        </w:rPr>
        <w:t>Merchandise Trade Developments</w:t>
      </w:r>
      <w:bookmarkEnd w:id="22"/>
      <w:bookmarkEnd w:id="23"/>
      <w:r w:rsidR="00EF37FE" w:rsidRPr="00086539">
        <w:rPr>
          <w:rFonts w:cs="Tahoma"/>
          <w:bCs/>
          <w:color w:val="000000"/>
          <w:szCs w:val="24"/>
          <w:lang w:val="en-US"/>
        </w:rPr>
        <w:t xml:space="preserve"> </w:t>
      </w:r>
    </w:p>
    <w:p w14:paraId="4E83653D" w14:textId="7D9CEFC8" w:rsidR="00D75883" w:rsidRDefault="00B1678A" w:rsidP="00C262AF">
      <w:pPr>
        <w:ind w:left="720" w:hanging="720"/>
        <w:jc w:val="both"/>
        <w:rPr>
          <w:rFonts w:ascii="Tahoma" w:hAnsi="Tahoma" w:cs="Tahoma"/>
          <w:sz w:val="24"/>
          <w:szCs w:val="24"/>
          <w:lang w:val="en-US"/>
        </w:rPr>
      </w:pPr>
      <w:r w:rsidRPr="00863A17">
        <w:rPr>
          <w:rFonts w:ascii="Tahoma" w:hAnsi="Tahoma" w:cs="Tahoma"/>
          <w:sz w:val="24"/>
          <w:szCs w:val="24"/>
          <w:lang w:val="en-US"/>
        </w:rPr>
        <w:t>4.1</w:t>
      </w:r>
      <w:r w:rsidRPr="00863A17">
        <w:rPr>
          <w:rFonts w:ascii="Tahoma" w:hAnsi="Tahoma" w:cs="Tahoma"/>
          <w:sz w:val="24"/>
          <w:szCs w:val="24"/>
          <w:lang w:val="en-US"/>
        </w:rPr>
        <w:tab/>
      </w:r>
      <w:r w:rsidR="00A55EE7">
        <w:rPr>
          <w:rFonts w:ascii="Tahoma" w:hAnsi="Tahoma" w:cs="Tahoma"/>
          <w:sz w:val="24"/>
          <w:szCs w:val="24"/>
          <w:lang w:val="en-US"/>
        </w:rPr>
        <w:t>Zimbabwe National Statistics Agency (ZimStat) had not published the merchandise trade data for</w:t>
      </w:r>
      <w:r w:rsidR="00224681">
        <w:rPr>
          <w:rFonts w:ascii="Tahoma" w:hAnsi="Tahoma" w:cs="Tahoma"/>
          <w:sz w:val="24"/>
          <w:szCs w:val="24"/>
          <w:lang w:val="en-US"/>
        </w:rPr>
        <w:t xml:space="preserve"> </w:t>
      </w:r>
      <w:r w:rsidR="00C55EE1">
        <w:rPr>
          <w:rFonts w:ascii="Tahoma" w:hAnsi="Tahoma" w:cs="Tahoma"/>
          <w:sz w:val="24"/>
          <w:szCs w:val="24"/>
          <w:lang w:val="en-US"/>
        </w:rPr>
        <w:t>January</w:t>
      </w:r>
      <w:r w:rsidR="00A55EE7">
        <w:rPr>
          <w:rFonts w:ascii="Tahoma" w:hAnsi="Tahoma" w:cs="Tahoma"/>
          <w:sz w:val="24"/>
          <w:szCs w:val="24"/>
          <w:lang w:val="en-US"/>
        </w:rPr>
        <w:t xml:space="preserve"> 2024 </w:t>
      </w:r>
      <w:r w:rsidR="00D75883">
        <w:rPr>
          <w:rFonts w:ascii="Tahoma" w:hAnsi="Tahoma" w:cs="Tahoma"/>
          <w:sz w:val="24"/>
          <w:szCs w:val="24"/>
          <w:lang w:val="en-US"/>
        </w:rPr>
        <w:t xml:space="preserve">by </w:t>
      </w:r>
      <w:r w:rsidR="00A55EE7">
        <w:rPr>
          <w:rFonts w:ascii="Tahoma" w:hAnsi="Tahoma" w:cs="Tahoma"/>
          <w:sz w:val="24"/>
          <w:szCs w:val="24"/>
          <w:lang w:val="en-US"/>
        </w:rPr>
        <w:t xml:space="preserve">the time of compiling this report, thus the analysis is based on </w:t>
      </w:r>
      <w:r w:rsidR="00C55EE1">
        <w:rPr>
          <w:rFonts w:ascii="Tahoma" w:hAnsi="Tahoma" w:cs="Tahoma"/>
          <w:sz w:val="24"/>
          <w:szCs w:val="24"/>
          <w:lang w:val="en-US"/>
        </w:rPr>
        <w:t>November</w:t>
      </w:r>
      <w:r w:rsidR="00A55EE7">
        <w:rPr>
          <w:rFonts w:ascii="Tahoma" w:hAnsi="Tahoma" w:cs="Tahoma"/>
          <w:sz w:val="24"/>
          <w:szCs w:val="24"/>
          <w:lang w:val="en-US"/>
        </w:rPr>
        <w:t xml:space="preserve"> 2024 data.</w:t>
      </w:r>
    </w:p>
    <w:p w14:paraId="21CFC481" w14:textId="530122A7" w:rsidR="00897CB3" w:rsidRDefault="00D75883" w:rsidP="00C262AF">
      <w:pPr>
        <w:ind w:left="720" w:hanging="720"/>
        <w:jc w:val="both"/>
        <w:rPr>
          <w:rFonts w:ascii="Tahoma" w:hAnsi="Tahoma" w:cs="Tahoma"/>
          <w:sz w:val="24"/>
          <w:szCs w:val="24"/>
          <w:lang w:val="en-US"/>
        </w:rPr>
      </w:pPr>
      <w:r>
        <w:rPr>
          <w:rFonts w:ascii="Tahoma" w:hAnsi="Tahoma" w:cs="Tahoma"/>
          <w:sz w:val="24"/>
          <w:szCs w:val="24"/>
          <w:lang w:val="en-US"/>
        </w:rPr>
        <w:t>4.2</w:t>
      </w:r>
      <w:r>
        <w:rPr>
          <w:rFonts w:ascii="Tahoma" w:hAnsi="Tahoma" w:cs="Tahoma"/>
          <w:sz w:val="24"/>
          <w:szCs w:val="24"/>
          <w:lang w:val="en-US"/>
        </w:rPr>
        <w:tab/>
      </w:r>
      <w:r w:rsidR="00895C5B" w:rsidRPr="00895C5B">
        <w:rPr>
          <w:rFonts w:ascii="Tahoma" w:hAnsi="Tahoma" w:cs="Tahoma"/>
          <w:sz w:val="24"/>
          <w:szCs w:val="24"/>
          <w:lang w:val="en-US"/>
        </w:rPr>
        <w:t xml:space="preserve">Zimbabwe's total merchandise trade surged 21.1% month-on-month to USD1.857 billion in November 2024, driven by rises in both exports and imports. Compared to the same period </w:t>
      </w:r>
      <w:r w:rsidR="00895C5B">
        <w:rPr>
          <w:rFonts w:ascii="Tahoma" w:hAnsi="Tahoma" w:cs="Tahoma"/>
          <w:sz w:val="24"/>
          <w:szCs w:val="24"/>
          <w:lang w:val="en-US"/>
        </w:rPr>
        <w:t>in 2023</w:t>
      </w:r>
      <w:r w:rsidR="00895C5B" w:rsidRPr="00895C5B">
        <w:rPr>
          <w:rFonts w:ascii="Tahoma" w:hAnsi="Tahoma" w:cs="Tahoma"/>
          <w:sz w:val="24"/>
          <w:szCs w:val="24"/>
          <w:lang w:val="en-US"/>
        </w:rPr>
        <w:t xml:space="preserve">, trade volumes jumped 23.2% from USD1.507 billion </w:t>
      </w:r>
      <w:r w:rsidR="00EB16D2">
        <w:rPr>
          <w:rFonts w:ascii="Tahoma" w:hAnsi="Tahoma" w:cs="Tahoma"/>
          <w:sz w:val="24"/>
          <w:szCs w:val="24"/>
          <w:lang w:val="en-US"/>
        </w:rPr>
        <w:t>(</w:t>
      </w:r>
      <w:r w:rsidR="00A55EE7">
        <w:rPr>
          <w:rFonts w:ascii="Tahoma" w:hAnsi="Tahoma" w:cs="Tahoma"/>
          <w:sz w:val="24"/>
          <w:szCs w:val="24"/>
          <w:lang w:val="en-US"/>
        </w:rPr>
        <w:t>RBZ</w:t>
      </w:r>
      <w:r w:rsidR="009C1166">
        <w:rPr>
          <w:rFonts w:ascii="Tahoma" w:hAnsi="Tahoma" w:cs="Tahoma"/>
          <w:sz w:val="24"/>
          <w:szCs w:val="24"/>
          <w:lang w:val="en-US"/>
        </w:rPr>
        <w:t xml:space="preserve"> </w:t>
      </w:r>
      <w:r w:rsidR="00CA0274">
        <w:rPr>
          <w:rFonts w:ascii="Tahoma" w:hAnsi="Tahoma" w:cs="Tahoma"/>
          <w:sz w:val="24"/>
          <w:szCs w:val="24"/>
          <w:lang w:val="en-US"/>
        </w:rPr>
        <w:t>November</w:t>
      </w:r>
      <w:r w:rsidR="00C928AA">
        <w:rPr>
          <w:rFonts w:ascii="Tahoma" w:hAnsi="Tahoma" w:cs="Tahoma"/>
          <w:sz w:val="24"/>
          <w:szCs w:val="24"/>
          <w:lang w:val="en-US"/>
        </w:rPr>
        <w:t xml:space="preserve"> 2024</w:t>
      </w:r>
      <w:r w:rsidR="00A55EE7">
        <w:rPr>
          <w:rFonts w:ascii="Tahoma" w:hAnsi="Tahoma" w:cs="Tahoma"/>
          <w:sz w:val="24"/>
          <w:szCs w:val="24"/>
          <w:lang w:val="en-US"/>
        </w:rPr>
        <w:t xml:space="preserve"> Monthly Re</w:t>
      </w:r>
      <w:r w:rsidR="00C928AA">
        <w:rPr>
          <w:rFonts w:ascii="Tahoma" w:hAnsi="Tahoma" w:cs="Tahoma"/>
          <w:sz w:val="24"/>
          <w:szCs w:val="24"/>
          <w:lang w:val="en-US"/>
        </w:rPr>
        <w:t>view</w:t>
      </w:r>
      <w:r w:rsidR="00EB16D2">
        <w:rPr>
          <w:rFonts w:ascii="Tahoma" w:hAnsi="Tahoma" w:cs="Tahoma"/>
          <w:sz w:val="24"/>
          <w:szCs w:val="24"/>
          <w:lang w:val="en-US"/>
        </w:rPr>
        <w:t>).</w:t>
      </w:r>
    </w:p>
    <w:p w14:paraId="2AD1DC18" w14:textId="3F4288E5" w:rsidR="00E2017D" w:rsidRDefault="00354CAD" w:rsidP="008B0E32">
      <w:pPr>
        <w:ind w:left="720" w:hanging="720"/>
        <w:jc w:val="both"/>
        <w:rPr>
          <w:rFonts w:ascii="Tahoma" w:hAnsi="Tahoma" w:cs="Tahoma"/>
          <w:noProof/>
          <w:sz w:val="24"/>
          <w:szCs w:val="24"/>
          <w:lang w:eastAsia="en-ZW"/>
        </w:rPr>
      </w:pPr>
      <w:r>
        <w:rPr>
          <w:rFonts w:ascii="Tahoma" w:hAnsi="Tahoma" w:cs="Tahoma"/>
          <w:noProof/>
          <w:sz w:val="24"/>
          <w:szCs w:val="24"/>
          <w:lang w:eastAsia="en-ZW"/>
        </w:rPr>
        <w:t>4.1</w:t>
      </w:r>
      <w:r w:rsidR="00056C3C">
        <w:rPr>
          <w:rFonts w:ascii="Tahoma" w:hAnsi="Tahoma" w:cs="Tahoma"/>
          <w:noProof/>
          <w:sz w:val="24"/>
          <w:szCs w:val="24"/>
          <w:lang w:eastAsia="en-ZW"/>
        </w:rPr>
        <w:tab/>
      </w:r>
      <w:bookmarkStart w:id="24" w:name="_Hlk181775076"/>
      <w:r w:rsidR="0055557F" w:rsidRPr="0055557F">
        <w:rPr>
          <w:rFonts w:ascii="Tahoma" w:hAnsi="Tahoma" w:cs="Tahoma"/>
          <w:noProof/>
          <w:sz w:val="24"/>
          <w:szCs w:val="24"/>
          <w:lang w:eastAsia="en-ZW"/>
        </w:rPr>
        <w:t xml:space="preserve">Zimbabwe's trade deficit narrowed significantly to USD46.9 million in November 2024, down from USD137.7 million in October 2024 and USD144.5 million in </w:t>
      </w:r>
      <w:r w:rsidR="0055557F">
        <w:rPr>
          <w:rFonts w:ascii="Tahoma" w:hAnsi="Tahoma" w:cs="Tahoma"/>
          <w:noProof/>
          <w:sz w:val="24"/>
          <w:szCs w:val="24"/>
          <w:lang w:eastAsia="en-ZW"/>
        </w:rPr>
        <w:t>November 2023</w:t>
      </w:r>
      <w:r w:rsidR="0055557F" w:rsidRPr="0055557F">
        <w:rPr>
          <w:rFonts w:ascii="Tahoma" w:hAnsi="Tahoma" w:cs="Tahoma"/>
          <w:noProof/>
          <w:sz w:val="24"/>
          <w:szCs w:val="24"/>
          <w:lang w:eastAsia="en-ZW"/>
        </w:rPr>
        <w:t xml:space="preserve"> </w:t>
      </w:r>
      <w:r w:rsidR="00136197">
        <w:rPr>
          <w:rFonts w:ascii="Tahoma" w:hAnsi="Tahoma" w:cs="Tahoma"/>
          <w:noProof/>
          <w:sz w:val="24"/>
          <w:szCs w:val="24"/>
          <w:lang w:eastAsia="en-ZW"/>
        </w:rPr>
        <w:t xml:space="preserve">(see Figure </w:t>
      </w:r>
      <w:r w:rsidR="00686026">
        <w:rPr>
          <w:rFonts w:ascii="Tahoma" w:hAnsi="Tahoma" w:cs="Tahoma"/>
          <w:noProof/>
          <w:sz w:val="24"/>
          <w:szCs w:val="24"/>
          <w:lang w:eastAsia="en-ZW"/>
        </w:rPr>
        <w:t>3</w:t>
      </w:r>
      <w:r w:rsidR="00136197">
        <w:rPr>
          <w:rFonts w:ascii="Tahoma" w:hAnsi="Tahoma" w:cs="Tahoma"/>
          <w:noProof/>
          <w:sz w:val="24"/>
          <w:szCs w:val="24"/>
          <w:lang w:eastAsia="en-ZW"/>
        </w:rPr>
        <w:t>)</w:t>
      </w:r>
      <w:r w:rsidR="00BB518F">
        <w:rPr>
          <w:rFonts w:ascii="Tahoma" w:hAnsi="Tahoma" w:cs="Tahoma"/>
          <w:noProof/>
          <w:sz w:val="24"/>
          <w:szCs w:val="24"/>
          <w:lang w:eastAsia="en-ZW"/>
        </w:rPr>
        <w:t>.</w:t>
      </w:r>
      <w:bookmarkEnd w:id="24"/>
      <w:r w:rsidR="0080684C">
        <w:t xml:space="preserve"> </w:t>
      </w:r>
      <w:r w:rsidR="0080684C">
        <w:rPr>
          <w:rFonts w:ascii="Tahoma" w:hAnsi="Tahoma" w:cs="Tahoma"/>
          <w:noProof/>
          <w:sz w:val="24"/>
          <w:szCs w:val="24"/>
          <w:lang w:eastAsia="en-ZW"/>
        </w:rPr>
        <w:t>M</w:t>
      </w:r>
      <w:r w:rsidR="0080684C" w:rsidRPr="0080684C">
        <w:rPr>
          <w:rFonts w:ascii="Tahoma" w:hAnsi="Tahoma" w:cs="Tahoma"/>
          <w:noProof/>
          <w:sz w:val="24"/>
          <w:szCs w:val="24"/>
          <w:lang w:eastAsia="en-ZW"/>
        </w:rPr>
        <w:t>erchandise exports jumped 29.7% to USD905.2 million in November 2024, driven by increased export earnings from gold, tobacco, and platinum group metals (PGMs), with key destinations being the UAE, China, and South Africa, which collectively accounted for 80.3% of total exports</w:t>
      </w:r>
      <w:r w:rsidR="001C6DDE">
        <w:rPr>
          <w:rFonts w:ascii="Tahoma" w:hAnsi="Tahoma" w:cs="Tahoma"/>
          <w:noProof/>
          <w:sz w:val="24"/>
          <w:szCs w:val="24"/>
          <w:lang w:eastAsia="en-ZW"/>
        </w:rPr>
        <w:t>.</w:t>
      </w:r>
      <w:r w:rsidR="00F21C38">
        <w:rPr>
          <w:rFonts w:ascii="Tahoma" w:hAnsi="Tahoma" w:cs="Tahoma"/>
          <w:noProof/>
          <w:sz w:val="24"/>
          <w:szCs w:val="24"/>
          <w:lang w:eastAsia="en-ZW"/>
        </w:rPr>
        <w:t xml:space="preserve"> </w:t>
      </w:r>
      <w:r w:rsidR="0080684C">
        <w:rPr>
          <w:rFonts w:ascii="Tahoma" w:hAnsi="Tahoma" w:cs="Tahoma"/>
          <w:noProof/>
          <w:sz w:val="24"/>
          <w:szCs w:val="24"/>
          <w:lang w:eastAsia="en-ZW"/>
        </w:rPr>
        <w:t>I</w:t>
      </w:r>
      <w:r w:rsidR="0080684C" w:rsidRPr="0080684C">
        <w:rPr>
          <w:rFonts w:ascii="Tahoma" w:hAnsi="Tahoma" w:cs="Tahoma"/>
          <w:noProof/>
          <w:sz w:val="24"/>
          <w:szCs w:val="24"/>
          <w:lang w:eastAsia="en-ZW"/>
        </w:rPr>
        <w:t>mport bill rose 13.9% to USD952.1 million in November 2024, driven by increased purchases of diesel, maize, petrol, and crude soybean oil, primarily sourced from South Africa, China, and the Bahamas, which together accounted for 61.8% of total imports.</w:t>
      </w:r>
    </w:p>
    <w:p w14:paraId="34A058DE" w14:textId="77777777" w:rsidR="00FB337E" w:rsidRDefault="00FB337E" w:rsidP="00D75883">
      <w:pPr>
        <w:pStyle w:val="ListofFigures"/>
      </w:pPr>
      <w:bookmarkStart w:id="25" w:name="_Toc189745426"/>
    </w:p>
    <w:p w14:paraId="2DD58F39" w14:textId="77777777" w:rsidR="00FB337E" w:rsidRDefault="00FB337E" w:rsidP="00D75883">
      <w:pPr>
        <w:pStyle w:val="ListofFigures"/>
      </w:pPr>
    </w:p>
    <w:p w14:paraId="73B24D8D" w14:textId="77777777" w:rsidR="00FB337E" w:rsidRDefault="00FB337E" w:rsidP="00D75883">
      <w:pPr>
        <w:pStyle w:val="ListofFigures"/>
      </w:pPr>
    </w:p>
    <w:p w14:paraId="6808AA7E" w14:textId="74E44184" w:rsidR="00D75883" w:rsidRPr="00E1754A" w:rsidRDefault="00D75883" w:rsidP="00D75883">
      <w:pPr>
        <w:pStyle w:val="ListofFigures"/>
      </w:pPr>
      <w:r w:rsidRPr="00863A17">
        <w:t xml:space="preserve">Figure </w:t>
      </w:r>
      <w:r w:rsidR="00B8291A">
        <w:rPr>
          <w:bCs/>
        </w:rPr>
        <w:t>2</w:t>
      </w:r>
      <w:r w:rsidRPr="00863A17">
        <w:t xml:space="preserve">: </w:t>
      </w:r>
      <w:r>
        <w:rPr>
          <w:lang w:val="en-US"/>
        </w:rPr>
        <w:t>Merchandise Trade Developments</w:t>
      </w:r>
      <w:bookmarkEnd w:id="25"/>
      <w:r>
        <w:rPr>
          <w:lang w:val="en-US"/>
        </w:rPr>
        <w:t xml:space="preserve"> </w:t>
      </w:r>
    </w:p>
    <w:p w14:paraId="2F8190CC" w14:textId="0DD4F442" w:rsidR="00D75883" w:rsidRDefault="00924605" w:rsidP="00D75883">
      <w:pPr>
        <w:spacing w:after="0"/>
        <w:ind w:left="720" w:hanging="720"/>
        <w:jc w:val="both"/>
        <w:rPr>
          <w:noProof/>
          <w:lang w:eastAsia="en-ZW"/>
        </w:rPr>
      </w:pPr>
      <w:r>
        <w:rPr>
          <w:noProof/>
        </w:rPr>
        <w:lastRenderedPageBreak/>
        <w:drawing>
          <wp:inline distT="0" distB="0" distL="0" distR="0" wp14:anchorId="3DAB493D" wp14:editId="26DD364C">
            <wp:extent cx="5731510" cy="2543175"/>
            <wp:effectExtent l="0" t="0" r="2540" b="9525"/>
            <wp:docPr id="1874081191" name="Chart 1">
              <a:extLst xmlns:a="http://schemas.openxmlformats.org/drawingml/2006/main">
                <a:ext uri="{FF2B5EF4-FFF2-40B4-BE49-F238E27FC236}">
                  <a16:creationId xmlns:a16="http://schemas.microsoft.com/office/drawing/2014/main" id="{EC3EEC09-400F-44F6-5986-A83CE70FA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C9FA27" w14:textId="23CD4EA3" w:rsidR="00D75883" w:rsidRPr="0064127B" w:rsidRDefault="00D75883" w:rsidP="00FB337E">
      <w:pPr>
        <w:ind w:left="720" w:hanging="720"/>
        <w:jc w:val="both"/>
        <w:rPr>
          <w:rFonts w:ascii="Tahoma" w:hAnsi="Tahoma" w:cs="Tahoma"/>
          <w:i/>
          <w:noProof/>
          <w:sz w:val="24"/>
          <w:szCs w:val="24"/>
          <w:lang w:eastAsia="en-ZW"/>
        </w:rPr>
      </w:pPr>
      <w:r w:rsidRPr="00746F8E">
        <w:rPr>
          <w:rFonts w:ascii="Tahoma" w:hAnsi="Tahoma" w:cs="Tahoma"/>
          <w:i/>
          <w:noProof/>
          <w:sz w:val="24"/>
          <w:szCs w:val="24"/>
          <w:lang w:eastAsia="en-ZW"/>
        </w:rPr>
        <w:t>Source: RBZ (2024)</w:t>
      </w:r>
    </w:p>
    <w:p w14:paraId="1E8E8B94" w14:textId="77777777" w:rsidR="00EF37FE" w:rsidRPr="00086539" w:rsidRDefault="00B1678A" w:rsidP="009F5CE5">
      <w:pPr>
        <w:pStyle w:val="Heading1"/>
        <w:spacing w:before="0" w:after="240" w:line="240" w:lineRule="auto"/>
        <w:rPr>
          <w:rFonts w:cs="Tahoma"/>
          <w:bCs/>
          <w:color w:val="000000"/>
          <w:szCs w:val="24"/>
          <w:lang w:val="en-US"/>
        </w:rPr>
      </w:pPr>
      <w:bookmarkStart w:id="26" w:name="_Toc166607895"/>
      <w:bookmarkStart w:id="27" w:name="_Toc189745276"/>
      <w:r w:rsidRPr="00086539">
        <w:rPr>
          <w:rFonts w:cs="Tahoma"/>
          <w:bCs/>
          <w:color w:val="000000"/>
          <w:szCs w:val="24"/>
          <w:lang w:val="en-US"/>
        </w:rPr>
        <w:t>5.0</w:t>
      </w:r>
      <w:r w:rsidRPr="00086539">
        <w:rPr>
          <w:rFonts w:cs="Tahoma"/>
          <w:bCs/>
          <w:color w:val="000000"/>
          <w:szCs w:val="24"/>
          <w:lang w:val="en-US"/>
        </w:rPr>
        <w:tab/>
      </w:r>
      <w:r w:rsidR="00EF37FE" w:rsidRPr="00086539">
        <w:rPr>
          <w:rFonts w:cs="Tahoma"/>
          <w:bCs/>
          <w:color w:val="000000"/>
          <w:szCs w:val="24"/>
          <w:lang w:val="en-US"/>
        </w:rPr>
        <w:t>Exchange Rate Developments</w:t>
      </w:r>
      <w:bookmarkEnd w:id="26"/>
      <w:bookmarkEnd w:id="27"/>
      <w:r w:rsidR="00EF37FE" w:rsidRPr="00086539">
        <w:rPr>
          <w:rFonts w:cs="Tahoma"/>
          <w:bCs/>
          <w:color w:val="000000"/>
          <w:szCs w:val="24"/>
          <w:lang w:val="en-US"/>
        </w:rPr>
        <w:t xml:space="preserve"> </w:t>
      </w:r>
    </w:p>
    <w:p w14:paraId="5D8D6556" w14:textId="77777777" w:rsidR="00EF25BB" w:rsidRPr="00863A17" w:rsidRDefault="00B1678A" w:rsidP="003C1D2F">
      <w:pPr>
        <w:pStyle w:val="Heading2"/>
        <w:spacing w:before="0" w:after="240" w:line="240" w:lineRule="auto"/>
        <w:rPr>
          <w:rFonts w:cs="Tahoma"/>
          <w:b/>
          <w:color w:val="000000"/>
          <w:szCs w:val="24"/>
          <w:lang w:val="en-US"/>
        </w:rPr>
      </w:pPr>
      <w:bookmarkStart w:id="28" w:name="_Toc166607896"/>
      <w:bookmarkStart w:id="29" w:name="_Toc189745277"/>
      <w:r w:rsidRPr="00863A17">
        <w:rPr>
          <w:rFonts w:cs="Tahoma"/>
          <w:b/>
          <w:color w:val="000000"/>
          <w:szCs w:val="24"/>
          <w:lang w:val="en-US"/>
        </w:rPr>
        <w:t>5.1</w:t>
      </w:r>
      <w:r w:rsidRPr="00863A17">
        <w:rPr>
          <w:rFonts w:cs="Tahoma"/>
          <w:b/>
          <w:color w:val="000000"/>
          <w:szCs w:val="24"/>
          <w:lang w:val="en-US"/>
        </w:rPr>
        <w:tab/>
      </w:r>
      <w:r w:rsidR="0093372C">
        <w:rPr>
          <w:rFonts w:cs="Tahoma"/>
          <w:b/>
          <w:color w:val="000000"/>
          <w:szCs w:val="24"/>
          <w:lang w:val="en-US"/>
        </w:rPr>
        <w:t>ZWG</w:t>
      </w:r>
      <w:r w:rsidR="00EF25BB" w:rsidRPr="00863A17">
        <w:rPr>
          <w:rFonts w:cs="Tahoma"/>
          <w:b/>
          <w:color w:val="000000"/>
          <w:szCs w:val="24"/>
          <w:lang w:val="en-US"/>
        </w:rPr>
        <w:t xml:space="preserve"> Exchange Rate Developments</w:t>
      </w:r>
      <w:bookmarkEnd w:id="28"/>
      <w:bookmarkEnd w:id="29"/>
      <w:r w:rsidR="00EF25BB" w:rsidRPr="00863A17">
        <w:rPr>
          <w:rFonts w:cs="Tahoma"/>
          <w:b/>
          <w:color w:val="000000"/>
          <w:szCs w:val="24"/>
          <w:lang w:val="en-US"/>
        </w:rPr>
        <w:t xml:space="preserve"> </w:t>
      </w:r>
    </w:p>
    <w:p w14:paraId="14757367" w14:textId="2B79444E" w:rsidR="00D51501" w:rsidRPr="00D51501" w:rsidRDefault="00D51501" w:rsidP="00D51501">
      <w:pPr>
        <w:ind w:left="720" w:hanging="720"/>
        <w:jc w:val="both"/>
        <w:rPr>
          <w:rFonts w:ascii="Tahoma" w:hAnsi="Tahoma" w:cs="Tahoma"/>
          <w:sz w:val="24"/>
          <w:szCs w:val="24"/>
          <w:lang w:val="en-US"/>
        </w:rPr>
      </w:pPr>
      <w:r w:rsidRPr="00D51501">
        <w:rPr>
          <w:rFonts w:ascii="Tahoma" w:hAnsi="Tahoma" w:cs="Tahoma"/>
          <w:sz w:val="24"/>
          <w:szCs w:val="24"/>
          <w:lang w:val="en-US"/>
        </w:rPr>
        <w:t>5.1.1</w:t>
      </w:r>
      <w:r w:rsidRPr="00D51501">
        <w:rPr>
          <w:rFonts w:ascii="Tahoma" w:hAnsi="Tahoma" w:cs="Tahoma"/>
          <w:sz w:val="24"/>
          <w:szCs w:val="24"/>
          <w:lang w:val="en-US"/>
        </w:rPr>
        <w:tab/>
      </w:r>
      <w:r w:rsidR="007A38AE">
        <w:rPr>
          <w:rFonts w:ascii="Tahoma" w:hAnsi="Tahoma" w:cs="Tahoma"/>
          <w:sz w:val="24"/>
          <w:szCs w:val="24"/>
          <w:lang w:val="en-US"/>
        </w:rPr>
        <w:t>In January 2025</w:t>
      </w:r>
      <w:r w:rsidR="00017757">
        <w:rPr>
          <w:rFonts w:ascii="Tahoma" w:hAnsi="Tahoma" w:cs="Tahoma"/>
          <w:sz w:val="24"/>
          <w:szCs w:val="24"/>
          <w:lang w:val="en-US"/>
        </w:rPr>
        <w:t>, t</w:t>
      </w:r>
      <w:r w:rsidRPr="00D51501">
        <w:rPr>
          <w:rFonts w:ascii="Tahoma" w:hAnsi="Tahoma" w:cs="Tahoma"/>
          <w:sz w:val="24"/>
          <w:szCs w:val="24"/>
          <w:lang w:val="en-US"/>
        </w:rPr>
        <w:t xml:space="preserve">he ZWG </w:t>
      </w:r>
      <w:r w:rsidR="003E53B2">
        <w:rPr>
          <w:rFonts w:ascii="Tahoma" w:hAnsi="Tahoma" w:cs="Tahoma"/>
          <w:sz w:val="24"/>
          <w:szCs w:val="24"/>
          <w:lang w:val="en-US"/>
        </w:rPr>
        <w:t xml:space="preserve">lost value against the </w:t>
      </w:r>
      <w:r w:rsidR="00017757">
        <w:rPr>
          <w:rFonts w:ascii="Tahoma" w:hAnsi="Tahoma" w:cs="Tahoma"/>
          <w:sz w:val="24"/>
          <w:szCs w:val="24"/>
          <w:lang w:val="en-US"/>
        </w:rPr>
        <w:t>USD</w:t>
      </w:r>
      <w:r w:rsidR="00AF2AD5">
        <w:rPr>
          <w:rFonts w:ascii="Tahoma" w:hAnsi="Tahoma" w:cs="Tahoma"/>
          <w:sz w:val="24"/>
          <w:szCs w:val="24"/>
          <w:lang w:val="en-US"/>
        </w:rPr>
        <w:t>,</w:t>
      </w:r>
      <w:r w:rsidR="003E53B2">
        <w:rPr>
          <w:rFonts w:ascii="Tahoma" w:hAnsi="Tahoma" w:cs="Tahoma"/>
          <w:sz w:val="24"/>
          <w:szCs w:val="24"/>
          <w:lang w:val="en-US"/>
        </w:rPr>
        <w:t xml:space="preserve"> </w:t>
      </w:r>
      <w:r w:rsidR="00017757">
        <w:rPr>
          <w:rFonts w:ascii="Tahoma" w:hAnsi="Tahoma" w:cs="Tahoma"/>
          <w:sz w:val="24"/>
          <w:szCs w:val="24"/>
          <w:lang w:val="en-US"/>
        </w:rPr>
        <w:t>GBP</w:t>
      </w:r>
      <w:r w:rsidR="00AF2AD5">
        <w:rPr>
          <w:rFonts w:ascii="Tahoma" w:hAnsi="Tahoma" w:cs="Tahoma"/>
          <w:sz w:val="24"/>
          <w:szCs w:val="24"/>
          <w:lang w:val="en-US"/>
        </w:rPr>
        <w:t>, EUR and ZAR</w:t>
      </w:r>
      <w:r w:rsidR="003E53B2">
        <w:rPr>
          <w:rFonts w:ascii="Tahoma" w:hAnsi="Tahoma" w:cs="Tahoma"/>
          <w:sz w:val="24"/>
          <w:szCs w:val="24"/>
          <w:lang w:val="en-US"/>
        </w:rPr>
        <w:t xml:space="preserve"> by </w:t>
      </w:r>
      <w:r w:rsidR="00AF2AD5">
        <w:rPr>
          <w:rFonts w:ascii="Tahoma" w:hAnsi="Tahoma" w:cs="Tahoma"/>
          <w:sz w:val="24"/>
          <w:szCs w:val="24"/>
          <w:lang w:val="en-US"/>
        </w:rPr>
        <w:t>2.2%, 1.14%, 2% and 3.55% respectively</w:t>
      </w:r>
      <w:r w:rsidR="00F1158D" w:rsidRPr="00F1158D">
        <w:rPr>
          <w:rFonts w:ascii="Tahoma" w:hAnsi="Tahoma" w:cs="Tahoma"/>
          <w:sz w:val="24"/>
          <w:szCs w:val="24"/>
          <w:lang w:val="en-US"/>
        </w:rPr>
        <w:t>.</w:t>
      </w:r>
      <w:r w:rsidR="00794971">
        <w:rPr>
          <w:rFonts w:ascii="Tahoma" w:hAnsi="Tahoma" w:cs="Tahoma"/>
          <w:sz w:val="24"/>
          <w:szCs w:val="24"/>
          <w:lang w:val="en-US"/>
        </w:rPr>
        <w:t xml:space="preserve"> According to NewsDay (31 January 2025), the ZWG depreciated on account of stronger USD (post-election).</w:t>
      </w:r>
      <w:r w:rsidR="00F1158D">
        <w:rPr>
          <w:rFonts w:ascii="Tahoma" w:hAnsi="Tahoma" w:cs="Tahoma"/>
          <w:sz w:val="24"/>
          <w:szCs w:val="24"/>
          <w:lang w:val="en-US"/>
        </w:rPr>
        <w:t xml:space="preserve"> </w:t>
      </w:r>
      <w:r w:rsidR="00863E04">
        <w:rPr>
          <w:rFonts w:ascii="Tahoma" w:hAnsi="Tahoma" w:cs="Tahoma"/>
          <w:sz w:val="24"/>
          <w:szCs w:val="24"/>
          <w:lang w:val="en-US"/>
        </w:rPr>
        <w:t>T</w:t>
      </w:r>
      <w:r w:rsidR="006C2DE1">
        <w:rPr>
          <w:rFonts w:ascii="Tahoma" w:hAnsi="Tahoma" w:cs="Tahoma"/>
          <w:sz w:val="24"/>
          <w:szCs w:val="24"/>
          <w:lang w:val="en-US"/>
        </w:rPr>
        <w:t>he ZWG lost value against all major currencies on a year-to-date and year-on-year basis</w:t>
      </w:r>
      <w:r w:rsidR="00017757">
        <w:rPr>
          <w:rFonts w:ascii="Tahoma" w:hAnsi="Tahoma" w:cs="Tahoma"/>
          <w:sz w:val="24"/>
          <w:szCs w:val="24"/>
          <w:lang w:val="en-US"/>
        </w:rPr>
        <w:t xml:space="preserve"> as shown in Table 2.</w:t>
      </w:r>
    </w:p>
    <w:p w14:paraId="78D9041E" w14:textId="5298F6B7" w:rsidR="00D51501" w:rsidRPr="00134E84" w:rsidRDefault="00D51501" w:rsidP="00134E84">
      <w:pPr>
        <w:pStyle w:val="ListofTables"/>
      </w:pPr>
      <w:bookmarkStart w:id="30" w:name="_Toc189745375"/>
      <w:r w:rsidRPr="00134E84">
        <w:t xml:space="preserve">Table </w:t>
      </w:r>
      <w:r w:rsidR="00B8291A">
        <w:t>3</w:t>
      </w:r>
      <w:r w:rsidRPr="00134E84">
        <w:t>: ZWG Exchange Rate Movements</w:t>
      </w:r>
      <w:r w:rsidR="00824F12">
        <w:t>-</w:t>
      </w:r>
      <w:r w:rsidRPr="00134E84">
        <w:t xml:space="preserve">Month Ending </w:t>
      </w:r>
      <w:r w:rsidR="00887E9B">
        <w:t>31</w:t>
      </w:r>
      <w:r w:rsidR="00612036">
        <w:t xml:space="preserve"> </w:t>
      </w:r>
      <w:r w:rsidR="00E36E28">
        <w:t>January</w:t>
      </w:r>
      <w:r w:rsidRPr="00134E84">
        <w:t xml:space="preserve"> 202</w:t>
      </w:r>
      <w:r w:rsidR="00E36E28">
        <w:t>5</w:t>
      </w:r>
      <w:bookmarkEnd w:id="30"/>
    </w:p>
    <w:p w14:paraId="387FDA9A" w14:textId="0C7238A8" w:rsidR="00D51501" w:rsidRPr="00D51501" w:rsidRDefault="00E36E28" w:rsidP="00134E84">
      <w:pPr>
        <w:spacing w:after="0"/>
        <w:ind w:left="720" w:hanging="720"/>
        <w:jc w:val="both"/>
        <w:rPr>
          <w:rFonts w:ascii="Tahoma" w:hAnsi="Tahoma" w:cs="Tahoma"/>
          <w:sz w:val="24"/>
          <w:szCs w:val="24"/>
          <w:lang w:val="en-US"/>
        </w:rPr>
      </w:pPr>
      <w:r w:rsidRPr="00E36E28">
        <w:rPr>
          <w:noProof/>
        </w:rPr>
        <w:drawing>
          <wp:inline distT="0" distB="0" distL="0" distR="0" wp14:anchorId="14F4324A" wp14:editId="434C903E">
            <wp:extent cx="5731510" cy="1231265"/>
            <wp:effectExtent l="0" t="0" r="2540" b="6985"/>
            <wp:docPr id="39264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46690" name=""/>
                    <pic:cNvPicPr/>
                  </pic:nvPicPr>
                  <pic:blipFill>
                    <a:blip r:embed="rId14"/>
                    <a:stretch>
                      <a:fillRect/>
                    </a:stretch>
                  </pic:blipFill>
                  <pic:spPr>
                    <a:xfrm>
                      <a:off x="0" y="0"/>
                      <a:ext cx="5731510" cy="1231265"/>
                    </a:xfrm>
                    <a:prstGeom prst="rect">
                      <a:avLst/>
                    </a:prstGeom>
                  </pic:spPr>
                </pic:pic>
              </a:graphicData>
            </a:graphic>
          </wp:inline>
        </w:drawing>
      </w:r>
    </w:p>
    <w:p w14:paraId="1BF20869" w14:textId="6964E19D" w:rsidR="00D51501" w:rsidRDefault="00D51501" w:rsidP="00340BCF">
      <w:pPr>
        <w:spacing w:after="0"/>
        <w:ind w:left="720" w:hanging="720"/>
        <w:jc w:val="both"/>
        <w:rPr>
          <w:rFonts w:ascii="Tahoma" w:hAnsi="Tahoma" w:cs="Tahoma"/>
          <w:i/>
          <w:sz w:val="24"/>
          <w:szCs w:val="24"/>
          <w:lang w:val="en-US"/>
        </w:rPr>
      </w:pPr>
      <w:r w:rsidRPr="00D51501">
        <w:rPr>
          <w:rFonts w:ascii="Tahoma" w:hAnsi="Tahoma" w:cs="Tahoma"/>
          <w:i/>
          <w:sz w:val="24"/>
          <w:szCs w:val="24"/>
          <w:lang w:val="en-US"/>
        </w:rPr>
        <w:t>Source: RBZ (</w:t>
      </w:r>
      <w:r w:rsidR="00B25ABC">
        <w:rPr>
          <w:rFonts w:ascii="Tahoma" w:hAnsi="Tahoma" w:cs="Tahoma"/>
          <w:i/>
          <w:sz w:val="24"/>
          <w:szCs w:val="24"/>
          <w:lang w:val="en-US"/>
        </w:rPr>
        <w:t xml:space="preserve">2024 &amp; </w:t>
      </w:r>
      <w:r w:rsidRPr="00D51501">
        <w:rPr>
          <w:rFonts w:ascii="Tahoma" w:hAnsi="Tahoma" w:cs="Tahoma"/>
          <w:i/>
          <w:sz w:val="24"/>
          <w:szCs w:val="24"/>
          <w:lang w:val="en-US"/>
        </w:rPr>
        <w:t>202</w:t>
      </w:r>
      <w:r w:rsidR="00E36E28">
        <w:rPr>
          <w:rFonts w:ascii="Tahoma" w:hAnsi="Tahoma" w:cs="Tahoma"/>
          <w:i/>
          <w:sz w:val="24"/>
          <w:szCs w:val="24"/>
          <w:lang w:val="en-US"/>
        </w:rPr>
        <w:t>5</w:t>
      </w:r>
      <w:r w:rsidRPr="00D51501">
        <w:rPr>
          <w:rFonts w:ascii="Tahoma" w:hAnsi="Tahoma" w:cs="Tahoma"/>
          <w:i/>
          <w:sz w:val="24"/>
          <w:szCs w:val="24"/>
          <w:lang w:val="en-US"/>
        </w:rPr>
        <w:t xml:space="preserve">) </w:t>
      </w:r>
    </w:p>
    <w:p w14:paraId="2F395C0B" w14:textId="77777777" w:rsidR="00340BCF" w:rsidRDefault="00340BCF" w:rsidP="00D84FF2">
      <w:pPr>
        <w:spacing w:after="0"/>
        <w:jc w:val="both"/>
        <w:rPr>
          <w:rFonts w:ascii="Tahoma" w:hAnsi="Tahoma" w:cs="Tahoma"/>
          <w:sz w:val="24"/>
          <w:szCs w:val="24"/>
          <w:lang w:val="en-US"/>
        </w:rPr>
      </w:pPr>
    </w:p>
    <w:p w14:paraId="468CD8CE" w14:textId="77777777" w:rsidR="001E6E33" w:rsidRPr="00F05BD5" w:rsidRDefault="00D51501" w:rsidP="00F05BD5">
      <w:pPr>
        <w:pStyle w:val="Heading2"/>
        <w:spacing w:before="0" w:after="240" w:line="240" w:lineRule="auto"/>
        <w:rPr>
          <w:rFonts w:cs="Tahoma"/>
          <w:b/>
          <w:bCs/>
          <w:szCs w:val="24"/>
          <w:lang w:val="en-US"/>
        </w:rPr>
      </w:pPr>
      <w:bookmarkStart w:id="31" w:name="_Toc189745278"/>
      <w:r w:rsidRPr="00F05BD5">
        <w:rPr>
          <w:rFonts w:cs="Tahoma"/>
          <w:b/>
          <w:color w:val="000000"/>
          <w:szCs w:val="24"/>
          <w:lang w:val="en-US"/>
        </w:rPr>
        <w:t>5.</w:t>
      </w:r>
      <w:r w:rsidR="001E6E33" w:rsidRPr="00F05BD5">
        <w:rPr>
          <w:rFonts w:cs="Tahoma"/>
          <w:b/>
          <w:color w:val="000000"/>
          <w:szCs w:val="24"/>
          <w:lang w:val="en-US"/>
        </w:rPr>
        <w:t>2</w:t>
      </w:r>
      <w:r w:rsidR="001E6E33" w:rsidRPr="00F05BD5">
        <w:rPr>
          <w:rFonts w:cs="Tahoma"/>
          <w:b/>
          <w:color w:val="000000"/>
          <w:szCs w:val="24"/>
          <w:lang w:val="en-US"/>
        </w:rPr>
        <w:tab/>
        <w:t>Parallel Market Developments</w:t>
      </w:r>
      <w:bookmarkEnd w:id="31"/>
      <w:r w:rsidR="001E6E33" w:rsidRPr="00F05BD5">
        <w:rPr>
          <w:rFonts w:cs="Tahoma"/>
          <w:b/>
          <w:color w:val="000000"/>
          <w:szCs w:val="24"/>
          <w:lang w:val="en-US"/>
        </w:rPr>
        <w:t xml:space="preserve"> </w:t>
      </w:r>
    </w:p>
    <w:p w14:paraId="24662344" w14:textId="551BBF6B" w:rsidR="00C10419" w:rsidRDefault="001E6E33" w:rsidP="00E05277">
      <w:pPr>
        <w:ind w:left="720" w:hanging="720"/>
        <w:jc w:val="both"/>
        <w:rPr>
          <w:rFonts w:ascii="Tahoma" w:hAnsi="Tahoma" w:cs="Tahoma"/>
          <w:sz w:val="24"/>
          <w:szCs w:val="24"/>
          <w:lang w:val="en-US"/>
        </w:rPr>
      </w:pPr>
      <w:r>
        <w:rPr>
          <w:rFonts w:ascii="Tahoma" w:hAnsi="Tahoma" w:cs="Tahoma"/>
          <w:sz w:val="24"/>
          <w:szCs w:val="24"/>
          <w:lang w:val="en-US"/>
        </w:rPr>
        <w:t>5.2.1</w:t>
      </w:r>
      <w:r>
        <w:rPr>
          <w:rFonts w:ascii="Tahoma" w:hAnsi="Tahoma" w:cs="Tahoma"/>
          <w:sz w:val="24"/>
          <w:szCs w:val="24"/>
          <w:lang w:val="en-US"/>
        </w:rPr>
        <w:tab/>
      </w:r>
      <w:r w:rsidR="006B6338">
        <w:rPr>
          <w:rFonts w:ascii="Tahoma" w:hAnsi="Tahoma" w:cs="Tahoma"/>
          <w:sz w:val="24"/>
          <w:szCs w:val="24"/>
          <w:lang w:val="en-US"/>
        </w:rPr>
        <w:t>P</w:t>
      </w:r>
      <w:r w:rsidR="00133028">
        <w:rPr>
          <w:rFonts w:ascii="Tahoma" w:hAnsi="Tahoma" w:cs="Tahoma"/>
          <w:sz w:val="24"/>
          <w:szCs w:val="24"/>
          <w:lang w:val="en-US"/>
        </w:rPr>
        <w:t xml:space="preserve">arallel market </w:t>
      </w:r>
      <w:r w:rsidR="00DE683D">
        <w:rPr>
          <w:rFonts w:ascii="Tahoma" w:hAnsi="Tahoma" w:cs="Tahoma"/>
          <w:sz w:val="24"/>
          <w:szCs w:val="24"/>
          <w:lang w:val="en-US"/>
        </w:rPr>
        <w:t xml:space="preserve">exchange rate gradually declined in January 2025, however, </w:t>
      </w:r>
      <w:r w:rsidR="00FB337E">
        <w:rPr>
          <w:rFonts w:ascii="Tahoma" w:hAnsi="Tahoma" w:cs="Tahoma"/>
          <w:sz w:val="24"/>
          <w:szCs w:val="24"/>
          <w:lang w:val="en-US"/>
        </w:rPr>
        <w:t>it remained</w:t>
      </w:r>
      <w:r w:rsidR="008F4B14">
        <w:rPr>
          <w:rFonts w:ascii="Tahoma" w:hAnsi="Tahoma" w:cs="Tahoma"/>
          <w:sz w:val="24"/>
          <w:szCs w:val="24"/>
          <w:lang w:val="en-US"/>
        </w:rPr>
        <w:t xml:space="preserve"> high</w:t>
      </w:r>
      <w:r w:rsidR="006B6338">
        <w:rPr>
          <w:rFonts w:ascii="Tahoma" w:hAnsi="Tahoma" w:cs="Tahoma"/>
          <w:sz w:val="24"/>
          <w:szCs w:val="24"/>
          <w:lang w:val="en-US"/>
        </w:rPr>
        <w:t>er than</w:t>
      </w:r>
      <w:r w:rsidR="008F4B14">
        <w:rPr>
          <w:rFonts w:ascii="Tahoma" w:hAnsi="Tahoma" w:cs="Tahoma"/>
          <w:sz w:val="24"/>
          <w:szCs w:val="24"/>
          <w:lang w:val="en-US"/>
        </w:rPr>
        <w:t xml:space="preserve"> official exchange rate</w:t>
      </w:r>
      <w:r w:rsidR="00DE683D">
        <w:rPr>
          <w:rFonts w:ascii="Tahoma" w:hAnsi="Tahoma" w:cs="Tahoma"/>
          <w:sz w:val="24"/>
          <w:szCs w:val="24"/>
          <w:lang w:val="en-US"/>
        </w:rPr>
        <w:t xml:space="preserve">. </w:t>
      </w:r>
      <w:r w:rsidR="00FB337E">
        <w:rPr>
          <w:rFonts w:ascii="Tahoma" w:hAnsi="Tahoma" w:cs="Tahoma"/>
          <w:sz w:val="24"/>
          <w:szCs w:val="24"/>
          <w:lang w:val="en-US"/>
        </w:rPr>
        <w:t>The official</w:t>
      </w:r>
      <w:r w:rsidR="00DE683D">
        <w:rPr>
          <w:rFonts w:ascii="Tahoma" w:hAnsi="Tahoma" w:cs="Tahoma"/>
          <w:sz w:val="24"/>
          <w:szCs w:val="24"/>
          <w:lang w:val="en-US"/>
        </w:rPr>
        <w:t xml:space="preserve"> exchange rate slightly </w:t>
      </w:r>
      <w:r w:rsidR="00FB337E">
        <w:rPr>
          <w:rFonts w:ascii="Tahoma" w:hAnsi="Tahoma" w:cs="Tahoma"/>
          <w:sz w:val="24"/>
          <w:szCs w:val="24"/>
          <w:lang w:val="en-US"/>
        </w:rPr>
        <w:t>increased,</w:t>
      </w:r>
      <w:r w:rsidR="00DE683D">
        <w:rPr>
          <w:rFonts w:ascii="Tahoma" w:hAnsi="Tahoma" w:cs="Tahoma"/>
          <w:sz w:val="24"/>
          <w:szCs w:val="24"/>
          <w:lang w:val="en-US"/>
        </w:rPr>
        <w:t xml:space="preserve"> bridging the gap between the two exchange rates</w:t>
      </w:r>
      <w:r w:rsidR="002956D3">
        <w:rPr>
          <w:rFonts w:ascii="Tahoma" w:hAnsi="Tahoma" w:cs="Tahoma"/>
          <w:sz w:val="24"/>
          <w:szCs w:val="24"/>
          <w:lang w:val="en-US"/>
        </w:rPr>
        <w:t xml:space="preserve"> hence </w:t>
      </w:r>
      <w:r w:rsidR="00FB337E">
        <w:rPr>
          <w:rFonts w:ascii="Tahoma" w:hAnsi="Tahoma" w:cs="Tahoma"/>
          <w:sz w:val="24"/>
          <w:szCs w:val="24"/>
          <w:lang w:val="en-US"/>
        </w:rPr>
        <w:t xml:space="preserve">decreasing </w:t>
      </w:r>
      <w:r w:rsidR="002956D3">
        <w:rPr>
          <w:rFonts w:ascii="Tahoma" w:hAnsi="Tahoma" w:cs="Tahoma"/>
          <w:sz w:val="24"/>
          <w:szCs w:val="24"/>
          <w:lang w:val="en-US"/>
        </w:rPr>
        <w:t>the market premium</w:t>
      </w:r>
      <w:r w:rsidR="00A223C6">
        <w:rPr>
          <w:rFonts w:ascii="Tahoma" w:hAnsi="Tahoma" w:cs="Tahoma"/>
          <w:sz w:val="24"/>
          <w:szCs w:val="24"/>
          <w:lang w:val="en-US"/>
        </w:rPr>
        <w:t>, see Figure 4</w:t>
      </w:r>
      <w:r w:rsidR="000D1368">
        <w:rPr>
          <w:rFonts w:ascii="Tahoma" w:hAnsi="Tahoma" w:cs="Tahoma"/>
          <w:sz w:val="24"/>
          <w:szCs w:val="24"/>
          <w:lang w:val="en-US"/>
        </w:rPr>
        <w:t>.</w:t>
      </w:r>
      <w:r w:rsidR="004A14EA">
        <w:rPr>
          <w:rFonts w:ascii="Tahoma" w:hAnsi="Tahoma" w:cs="Tahoma"/>
          <w:sz w:val="24"/>
          <w:szCs w:val="24"/>
          <w:lang w:val="en-US"/>
        </w:rPr>
        <w:t xml:space="preserve"> The decline in parallel exchange rate reflects the tight monetary stance by the government. </w:t>
      </w:r>
    </w:p>
    <w:p w14:paraId="2349145C" w14:textId="77777777" w:rsidR="00FB337E" w:rsidRDefault="00FB337E" w:rsidP="00E05277">
      <w:pPr>
        <w:ind w:left="720" w:hanging="720"/>
        <w:jc w:val="both"/>
        <w:rPr>
          <w:rFonts w:ascii="Tahoma" w:hAnsi="Tahoma" w:cs="Tahoma"/>
          <w:sz w:val="24"/>
          <w:szCs w:val="24"/>
          <w:lang w:val="en-US"/>
        </w:rPr>
      </w:pPr>
    </w:p>
    <w:p w14:paraId="28884986" w14:textId="77777777" w:rsidR="00FB337E" w:rsidRPr="00E05277" w:rsidRDefault="00FB337E" w:rsidP="00E05277">
      <w:pPr>
        <w:ind w:left="720" w:hanging="720"/>
        <w:jc w:val="both"/>
        <w:rPr>
          <w:rFonts w:ascii="Tahoma" w:hAnsi="Tahoma" w:cs="Tahoma"/>
          <w:sz w:val="24"/>
          <w:szCs w:val="24"/>
          <w:lang w:val="en-US"/>
        </w:rPr>
      </w:pPr>
    </w:p>
    <w:p w14:paraId="7D63A5AA" w14:textId="48900486" w:rsidR="00B36D27" w:rsidRPr="00B36D27" w:rsidRDefault="00632EC8" w:rsidP="00F05BD5">
      <w:pPr>
        <w:pStyle w:val="ListofFigures"/>
      </w:pPr>
      <w:bookmarkStart w:id="32" w:name="_Toc189745427"/>
      <w:r>
        <w:t xml:space="preserve">Figure </w:t>
      </w:r>
      <w:r w:rsidR="00B8291A">
        <w:t>3</w:t>
      </w:r>
      <w:r w:rsidR="00B36D27">
        <w:t xml:space="preserve">: </w:t>
      </w:r>
      <w:r w:rsidR="00C10419">
        <w:t xml:space="preserve">Parallel Market Developments </w:t>
      </w:r>
      <w:r w:rsidR="00CE5572">
        <w:t>–</w:t>
      </w:r>
      <w:r w:rsidR="00C10419">
        <w:t xml:space="preserve"> </w:t>
      </w:r>
      <w:r w:rsidR="00CE5572">
        <w:t xml:space="preserve">January </w:t>
      </w:r>
      <w:r w:rsidR="004B2536">
        <w:t>202</w:t>
      </w:r>
      <w:r w:rsidR="00CE5572">
        <w:t>5</w:t>
      </w:r>
      <w:bookmarkEnd w:id="32"/>
      <w:r w:rsidR="004B2536">
        <w:t xml:space="preserve"> </w:t>
      </w:r>
    </w:p>
    <w:p w14:paraId="72D77346" w14:textId="21E55EC5" w:rsidR="00FD0116" w:rsidRPr="00863A17" w:rsidRDefault="00813434" w:rsidP="00A60CE8">
      <w:pPr>
        <w:spacing w:after="0"/>
        <w:ind w:left="720" w:hanging="720"/>
        <w:jc w:val="both"/>
        <w:rPr>
          <w:rFonts w:ascii="Tahoma" w:hAnsi="Tahoma" w:cs="Tahoma"/>
          <w:sz w:val="24"/>
          <w:szCs w:val="24"/>
          <w:lang w:val="en-US"/>
        </w:rPr>
      </w:pPr>
      <w:r>
        <w:rPr>
          <w:noProof/>
        </w:rPr>
        <w:lastRenderedPageBreak/>
        <w:drawing>
          <wp:inline distT="0" distB="0" distL="0" distR="0" wp14:anchorId="77715D17" wp14:editId="503C52E5">
            <wp:extent cx="5731510" cy="2766060"/>
            <wp:effectExtent l="0" t="0" r="2540" b="0"/>
            <wp:docPr id="1451014706" name="Chart 1">
              <a:extLst xmlns:a="http://schemas.openxmlformats.org/drawingml/2006/main">
                <a:ext uri="{FF2B5EF4-FFF2-40B4-BE49-F238E27FC236}">
                  <a16:creationId xmlns:a16="http://schemas.microsoft.com/office/drawing/2014/main" id="{8468676A-4133-5FFC-2C01-6447F005A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6E42D5" w14:textId="3D06E4FA" w:rsidR="00AB120F" w:rsidRPr="00340BCF" w:rsidRDefault="007B4687" w:rsidP="00340BCF">
      <w:pPr>
        <w:rPr>
          <w:rFonts w:ascii="Tahoma" w:hAnsi="Tahoma" w:cs="Tahoma"/>
          <w:i/>
          <w:sz w:val="24"/>
          <w:szCs w:val="24"/>
        </w:rPr>
      </w:pPr>
      <w:bookmarkStart w:id="33" w:name="_Toc164072364"/>
      <w:bookmarkStart w:id="34" w:name="_Toc166658891"/>
      <w:r>
        <w:rPr>
          <w:rFonts w:ascii="Tahoma" w:hAnsi="Tahoma" w:cs="Tahoma"/>
          <w:i/>
          <w:sz w:val="24"/>
          <w:szCs w:val="24"/>
        </w:rPr>
        <w:t xml:space="preserve">Source: RBZ and Harare </w:t>
      </w:r>
      <w:r w:rsidR="00EE71C0">
        <w:rPr>
          <w:rFonts w:ascii="Tahoma" w:hAnsi="Tahoma" w:cs="Tahoma"/>
          <w:i/>
          <w:sz w:val="24"/>
          <w:szCs w:val="24"/>
        </w:rPr>
        <w:t>S</w:t>
      </w:r>
      <w:r>
        <w:rPr>
          <w:rFonts w:ascii="Tahoma" w:hAnsi="Tahoma" w:cs="Tahoma"/>
          <w:i/>
          <w:sz w:val="24"/>
          <w:szCs w:val="24"/>
        </w:rPr>
        <w:t>treets</w:t>
      </w:r>
      <w:r w:rsidR="00AB120F" w:rsidRPr="004149E4">
        <w:rPr>
          <w:rFonts w:ascii="Tahoma" w:hAnsi="Tahoma" w:cs="Tahoma"/>
          <w:i/>
          <w:sz w:val="24"/>
          <w:szCs w:val="24"/>
        </w:rPr>
        <w:t xml:space="preserve"> (202</w:t>
      </w:r>
      <w:r w:rsidR="00F62A0A">
        <w:rPr>
          <w:rFonts w:ascii="Tahoma" w:hAnsi="Tahoma" w:cs="Tahoma"/>
          <w:i/>
          <w:sz w:val="24"/>
          <w:szCs w:val="24"/>
        </w:rPr>
        <w:t>5</w:t>
      </w:r>
      <w:r w:rsidR="00AB120F" w:rsidRPr="004149E4">
        <w:rPr>
          <w:rFonts w:ascii="Tahoma" w:hAnsi="Tahoma" w:cs="Tahoma"/>
          <w:i/>
          <w:sz w:val="24"/>
          <w:szCs w:val="24"/>
        </w:rPr>
        <w:t>)</w:t>
      </w:r>
    </w:p>
    <w:p w14:paraId="7706CFB3" w14:textId="77777777" w:rsidR="00C65CC6" w:rsidRPr="00863A17" w:rsidRDefault="004C7E36" w:rsidP="003C1D2F">
      <w:pPr>
        <w:pStyle w:val="Heading2"/>
        <w:spacing w:before="0" w:after="240" w:line="240" w:lineRule="auto"/>
        <w:rPr>
          <w:rFonts w:cs="Tahoma"/>
          <w:b/>
          <w:color w:val="000000"/>
          <w:szCs w:val="24"/>
          <w:lang w:val="en-US"/>
        </w:rPr>
      </w:pPr>
      <w:bookmarkStart w:id="35" w:name="_Toc166607897"/>
      <w:bookmarkStart w:id="36" w:name="_Toc189745279"/>
      <w:bookmarkEnd w:id="33"/>
      <w:bookmarkEnd w:id="34"/>
      <w:r w:rsidRPr="00863A17">
        <w:rPr>
          <w:rFonts w:cs="Tahoma"/>
          <w:b/>
          <w:color w:val="000000"/>
          <w:szCs w:val="24"/>
          <w:lang w:val="en-US"/>
        </w:rPr>
        <w:t>5.</w:t>
      </w:r>
      <w:r w:rsidR="00F05BD5">
        <w:rPr>
          <w:rFonts w:cs="Tahoma"/>
          <w:b/>
          <w:color w:val="000000"/>
          <w:szCs w:val="24"/>
          <w:lang w:val="en-US"/>
        </w:rPr>
        <w:t>3</w:t>
      </w:r>
      <w:r w:rsidRPr="00863A17">
        <w:rPr>
          <w:rFonts w:cs="Tahoma"/>
          <w:b/>
          <w:color w:val="000000"/>
          <w:szCs w:val="24"/>
          <w:lang w:val="en-US"/>
        </w:rPr>
        <w:tab/>
      </w:r>
      <w:r w:rsidR="00EF25BB" w:rsidRPr="00863A17">
        <w:rPr>
          <w:rFonts w:cs="Tahoma"/>
          <w:b/>
          <w:color w:val="000000"/>
          <w:szCs w:val="24"/>
          <w:lang w:val="en-US"/>
        </w:rPr>
        <w:t>Cross Rate Developments</w:t>
      </w:r>
      <w:bookmarkEnd w:id="35"/>
      <w:bookmarkEnd w:id="36"/>
      <w:r w:rsidR="00EF25BB" w:rsidRPr="00863A17">
        <w:rPr>
          <w:rFonts w:cs="Tahoma"/>
          <w:b/>
          <w:color w:val="000000"/>
          <w:szCs w:val="24"/>
          <w:lang w:val="en-US"/>
        </w:rPr>
        <w:t xml:space="preserve"> </w:t>
      </w:r>
    </w:p>
    <w:p w14:paraId="5B5AFC90" w14:textId="5309736E" w:rsidR="00C65CC6" w:rsidRDefault="004C7E36" w:rsidP="004C7E36">
      <w:pPr>
        <w:ind w:left="720" w:hanging="720"/>
        <w:jc w:val="both"/>
        <w:rPr>
          <w:rFonts w:ascii="Tahoma" w:hAnsi="Tahoma" w:cs="Tahoma"/>
          <w:sz w:val="24"/>
          <w:szCs w:val="24"/>
          <w:lang w:val="en-US"/>
        </w:rPr>
      </w:pPr>
      <w:r w:rsidRPr="00863A17">
        <w:rPr>
          <w:rFonts w:ascii="Tahoma" w:hAnsi="Tahoma" w:cs="Tahoma"/>
          <w:sz w:val="24"/>
          <w:szCs w:val="24"/>
          <w:lang w:val="en-US"/>
        </w:rPr>
        <w:t>5.</w:t>
      </w:r>
      <w:r w:rsidR="00F05BD5">
        <w:rPr>
          <w:rFonts w:ascii="Tahoma" w:hAnsi="Tahoma" w:cs="Tahoma"/>
          <w:sz w:val="24"/>
          <w:szCs w:val="24"/>
          <w:lang w:val="en-US"/>
        </w:rPr>
        <w:t>3</w:t>
      </w:r>
      <w:r w:rsidRPr="00863A17">
        <w:rPr>
          <w:rFonts w:ascii="Tahoma" w:hAnsi="Tahoma" w:cs="Tahoma"/>
          <w:sz w:val="24"/>
          <w:szCs w:val="24"/>
          <w:lang w:val="en-US"/>
        </w:rPr>
        <w:t>.1</w:t>
      </w:r>
      <w:r w:rsidRPr="00863A17">
        <w:rPr>
          <w:rFonts w:ascii="Tahoma" w:hAnsi="Tahoma" w:cs="Tahoma"/>
          <w:sz w:val="24"/>
          <w:szCs w:val="24"/>
          <w:lang w:val="en-US"/>
        </w:rPr>
        <w:tab/>
      </w:r>
      <w:r w:rsidR="004E5FEA">
        <w:rPr>
          <w:rFonts w:ascii="Tahoma" w:hAnsi="Tahoma" w:cs="Tahoma"/>
          <w:sz w:val="24"/>
          <w:szCs w:val="24"/>
          <w:lang w:val="en-US"/>
        </w:rPr>
        <w:t>On a month-on-month, the USD gained by 1.</w:t>
      </w:r>
      <w:r w:rsidR="0051423B">
        <w:rPr>
          <w:rFonts w:ascii="Tahoma" w:hAnsi="Tahoma" w:cs="Tahoma"/>
          <w:sz w:val="24"/>
          <w:szCs w:val="24"/>
          <w:lang w:val="en-US"/>
        </w:rPr>
        <w:t>04</w:t>
      </w:r>
      <w:r w:rsidR="004E5FEA">
        <w:rPr>
          <w:rFonts w:ascii="Tahoma" w:hAnsi="Tahoma" w:cs="Tahoma"/>
          <w:sz w:val="24"/>
          <w:szCs w:val="24"/>
          <w:lang w:val="en-US"/>
        </w:rPr>
        <w:t xml:space="preserve">% and </w:t>
      </w:r>
      <w:r w:rsidR="0051423B">
        <w:rPr>
          <w:rFonts w:ascii="Tahoma" w:hAnsi="Tahoma" w:cs="Tahoma"/>
          <w:sz w:val="24"/>
          <w:szCs w:val="24"/>
          <w:lang w:val="en-US"/>
        </w:rPr>
        <w:t>0.19</w:t>
      </w:r>
      <w:r w:rsidR="004E5FEA">
        <w:rPr>
          <w:rFonts w:ascii="Tahoma" w:hAnsi="Tahoma" w:cs="Tahoma"/>
          <w:sz w:val="24"/>
          <w:szCs w:val="24"/>
          <w:lang w:val="en-US"/>
        </w:rPr>
        <w:t>% against the GBP</w:t>
      </w:r>
      <w:r w:rsidR="0051423B">
        <w:rPr>
          <w:rFonts w:ascii="Tahoma" w:hAnsi="Tahoma" w:cs="Tahoma"/>
          <w:sz w:val="24"/>
          <w:szCs w:val="24"/>
          <w:lang w:val="en-US"/>
        </w:rPr>
        <w:t xml:space="preserve"> and</w:t>
      </w:r>
      <w:r w:rsidR="004E5FEA">
        <w:rPr>
          <w:rFonts w:ascii="Tahoma" w:hAnsi="Tahoma" w:cs="Tahoma"/>
          <w:sz w:val="24"/>
          <w:szCs w:val="24"/>
          <w:lang w:val="en-US"/>
        </w:rPr>
        <w:t xml:space="preserve"> EUR </w:t>
      </w:r>
      <w:r w:rsidR="0051423B">
        <w:rPr>
          <w:rFonts w:ascii="Tahoma" w:hAnsi="Tahoma" w:cs="Tahoma"/>
          <w:sz w:val="24"/>
          <w:szCs w:val="24"/>
          <w:lang w:val="en-US"/>
        </w:rPr>
        <w:t>respectively, while retreated by 1.3% against the</w:t>
      </w:r>
      <w:r w:rsidR="004E5FEA">
        <w:rPr>
          <w:rFonts w:ascii="Tahoma" w:hAnsi="Tahoma" w:cs="Tahoma"/>
          <w:sz w:val="24"/>
          <w:szCs w:val="24"/>
          <w:lang w:val="en-US"/>
        </w:rPr>
        <w:t xml:space="preserve"> ZAR</w:t>
      </w:r>
      <w:r w:rsidR="00651D77">
        <w:rPr>
          <w:rFonts w:ascii="Tahoma" w:hAnsi="Tahoma" w:cs="Tahoma"/>
          <w:sz w:val="24"/>
          <w:szCs w:val="24"/>
          <w:lang w:val="en-US"/>
        </w:rPr>
        <w:t>,</w:t>
      </w:r>
      <w:r w:rsidR="004E5FEA">
        <w:rPr>
          <w:rFonts w:ascii="Tahoma" w:hAnsi="Tahoma" w:cs="Tahoma"/>
          <w:sz w:val="24"/>
          <w:szCs w:val="24"/>
          <w:lang w:val="en-US"/>
        </w:rPr>
        <w:t xml:space="preserve"> </w:t>
      </w:r>
      <w:r w:rsidR="00623F3A">
        <w:rPr>
          <w:rFonts w:ascii="Tahoma" w:hAnsi="Tahoma" w:cs="Tahoma"/>
          <w:sz w:val="24"/>
          <w:szCs w:val="24"/>
          <w:lang w:val="en-US"/>
        </w:rPr>
        <w:t xml:space="preserve">see Table </w:t>
      </w:r>
      <w:r w:rsidR="00686026">
        <w:rPr>
          <w:rFonts w:ascii="Tahoma" w:hAnsi="Tahoma" w:cs="Tahoma"/>
          <w:sz w:val="24"/>
          <w:szCs w:val="24"/>
          <w:lang w:val="en-US"/>
        </w:rPr>
        <w:t>3</w:t>
      </w:r>
      <w:r w:rsidR="00EB11EA">
        <w:rPr>
          <w:rFonts w:ascii="Tahoma" w:hAnsi="Tahoma" w:cs="Tahoma"/>
          <w:sz w:val="24"/>
          <w:szCs w:val="24"/>
          <w:lang w:val="en-US"/>
        </w:rPr>
        <w:t>.</w:t>
      </w:r>
      <w:r w:rsidR="009034D4">
        <w:rPr>
          <w:rFonts w:ascii="Tahoma" w:hAnsi="Tahoma" w:cs="Tahoma"/>
          <w:sz w:val="24"/>
          <w:szCs w:val="24"/>
          <w:lang w:val="en-US"/>
        </w:rPr>
        <w:t xml:space="preserve"> </w:t>
      </w:r>
      <w:r w:rsidR="00446A6B">
        <w:rPr>
          <w:rFonts w:ascii="Tahoma" w:hAnsi="Tahoma" w:cs="Tahoma"/>
          <w:sz w:val="24"/>
          <w:szCs w:val="24"/>
          <w:lang w:val="en-US"/>
        </w:rPr>
        <w:t xml:space="preserve">The USD gained against </w:t>
      </w:r>
      <w:r w:rsidR="007B1554">
        <w:rPr>
          <w:rFonts w:ascii="Tahoma" w:hAnsi="Tahoma" w:cs="Tahoma"/>
          <w:sz w:val="24"/>
          <w:szCs w:val="24"/>
          <w:lang w:val="en-US"/>
        </w:rPr>
        <w:t>the GBP</w:t>
      </w:r>
      <w:r w:rsidR="00B73625">
        <w:rPr>
          <w:rFonts w:ascii="Tahoma" w:hAnsi="Tahoma" w:cs="Tahoma"/>
          <w:sz w:val="24"/>
          <w:szCs w:val="24"/>
          <w:lang w:val="en-US"/>
        </w:rPr>
        <w:t xml:space="preserve"> on YtD</w:t>
      </w:r>
      <w:r w:rsidR="0026637F">
        <w:rPr>
          <w:rFonts w:ascii="Tahoma" w:hAnsi="Tahoma" w:cs="Tahoma"/>
          <w:sz w:val="24"/>
          <w:szCs w:val="24"/>
          <w:lang w:val="en-US"/>
        </w:rPr>
        <w:t xml:space="preserve"> basis</w:t>
      </w:r>
      <w:r w:rsidR="00B73625">
        <w:rPr>
          <w:rFonts w:ascii="Tahoma" w:hAnsi="Tahoma" w:cs="Tahoma"/>
          <w:sz w:val="24"/>
          <w:szCs w:val="24"/>
          <w:lang w:val="en-US"/>
        </w:rPr>
        <w:t xml:space="preserve"> while lost against the EUR and ZAR.</w:t>
      </w:r>
      <w:r w:rsidR="0026637F">
        <w:rPr>
          <w:rFonts w:ascii="Tahoma" w:hAnsi="Tahoma" w:cs="Tahoma"/>
          <w:sz w:val="24"/>
          <w:szCs w:val="24"/>
          <w:lang w:val="en-US"/>
        </w:rPr>
        <w:t xml:space="preserve"> </w:t>
      </w:r>
      <w:r w:rsidR="007B1554">
        <w:rPr>
          <w:rFonts w:ascii="Tahoma" w:hAnsi="Tahoma" w:cs="Tahoma"/>
          <w:sz w:val="24"/>
          <w:szCs w:val="24"/>
          <w:lang w:val="en-US"/>
        </w:rPr>
        <w:t xml:space="preserve"> </w:t>
      </w:r>
      <w:r w:rsidR="00B72EA8">
        <w:rPr>
          <w:rFonts w:ascii="Tahoma" w:hAnsi="Tahoma" w:cs="Tahoma"/>
          <w:sz w:val="24"/>
          <w:szCs w:val="24"/>
          <w:lang w:val="en-US"/>
        </w:rPr>
        <w:t xml:space="preserve">On a YoY basis, the USD also gained against the GBP and EUR by 2.05% and 4.17% respectively while lost by 1.46% against the ZAR. </w:t>
      </w:r>
      <w:r w:rsidR="00B73625">
        <w:rPr>
          <w:rFonts w:ascii="Tahoma" w:hAnsi="Tahoma" w:cs="Tahoma"/>
          <w:sz w:val="24"/>
          <w:szCs w:val="24"/>
          <w:lang w:val="en-US"/>
        </w:rPr>
        <w:t xml:space="preserve"> </w:t>
      </w:r>
    </w:p>
    <w:p w14:paraId="4C9807F0" w14:textId="234F8486" w:rsidR="00E664AA" w:rsidRPr="00E664AA" w:rsidRDefault="003C1D2F" w:rsidP="00E664AA">
      <w:pPr>
        <w:pStyle w:val="ListofTables"/>
        <w:rPr>
          <w:lang w:val="en-US"/>
        </w:rPr>
      </w:pPr>
      <w:bookmarkStart w:id="37" w:name="_Toc164072365"/>
      <w:bookmarkStart w:id="38" w:name="_Toc166658892"/>
      <w:bookmarkStart w:id="39" w:name="_Toc189745376"/>
      <w:r w:rsidRPr="00863A17">
        <w:t xml:space="preserve">Table </w:t>
      </w:r>
      <w:r w:rsidR="00B8291A">
        <w:t>4</w:t>
      </w:r>
      <w:r w:rsidRPr="00863A17">
        <w:t xml:space="preserve">: </w:t>
      </w:r>
      <w:r w:rsidRPr="00863A17">
        <w:rPr>
          <w:lang w:val="en-US"/>
        </w:rPr>
        <w:t>USD Exchange Rate Movements–</w:t>
      </w:r>
      <w:r w:rsidR="00642C66" w:rsidRPr="00863A17">
        <w:rPr>
          <w:lang w:val="en-US"/>
        </w:rPr>
        <w:t>Month</w:t>
      </w:r>
      <w:r w:rsidRPr="00863A17">
        <w:rPr>
          <w:lang w:val="en-US"/>
        </w:rPr>
        <w:t xml:space="preserve"> Ended </w:t>
      </w:r>
      <w:r w:rsidR="009D123E">
        <w:rPr>
          <w:lang w:val="en-US"/>
        </w:rPr>
        <w:t xml:space="preserve">31 </w:t>
      </w:r>
      <w:r w:rsidR="004D3066">
        <w:rPr>
          <w:lang w:val="en-US"/>
        </w:rPr>
        <w:t>January</w:t>
      </w:r>
      <w:r w:rsidRPr="00863A17">
        <w:rPr>
          <w:lang w:val="en-US"/>
        </w:rPr>
        <w:t xml:space="preserve"> 202</w:t>
      </w:r>
      <w:bookmarkEnd w:id="37"/>
      <w:bookmarkEnd w:id="38"/>
      <w:r w:rsidR="004D3066">
        <w:rPr>
          <w:lang w:val="en-US"/>
        </w:rPr>
        <w:t>5</w:t>
      </w:r>
      <w:bookmarkEnd w:id="39"/>
    </w:p>
    <w:p w14:paraId="7F75640A" w14:textId="5E80E6EF" w:rsidR="00E664AA" w:rsidRPr="00863A17" w:rsidRDefault="004D3066" w:rsidP="00CB6A80">
      <w:pPr>
        <w:spacing w:after="0"/>
        <w:rPr>
          <w:rFonts w:ascii="Tahoma" w:hAnsi="Tahoma" w:cs="Tahoma"/>
          <w:sz w:val="24"/>
          <w:szCs w:val="24"/>
          <w:lang w:val="en-US"/>
        </w:rPr>
      </w:pPr>
      <w:r w:rsidRPr="004D3066">
        <w:rPr>
          <w:noProof/>
        </w:rPr>
        <w:drawing>
          <wp:inline distT="0" distB="0" distL="0" distR="0" wp14:anchorId="1228481A" wp14:editId="7218F9A9">
            <wp:extent cx="5731510" cy="1242695"/>
            <wp:effectExtent l="0" t="0" r="2540" b="0"/>
            <wp:docPr id="5378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65457" name=""/>
                    <pic:cNvPicPr/>
                  </pic:nvPicPr>
                  <pic:blipFill>
                    <a:blip r:embed="rId16"/>
                    <a:stretch>
                      <a:fillRect/>
                    </a:stretch>
                  </pic:blipFill>
                  <pic:spPr>
                    <a:xfrm>
                      <a:off x="0" y="0"/>
                      <a:ext cx="5731510" cy="1242695"/>
                    </a:xfrm>
                    <a:prstGeom prst="rect">
                      <a:avLst/>
                    </a:prstGeom>
                  </pic:spPr>
                </pic:pic>
              </a:graphicData>
            </a:graphic>
          </wp:inline>
        </w:drawing>
      </w:r>
    </w:p>
    <w:p w14:paraId="558BDC60" w14:textId="741C5A05" w:rsidR="00184FA3" w:rsidRDefault="004C7E36">
      <w:pPr>
        <w:rPr>
          <w:rFonts w:ascii="Tahoma" w:hAnsi="Tahoma" w:cs="Tahoma"/>
          <w:i/>
          <w:sz w:val="24"/>
          <w:szCs w:val="24"/>
          <w:lang w:val="en-US"/>
        </w:rPr>
      </w:pPr>
      <w:r w:rsidRPr="00863A17">
        <w:rPr>
          <w:rFonts w:ascii="Tahoma" w:hAnsi="Tahoma" w:cs="Tahoma"/>
          <w:i/>
          <w:sz w:val="24"/>
          <w:szCs w:val="24"/>
          <w:lang w:val="en-US"/>
        </w:rPr>
        <w:t xml:space="preserve">Source: </w:t>
      </w:r>
      <w:r w:rsidR="006F52AC" w:rsidRPr="00863A17">
        <w:rPr>
          <w:rFonts w:ascii="Tahoma" w:hAnsi="Tahoma" w:cs="Tahoma"/>
          <w:i/>
          <w:sz w:val="24"/>
          <w:szCs w:val="24"/>
          <w:lang w:val="en-US"/>
        </w:rPr>
        <w:t>RBZ</w:t>
      </w:r>
      <w:r w:rsidRPr="00863A17">
        <w:rPr>
          <w:rFonts w:ascii="Tahoma" w:hAnsi="Tahoma" w:cs="Tahoma"/>
          <w:i/>
          <w:sz w:val="24"/>
          <w:szCs w:val="24"/>
          <w:lang w:val="en-US"/>
        </w:rPr>
        <w:t xml:space="preserve"> (202</w:t>
      </w:r>
      <w:r w:rsidR="006F52AC" w:rsidRPr="00863A17">
        <w:rPr>
          <w:rFonts w:ascii="Tahoma" w:hAnsi="Tahoma" w:cs="Tahoma"/>
          <w:i/>
          <w:sz w:val="24"/>
          <w:szCs w:val="24"/>
          <w:lang w:val="en-US"/>
        </w:rPr>
        <w:t>4</w:t>
      </w:r>
      <w:r w:rsidR="004D3066">
        <w:rPr>
          <w:rFonts w:ascii="Tahoma" w:hAnsi="Tahoma" w:cs="Tahoma"/>
          <w:i/>
          <w:sz w:val="24"/>
          <w:szCs w:val="24"/>
          <w:lang w:val="en-US"/>
        </w:rPr>
        <w:t xml:space="preserve"> &amp; 2025</w:t>
      </w:r>
      <w:r w:rsidRPr="00863A17">
        <w:rPr>
          <w:rFonts w:ascii="Tahoma" w:hAnsi="Tahoma" w:cs="Tahoma"/>
          <w:i/>
          <w:sz w:val="24"/>
          <w:szCs w:val="24"/>
          <w:lang w:val="en-US"/>
        </w:rPr>
        <w:t>)</w:t>
      </w:r>
    </w:p>
    <w:p w14:paraId="51CCD863" w14:textId="2FB7628A" w:rsidR="000C5E77" w:rsidRPr="00E63964" w:rsidRDefault="000C5E77" w:rsidP="00E63964">
      <w:pPr>
        <w:ind w:left="720" w:hanging="720"/>
        <w:jc w:val="both"/>
        <w:rPr>
          <w:rFonts w:ascii="Tahoma" w:hAnsi="Tahoma" w:cs="Tahoma"/>
          <w:iCs/>
          <w:sz w:val="24"/>
          <w:szCs w:val="24"/>
          <w:lang w:val="en-US"/>
        </w:rPr>
      </w:pPr>
      <w:r>
        <w:rPr>
          <w:rFonts w:ascii="Tahoma" w:hAnsi="Tahoma" w:cs="Tahoma"/>
          <w:iCs/>
          <w:sz w:val="24"/>
          <w:szCs w:val="24"/>
          <w:lang w:val="en-US"/>
        </w:rPr>
        <w:t>5.3.2</w:t>
      </w:r>
      <w:r>
        <w:rPr>
          <w:rFonts w:ascii="Tahoma" w:hAnsi="Tahoma" w:cs="Tahoma"/>
          <w:iCs/>
          <w:sz w:val="24"/>
          <w:szCs w:val="24"/>
          <w:lang w:val="en-US"/>
        </w:rPr>
        <w:tab/>
      </w:r>
      <w:r>
        <w:rPr>
          <w:rFonts w:ascii="Tahoma" w:hAnsi="Tahoma" w:cs="Tahoma"/>
          <w:sz w:val="24"/>
          <w:szCs w:val="24"/>
          <w:lang w:val="en-US"/>
        </w:rPr>
        <w:t>The appreciation of USD against</w:t>
      </w:r>
      <w:r w:rsidR="00CD2224">
        <w:rPr>
          <w:rFonts w:ascii="Tahoma" w:hAnsi="Tahoma" w:cs="Tahoma"/>
          <w:sz w:val="24"/>
          <w:szCs w:val="24"/>
          <w:lang w:val="en-US"/>
        </w:rPr>
        <w:t xml:space="preserve"> </w:t>
      </w:r>
      <w:r w:rsidR="00133339">
        <w:rPr>
          <w:rFonts w:ascii="Tahoma" w:hAnsi="Tahoma" w:cs="Tahoma"/>
          <w:sz w:val="24"/>
          <w:szCs w:val="24"/>
          <w:lang w:val="en-US"/>
        </w:rPr>
        <w:t xml:space="preserve">the ZAR encourages the </w:t>
      </w:r>
      <w:r w:rsidR="00CD2224">
        <w:rPr>
          <w:rFonts w:ascii="Tahoma" w:hAnsi="Tahoma" w:cs="Tahoma"/>
          <w:sz w:val="24"/>
          <w:szCs w:val="24"/>
          <w:lang w:val="en-US"/>
        </w:rPr>
        <w:t>country’s exports to</w:t>
      </w:r>
      <w:r w:rsidR="00C85943">
        <w:rPr>
          <w:rFonts w:ascii="Tahoma" w:hAnsi="Tahoma" w:cs="Tahoma"/>
          <w:noProof/>
          <w:sz w:val="24"/>
          <w:szCs w:val="24"/>
          <w:lang w:eastAsia="en-ZW"/>
        </w:rPr>
        <w:t xml:space="preserve"> </w:t>
      </w:r>
      <w:r w:rsidR="007B1554">
        <w:rPr>
          <w:rFonts w:ascii="Tahoma" w:hAnsi="Tahoma" w:cs="Tahoma"/>
          <w:noProof/>
          <w:sz w:val="24"/>
          <w:szCs w:val="24"/>
          <w:lang w:eastAsia="en-ZW"/>
        </w:rPr>
        <w:t>South Africa</w:t>
      </w:r>
      <w:r w:rsidR="00B05ED2">
        <w:rPr>
          <w:rFonts w:ascii="Tahoma" w:hAnsi="Tahoma" w:cs="Tahoma"/>
          <w:sz w:val="24"/>
          <w:szCs w:val="24"/>
          <w:lang w:val="en-US"/>
        </w:rPr>
        <w:t xml:space="preserve">, however, USD depreciation </w:t>
      </w:r>
      <w:r w:rsidR="00593949">
        <w:rPr>
          <w:rFonts w:ascii="Tahoma" w:hAnsi="Tahoma" w:cs="Tahoma"/>
          <w:sz w:val="24"/>
          <w:szCs w:val="24"/>
          <w:lang w:val="en-US"/>
        </w:rPr>
        <w:t>instigated</w:t>
      </w:r>
      <w:r w:rsidR="00B05ED2">
        <w:rPr>
          <w:rFonts w:ascii="Tahoma" w:hAnsi="Tahoma" w:cs="Tahoma"/>
          <w:sz w:val="24"/>
          <w:szCs w:val="24"/>
          <w:lang w:val="en-US"/>
        </w:rPr>
        <w:t xml:space="preserve"> imported inflation since the economy highly depends on USD.</w:t>
      </w:r>
    </w:p>
    <w:p w14:paraId="71923BBE" w14:textId="77777777" w:rsidR="00184FA3" w:rsidRPr="00A64F64" w:rsidRDefault="004C7E36" w:rsidP="003C1D2F">
      <w:pPr>
        <w:pStyle w:val="Heading1"/>
        <w:spacing w:before="0" w:after="240" w:line="240" w:lineRule="auto"/>
        <w:rPr>
          <w:rFonts w:cs="Tahoma"/>
          <w:bCs/>
          <w:color w:val="000000"/>
          <w:szCs w:val="24"/>
          <w:lang w:val="en-US"/>
        </w:rPr>
      </w:pPr>
      <w:bookmarkStart w:id="40" w:name="_Toc166607898"/>
      <w:bookmarkStart w:id="41" w:name="_Toc189745280"/>
      <w:r w:rsidRPr="00A64F64">
        <w:rPr>
          <w:rFonts w:cs="Tahoma"/>
          <w:bCs/>
          <w:color w:val="000000"/>
          <w:szCs w:val="24"/>
          <w:lang w:val="en-US"/>
        </w:rPr>
        <w:t>6.0</w:t>
      </w:r>
      <w:r w:rsidRPr="00A64F64">
        <w:rPr>
          <w:rFonts w:cs="Tahoma"/>
          <w:bCs/>
          <w:color w:val="000000"/>
          <w:szCs w:val="24"/>
          <w:lang w:val="en-US"/>
        </w:rPr>
        <w:tab/>
      </w:r>
      <w:r w:rsidR="00184FA3" w:rsidRPr="00A64F64">
        <w:rPr>
          <w:rFonts w:cs="Tahoma"/>
          <w:bCs/>
          <w:color w:val="000000"/>
          <w:szCs w:val="24"/>
          <w:lang w:val="en-US"/>
        </w:rPr>
        <w:t>Inflation Developments</w:t>
      </w:r>
      <w:bookmarkEnd w:id="40"/>
      <w:bookmarkEnd w:id="41"/>
      <w:r w:rsidR="00184FA3" w:rsidRPr="00A64F64">
        <w:rPr>
          <w:rFonts w:cs="Tahoma"/>
          <w:bCs/>
          <w:color w:val="000000"/>
          <w:szCs w:val="24"/>
          <w:lang w:val="en-US"/>
        </w:rPr>
        <w:t xml:space="preserve"> </w:t>
      </w:r>
    </w:p>
    <w:p w14:paraId="120AE54F" w14:textId="7FC42395" w:rsidR="005D4799" w:rsidRPr="00340BCF" w:rsidRDefault="00744659" w:rsidP="00340BCF">
      <w:pPr>
        <w:ind w:left="720" w:hanging="720"/>
        <w:jc w:val="both"/>
        <w:rPr>
          <w:rFonts w:ascii="Tahoma" w:hAnsi="Tahoma" w:cs="Tahoma"/>
          <w:sz w:val="24"/>
          <w:szCs w:val="24"/>
        </w:rPr>
      </w:pPr>
      <w:r w:rsidRPr="00744659">
        <w:rPr>
          <w:rFonts w:ascii="Tahoma" w:hAnsi="Tahoma" w:cs="Tahoma"/>
          <w:sz w:val="24"/>
          <w:szCs w:val="24"/>
        </w:rPr>
        <w:t>6.</w:t>
      </w:r>
      <w:r w:rsidR="00106F16">
        <w:rPr>
          <w:rFonts w:ascii="Tahoma" w:hAnsi="Tahoma" w:cs="Tahoma"/>
          <w:sz w:val="24"/>
          <w:szCs w:val="24"/>
        </w:rPr>
        <w:t>1</w:t>
      </w:r>
      <w:r w:rsidRPr="00744659">
        <w:rPr>
          <w:rFonts w:ascii="Tahoma" w:hAnsi="Tahoma" w:cs="Tahoma"/>
          <w:sz w:val="24"/>
          <w:szCs w:val="24"/>
        </w:rPr>
        <w:tab/>
      </w:r>
      <w:r w:rsidR="008D271F">
        <w:rPr>
          <w:rFonts w:ascii="Tahoma" w:hAnsi="Tahoma" w:cs="Tahoma"/>
          <w:sz w:val="24"/>
          <w:szCs w:val="24"/>
        </w:rPr>
        <w:t>M</w:t>
      </w:r>
      <w:r w:rsidR="0020598F">
        <w:rPr>
          <w:rFonts w:ascii="Tahoma" w:hAnsi="Tahoma" w:cs="Tahoma"/>
          <w:sz w:val="24"/>
          <w:szCs w:val="24"/>
        </w:rPr>
        <w:t xml:space="preserve">onth-on-month </w:t>
      </w:r>
      <w:r w:rsidR="005C0350">
        <w:rPr>
          <w:rFonts w:ascii="Tahoma" w:hAnsi="Tahoma" w:cs="Tahoma"/>
          <w:sz w:val="24"/>
          <w:szCs w:val="24"/>
        </w:rPr>
        <w:t>ZWG</w:t>
      </w:r>
      <w:r w:rsidR="005C0350" w:rsidRPr="00744659">
        <w:rPr>
          <w:rFonts w:ascii="Tahoma" w:hAnsi="Tahoma" w:cs="Tahoma"/>
          <w:sz w:val="24"/>
          <w:szCs w:val="24"/>
        </w:rPr>
        <w:t xml:space="preserve"> inflation</w:t>
      </w:r>
      <w:r w:rsidR="002473F1">
        <w:rPr>
          <w:rFonts w:ascii="Tahoma" w:hAnsi="Tahoma" w:cs="Tahoma"/>
          <w:sz w:val="24"/>
          <w:szCs w:val="24"/>
        </w:rPr>
        <w:t xml:space="preserve"> </w:t>
      </w:r>
      <w:r w:rsidR="008D271F">
        <w:rPr>
          <w:rFonts w:ascii="Tahoma" w:hAnsi="Tahoma" w:cs="Tahoma"/>
          <w:sz w:val="24"/>
          <w:szCs w:val="24"/>
        </w:rPr>
        <w:t>hiked from 3.67% in December 2024 to 10.5% in January 2025</w:t>
      </w:r>
      <w:r w:rsidR="00336354">
        <w:rPr>
          <w:rFonts w:ascii="Tahoma" w:hAnsi="Tahoma" w:cs="Tahoma"/>
          <w:sz w:val="24"/>
          <w:szCs w:val="24"/>
        </w:rPr>
        <w:t xml:space="preserve">, </w:t>
      </w:r>
      <w:r w:rsidRPr="00744659">
        <w:rPr>
          <w:rFonts w:ascii="Tahoma" w:hAnsi="Tahoma" w:cs="Tahoma"/>
          <w:sz w:val="24"/>
          <w:szCs w:val="24"/>
        </w:rPr>
        <w:t xml:space="preserve">see Figure </w:t>
      </w:r>
      <w:r w:rsidR="00686026">
        <w:rPr>
          <w:rFonts w:ascii="Tahoma" w:hAnsi="Tahoma" w:cs="Tahoma"/>
          <w:sz w:val="24"/>
          <w:szCs w:val="24"/>
        </w:rPr>
        <w:t>5</w:t>
      </w:r>
      <w:r w:rsidRPr="00744659">
        <w:rPr>
          <w:rFonts w:ascii="Tahoma" w:hAnsi="Tahoma" w:cs="Tahoma"/>
          <w:sz w:val="24"/>
          <w:szCs w:val="24"/>
        </w:rPr>
        <w:t>.</w:t>
      </w:r>
      <w:r w:rsidR="00575008">
        <w:rPr>
          <w:rFonts w:ascii="Tahoma" w:hAnsi="Tahoma" w:cs="Tahoma"/>
          <w:sz w:val="24"/>
          <w:szCs w:val="24"/>
        </w:rPr>
        <w:t xml:space="preserve"> According to Trading Economics (2025),</w:t>
      </w:r>
      <w:r w:rsidR="009369AC">
        <w:rPr>
          <w:rFonts w:ascii="Tahoma" w:hAnsi="Tahoma" w:cs="Tahoma"/>
          <w:sz w:val="24"/>
          <w:szCs w:val="24"/>
        </w:rPr>
        <w:t xml:space="preserve"> </w:t>
      </w:r>
      <w:r w:rsidR="00575008">
        <w:rPr>
          <w:rFonts w:ascii="Tahoma" w:hAnsi="Tahoma" w:cs="Tahoma"/>
          <w:sz w:val="24"/>
          <w:szCs w:val="24"/>
        </w:rPr>
        <w:t>t</w:t>
      </w:r>
      <w:r w:rsidR="00310DF5" w:rsidRPr="00310DF5">
        <w:rPr>
          <w:rFonts w:ascii="Tahoma" w:hAnsi="Tahoma" w:cs="Tahoma"/>
          <w:sz w:val="24"/>
          <w:szCs w:val="24"/>
        </w:rPr>
        <w:t xml:space="preserve">he spike </w:t>
      </w:r>
      <w:r w:rsidR="00310DF5">
        <w:rPr>
          <w:rFonts w:ascii="Tahoma" w:hAnsi="Tahoma" w:cs="Tahoma"/>
          <w:sz w:val="24"/>
          <w:szCs w:val="24"/>
        </w:rPr>
        <w:t>was</w:t>
      </w:r>
      <w:r w:rsidR="00310DF5" w:rsidRPr="00310DF5">
        <w:rPr>
          <w:rFonts w:ascii="Tahoma" w:hAnsi="Tahoma" w:cs="Tahoma"/>
          <w:sz w:val="24"/>
          <w:szCs w:val="24"/>
        </w:rPr>
        <w:t xml:space="preserve"> primarily attributed to the prolonged drought and the recent introduction of additional taxes, targeting areas such as sports betting and popular fast foods like French fries, burgers, and pizza, in a bid to boost government revenue amid the ongoing fiscal challenges facing the economy.</w:t>
      </w:r>
    </w:p>
    <w:p w14:paraId="470BAFC9" w14:textId="3E7411DC" w:rsidR="005F0769" w:rsidRDefault="005D4799" w:rsidP="00F05BD5">
      <w:pPr>
        <w:pStyle w:val="ListofFigures"/>
      </w:pPr>
      <w:bookmarkStart w:id="42" w:name="_Toc189745428"/>
      <w:r>
        <w:t xml:space="preserve">Figure </w:t>
      </w:r>
      <w:r w:rsidR="00B8291A">
        <w:t>4</w:t>
      </w:r>
      <w:r>
        <w:t>: Month-on-Month</w:t>
      </w:r>
      <w:r w:rsidR="000C78EC">
        <w:t xml:space="preserve"> ZWG</w:t>
      </w:r>
      <w:r>
        <w:t xml:space="preserve"> Inflation Outturn</w:t>
      </w:r>
      <w:bookmarkEnd w:id="42"/>
      <w:r>
        <w:t xml:space="preserve"> </w:t>
      </w:r>
    </w:p>
    <w:p w14:paraId="266392AE" w14:textId="1CCEEB25" w:rsidR="005F0769" w:rsidRDefault="00277F04" w:rsidP="005D4799">
      <w:pPr>
        <w:spacing w:after="0"/>
        <w:ind w:left="720" w:hanging="720"/>
        <w:jc w:val="both"/>
        <w:rPr>
          <w:rFonts w:ascii="Tahoma" w:hAnsi="Tahoma" w:cs="Tahoma"/>
          <w:sz w:val="24"/>
          <w:szCs w:val="24"/>
        </w:rPr>
      </w:pPr>
      <w:r>
        <w:rPr>
          <w:noProof/>
        </w:rPr>
        <w:lastRenderedPageBreak/>
        <w:drawing>
          <wp:inline distT="0" distB="0" distL="0" distR="0" wp14:anchorId="491FB7FE" wp14:editId="728B1445">
            <wp:extent cx="5731510" cy="2171700"/>
            <wp:effectExtent l="0" t="0" r="2540" b="0"/>
            <wp:docPr id="276443446" name="Chart 1">
              <a:extLst xmlns:a="http://schemas.openxmlformats.org/drawingml/2006/main">
                <a:ext uri="{FF2B5EF4-FFF2-40B4-BE49-F238E27FC236}">
                  <a16:creationId xmlns:a16="http://schemas.microsoft.com/office/drawing/2014/main" id="{00000000-0008-0000-08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4FEDCD3" w14:textId="73866B65" w:rsidR="005F0769" w:rsidRDefault="005D4799" w:rsidP="005D4799">
      <w:pPr>
        <w:spacing w:after="0"/>
        <w:ind w:left="720" w:hanging="720"/>
        <w:jc w:val="both"/>
        <w:rPr>
          <w:rFonts w:ascii="Tahoma" w:hAnsi="Tahoma" w:cs="Tahoma"/>
          <w:i/>
          <w:sz w:val="24"/>
          <w:szCs w:val="24"/>
        </w:rPr>
      </w:pPr>
      <w:r w:rsidRPr="005D4799">
        <w:rPr>
          <w:rFonts w:ascii="Tahoma" w:hAnsi="Tahoma" w:cs="Tahoma"/>
          <w:i/>
          <w:sz w:val="24"/>
          <w:szCs w:val="24"/>
        </w:rPr>
        <w:t>Source: ZimStat (202</w:t>
      </w:r>
      <w:r w:rsidR="00277F04">
        <w:rPr>
          <w:rFonts w:ascii="Tahoma" w:hAnsi="Tahoma" w:cs="Tahoma"/>
          <w:i/>
          <w:sz w:val="24"/>
          <w:szCs w:val="24"/>
        </w:rPr>
        <w:t>5</w:t>
      </w:r>
      <w:r w:rsidRPr="005D4799">
        <w:rPr>
          <w:rFonts w:ascii="Tahoma" w:hAnsi="Tahoma" w:cs="Tahoma"/>
          <w:i/>
          <w:sz w:val="24"/>
          <w:szCs w:val="24"/>
        </w:rPr>
        <w:t xml:space="preserve">) </w:t>
      </w:r>
    </w:p>
    <w:p w14:paraId="506A6CA8" w14:textId="77777777" w:rsidR="005D4799" w:rsidRPr="005D4799" w:rsidRDefault="005D4799" w:rsidP="005D4799">
      <w:pPr>
        <w:spacing w:after="0"/>
        <w:ind w:left="720" w:hanging="720"/>
        <w:jc w:val="both"/>
        <w:rPr>
          <w:rFonts w:ascii="Tahoma" w:hAnsi="Tahoma" w:cs="Tahoma"/>
          <w:sz w:val="24"/>
          <w:szCs w:val="24"/>
        </w:rPr>
      </w:pPr>
    </w:p>
    <w:p w14:paraId="1DD7595A" w14:textId="40F979AD" w:rsidR="00FC71BF" w:rsidRPr="00863A17" w:rsidRDefault="005F0769" w:rsidP="004C7E36">
      <w:pPr>
        <w:ind w:left="720" w:hanging="720"/>
        <w:jc w:val="both"/>
        <w:rPr>
          <w:rFonts w:ascii="Tahoma" w:hAnsi="Tahoma" w:cs="Tahoma"/>
          <w:sz w:val="24"/>
          <w:szCs w:val="24"/>
        </w:rPr>
      </w:pPr>
      <w:r>
        <w:rPr>
          <w:rFonts w:ascii="Tahoma" w:hAnsi="Tahoma" w:cs="Tahoma"/>
          <w:sz w:val="24"/>
          <w:szCs w:val="24"/>
        </w:rPr>
        <w:t>6.2</w:t>
      </w:r>
      <w:r w:rsidR="004C7E36" w:rsidRPr="00863A17">
        <w:rPr>
          <w:rFonts w:ascii="Tahoma" w:hAnsi="Tahoma" w:cs="Tahoma"/>
          <w:sz w:val="24"/>
          <w:szCs w:val="24"/>
        </w:rPr>
        <w:tab/>
      </w:r>
      <w:bookmarkStart w:id="43" w:name="_Hlk166606180"/>
      <w:r w:rsidR="00E90A43">
        <w:rPr>
          <w:rFonts w:ascii="Tahoma" w:hAnsi="Tahoma" w:cs="Tahoma"/>
          <w:sz w:val="24"/>
          <w:szCs w:val="24"/>
        </w:rPr>
        <w:t>M</w:t>
      </w:r>
      <w:r w:rsidR="005930D4">
        <w:rPr>
          <w:rFonts w:ascii="Tahoma" w:hAnsi="Tahoma" w:cs="Tahoma"/>
          <w:sz w:val="24"/>
          <w:szCs w:val="24"/>
        </w:rPr>
        <w:t>-</w:t>
      </w:r>
      <w:r w:rsidR="00E90A43">
        <w:rPr>
          <w:rFonts w:ascii="Tahoma" w:hAnsi="Tahoma" w:cs="Tahoma"/>
          <w:sz w:val="24"/>
          <w:szCs w:val="24"/>
        </w:rPr>
        <w:t>o</w:t>
      </w:r>
      <w:r w:rsidR="005930D4">
        <w:rPr>
          <w:rFonts w:ascii="Tahoma" w:hAnsi="Tahoma" w:cs="Tahoma"/>
          <w:sz w:val="24"/>
          <w:szCs w:val="24"/>
        </w:rPr>
        <w:t>-</w:t>
      </w:r>
      <w:r w:rsidR="00E90A43">
        <w:rPr>
          <w:rFonts w:ascii="Tahoma" w:hAnsi="Tahoma" w:cs="Tahoma"/>
          <w:sz w:val="24"/>
          <w:szCs w:val="24"/>
        </w:rPr>
        <w:t>M</w:t>
      </w:r>
      <w:r w:rsidR="005C0350">
        <w:rPr>
          <w:rFonts w:ascii="Tahoma" w:hAnsi="Tahoma" w:cs="Tahoma"/>
          <w:sz w:val="24"/>
          <w:szCs w:val="24"/>
        </w:rPr>
        <w:t xml:space="preserve"> </w:t>
      </w:r>
      <w:r w:rsidR="000C2AA3">
        <w:rPr>
          <w:rFonts w:ascii="Tahoma" w:hAnsi="Tahoma" w:cs="Tahoma"/>
          <w:sz w:val="24"/>
          <w:szCs w:val="24"/>
        </w:rPr>
        <w:t xml:space="preserve">weighted </w:t>
      </w:r>
      <w:r w:rsidR="00B45B57">
        <w:rPr>
          <w:rFonts w:ascii="Tahoma" w:hAnsi="Tahoma" w:cs="Tahoma"/>
          <w:sz w:val="24"/>
          <w:szCs w:val="24"/>
        </w:rPr>
        <w:t>inflation</w:t>
      </w:r>
      <w:r w:rsidR="00145005">
        <w:rPr>
          <w:rFonts w:ascii="Tahoma" w:hAnsi="Tahoma" w:cs="Tahoma"/>
          <w:sz w:val="24"/>
          <w:szCs w:val="24"/>
        </w:rPr>
        <w:t xml:space="preserve"> also </w:t>
      </w:r>
      <w:r w:rsidR="00442B68">
        <w:rPr>
          <w:rFonts w:ascii="Tahoma" w:hAnsi="Tahoma" w:cs="Tahoma"/>
          <w:sz w:val="24"/>
          <w:szCs w:val="24"/>
        </w:rPr>
        <w:t>rose</w:t>
      </w:r>
      <w:r w:rsidR="00FF23CD">
        <w:rPr>
          <w:rFonts w:ascii="Tahoma" w:hAnsi="Tahoma" w:cs="Tahoma"/>
          <w:sz w:val="24"/>
          <w:szCs w:val="24"/>
        </w:rPr>
        <w:t xml:space="preserve">, reaching a </w:t>
      </w:r>
      <w:r w:rsidR="00F478F6">
        <w:rPr>
          <w:rFonts w:ascii="Tahoma" w:hAnsi="Tahoma" w:cs="Tahoma"/>
          <w:sz w:val="24"/>
          <w:szCs w:val="24"/>
        </w:rPr>
        <w:t>two-digit</w:t>
      </w:r>
      <w:r w:rsidR="00FF23CD">
        <w:rPr>
          <w:rFonts w:ascii="Tahoma" w:hAnsi="Tahoma" w:cs="Tahoma"/>
          <w:sz w:val="24"/>
          <w:szCs w:val="24"/>
        </w:rPr>
        <w:t xml:space="preserve"> level since the introduction of the ZWG,</w:t>
      </w:r>
      <w:r w:rsidR="00442B68">
        <w:rPr>
          <w:rFonts w:ascii="Tahoma" w:hAnsi="Tahoma" w:cs="Tahoma"/>
          <w:sz w:val="24"/>
          <w:szCs w:val="24"/>
        </w:rPr>
        <w:t xml:space="preserve"> from 1.11% in December to 11.60%</w:t>
      </w:r>
      <w:r w:rsidR="005A368E">
        <w:rPr>
          <w:rFonts w:ascii="Tahoma" w:hAnsi="Tahoma" w:cs="Tahoma"/>
          <w:sz w:val="24"/>
          <w:szCs w:val="24"/>
        </w:rPr>
        <w:t xml:space="preserve"> in January </w:t>
      </w:r>
      <w:r w:rsidR="008946A9">
        <w:rPr>
          <w:rFonts w:ascii="Tahoma" w:hAnsi="Tahoma" w:cs="Tahoma"/>
          <w:sz w:val="24"/>
          <w:szCs w:val="24"/>
        </w:rPr>
        <w:t>2025 due</w:t>
      </w:r>
      <w:r w:rsidR="00442B68">
        <w:rPr>
          <w:rFonts w:ascii="Tahoma" w:hAnsi="Tahoma" w:cs="Tahoma"/>
          <w:sz w:val="24"/>
          <w:szCs w:val="24"/>
        </w:rPr>
        <w:t xml:space="preserve"> to </w:t>
      </w:r>
      <w:r w:rsidR="005A368E">
        <w:rPr>
          <w:rFonts w:ascii="Tahoma" w:hAnsi="Tahoma" w:cs="Tahoma"/>
          <w:sz w:val="24"/>
          <w:szCs w:val="24"/>
        </w:rPr>
        <w:t>acceleration of</w:t>
      </w:r>
      <w:r w:rsidR="00442B68">
        <w:rPr>
          <w:rFonts w:ascii="Tahoma" w:hAnsi="Tahoma" w:cs="Tahoma"/>
          <w:sz w:val="24"/>
          <w:szCs w:val="24"/>
        </w:rPr>
        <w:t xml:space="preserve"> both ZWG and USD inflation</w:t>
      </w:r>
      <w:r w:rsidR="00601251">
        <w:rPr>
          <w:rFonts w:ascii="Tahoma" w:hAnsi="Tahoma" w:cs="Tahoma"/>
          <w:sz w:val="24"/>
          <w:szCs w:val="24"/>
        </w:rPr>
        <w:t>.</w:t>
      </w:r>
      <w:r w:rsidR="00145005">
        <w:rPr>
          <w:rFonts w:ascii="Tahoma" w:hAnsi="Tahoma" w:cs="Tahoma"/>
          <w:sz w:val="24"/>
          <w:szCs w:val="24"/>
        </w:rPr>
        <w:t xml:space="preserve"> </w:t>
      </w:r>
      <w:r w:rsidR="005C0350">
        <w:rPr>
          <w:rFonts w:ascii="Tahoma" w:hAnsi="Tahoma" w:cs="Tahoma"/>
          <w:sz w:val="24"/>
          <w:szCs w:val="24"/>
        </w:rPr>
        <w:t>(</w:t>
      </w:r>
      <w:r w:rsidR="00670FF1" w:rsidRPr="00863A17">
        <w:rPr>
          <w:rFonts w:ascii="Tahoma" w:hAnsi="Tahoma" w:cs="Tahoma"/>
          <w:sz w:val="24"/>
          <w:szCs w:val="24"/>
        </w:rPr>
        <w:t xml:space="preserve">see Figure </w:t>
      </w:r>
      <w:r w:rsidR="004C564F">
        <w:rPr>
          <w:rFonts w:ascii="Tahoma" w:hAnsi="Tahoma" w:cs="Tahoma"/>
          <w:sz w:val="24"/>
          <w:szCs w:val="24"/>
        </w:rPr>
        <w:t>6</w:t>
      </w:r>
      <w:r w:rsidR="005C0350">
        <w:rPr>
          <w:rFonts w:ascii="Tahoma" w:hAnsi="Tahoma" w:cs="Tahoma"/>
          <w:sz w:val="24"/>
          <w:szCs w:val="24"/>
        </w:rPr>
        <w:t>)</w:t>
      </w:r>
      <w:r w:rsidR="00670FF1" w:rsidRPr="00863A17">
        <w:rPr>
          <w:rFonts w:ascii="Tahoma" w:hAnsi="Tahoma" w:cs="Tahoma"/>
          <w:sz w:val="24"/>
          <w:szCs w:val="24"/>
        </w:rPr>
        <w:t>.</w:t>
      </w:r>
      <w:r w:rsidR="00FF23CD">
        <w:rPr>
          <w:rFonts w:ascii="Tahoma" w:hAnsi="Tahoma" w:cs="Tahoma"/>
          <w:sz w:val="24"/>
          <w:szCs w:val="24"/>
        </w:rPr>
        <w:t xml:space="preserve"> </w:t>
      </w:r>
    </w:p>
    <w:p w14:paraId="698B8FE2" w14:textId="2D08389B" w:rsidR="00474E3B" w:rsidRDefault="00FA3C4E" w:rsidP="00087E0F">
      <w:pPr>
        <w:pStyle w:val="ListofFigures"/>
      </w:pPr>
      <w:bookmarkStart w:id="44" w:name="_Toc189745429"/>
      <w:bookmarkEnd w:id="43"/>
      <w:r w:rsidRPr="00863A17">
        <w:t xml:space="preserve">Figure </w:t>
      </w:r>
      <w:r w:rsidR="00B8291A">
        <w:rPr>
          <w:bCs/>
        </w:rPr>
        <w:t>5</w:t>
      </w:r>
      <w:r w:rsidRPr="00863A17">
        <w:t xml:space="preserve">: </w:t>
      </w:r>
      <w:r w:rsidRPr="00863A17">
        <w:rPr>
          <w:lang w:val="en-US"/>
        </w:rPr>
        <w:t>Month</w:t>
      </w:r>
      <w:r w:rsidR="00FF7839" w:rsidRPr="00863A17">
        <w:rPr>
          <w:lang w:val="en-US"/>
        </w:rPr>
        <w:t>-</w:t>
      </w:r>
      <w:r w:rsidR="00670FF1" w:rsidRPr="00863A17">
        <w:rPr>
          <w:lang w:val="en-US"/>
        </w:rPr>
        <w:t>on</w:t>
      </w:r>
      <w:r w:rsidR="00FF7839" w:rsidRPr="00863A17">
        <w:rPr>
          <w:lang w:val="en-US"/>
        </w:rPr>
        <w:t>-</w:t>
      </w:r>
      <w:r w:rsidR="00670FF1" w:rsidRPr="00863A17">
        <w:rPr>
          <w:lang w:val="en-US"/>
        </w:rPr>
        <w:t>Month</w:t>
      </w:r>
      <w:r w:rsidR="000C78EC">
        <w:rPr>
          <w:lang w:val="en-US"/>
        </w:rPr>
        <w:t xml:space="preserve"> Weighted</w:t>
      </w:r>
      <w:r w:rsidRPr="00863A17">
        <w:rPr>
          <w:lang w:val="en-US"/>
        </w:rPr>
        <w:t xml:space="preserve"> Inflation Outturn</w:t>
      </w:r>
      <w:bookmarkEnd w:id="44"/>
    </w:p>
    <w:p w14:paraId="2A1BC82A" w14:textId="28440C10" w:rsidR="00087E0F" w:rsidRPr="00863A17" w:rsidRDefault="00D637D2" w:rsidP="004C7E36">
      <w:pPr>
        <w:spacing w:after="0"/>
        <w:rPr>
          <w:rFonts w:ascii="Tahoma" w:hAnsi="Tahoma" w:cs="Tahoma"/>
          <w:sz w:val="24"/>
          <w:szCs w:val="24"/>
          <w:lang w:val="en-US"/>
        </w:rPr>
      </w:pPr>
      <w:r>
        <w:rPr>
          <w:rFonts w:ascii="Tahoma" w:hAnsi="Tahoma" w:cs="Tahoma"/>
          <w:noProof/>
          <w:sz w:val="24"/>
          <w:szCs w:val="24"/>
          <w:lang w:val="en-US"/>
        </w:rPr>
        <w:drawing>
          <wp:inline distT="0" distB="0" distL="0" distR="0" wp14:anchorId="7432D9A9" wp14:editId="53ABF81A">
            <wp:extent cx="5695950" cy="2286000"/>
            <wp:effectExtent l="0" t="0" r="0" b="0"/>
            <wp:docPr id="736697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2286000"/>
                    </a:xfrm>
                    <a:prstGeom prst="rect">
                      <a:avLst/>
                    </a:prstGeom>
                    <a:noFill/>
                  </pic:spPr>
                </pic:pic>
              </a:graphicData>
            </a:graphic>
          </wp:inline>
        </w:drawing>
      </w:r>
    </w:p>
    <w:p w14:paraId="06DABECA" w14:textId="00A10FBE" w:rsidR="00474E3B" w:rsidRPr="00863A17" w:rsidRDefault="004C7E36" w:rsidP="00474E3B">
      <w:pPr>
        <w:rPr>
          <w:rFonts w:ascii="Tahoma" w:hAnsi="Tahoma" w:cs="Tahoma"/>
          <w:i/>
          <w:sz w:val="24"/>
          <w:szCs w:val="24"/>
          <w:lang w:val="en-US"/>
        </w:rPr>
      </w:pPr>
      <w:r w:rsidRPr="00863A17">
        <w:rPr>
          <w:rFonts w:ascii="Tahoma" w:hAnsi="Tahoma" w:cs="Tahoma"/>
          <w:i/>
          <w:sz w:val="24"/>
          <w:szCs w:val="24"/>
          <w:lang w:val="en-US"/>
        </w:rPr>
        <w:t>Source: ZimStat (202</w:t>
      </w:r>
      <w:r w:rsidR="00D637D2">
        <w:rPr>
          <w:rFonts w:ascii="Tahoma" w:hAnsi="Tahoma" w:cs="Tahoma"/>
          <w:i/>
          <w:sz w:val="24"/>
          <w:szCs w:val="24"/>
          <w:lang w:val="en-US"/>
        </w:rPr>
        <w:t>5</w:t>
      </w:r>
      <w:r w:rsidRPr="00863A17">
        <w:rPr>
          <w:rFonts w:ascii="Tahoma" w:hAnsi="Tahoma" w:cs="Tahoma"/>
          <w:i/>
          <w:sz w:val="24"/>
          <w:szCs w:val="24"/>
          <w:lang w:val="en-US"/>
        </w:rPr>
        <w:t>)</w:t>
      </w:r>
    </w:p>
    <w:p w14:paraId="10D60275" w14:textId="62DDC4F4" w:rsidR="00474E3B" w:rsidRPr="001866A1" w:rsidRDefault="004C7E36" w:rsidP="001866A1">
      <w:pPr>
        <w:ind w:left="720" w:hanging="720"/>
        <w:jc w:val="both"/>
        <w:rPr>
          <w:rFonts w:ascii="Tahoma" w:hAnsi="Tahoma" w:cs="Tahoma"/>
          <w:sz w:val="24"/>
          <w:szCs w:val="24"/>
        </w:rPr>
      </w:pPr>
      <w:r w:rsidRPr="00863A17">
        <w:rPr>
          <w:rFonts w:ascii="Tahoma" w:hAnsi="Tahoma" w:cs="Tahoma"/>
          <w:sz w:val="24"/>
          <w:szCs w:val="24"/>
          <w:lang w:val="en-US"/>
        </w:rPr>
        <w:t>6.</w:t>
      </w:r>
      <w:r w:rsidR="005F0769">
        <w:rPr>
          <w:rFonts w:ascii="Tahoma" w:hAnsi="Tahoma" w:cs="Tahoma"/>
          <w:sz w:val="24"/>
          <w:szCs w:val="24"/>
          <w:lang w:val="en-US"/>
        </w:rPr>
        <w:t>3</w:t>
      </w:r>
      <w:r w:rsidRPr="00863A17">
        <w:rPr>
          <w:rFonts w:ascii="Tahoma" w:hAnsi="Tahoma" w:cs="Tahoma"/>
          <w:sz w:val="24"/>
          <w:szCs w:val="24"/>
          <w:lang w:val="en-US"/>
        </w:rPr>
        <w:tab/>
      </w:r>
      <w:r w:rsidR="00365637" w:rsidRPr="00365637">
        <w:rPr>
          <w:rFonts w:ascii="Tahoma" w:hAnsi="Tahoma" w:cs="Tahoma"/>
          <w:sz w:val="24"/>
          <w:szCs w:val="24"/>
        </w:rPr>
        <w:t xml:space="preserve">Food and non-alcoholic drinks, as well as housing, water, electricity, gas, and other fuels, continue to be the largest drivers </w:t>
      </w:r>
      <w:r w:rsidR="001866A1">
        <w:rPr>
          <w:rFonts w:ascii="Tahoma" w:hAnsi="Tahoma" w:cs="Tahoma"/>
          <w:sz w:val="24"/>
          <w:szCs w:val="24"/>
        </w:rPr>
        <w:t xml:space="preserve">of inflation in January 2025 </w:t>
      </w:r>
      <w:r w:rsidR="00365637" w:rsidRPr="00365637">
        <w:rPr>
          <w:rFonts w:ascii="Tahoma" w:hAnsi="Tahoma" w:cs="Tahoma"/>
          <w:sz w:val="24"/>
          <w:szCs w:val="24"/>
        </w:rPr>
        <w:t xml:space="preserve">(see Table </w:t>
      </w:r>
      <w:r w:rsidR="004C564F">
        <w:rPr>
          <w:rFonts w:ascii="Tahoma" w:hAnsi="Tahoma" w:cs="Tahoma"/>
          <w:sz w:val="24"/>
          <w:szCs w:val="24"/>
        </w:rPr>
        <w:t>4</w:t>
      </w:r>
      <w:r w:rsidR="00365637" w:rsidRPr="00365637">
        <w:rPr>
          <w:rFonts w:ascii="Tahoma" w:hAnsi="Tahoma" w:cs="Tahoma"/>
          <w:sz w:val="24"/>
          <w:szCs w:val="24"/>
        </w:rPr>
        <w:t xml:space="preserve">). </w:t>
      </w:r>
    </w:p>
    <w:p w14:paraId="7D290962" w14:textId="02DB6E8E" w:rsidR="00364947" w:rsidRDefault="003C1D2F" w:rsidP="00F05BD5">
      <w:pPr>
        <w:pStyle w:val="ListofTables"/>
        <w:spacing w:after="240"/>
      </w:pPr>
      <w:bookmarkStart w:id="45" w:name="_Toc164072366"/>
      <w:bookmarkStart w:id="46" w:name="_Toc166658893"/>
      <w:bookmarkStart w:id="47" w:name="_Toc189745377"/>
      <w:r w:rsidRPr="00863A17">
        <w:lastRenderedPageBreak/>
        <w:t xml:space="preserve">Table </w:t>
      </w:r>
      <w:r w:rsidR="00B8291A">
        <w:t>5</w:t>
      </w:r>
      <w:r w:rsidRPr="00863A17">
        <w:t xml:space="preserve">: </w:t>
      </w:r>
      <w:r w:rsidR="0008600D">
        <w:t xml:space="preserve">Monthly </w:t>
      </w:r>
      <w:r w:rsidRPr="00863A17">
        <w:rPr>
          <w:lang w:val="en-US"/>
        </w:rPr>
        <w:t xml:space="preserve">Inflation </w:t>
      </w:r>
      <w:r w:rsidR="00DF0401">
        <w:rPr>
          <w:lang w:val="en-US"/>
        </w:rPr>
        <w:t xml:space="preserve">for </w:t>
      </w:r>
      <w:r w:rsidR="00427538">
        <w:rPr>
          <w:lang w:val="en-US"/>
        </w:rPr>
        <w:t>January</w:t>
      </w:r>
      <w:r w:rsidRPr="00863A17">
        <w:rPr>
          <w:lang w:val="en-US"/>
        </w:rPr>
        <w:t xml:space="preserve"> 202</w:t>
      </w:r>
      <w:bookmarkEnd w:id="45"/>
      <w:bookmarkEnd w:id="46"/>
      <w:r w:rsidR="00427538">
        <w:rPr>
          <w:lang w:val="en-US"/>
        </w:rPr>
        <w:t>5</w:t>
      </w:r>
      <w:bookmarkEnd w:id="47"/>
    </w:p>
    <w:p w14:paraId="2A59EE5D" w14:textId="201D05FB" w:rsidR="001C152E" w:rsidRPr="00863A17" w:rsidRDefault="00427538" w:rsidP="004C7E36">
      <w:pPr>
        <w:spacing w:after="0"/>
        <w:rPr>
          <w:rFonts w:ascii="Tahoma" w:hAnsi="Tahoma" w:cs="Tahoma"/>
          <w:sz w:val="24"/>
          <w:szCs w:val="24"/>
          <w:lang w:val="en-US"/>
        </w:rPr>
      </w:pPr>
      <w:r w:rsidRPr="00427538">
        <w:rPr>
          <w:noProof/>
        </w:rPr>
        <w:drawing>
          <wp:inline distT="0" distB="0" distL="0" distR="0" wp14:anchorId="147B4135" wp14:editId="6D40F974">
            <wp:extent cx="5731510" cy="2209800"/>
            <wp:effectExtent l="0" t="0" r="2540" b="0"/>
            <wp:docPr id="196366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64252" name=""/>
                    <pic:cNvPicPr/>
                  </pic:nvPicPr>
                  <pic:blipFill>
                    <a:blip r:embed="rId19"/>
                    <a:stretch>
                      <a:fillRect/>
                    </a:stretch>
                  </pic:blipFill>
                  <pic:spPr>
                    <a:xfrm>
                      <a:off x="0" y="0"/>
                      <a:ext cx="5731510" cy="2209800"/>
                    </a:xfrm>
                    <a:prstGeom prst="rect">
                      <a:avLst/>
                    </a:prstGeom>
                  </pic:spPr>
                </pic:pic>
              </a:graphicData>
            </a:graphic>
          </wp:inline>
        </w:drawing>
      </w:r>
    </w:p>
    <w:p w14:paraId="571A1FB4" w14:textId="27A4F551" w:rsidR="00D81672" w:rsidRPr="00863A17" w:rsidRDefault="00D81672">
      <w:pPr>
        <w:rPr>
          <w:rFonts w:ascii="Tahoma" w:hAnsi="Tahoma" w:cs="Tahoma"/>
          <w:i/>
          <w:sz w:val="24"/>
          <w:szCs w:val="24"/>
          <w:lang w:val="en-US"/>
        </w:rPr>
      </w:pPr>
      <w:r w:rsidRPr="00863A17">
        <w:rPr>
          <w:rFonts w:ascii="Tahoma" w:hAnsi="Tahoma" w:cs="Tahoma"/>
          <w:i/>
          <w:sz w:val="24"/>
          <w:szCs w:val="24"/>
          <w:lang w:val="en-US"/>
        </w:rPr>
        <w:t>Source</w:t>
      </w:r>
      <w:r w:rsidR="004C7E36" w:rsidRPr="00863A17">
        <w:rPr>
          <w:rFonts w:ascii="Tahoma" w:hAnsi="Tahoma" w:cs="Tahoma"/>
          <w:i/>
          <w:sz w:val="24"/>
          <w:szCs w:val="24"/>
          <w:lang w:val="en-US"/>
        </w:rPr>
        <w:t>: ZimStat (202</w:t>
      </w:r>
      <w:r w:rsidR="0070797C">
        <w:rPr>
          <w:rFonts w:ascii="Tahoma" w:hAnsi="Tahoma" w:cs="Tahoma"/>
          <w:i/>
          <w:sz w:val="24"/>
          <w:szCs w:val="24"/>
          <w:lang w:val="en-US"/>
        </w:rPr>
        <w:t>5</w:t>
      </w:r>
      <w:r w:rsidR="004C7E36" w:rsidRPr="00863A17">
        <w:rPr>
          <w:rFonts w:ascii="Tahoma" w:hAnsi="Tahoma" w:cs="Tahoma"/>
          <w:i/>
          <w:sz w:val="24"/>
          <w:szCs w:val="24"/>
          <w:lang w:val="en-US"/>
        </w:rPr>
        <w:t>)</w:t>
      </w:r>
    </w:p>
    <w:p w14:paraId="203F25E4" w14:textId="77777777" w:rsidR="00184FA3" w:rsidRPr="00A64F64" w:rsidRDefault="00184FA3" w:rsidP="003D0C8C">
      <w:pPr>
        <w:pStyle w:val="Heading1"/>
        <w:numPr>
          <w:ilvl w:val="0"/>
          <w:numId w:val="6"/>
        </w:numPr>
        <w:spacing w:before="0" w:after="240" w:line="240" w:lineRule="auto"/>
        <w:rPr>
          <w:rFonts w:cs="Tahoma"/>
          <w:bCs/>
          <w:color w:val="000000"/>
          <w:szCs w:val="24"/>
          <w:lang w:val="en-US"/>
        </w:rPr>
      </w:pPr>
      <w:bookmarkStart w:id="48" w:name="_Toc166607899"/>
      <w:bookmarkStart w:id="49" w:name="_Toc189745281"/>
      <w:r w:rsidRPr="00A64F64">
        <w:rPr>
          <w:rFonts w:cs="Tahoma"/>
          <w:bCs/>
          <w:color w:val="000000"/>
          <w:szCs w:val="24"/>
          <w:lang w:val="en-US"/>
        </w:rPr>
        <w:t>Monetary Developments</w:t>
      </w:r>
      <w:bookmarkEnd w:id="48"/>
      <w:bookmarkEnd w:id="49"/>
      <w:r w:rsidRPr="00A64F64">
        <w:rPr>
          <w:rFonts w:cs="Tahoma"/>
          <w:bCs/>
          <w:color w:val="000000"/>
          <w:szCs w:val="24"/>
          <w:lang w:val="en-US"/>
        </w:rPr>
        <w:t xml:space="preserve"> </w:t>
      </w:r>
    </w:p>
    <w:p w14:paraId="319D6C14" w14:textId="77777777" w:rsidR="003D0C8C" w:rsidRPr="003D0C8C" w:rsidRDefault="003D0C8C" w:rsidP="003D0C8C">
      <w:pPr>
        <w:pStyle w:val="Heading2"/>
        <w:spacing w:before="0" w:after="240" w:line="240" w:lineRule="auto"/>
        <w:rPr>
          <w:rFonts w:cs="Tahoma"/>
          <w:b/>
          <w:color w:val="000000"/>
          <w:szCs w:val="24"/>
          <w:lang w:val="en-US"/>
        </w:rPr>
      </w:pPr>
      <w:bookmarkStart w:id="50" w:name="_Toc166607900"/>
      <w:bookmarkStart w:id="51" w:name="_Toc189745282"/>
      <w:r w:rsidRPr="003D0C8C">
        <w:rPr>
          <w:rFonts w:cs="Tahoma"/>
          <w:b/>
          <w:color w:val="000000"/>
          <w:szCs w:val="24"/>
          <w:lang w:val="en-US"/>
        </w:rPr>
        <w:t>7.1</w:t>
      </w:r>
      <w:r w:rsidRPr="003D0C8C">
        <w:rPr>
          <w:rFonts w:cs="Tahoma"/>
          <w:b/>
          <w:color w:val="000000"/>
          <w:szCs w:val="24"/>
          <w:lang w:val="en-US"/>
        </w:rPr>
        <w:tab/>
        <w:t>Money Supply</w:t>
      </w:r>
      <w:bookmarkEnd w:id="50"/>
      <w:bookmarkEnd w:id="51"/>
      <w:r w:rsidR="00CF7A33">
        <w:rPr>
          <w:rFonts w:cs="Tahoma"/>
          <w:b/>
          <w:color w:val="000000"/>
          <w:szCs w:val="24"/>
          <w:lang w:val="en-US"/>
        </w:rPr>
        <w:t xml:space="preserve"> </w:t>
      </w:r>
    </w:p>
    <w:p w14:paraId="052D8D56" w14:textId="1589B389" w:rsidR="00106F16" w:rsidRDefault="004C7E36" w:rsidP="00E63964">
      <w:pPr>
        <w:ind w:left="720" w:hanging="720"/>
        <w:jc w:val="both"/>
        <w:rPr>
          <w:rFonts w:ascii="Tahoma" w:hAnsi="Tahoma" w:cs="Tahoma"/>
          <w:sz w:val="24"/>
          <w:szCs w:val="24"/>
          <w:lang w:val="en-US"/>
        </w:rPr>
      </w:pPr>
      <w:r w:rsidRPr="00CB6A80">
        <w:rPr>
          <w:rFonts w:ascii="Tahoma" w:hAnsi="Tahoma" w:cs="Tahoma"/>
          <w:sz w:val="24"/>
          <w:szCs w:val="24"/>
          <w:lang w:val="en-US"/>
        </w:rPr>
        <w:t>7.1</w:t>
      </w:r>
      <w:r w:rsidR="00FA7297" w:rsidRPr="00CB6A80">
        <w:rPr>
          <w:rFonts w:ascii="Tahoma" w:hAnsi="Tahoma" w:cs="Tahoma"/>
          <w:sz w:val="24"/>
          <w:szCs w:val="24"/>
          <w:lang w:val="en-US"/>
        </w:rPr>
        <w:t>.</w:t>
      </w:r>
      <w:r w:rsidR="003D0C8C">
        <w:rPr>
          <w:rFonts w:ascii="Tahoma" w:hAnsi="Tahoma" w:cs="Tahoma"/>
          <w:sz w:val="24"/>
          <w:szCs w:val="24"/>
          <w:lang w:val="en-US"/>
        </w:rPr>
        <w:t>1</w:t>
      </w:r>
      <w:r w:rsidRPr="00CB6A80">
        <w:rPr>
          <w:rFonts w:ascii="Tahoma" w:hAnsi="Tahoma" w:cs="Tahoma"/>
          <w:sz w:val="24"/>
          <w:szCs w:val="24"/>
          <w:lang w:val="en-US"/>
        </w:rPr>
        <w:tab/>
      </w:r>
      <w:bookmarkStart w:id="52" w:name="_Hlk179978693"/>
      <w:r w:rsidR="00106F16">
        <w:rPr>
          <w:rFonts w:ascii="Tahoma" w:hAnsi="Tahoma" w:cs="Tahoma"/>
          <w:sz w:val="24"/>
          <w:szCs w:val="24"/>
          <w:lang w:val="en-US"/>
        </w:rPr>
        <w:t xml:space="preserve">By the time of compiling this report, </w:t>
      </w:r>
      <w:r w:rsidR="000419DD">
        <w:rPr>
          <w:rFonts w:ascii="Tahoma" w:hAnsi="Tahoma" w:cs="Tahoma"/>
          <w:sz w:val="24"/>
          <w:szCs w:val="24"/>
          <w:lang w:val="en-US"/>
        </w:rPr>
        <w:t>January 2025</w:t>
      </w:r>
      <w:r w:rsidR="00106F16">
        <w:rPr>
          <w:rFonts w:ascii="Tahoma" w:hAnsi="Tahoma" w:cs="Tahoma"/>
          <w:sz w:val="24"/>
          <w:szCs w:val="24"/>
          <w:lang w:val="en-US"/>
        </w:rPr>
        <w:t xml:space="preserve"> money supply statistics had not been published thus analysis </w:t>
      </w:r>
      <w:r w:rsidR="00AF39E9">
        <w:rPr>
          <w:rFonts w:ascii="Tahoma" w:hAnsi="Tahoma" w:cs="Tahoma"/>
          <w:sz w:val="24"/>
          <w:szCs w:val="24"/>
          <w:lang w:val="en-US"/>
        </w:rPr>
        <w:t>is</w:t>
      </w:r>
      <w:r w:rsidR="00106F16">
        <w:rPr>
          <w:rFonts w:ascii="Tahoma" w:hAnsi="Tahoma" w:cs="Tahoma"/>
          <w:sz w:val="24"/>
          <w:szCs w:val="24"/>
          <w:lang w:val="en-US"/>
        </w:rPr>
        <w:t xml:space="preserve"> based on </w:t>
      </w:r>
      <w:r w:rsidR="000419DD">
        <w:rPr>
          <w:rFonts w:ascii="Tahoma" w:hAnsi="Tahoma" w:cs="Tahoma"/>
          <w:sz w:val="24"/>
          <w:szCs w:val="24"/>
          <w:lang w:val="en-US"/>
        </w:rPr>
        <w:t>November</w:t>
      </w:r>
      <w:r w:rsidR="00106F16">
        <w:rPr>
          <w:rFonts w:ascii="Tahoma" w:hAnsi="Tahoma" w:cs="Tahoma"/>
          <w:sz w:val="24"/>
          <w:szCs w:val="24"/>
          <w:lang w:val="en-US"/>
        </w:rPr>
        <w:t xml:space="preserve"> 2024 data. </w:t>
      </w:r>
    </w:p>
    <w:p w14:paraId="540C1988" w14:textId="5E1F5D9F" w:rsidR="00084409" w:rsidRDefault="00106F16" w:rsidP="00E63964">
      <w:pPr>
        <w:ind w:left="720" w:hanging="720"/>
        <w:jc w:val="both"/>
        <w:rPr>
          <w:rFonts w:ascii="Tahoma" w:hAnsi="Tahoma" w:cs="Tahoma"/>
          <w:sz w:val="24"/>
          <w:szCs w:val="24"/>
          <w:lang w:val="en-US"/>
        </w:rPr>
      </w:pPr>
      <w:r>
        <w:rPr>
          <w:rFonts w:ascii="Tahoma" w:hAnsi="Tahoma" w:cs="Tahoma"/>
          <w:sz w:val="24"/>
          <w:szCs w:val="24"/>
          <w:lang w:val="en-US"/>
        </w:rPr>
        <w:t>7.1.2</w:t>
      </w:r>
      <w:r>
        <w:rPr>
          <w:rFonts w:ascii="Tahoma" w:hAnsi="Tahoma" w:cs="Tahoma"/>
          <w:sz w:val="24"/>
          <w:szCs w:val="24"/>
          <w:lang w:val="en-US"/>
        </w:rPr>
        <w:tab/>
      </w:r>
      <w:r w:rsidR="007535BA">
        <w:rPr>
          <w:rFonts w:ascii="Tahoma" w:hAnsi="Tahoma" w:cs="Tahoma"/>
          <w:sz w:val="24"/>
          <w:szCs w:val="24"/>
          <w:lang w:val="en-US"/>
        </w:rPr>
        <w:t>B</w:t>
      </w:r>
      <w:r w:rsidR="00C15011">
        <w:rPr>
          <w:rFonts w:ascii="Tahoma" w:hAnsi="Tahoma" w:cs="Tahoma"/>
          <w:sz w:val="24"/>
          <w:szCs w:val="24"/>
          <w:lang w:val="en-US"/>
        </w:rPr>
        <w:t xml:space="preserve">road money </w:t>
      </w:r>
      <w:r w:rsidR="007535BA">
        <w:rPr>
          <w:rFonts w:ascii="Tahoma" w:hAnsi="Tahoma" w:cs="Tahoma"/>
          <w:sz w:val="24"/>
          <w:szCs w:val="24"/>
          <w:lang w:val="en-US"/>
        </w:rPr>
        <w:t>stock stood at ZWG83.23 million in November 2024, a 4.97% decline from ZWG87.58 billion recorded in October 2024, see Figure 7. According to RBZ (2024), money supply stock decline reflected valuation changes related to exchange rate appreciation.</w:t>
      </w:r>
      <w:r w:rsidR="00FE524F">
        <w:rPr>
          <w:rFonts w:ascii="Tahoma" w:hAnsi="Tahoma" w:cs="Tahoma"/>
          <w:sz w:val="24"/>
          <w:szCs w:val="24"/>
          <w:lang w:val="en-US"/>
        </w:rPr>
        <w:t xml:space="preserve"> Money supply stock comprised of foreign deposits (83.87%), local currency deposits (16.01%) and local currency in circulation (0.12%).</w:t>
      </w:r>
      <w:r w:rsidR="00AB32FE">
        <w:rPr>
          <w:rFonts w:ascii="Tahoma" w:hAnsi="Tahoma" w:cs="Tahoma"/>
          <w:sz w:val="24"/>
          <w:szCs w:val="24"/>
          <w:lang w:val="en-US"/>
        </w:rPr>
        <w:t xml:space="preserve"> The foreign currency component of broad money contracted by 7.84% albeit</w:t>
      </w:r>
      <w:r w:rsidR="008A7CDC">
        <w:rPr>
          <w:rFonts w:ascii="Tahoma" w:hAnsi="Tahoma" w:cs="Tahoma"/>
          <w:sz w:val="24"/>
          <w:szCs w:val="24"/>
          <w:lang w:val="en-US"/>
        </w:rPr>
        <w:t xml:space="preserve"> the</w:t>
      </w:r>
      <w:r w:rsidR="00AB32FE">
        <w:rPr>
          <w:rFonts w:ascii="Tahoma" w:hAnsi="Tahoma" w:cs="Tahoma"/>
          <w:sz w:val="24"/>
          <w:szCs w:val="24"/>
          <w:lang w:val="en-US"/>
        </w:rPr>
        <w:t xml:space="preserve"> local currency component expanded by 13.34% on a month-on-month.</w:t>
      </w:r>
      <w:r w:rsidR="007535BA">
        <w:rPr>
          <w:rFonts w:ascii="Tahoma" w:hAnsi="Tahoma" w:cs="Tahoma"/>
          <w:sz w:val="24"/>
          <w:szCs w:val="24"/>
          <w:lang w:val="en-US"/>
        </w:rPr>
        <w:t xml:space="preserve">   </w:t>
      </w:r>
    </w:p>
    <w:bookmarkEnd w:id="52"/>
    <w:p w14:paraId="08B53D22" w14:textId="77777777" w:rsidR="005C0350" w:rsidRDefault="005C0350" w:rsidP="00F05BD5">
      <w:pPr>
        <w:spacing w:after="0"/>
        <w:ind w:left="720" w:hanging="720"/>
        <w:jc w:val="both"/>
        <w:rPr>
          <w:rFonts w:ascii="Tahoma" w:hAnsi="Tahoma" w:cs="Tahoma"/>
          <w:sz w:val="24"/>
          <w:szCs w:val="24"/>
          <w:lang w:val="en-US"/>
        </w:rPr>
      </w:pPr>
    </w:p>
    <w:p w14:paraId="3EB05CF1" w14:textId="52ACFE89" w:rsidR="000A50AA" w:rsidRDefault="000A50AA" w:rsidP="006C526D">
      <w:pPr>
        <w:pStyle w:val="ListofFigures"/>
      </w:pPr>
      <w:bookmarkStart w:id="53" w:name="_Toc189745430"/>
      <w:r w:rsidRPr="00E70553">
        <w:t xml:space="preserve">Figure </w:t>
      </w:r>
      <w:r w:rsidR="00B8291A">
        <w:t>6</w:t>
      </w:r>
      <w:r w:rsidR="005C0350">
        <w:t>:</w:t>
      </w:r>
      <w:r w:rsidRPr="00E70553">
        <w:t xml:space="preserve"> Broad Money (M3) Supply</w:t>
      </w:r>
      <w:bookmarkEnd w:id="53"/>
    </w:p>
    <w:p w14:paraId="0CE5423E" w14:textId="5D40EDC8" w:rsidR="006C526D" w:rsidRDefault="00A31BB0" w:rsidP="00C36C70">
      <w:pPr>
        <w:spacing w:after="0"/>
        <w:ind w:left="720" w:hanging="720"/>
        <w:jc w:val="both"/>
        <w:rPr>
          <w:noProof/>
          <w:lang w:eastAsia="en-ZW"/>
        </w:rPr>
      </w:pPr>
      <w:r>
        <w:rPr>
          <w:noProof/>
          <w:lang w:eastAsia="en-ZW"/>
        </w:rPr>
        <w:drawing>
          <wp:inline distT="0" distB="0" distL="0" distR="0" wp14:anchorId="3DBA9AE8" wp14:editId="6EFC1509">
            <wp:extent cx="5803900" cy="2354580"/>
            <wp:effectExtent l="0" t="0" r="6350" b="7620"/>
            <wp:docPr id="16476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900" cy="2354580"/>
                    </a:xfrm>
                    <a:prstGeom prst="rect">
                      <a:avLst/>
                    </a:prstGeom>
                    <a:noFill/>
                  </pic:spPr>
                </pic:pic>
              </a:graphicData>
            </a:graphic>
          </wp:inline>
        </w:drawing>
      </w:r>
    </w:p>
    <w:p w14:paraId="0EEA6E2F" w14:textId="57F626DF" w:rsidR="00C36C70" w:rsidRDefault="00C36C70" w:rsidP="00C36C70">
      <w:pPr>
        <w:spacing w:after="0"/>
        <w:ind w:left="720" w:hanging="720"/>
        <w:jc w:val="both"/>
        <w:rPr>
          <w:rFonts w:ascii="Tahoma" w:hAnsi="Tahoma" w:cs="Tahoma"/>
          <w:i/>
          <w:noProof/>
          <w:sz w:val="24"/>
          <w:szCs w:val="24"/>
          <w:lang w:eastAsia="en-ZW"/>
        </w:rPr>
      </w:pPr>
      <w:r w:rsidRPr="00C36C70">
        <w:rPr>
          <w:rFonts w:ascii="Tahoma" w:hAnsi="Tahoma" w:cs="Tahoma"/>
          <w:i/>
          <w:noProof/>
          <w:sz w:val="24"/>
          <w:szCs w:val="24"/>
          <w:lang w:eastAsia="en-ZW"/>
        </w:rPr>
        <w:t>Source: RBZ (202</w:t>
      </w:r>
      <w:r w:rsidR="00436220">
        <w:rPr>
          <w:rFonts w:ascii="Tahoma" w:hAnsi="Tahoma" w:cs="Tahoma"/>
          <w:i/>
          <w:noProof/>
          <w:sz w:val="24"/>
          <w:szCs w:val="24"/>
          <w:lang w:eastAsia="en-ZW"/>
        </w:rPr>
        <w:t>4</w:t>
      </w:r>
      <w:r w:rsidRPr="00C36C70">
        <w:rPr>
          <w:rFonts w:ascii="Tahoma" w:hAnsi="Tahoma" w:cs="Tahoma"/>
          <w:i/>
          <w:noProof/>
          <w:sz w:val="24"/>
          <w:szCs w:val="24"/>
          <w:lang w:eastAsia="en-ZW"/>
        </w:rPr>
        <w:t>)</w:t>
      </w:r>
    </w:p>
    <w:p w14:paraId="3A74FAA5" w14:textId="77777777" w:rsidR="00C36C70" w:rsidRPr="00FE4A95" w:rsidRDefault="005D2E94" w:rsidP="00FE4A95">
      <w:pPr>
        <w:pStyle w:val="Heading2"/>
        <w:spacing w:before="0" w:after="240" w:line="240" w:lineRule="auto"/>
        <w:rPr>
          <w:rFonts w:cs="Tahoma"/>
          <w:b/>
          <w:color w:val="000000"/>
          <w:szCs w:val="24"/>
          <w:lang w:val="en-US"/>
        </w:rPr>
      </w:pPr>
      <w:bookmarkStart w:id="54" w:name="_Toc189745283"/>
      <w:r>
        <w:rPr>
          <w:rFonts w:cs="Tahoma"/>
          <w:b/>
          <w:color w:val="000000"/>
          <w:szCs w:val="24"/>
          <w:lang w:val="en-US"/>
        </w:rPr>
        <w:lastRenderedPageBreak/>
        <w:t>7.2</w:t>
      </w:r>
      <w:r w:rsidR="00D6287E">
        <w:rPr>
          <w:rFonts w:cs="Tahoma"/>
          <w:b/>
          <w:color w:val="000000"/>
          <w:szCs w:val="24"/>
          <w:lang w:val="en-US"/>
        </w:rPr>
        <w:tab/>
        <w:t>Interest Rates</w:t>
      </w:r>
      <w:bookmarkEnd w:id="54"/>
      <w:r>
        <w:rPr>
          <w:rFonts w:cs="Tahoma"/>
          <w:b/>
          <w:color w:val="000000"/>
          <w:szCs w:val="24"/>
          <w:lang w:val="en-US"/>
        </w:rPr>
        <w:t xml:space="preserve"> </w:t>
      </w:r>
    </w:p>
    <w:p w14:paraId="34C069C1" w14:textId="3AC3A445" w:rsidR="00D50A5E" w:rsidRDefault="005D2E94" w:rsidP="00113183">
      <w:pPr>
        <w:ind w:left="720" w:hanging="720"/>
        <w:jc w:val="both"/>
        <w:rPr>
          <w:rFonts w:ascii="Tahoma" w:hAnsi="Tahoma" w:cs="Tahoma"/>
          <w:sz w:val="24"/>
          <w:szCs w:val="24"/>
          <w:lang w:val="en-US"/>
        </w:rPr>
      </w:pPr>
      <w:r>
        <w:rPr>
          <w:rFonts w:ascii="Tahoma" w:hAnsi="Tahoma" w:cs="Tahoma"/>
          <w:sz w:val="24"/>
          <w:szCs w:val="24"/>
          <w:lang w:val="en-US"/>
        </w:rPr>
        <w:t>7.1.1</w:t>
      </w:r>
      <w:r w:rsidR="00866209">
        <w:rPr>
          <w:rFonts w:ascii="Tahoma" w:hAnsi="Tahoma" w:cs="Tahoma"/>
          <w:sz w:val="24"/>
          <w:szCs w:val="24"/>
          <w:lang w:val="en-US"/>
        </w:rPr>
        <w:tab/>
      </w:r>
      <w:bookmarkStart w:id="55" w:name="_Hlk179978750"/>
      <w:bookmarkStart w:id="56" w:name="_Hlk166606487"/>
      <w:r w:rsidR="00113183">
        <w:rPr>
          <w:rFonts w:ascii="Tahoma" w:hAnsi="Tahoma" w:cs="Tahoma"/>
          <w:sz w:val="24"/>
          <w:szCs w:val="24"/>
          <w:lang w:val="en-US"/>
        </w:rPr>
        <w:t xml:space="preserve">As </w:t>
      </w:r>
      <w:r w:rsidR="00C708EB">
        <w:rPr>
          <w:rFonts w:ascii="Tahoma" w:hAnsi="Tahoma" w:cs="Tahoma"/>
          <w:sz w:val="24"/>
          <w:szCs w:val="24"/>
          <w:lang w:val="en-US"/>
        </w:rPr>
        <w:t>of</w:t>
      </w:r>
      <w:r w:rsidR="00113183">
        <w:rPr>
          <w:rFonts w:ascii="Tahoma" w:hAnsi="Tahoma" w:cs="Tahoma"/>
          <w:sz w:val="24"/>
          <w:szCs w:val="24"/>
          <w:lang w:val="en-US"/>
        </w:rPr>
        <w:t xml:space="preserve"> 1</w:t>
      </w:r>
      <w:r w:rsidR="004C2931">
        <w:rPr>
          <w:rFonts w:ascii="Tahoma" w:hAnsi="Tahoma" w:cs="Tahoma"/>
          <w:sz w:val="24"/>
          <w:szCs w:val="24"/>
          <w:lang w:val="en-US"/>
        </w:rPr>
        <w:t>7</w:t>
      </w:r>
      <w:r w:rsidR="00113183">
        <w:rPr>
          <w:rFonts w:ascii="Tahoma" w:hAnsi="Tahoma" w:cs="Tahoma"/>
          <w:sz w:val="24"/>
          <w:szCs w:val="24"/>
          <w:lang w:val="en-US"/>
        </w:rPr>
        <w:t xml:space="preserve"> </w:t>
      </w:r>
      <w:r w:rsidR="004C2931">
        <w:rPr>
          <w:rFonts w:ascii="Tahoma" w:hAnsi="Tahoma" w:cs="Tahoma"/>
          <w:sz w:val="24"/>
          <w:szCs w:val="24"/>
          <w:lang w:val="en-US"/>
        </w:rPr>
        <w:t>January</w:t>
      </w:r>
      <w:r w:rsidR="00113183">
        <w:rPr>
          <w:rFonts w:ascii="Tahoma" w:hAnsi="Tahoma" w:cs="Tahoma"/>
          <w:sz w:val="24"/>
          <w:szCs w:val="24"/>
          <w:lang w:val="en-US"/>
        </w:rPr>
        <w:t xml:space="preserve"> 202</w:t>
      </w:r>
      <w:r w:rsidR="004C2931">
        <w:rPr>
          <w:rFonts w:ascii="Tahoma" w:hAnsi="Tahoma" w:cs="Tahoma"/>
          <w:sz w:val="24"/>
          <w:szCs w:val="24"/>
          <w:lang w:val="en-US"/>
        </w:rPr>
        <w:t>5</w:t>
      </w:r>
      <w:r w:rsidR="00113183">
        <w:rPr>
          <w:rFonts w:ascii="Tahoma" w:hAnsi="Tahoma" w:cs="Tahoma"/>
          <w:sz w:val="24"/>
          <w:szCs w:val="24"/>
          <w:lang w:val="en-US"/>
        </w:rPr>
        <w:t xml:space="preserve">, the average commercial bank deposit rate for savings on </w:t>
      </w:r>
      <w:r w:rsidR="0003293A">
        <w:rPr>
          <w:rFonts w:ascii="Tahoma" w:hAnsi="Tahoma" w:cs="Tahoma"/>
          <w:sz w:val="24"/>
          <w:szCs w:val="24"/>
          <w:lang w:val="en-US"/>
        </w:rPr>
        <w:t xml:space="preserve">local currency was </w:t>
      </w:r>
      <w:r w:rsidR="00BF40E2">
        <w:rPr>
          <w:rFonts w:ascii="Tahoma" w:hAnsi="Tahoma" w:cs="Tahoma"/>
          <w:sz w:val="24"/>
          <w:szCs w:val="24"/>
          <w:lang w:val="en-US"/>
        </w:rPr>
        <w:t>reviewed downward to</w:t>
      </w:r>
      <w:r w:rsidR="0003293A">
        <w:rPr>
          <w:rFonts w:ascii="Tahoma" w:hAnsi="Tahoma" w:cs="Tahoma"/>
          <w:sz w:val="24"/>
          <w:szCs w:val="24"/>
          <w:lang w:val="en-US"/>
        </w:rPr>
        <w:t xml:space="preserve"> 3.</w:t>
      </w:r>
      <w:r w:rsidR="00BF40E2">
        <w:rPr>
          <w:rFonts w:ascii="Tahoma" w:hAnsi="Tahoma" w:cs="Tahoma"/>
          <w:sz w:val="24"/>
          <w:szCs w:val="24"/>
          <w:lang w:val="en-US"/>
        </w:rPr>
        <w:t>38</w:t>
      </w:r>
      <w:r w:rsidR="0003293A">
        <w:rPr>
          <w:rFonts w:ascii="Tahoma" w:hAnsi="Tahoma" w:cs="Tahoma"/>
          <w:sz w:val="24"/>
          <w:szCs w:val="24"/>
          <w:lang w:val="en-US"/>
        </w:rPr>
        <w:t>% minimum and 3.</w:t>
      </w:r>
      <w:r w:rsidR="00BF40E2">
        <w:rPr>
          <w:rFonts w:ascii="Tahoma" w:hAnsi="Tahoma" w:cs="Tahoma"/>
          <w:sz w:val="24"/>
          <w:szCs w:val="24"/>
          <w:lang w:val="en-US"/>
        </w:rPr>
        <w:t>54%</w:t>
      </w:r>
      <w:r w:rsidR="0003293A">
        <w:rPr>
          <w:rFonts w:ascii="Tahoma" w:hAnsi="Tahoma" w:cs="Tahoma"/>
          <w:sz w:val="24"/>
          <w:szCs w:val="24"/>
          <w:lang w:val="en-US"/>
        </w:rPr>
        <w:t xml:space="preserve"> maximum, </w:t>
      </w:r>
      <w:r w:rsidR="00142A31">
        <w:rPr>
          <w:rFonts w:ascii="Tahoma" w:hAnsi="Tahoma" w:cs="Tahoma"/>
          <w:sz w:val="24"/>
          <w:szCs w:val="24"/>
          <w:lang w:val="en-US"/>
        </w:rPr>
        <w:t>while it</w:t>
      </w:r>
      <w:r w:rsidR="00BF40E2">
        <w:rPr>
          <w:rFonts w:ascii="Tahoma" w:hAnsi="Tahoma" w:cs="Tahoma"/>
          <w:sz w:val="24"/>
          <w:szCs w:val="24"/>
          <w:lang w:val="en-US"/>
        </w:rPr>
        <w:t xml:space="preserve"> was maintained at 1.35% minimum and 1.57% maximum </w:t>
      </w:r>
      <w:r w:rsidR="0003293A">
        <w:rPr>
          <w:rFonts w:ascii="Tahoma" w:hAnsi="Tahoma" w:cs="Tahoma"/>
          <w:sz w:val="24"/>
          <w:szCs w:val="24"/>
          <w:lang w:val="en-US"/>
        </w:rPr>
        <w:t>on</w:t>
      </w:r>
      <w:r w:rsidR="00485B9D">
        <w:rPr>
          <w:rFonts w:ascii="Tahoma" w:hAnsi="Tahoma" w:cs="Tahoma"/>
          <w:sz w:val="24"/>
          <w:szCs w:val="24"/>
          <w:lang w:val="en-US"/>
        </w:rPr>
        <w:t xml:space="preserve"> the</w:t>
      </w:r>
      <w:r w:rsidR="0003293A">
        <w:rPr>
          <w:rFonts w:ascii="Tahoma" w:hAnsi="Tahoma" w:cs="Tahoma"/>
          <w:sz w:val="24"/>
          <w:szCs w:val="24"/>
          <w:lang w:val="en-US"/>
        </w:rPr>
        <w:t xml:space="preserve"> </w:t>
      </w:r>
      <w:r w:rsidR="00113183">
        <w:rPr>
          <w:rFonts w:ascii="Tahoma" w:hAnsi="Tahoma" w:cs="Tahoma"/>
          <w:sz w:val="24"/>
          <w:szCs w:val="24"/>
          <w:lang w:val="en-US"/>
        </w:rPr>
        <w:t>foreign currency</w:t>
      </w:r>
      <w:r w:rsidR="003E5C08">
        <w:rPr>
          <w:rFonts w:ascii="Tahoma" w:hAnsi="Tahoma" w:cs="Tahoma"/>
          <w:sz w:val="24"/>
          <w:szCs w:val="24"/>
          <w:lang w:val="en-US"/>
        </w:rPr>
        <w:t>.</w:t>
      </w:r>
      <w:r w:rsidR="00B06DC1">
        <w:rPr>
          <w:rFonts w:ascii="Tahoma" w:hAnsi="Tahoma" w:cs="Tahoma"/>
          <w:sz w:val="24"/>
          <w:szCs w:val="24"/>
          <w:lang w:val="en-US"/>
        </w:rPr>
        <w:t xml:space="preserve"> </w:t>
      </w:r>
      <w:r w:rsidR="003E5C08">
        <w:rPr>
          <w:rFonts w:ascii="Tahoma" w:hAnsi="Tahoma" w:cs="Tahoma"/>
          <w:sz w:val="24"/>
          <w:szCs w:val="24"/>
          <w:lang w:val="en-US"/>
        </w:rPr>
        <w:t>The w</w:t>
      </w:r>
      <w:r w:rsidR="00B06DC1">
        <w:rPr>
          <w:rFonts w:ascii="Tahoma" w:hAnsi="Tahoma" w:cs="Tahoma"/>
          <w:sz w:val="24"/>
          <w:szCs w:val="24"/>
          <w:lang w:val="en-US"/>
        </w:rPr>
        <w:t>eighted lending rate on</w:t>
      </w:r>
      <w:r w:rsidR="00485B9D">
        <w:rPr>
          <w:rFonts w:ascii="Tahoma" w:hAnsi="Tahoma" w:cs="Tahoma"/>
          <w:sz w:val="24"/>
          <w:szCs w:val="24"/>
          <w:lang w:val="en-US"/>
        </w:rPr>
        <w:t xml:space="preserve"> the</w:t>
      </w:r>
      <w:r w:rsidR="00B06DC1">
        <w:rPr>
          <w:rFonts w:ascii="Tahoma" w:hAnsi="Tahoma" w:cs="Tahoma"/>
          <w:sz w:val="24"/>
          <w:szCs w:val="24"/>
          <w:lang w:val="en-US"/>
        </w:rPr>
        <w:t xml:space="preserve"> foreign currency for individuals was </w:t>
      </w:r>
      <w:r w:rsidR="00142A31">
        <w:rPr>
          <w:rFonts w:ascii="Tahoma" w:hAnsi="Tahoma" w:cs="Tahoma"/>
          <w:sz w:val="24"/>
          <w:szCs w:val="24"/>
          <w:lang w:val="en-US"/>
        </w:rPr>
        <w:t>reduced</w:t>
      </w:r>
      <w:r w:rsidR="00B06DC1">
        <w:rPr>
          <w:rFonts w:ascii="Tahoma" w:hAnsi="Tahoma" w:cs="Tahoma"/>
          <w:sz w:val="24"/>
          <w:szCs w:val="24"/>
          <w:lang w:val="en-US"/>
        </w:rPr>
        <w:t xml:space="preserve"> to a minimum 1</w:t>
      </w:r>
      <w:r w:rsidR="00142A31">
        <w:rPr>
          <w:rFonts w:ascii="Tahoma" w:hAnsi="Tahoma" w:cs="Tahoma"/>
          <w:sz w:val="24"/>
          <w:szCs w:val="24"/>
          <w:lang w:val="en-US"/>
        </w:rPr>
        <w:t>2.79</w:t>
      </w:r>
      <w:r w:rsidR="00B06DC1">
        <w:rPr>
          <w:rFonts w:ascii="Tahoma" w:hAnsi="Tahoma" w:cs="Tahoma"/>
          <w:sz w:val="24"/>
          <w:szCs w:val="24"/>
          <w:lang w:val="en-US"/>
        </w:rPr>
        <w:t>% and maximum of 17.</w:t>
      </w:r>
      <w:r w:rsidR="00142A31">
        <w:rPr>
          <w:rFonts w:ascii="Tahoma" w:hAnsi="Tahoma" w:cs="Tahoma"/>
          <w:sz w:val="24"/>
          <w:szCs w:val="24"/>
          <w:lang w:val="en-US"/>
        </w:rPr>
        <w:t>33</w:t>
      </w:r>
      <w:r w:rsidR="00B06DC1">
        <w:rPr>
          <w:rFonts w:ascii="Tahoma" w:hAnsi="Tahoma" w:cs="Tahoma"/>
          <w:sz w:val="24"/>
          <w:szCs w:val="24"/>
          <w:lang w:val="en-US"/>
        </w:rPr>
        <w:t xml:space="preserve">%, for </w:t>
      </w:r>
      <w:r w:rsidR="00142A31">
        <w:rPr>
          <w:rFonts w:ascii="Tahoma" w:hAnsi="Tahoma" w:cs="Tahoma"/>
          <w:sz w:val="24"/>
          <w:szCs w:val="24"/>
          <w:lang w:val="en-US"/>
        </w:rPr>
        <w:t>individuals</w:t>
      </w:r>
      <w:r w:rsidR="00B06DC1">
        <w:rPr>
          <w:rFonts w:ascii="Tahoma" w:hAnsi="Tahoma" w:cs="Tahoma"/>
          <w:sz w:val="24"/>
          <w:szCs w:val="24"/>
          <w:lang w:val="en-US"/>
        </w:rPr>
        <w:t>,</w:t>
      </w:r>
      <w:r w:rsidR="009A1E73">
        <w:rPr>
          <w:rFonts w:ascii="Tahoma" w:hAnsi="Tahoma" w:cs="Tahoma"/>
          <w:sz w:val="24"/>
          <w:szCs w:val="24"/>
          <w:lang w:val="en-US"/>
        </w:rPr>
        <w:t xml:space="preserve"> while the minimum was </w:t>
      </w:r>
      <w:r w:rsidR="003357B5">
        <w:rPr>
          <w:rFonts w:ascii="Tahoma" w:hAnsi="Tahoma" w:cs="Tahoma"/>
          <w:sz w:val="24"/>
          <w:szCs w:val="24"/>
          <w:lang w:val="en-US"/>
        </w:rPr>
        <w:t>lowered</w:t>
      </w:r>
      <w:r w:rsidR="009A1E73">
        <w:rPr>
          <w:rFonts w:ascii="Tahoma" w:hAnsi="Tahoma" w:cs="Tahoma"/>
          <w:sz w:val="24"/>
          <w:szCs w:val="24"/>
          <w:lang w:val="en-US"/>
        </w:rPr>
        <w:t xml:space="preserve"> to 10.62% and maximum raised to 16.34% for corporates.</w:t>
      </w:r>
      <w:r w:rsidR="00B06DC1">
        <w:rPr>
          <w:rFonts w:ascii="Tahoma" w:hAnsi="Tahoma" w:cs="Tahoma"/>
          <w:sz w:val="24"/>
          <w:szCs w:val="24"/>
          <w:lang w:val="en-US"/>
        </w:rPr>
        <w:t xml:space="preserve"> </w:t>
      </w:r>
      <w:r w:rsidR="00113183">
        <w:rPr>
          <w:rFonts w:ascii="Tahoma" w:hAnsi="Tahoma" w:cs="Tahoma"/>
          <w:sz w:val="24"/>
          <w:szCs w:val="24"/>
          <w:lang w:val="en-US"/>
        </w:rPr>
        <w:t xml:space="preserve"> </w:t>
      </w:r>
      <w:bookmarkEnd w:id="55"/>
      <w:r w:rsidR="00B06DC1">
        <w:rPr>
          <w:rFonts w:ascii="Tahoma" w:hAnsi="Tahoma" w:cs="Tahoma"/>
          <w:sz w:val="24"/>
          <w:szCs w:val="24"/>
          <w:lang w:val="en-US"/>
        </w:rPr>
        <w:t xml:space="preserve">Weighted lending rates on local currency </w:t>
      </w:r>
      <w:r w:rsidR="003E5C08">
        <w:rPr>
          <w:rFonts w:ascii="Tahoma" w:hAnsi="Tahoma" w:cs="Tahoma"/>
          <w:sz w:val="24"/>
          <w:szCs w:val="24"/>
          <w:lang w:val="en-US"/>
        </w:rPr>
        <w:t>were</w:t>
      </w:r>
      <w:r w:rsidR="00B06DC1">
        <w:rPr>
          <w:rFonts w:ascii="Tahoma" w:hAnsi="Tahoma" w:cs="Tahoma"/>
          <w:sz w:val="24"/>
          <w:szCs w:val="24"/>
          <w:lang w:val="en-US"/>
        </w:rPr>
        <w:t xml:space="preserve"> </w:t>
      </w:r>
      <w:r w:rsidR="003E5C08">
        <w:rPr>
          <w:rFonts w:ascii="Tahoma" w:hAnsi="Tahoma" w:cs="Tahoma"/>
          <w:sz w:val="24"/>
          <w:szCs w:val="24"/>
          <w:lang w:val="en-US"/>
        </w:rPr>
        <w:t>raised</w:t>
      </w:r>
      <w:r w:rsidR="0003293A">
        <w:rPr>
          <w:rFonts w:ascii="Tahoma" w:hAnsi="Tahoma" w:cs="Tahoma"/>
          <w:sz w:val="24"/>
          <w:szCs w:val="24"/>
          <w:lang w:val="en-US"/>
        </w:rPr>
        <w:t xml:space="preserve"> upwards to a minimum rate of 41.</w:t>
      </w:r>
      <w:r w:rsidR="009A1E73">
        <w:rPr>
          <w:rFonts w:ascii="Tahoma" w:hAnsi="Tahoma" w:cs="Tahoma"/>
          <w:sz w:val="24"/>
          <w:szCs w:val="24"/>
          <w:lang w:val="en-US"/>
        </w:rPr>
        <w:t>60</w:t>
      </w:r>
      <w:r w:rsidR="0003293A">
        <w:rPr>
          <w:rFonts w:ascii="Tahoma" w:hAnsi="Tahoma" w:cs="Tahoma"/>
          <w:sz w:val="24"/>
          <w:szCs w:val="24"/>
          <w:lang w:val="en-US"/>
        </w:rPr>
        <w:t xml:space="preserve">% and </w:t>
      </w:r>
      <w:r w:rsidR="009A1E73">
        <w:rPr>
          <w:rFonts w:ascii="Tahoma" w:hAnsi="Tahoma" w:cs="Tahoma"/>
          <w:sz w:val="24"/>
          <w:szCs w:val="24"/>
          <w:lang w:val="en-US"/>
        </w:rPr>
        <w:t>to a</w:t>
      </w:r>
      <w:r w:rsidR="0003293A">
        <w:rPr>
          <w:rFonts w:ascii="Tahoma" w:hAnsi="Tahoma" w:cs="Tahoma"/>
          <w:sz w:val="24"/>
          <w:szCs w:val="24"/>
          <w:lang w:val="en-US"/>
        </w:rPr>
        <w:t xml:space="preserve"> maximum rate of </w:t>
      </w:r>
      <w:r w:rsidR="00B06DC1">
        <w:rPr>
          <w:rFonts w:ascii="Tahoma" w:hAnsi="Tahoma" w:cs="Tahoma"/>
          <w:sz w:val="24"/>
          <w:szCs w:val="24"/>
          <w:lang w:val="en-US"/>
        </w:rPr>
        <w:t>4</w:t>
      </w:r>
      <w:r w:rsidR="009A1E73">
        <w:rPr>
          <w:rFonts w:ascii="Tahoma" w:hAnsi="Tahoma" w:cs="Tahoma"/>
          <w:sz w:val="24"/>
          <w:szCs w:val="24"/>
          <w:lang w:val="en-US"/>
        </w:rPr>
        <w:t>7.12</w:t>
      </w:r>
      <w:r w:rsidR="00B06DC1">
        <w:rPr>
          <w:rFonts w:ascii="Tahoma" w:hAnsi="Tahoma" w:cs="Tahoma"/>
          <w:sz w:val="24"/>
          <w:szCs w:val="24"/>
          <w:lang w:val="en-US"/>
        </w:rPr>
        <w:t>%</w:t>
      </w:r>
      <w:r w:rsidR="009A1E73">
        <w:rPr>
          <w:rFonts w:ascii="Tahoma" w:hAnsi="Tahoma" w:cs="Tahoma"/>
          <w:sz w:val="24"/>
          <w:szCs w:val="24"/>
          <w:lang w:val="en-US"/>
        </w:rPr>
        <w:t xml:space="preserve"> for individuals</w:t>
      </w:r>
      <w:r w:rsidR="00B06DC1">
        <w:rPr>
          <w:rFonts w:ascii="Tahoma" w:hAnsi="Tahoma" w:cs="Tahoma"/>
          <w:sz w:val="24"/>
          <w:szCs w:val="24"/>
          <w:lang w:val="en-US"/>
        </w:rPr>
        <w:t xml:space="preserve"> and to </w:t>
      </w:r>
      <w:r w:rsidR="009A1E73">
        <w:rPr>
          <w:rFonts w:ascii="Tahoma" w:hAnsi="Tahoma" w:cs="Tahoma"/>
          <w:sz w:val="24"/>
          <w:szCs w:val="24"/>
          <w:lang w:val="en-US"/>
        </w:rPr>
        <w:t>40.16</w:t>
      </w:r>
      <w:r w:rsidR="00B06DC1">
        <w:rPr>
          <w:rFonts w:ascii="Tahoma" w:hAnsi="Tahoma" w:cs="Tahoma"/>
          <w:sz w:val="24"/>
          <w:szCs w:val="24"/>
          <w:lang w:val="en-US"/>
        </w:rPr>
        <w:t xml:space="preserve">% minimum and </w:t>
      </w:r>
      <w:r w:rsidR="0003293A">
        <w:rPr>
          <w:rFonts w:ascii="Tahoma" w:hAnsi="Tahoma" w:cs="Tahoma"/>
          <w:sz w:val="24"/>
          <w:szCs w:val="24"/>
          <w:lang w:val="en-US"/>
        </w:rPr>
        <w:t>45.</w:t>
      </w:r>
      <w:r w:rsidR="009A1E73">
        <w:rPr>
          <w:rFonts w:ascii="Tahoma" w:hAnsi="Tahoma" w:cs="Tahoma"/>
          <w:sz w:val="24"/>
          <w:szCs w:val="24"/>
          <w:lang w:val="en-US"/>
        </w:rPr>
        <w:t>9%</w:t>
      </w:r>
      <w:r w:rsidR="00B06DC1">
        <w:rPr>
          <w:rFonts w:ascii="Tahoma" w:hAnsi="Tahoma" w:cs="Tahoma"/>
          <w:sz w:val="24"/>
          <w:szCs w:val="24"/>
          <w:lang w:val="en-US"/>
        </w:rPr>
        <w:t xml:space="preserve"> maximum for corporates</w:t>
      </w:r>
      <w:r w:rsidR="0010522F">
        <w:rPr>
          <w:rFonts w:ascii="Tahoma" w:hAnsi="Tahoma" w:cs="Tahoma"/>
          <w:sz w:val="24"/>
          <w:szCs w:val="24"/>
          <w:lang w:val="en-US"/>
        </w:rPr>
        <w:t xml:space="preserve"> (see Table </w:t>
      </w:r>
      <w:r w:rsidR="00986C6F">
        <w:rPr>
          <w:rFonts w:ascii="Tahoma" w:hAnsi="Tahoma" w:cs="Tahoma"/>
          <w:sz w:val="24"/>
          <w:szCs w:val="24"/>
          <w:lang w:val="en-US"/>
        </w:rPr>
        <w:t>5</w:t>
      </w:r>
      <w:r w:rsidR="0010522F">
        <w:rPr>
          <w:rFonts w:ascii="Tahoma" w:hAnsi="Tahoma" w:cs="Tahoma"/>
          <w:sz w:val="24"/>
          <w:szCs w:val="24"/>
          <w:lang w:val="en-US"/>
        </w:rPr>
        <w:t>).</w:t>
      </w:r>
    </w:p>
    <w:p w14:paraId="72A86206" w14:textId="64445FC5" w:rsidR="00885493" w:rsidRPr="00885493" w:rsidRDefault="00873DFE" w:rsidP="00885493">
      <w:pPr>
        <w:pStyle w:val="ListofTables"/>
        <w:rPr>
          <w:lang w:val="en-US"/>
        </w:rPr>
      </w:pPr>
      <w:bookmarkStart w:id="57" w:name="_Toc189745378"/>
      <w:r>
        <w:rPr>
          <w:lang w:val="en-US"/>
        </w:rPr>
        <w:t xml:space="preserve">Table </w:t>
      </w:r>
      <w:r w:rsidR="00B8291A">
        <w:rPr>
          <w:lang w:val="en-US"/>
        </w:rPr>
        <w:t>6</w:t>
      </w:r>
      <w:r>
        <w:rPr>
          <w:lang w:val="en-US"/>
        </w:rPr>
        <w:t>: Interest Rates as of 1</w:t>
      </w:r>
      <w:r w:rsidR="009E6B99">
        <w:rPr>
          <w:lang w:val="en-US"/>
        </w:rPr>
        <w:t>7 January</w:t>
      </w:r>
      <w:r>
        <w:rPr>
          <w:lang w:val="en-US"/>
        </w:rPr>
        <w:t xml:space="preserve"> 202</w:t>
      </w:r>
      <w:r w:rsidR="009E6B99">
        <w:rPr>
          <w:lang w:val="en-US"/>
        </w:rPr>
        <w:t>5</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42"/>
        <w:gridCol w:w="1418"/>
        <w:gridCol w:w="1417"/>
        <w:gridCol w:w="1418"/>
        <w:gridCol w:w="1479"/>
      </w:tblGrid>
      <w:tr w:rsidR="002E6581" w:rsidRPr="002E6581" w14:paraId="40623AD7" w14:textId="77777777" w:rsidTr="00027D8A">
        <w:tc>
          <w:tcPr>
            <w:tcW w:w="3510" w:type="dxa"/>
            <w:gridSpan w:val="2"/>
          </w:tcPr>
          <w:p w14:paraId="2EE0CA6C" w14:textId="77777777" w:rsidR="002E6581" w:rsidRPr="002E6581" w:rsidRDefault="002E6581" w:rsidP="002E6581">
            <w:pPr>
              <w:spacing w:after="0" w:line="240" w:lineRule="auto"/>
              <w:jc w:val="center"/>
              <w:rPr>
                <w:rFonts w:ascii="Tahoma" w:eastAsia="Times New Roman" w:hAnsi="Tahoma" w:cs="Tahoma"/>
                <w:b/>
                <w:bCs/>
                <w:sz w:val="24"/>
                <w:szCs w:val="24"/>
              </w:rPr>
            </w:pPr>
            <w:r w:rsidRPr="002E6581">
              <w:rPr>
                <w:rFonts w:ascii="Tahoma" w:eastAsia="Times New Roman" w:hAnsi="Tahoma" w:cs="Tahoma"/>
                <w:b/>
                <w:bCs/>
                <w:sz w:val="24"/>
                <w:szCs w:val="24"/>
              </w:rPr>
              <w:t>Classification</w:t>
            </w:r>
          </w:p>
        </w:tc>
        <w:tc>
          <w:tcPr>
            <w:tcW w:w="2835" w:type="dxa"/>
            <w:gridSpan w:val="2"/>
          </w:tcPr>
          <w:p w14:paraId="00C24C35" w14:textId="77777777" w:rsidR="002E6581" w:rsidRPr="002E6581" w:rsidRDefault="002E6581" w:rsidP="002E6581">
            <w:pPr>
              <w:spacing w:after="0" w:line="240" w:lineRule="auto"/>
              <w:rPr>
                <w:rFonts w:ascii="Tahoma" w:eastAsia="Times New Roman" w:hAnsi="Tahoma" w:cs="Tahoma"/>
                <w:b/>
                <w:bCs/>
                <w:sz w:val="24"/>
                <w:szCs w:val="24"/>
              </w:rPr>
            </w:pPr>
            <w:r w:rsidRPr="002E6581">
              <w:rPr>
                <w:rFonts w:ascii="Tahoma" w:eastAsia="Times New Roman" w:hAnsi="Tahoma" w:cs="Tahoma"/>
                <w:b/>
                <w:bCs/>
                <w:sz w:val="24"/>
                <w:szCs w:val="24"/>
              </w:rPr>
              <w:t>Minimum (%)</w:t>
            </w:r>
          </w:p>
        </w:tc>
        <w:tc>
          <w:tcPr>
            <w:tcW w:w="2897" w:type="dxa"/>
            <w:gridSpan w:val="2"/>
          </w:tcPr>
          <w:p w14:paraId="38F23EDB" w14:textId="77777777" w:rsidR="002E6581" w:rsidRPr="002E6581" w:rsidRDefault="002E6581" w:rsidP="002E6581">
            <w:pPr>
              <w:spacing w:after="0" w:line="240" w:lineRule="auto"/>
              <w:rPr>
                <w:rFonts w:ascii="Tahoma" w:eastAsia="Times New Roman" w:hAnsi="Tahoma" w:cs="Tahoma"/>
                <w:b/>
                <w:bCs/>
                <w:sz w:val="24"/>
                <w:szCs w:val="24"/>
              </w:rPr>
            </w:pPr>
            <w:r w:rsidRPr="002E6581">
              <w:rPr>
                <w:rFonts w:ascii="Tahoma" w:eastAsia="Times New Roman" w:hAnsi="Tahoma" w:cs="Tahoma"/>
                <w:b/>
                <w:bCs/>
                <w:sz w:val="24"/>
                <w:szCs w:val="24"/>
              </w:rPr>
              <w:t>Maximum (%)</w:t>
            </w:r>
          </w:p>
        </w:tc>
      </w:tr>
      <w:tr w:rsidR="002E6581" w:rsidRPr="002E6581" w14:paraId="0C51C3A7" w14:textId="77777777" w:rsidTr="00027D8A">
        <w:tc>
          <w:tcPr>
            <w:tcW w:w="3510" w:type="dxa"/>
            <w:gridSpan w:val="2"/>
          </w:tcPr>
          <w:p w14:paraId="137822E6" w14:textId="77777777" w:rsidR="002E6581" w:rsidRPr="002E6581" w:rsidRDefault="002E6581" w:rsidP="002E6581">
            <w:pPr>
              <w:spacing w:after="0" w:line="240" w:lineRule="auto"/>
              <w:jc w:val="center"/>
              <w:rPr>
                <w:rFonts w:ascii="Tahoma" w:eastAsia="Times New Roman" w:hAnsi="Tahoma" w:cs="Tahoma"/>
                <w:b/>
                <w:bCs/>
                <w:sz w:val="24"/>
                <w:szCs w:val="24"/>
              </w:rPr>
            </w:pPr>
          </w:p>
        </w:tc>
        <w:tc>
          <w:tcPr>
            <w:tcW w:w="1418" w:type="dxa"/>
          </w:tcPr>
          <w:p w14:paraId="02DF8E67" w14:textId="77777777" w:rsidR="002E6581" w:rsidRPr="002E6581" w:rsidRDefault="002E6581" w:rsidP="002E6581">
            <w:pPr>
              <w:spacing w:after="0" w:line="240" w:lineRule="auto"/>
              <w:rPr>
                <w:rFonts w:ascii="Tahoma" w:eastAsia="Times New Roman" w:hAnsi="Tahoma" w:cs="Tahoma"/>
                <w:b/>
                <w:bCs/>
                <w:sz w:val="24"/>
                <w:szCs w:val="24"/>
              </w:rPr>
            </w:pPr>
            <w:r w:rsidRPr="002E6581">
              <w:rPr>
                <w:rFonts w:ascii="Tahoma" w:eastAsia="Times New Roman" w:hAnsi="Tahoma" w:cs="Tahoma"/>
                <w:b/>
                <w:bCs/>
                <w:sz w:val="24"/>
                <w:szCs w:val="24"/>
              </w:rPr>
              <w:t>13/12/24</w:t>
            </w:r>
          </w:p>
        </w:tc>
        <w:tc>
          <w:tcPr>
            <w:tcW w:w="1417" w:type="dxa"/>
          </w:tcPr>
          <w:p w14:paraId="5566A569" w14:textId="77777777" w:rsidR="002E6581" w:rsidRPr="002E6581" w:rsidRDefault="002E6581" w:rsidP="002E6581">
            <w:pPr>
              <w:spacing w:after="0" w:line="240" w:lineRule="auto"/>
              <w:rPr>
                <w:rFonts w:ascii="Tahoma" w:eastAsia="Times New Roman" w:hAnsi="Tahoma" w:cs="Tahoma"/>
                <w:b/>
                <w:bCs/>
                <w:sz w:val="24"/>
                <w:szCs w:val="24"/>
              </w:rPr>
            </w:pPr>
            <w:r w:rsidRPr="002E6581">
              <w:rPr>
                <w:rFonts w:ascii="Tahoma" w:eastAsia="Times New Roman" w:hAnsi="Tahoma" w:cs="Tahoma"/>
                <w:b/>
                <w:bCs/>
                <w:sz w:val="24"/>
                <w:szCs w:val="24"/>
              </w:rPr>
              <w:t>17/01/25</w:t>
            </w:r>
          </w:p>
        </w:tc>
        <w:tc>
          <w:tcPr>
            <w:tcW w:w="1418" w:type="dxa"/>
          </w:tcPr>
          <w:p w14:paraId="5DE49C7D" w14:textId="77777777" w:rsidR="002E6581" w:rsidRPr="002E6581" w:rsidRDefault="002E6581" w:rsidP="002E6581">
            <w:pPr>
              <w:spacing w:after="0" w:line="240" w:lineRule="auto"/>
              <w:rPr>
                <w:rFonts w:ascii="Tahoma" w:eastAsia="Times New Roman" w:hAnsi="Tahoma" w:cs="Tahoma"/>
                <w:b/>
                <w:bCs/>
                <w:sz w:val="24"/>
                <w:szCs w:val="24"/>
              </w:rPr>
            </w:pPr>
            <w:r w:rsidRPr="002E6581">
              <w:rPr>
                <w:rFonts w:ascii="Tahoma" w:eastAsia="Times New Roman" w:hAnsi="Tahoma" w:cs="Tahoma"/>
                <w:b/>
                <w:bCs/>
                <w:sz w:val="24"/>
                <w:szCs w:val="24"/>
              </w:rPr>
              <w:t>13/12/24</w:t>
            </w:r>
          </w:p>
        </w:tc>
        <w:tc>
          <w:tcPr>
            <w:tcW w:w="1479" w:type="dxa"/>
          </w:tcPr>
          <w:p w14:paraId="2654551B" w14:textId="77777777" w:rsidR="002E6581" w:rsidRPr="002E6581" w:rsidRDefault="002E6581" w:rsidP="002E6581">
            <w:pPr>
              <w:spacing w:after="0" w:line="240" w:lineRule="auto"/>
              <w:rPr>
                <w:rFonts w:ascii="Tahoma" w:eastAsia="Times New Roman" w:hAnsi="Tahoma" w:cs="Tahoma"/>
                <w:b/>
                <w:bCs/>
                <w:sz w:val="24"/>
                <w:szCs w:val="24"/>
              </w:rPr>
            </w:pPr>
            <w:r w:rsidRPr="002E6581">
              <w:rPr>
                <w:rFonts w:ascii="Tahoma" w:eastAsia="Times New Roman" w:hAnsi="Tahoma" w:cs="Tahoma"/>
                <w:b/>
                <w:bCs/>
                <w:sz w:val="24"/>
                <w:szCs w:val="24"/>
              </w:rPr>
              <w:t>17/01/25</w:t>
            </w:r>
          </w:p>
        </w:tc>
      </w:tr>
      <w:tr w:rsidR="002E6581" w:rsidRPr="002E6581" w14:paraId="35C617FE" w14:textId="77777777" w:rsidTr="00027D8A">
        <w:trPr>
          <w:trHeight w:val="277"/>
        </w:trPr>
        <w:tc>
          <w:tcPr>
            <w:tcW w:w="1668" w:type="dxa"/>
            <w:vMerge w:val="restart"/>
          </w:tcPr>
          <w:p w14:paraId="37CBA526"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Average Commercial Bank Deposit Rates</w:t>
            </w:r>
          </w:p>
        </w:tc>
        <w:tc>
          <w:tcPr>
            <w:tcW w:w="1842" w:type="dxa"/>
          </w:tcPr>
          <w:p w14:paraId="1A8B8796"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Local Currency</w:t>
            </w:r>
          </w:p>
        </w:tc>
        <w:tc>
          <w:tcPr>
            <w:tcW w:w="1418" w:type="dxa"/>
          </w:tcPr>
          <w:p w14:paraId="75DD44BB"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3.75</w:t>
            </w:r>
          </w:p>
        </w:tc>
        <w:tc>
          <w:tcPr>
            <w:tcW w:w="1417" w:type="dxa"/>
          </w:tcPr>
          <w:p w14:paraId="44A29F76"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3.38</w:t>
            </w:r>
          </w:p>
        </w:tc>
        <w:tc>
          <w:tcPr>
            <w:tcW w:w="1418" w:type="dxa"/>
          </w:tcPr>
          <w:p w14:paraId="2DCC5081"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3.88</w:t>
            </w:r>
          </w:p>
        </w:tc>
        <w:tc>
          <w:tcPr>
            <w:tcW w:w="1479" w:type="dxa"/>
          </w:tcPr>
          <w:p w14:paraId="12392827"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3.54</w:t>
            </w:r>
          </w:p>
        </w:tc>
      </w:tr>
      <w:tr w:rsidR="002E6581" w:rsidRPr="002E6581" w14:paraId="244CE27C" w14:textId="77777777" w:rsidTr="00027D8A">
        <w:tc>
          <w:tcPr>
            <w:tcW w:w="1668" w:type="dxa"/>
            <w:vMerge/>
          </w:tcPr>
          <w:p w14:paraId="0B932B1E" w14:textId="77777777" w:rsidR="002E6581" w:rsidRPr="002E6581" w:rsidRDefault="002E6581" w:rsidP="002E6581">
            <w:pPr>
              <w:spacing w:after="0" w:line="240" w:lineRule="auto"/>
              <w:rPr>
                <w:rFonts w:ascii="Tahoma" w:eastAsia="Times New Roman" w:hAnsi="Tahoma" w:cs="Tahoma"/>
                <w:sz w:val="24"/>
                <w:szCs w:val="24"/>
              </w:rPr>
            </w:pPr>
          </w:p>
        </w:tc>
        <w:tc>
          <w:tcPr>
            <w:tcW w:w="1842" w:type="dxa"/>
          </w:tcPr>
          <w:p w14:paraId="27E9C816"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Foreign Currency</w:t>
            </w:r>
          </w:p>
        </w:tc>
        <w:tc>
          <w:tcPr>
            <w:tcW w:w="1418" w:type="dxa"/>
          </w:tcPr>
          <w:p w14:paraId="4EADB195"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1.35</w:t>
            </w:r>
          </w:p>
        </w:tc>
        <w:tc>
          <w:tcPr>
            <w:tcW w:w="1417" w:type="dxa"/>
          </w:tcPr>
          <w:p w14:paraId="788286CE"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1.35</w:t>
            </w:r>
          </w:p>
        </w:tc>
        <w:tc>
          <w:tcPr>
            <w:tcW w:w="1418" w:type="dxa"/>
          </w:tcPr>
          <w:p w14:paraId="427A7955"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1.57</w:t>
            </w:r>
          </w:p>
        </w:tc>
        <w:tc>
          <w:tcPr>
            <w:tcW w:w="1479" w:type="dxa"/>
          </w:tcPr>
          <w:p w14:paraId="6F8D8C51"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1.57</w:t>
            </w:r>
          </w:p>
        </w:tc>
      </w:tr>
      <w:tr w:rsidR="002E6581" w:rsidRPr="002E6581" w14:paraId="1B47E20A" w14:textId="77777777" w:rsidTr="00027D8A">
        <w:trPr>
          <w:trHeight w:val="288"/>
        </w:trPr>
        <w:tc>
          <w:tcPr>
            <w:tcW w:w="1668" w:type="dxa"/>
            <w:vMerge w:val="restart"/>
          </w:tcPr>
          <w:p w14:paraId="3499679E"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Commercial Banks Weighted Lending Rates (Forex)</w:t>
            </w:r>
          </w:p>
        </w:tc>
        <w:tc>
          <w:tcPr>
            <w:tcW w:w="1842" w:type="dxa"/>
          </w:tcPr>
          <w:p w14:paraId="7C28F78E"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Individuals</w:t>
            </w:r>
          </w:p>
        </w:tc>
        <w:tc>
          <w:tcPr>
            <w:tcW w:w="1418" w:type="dxa"/>
          </w:tcPr>
          <w:p w14:paraId="4AADF6A6"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13.03</w:t>
            </w:r>
          </w:p>
        </w:tc>
        <w:tc>
          <w:tcPr>
            <w:tcW w:w="1417" w:type="dxa"/>
          </w:tcPr>
          <w:p w14:paraId="0EDC2615"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12.79</w:t>
            </w:r>
          </w:p>
        </w:tc>
        <w:tc>
          <w:tcPr>
            <w:tcW w:w="1418" w:type="dxa"/>
          </w:tcPr>
          <w:p w14:paraId="2EADBD0F"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17.42</w:t>
            </w:r>
          </w:p>
        </w:tc>
        <w:tc>
          <w:tcPr>
            <w:tcW w:w="1479" w:type="dxa"/>
          </w:tcPr>
          <w:p w14:paraId="5A3AC296"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17.33</w:t>
            </w:r>
          </w:p>
        </w:tc>
      </w:tr>
      <w:tr w:rsidR="002E6581" w:rsidRPr="002E6581" w14:paraId="241AFC28" w14:textId="77777777" w:rsidTr="00027D8A">
        <w:tc>
          <w:tcPr>
            <w:tcW w:w="1668" w:type="dxa"/>
            <w:vMerge/>
          </w:tcPr>
          <w:p w14:paraId="2FB7628A" w14:textId="77777777" w:rsidR="002E6581" w:rsidRPr="002E6581" w:rsidRDefault="002E6581" w:rsidP="002E6581">
            <w:pPr>
              <w:spacing w:after="0" w:line="240" w:lineRule="auto"/>
              <w:rPr>
                <w:rFonts w:ascii="Tahoma" w:eastAsia="Times New Roman" w:hAnsi="Tahoma" w:cs="Tahoma"/>
                <w:sz w:val="24"/>
                <w:szCs w:val="24"/>
              </w:rPr>
            </w:pPr>
          </w:p>
        </w:tc>
        <w:tc>
          <w:tcPr>
            <w:tcW w:w="1842" w:type="dxa"/>
          </w:tcPr>
          <w:p w14:paraId="294C17DC"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Corporates</w:t>
            </w:r>
          </w:p>
        </w:tc>
        <w:tc>
          <w:tcPr>
            <w:tcW w:w="1418" w:type="dxa"/>
          </w:tcPr>
          <w:p w14:paraId="673C1096"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10.67</w:t>
            </w:r>
          </w:p>
        </w:tc>
        <w:tc>
          <w:tcPr>
            <w:tcW w:w="1417" w:type="dxa"/>
          </w:tcPr>
          <w:p w14:paraId="06553724"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10.62</w:t>
            </w:r>
          </w:p>
        </w:tc>
        <w:tc>
          <w:tcPr>
            <w:tcW w:w="1418" w:type="dxa"/>
          </w:tcPr>
          <w:p w14:paraId="0E312218"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16.24</w:t>
            </w:r>
          </w:p>
        </w:tc>
        <w:tc>
          <w:tcPr>
            <w:tcW w:w="1479" w:type="dxa"/>
          </w:tcPr>
          <w:p w14:paraId="0DF5A72C"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16.34</w:t>
            </w:r>
          </w:p>
        </w:tc>
      </w:tr>
      <w:tr w:rsidR="002E6581" w:rsidRPr="002E6581" w14:paraId="0BDC253F" w14:textId="77777777" w:rsidTr="00027D8A">
        <w:tc>
          <w:tcPr>
            <w:tcW w:w="1668" w:type="dxa"/>
            <w:vMerge w:val="restart"/>
          </w:tcPr>
          <w:p w14:paraId="3A4854B6"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Commercial Banks Weighted Lending Rates (ZWG)</w:t>
            </w:r>
          </w:p>
        </w:tc>
        <w:tc>
          <w:tcPr>
            <w:tcW w:w="1842" w:type="dxa"/>
          </w:tcPr>
          <w:p w14:paraId="03E69D37"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Individuals</w:t>
            </w:r>
          </w:p>
        </w:tc>
        <w:tc>
          <w:tcPr>
            <w:tcW w:w="1418" w:type="dxa"/>
          </w:tcPr>
          <w:p w14:paraId="412A0B51"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41.43</w:t>
            </w:r>
          </w:p>
        </w:tc>
        <w:tc>
          <w:tcPr>
            <w:tcW w:w="1417" w:type="dxa"/>
          </w:tcPr>
          <w:p w14:paraId="0500EF15"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41.60</w:t>
            </w:r>
          </w:p>
        </w:tc>
        <w:tc>
          <w:tcPr>
            <w:tcW w:w="1418" w:type="dxa"/>
          </w:tcPr>
          <w:p w14:paraId="0FE0A524"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46.89</w:t>
            </w:r>
          </w:p>
        </w:tc>
        <w:tc>
          <w:tcPr>
            <w:tcW w:w="1479" w:type="dxa"/>
          </w:tcPr>
          <w:p w14:paraId="382C0582"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47.12</w:t>
            </w:r>
          </w:p>
        </w:tc>
      </w:tr>
      <w:tr w:rsidR="002E6581" w:rsidRPr="002E6581" w14:paraId="4A94FD84" w14:textId="77777777" w:rsidTr="00027D8A">
        <w:tc>
          <w:tcPr>
            <w:tcW w:w="1668" w:type="dxa"/>
            <w:vMerge/>
          </w:tcPr>
          <w:p w14:paraId="178D8D46" w14:textId="77777777" w:rsidR="002E6581" w:rsidRPr="002E6581" w:rsidRDefault="002E6581" w:rsidP="002E6581">
            <w:pPr>
              <w:spacing w:after="0" w:line="240" w:lineRule="auto"/>
              <w:rPr>
                <w:rFonts w:ascii="Tahoma" w:eastAsia="Times New Roman" w:hAnsi="Tahoma" w:cs="Tahoma"/>
                <w:sz w:val="24"/>
                <w:szCs w:val="24"/>
              </w:rPr>
            </w:pPr>
          </w:p>
        </w:tc>
        <w:tc>
          <w:tcPr>
            <w:tcW w:w="1842" w:type="dxa"/>
          </w:tcPr>
          <w:p w14:paraId="2C71706D"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Corporates</w:t>
            </w:r>
          </w:p>
        </w:tc>
        <w:tc>
          <w:tcPr>
            <w:tcW w:w="1418" w:type="dxa"/>
          </w:tcPr>
          <w:p w14:paraId="16F2CFB4"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39.98</w:t>
            </w:r>
          </w:p>
        </w:tc>
        <w:tc>
          <w:tcPr>
            <w:tcW w:w="1417" w:type="dxa"/>
          </w:tcPr>
          <w:p w14:paraId="7C16F884"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40.16</w:t>
            </w:r>
          </w:p>
        </w:tc>
        <w:tc>
          <w:tcPr>
            <w:tcW w:w="1418" w:type="dxa"/>
          </w:tcPr>
          <w:p w14:paraId="1848CEC6"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45.48</w:t>
            </w:r>
          </w:p>
        </w:tc>
        <w:tc>
          <w:tcPr>
            <w:tcW w:w="1479" w:type="dxa"/>
          </w:tcPr>
          <w:p w14:paraId="3C314E48" w14:textId="77777777" w:rsidR="002E6581" w:rsidRPr="002E6581" w:rsidRDefault="002E6581" w:rsidP="002E6581">
            <w:pPr>
              <w:spacing w:after="0" w:line="240" w:lineRule="auto"/>
              <w:rPr>
                <w:rFonts w:ascii="Tahoma" w:eastAsia="Times New Roman" w:hAnsi="Tahoma" w:cs="Tahoma"/>
                <w:sz w:val="24"/>
                <w:szCs w:val="24"/>
              </w:rPr>
            </w:pPr>
            <w:r w:rsidRPr="002E6581">
              <w:rPr>
                <w:rFonts w:ascii="Tahoma" w:eastAsia="Times New Roman" w:hAnsi="Tahoma" w:cs="Tahoma"/>
                <w:sz w:val="24"/>
                <w:szCs w:val="24"/>
              </w:rPr>
              <w:t>45.9</w:t>
            </w:r>
          </w:p>
        </w:tc>
      </w:tr>
    </w:tbl>
    <w:p w14:paraId="3074E033" w14:textId="17FC322E" w:rsidR="00631976" w:rsidRPr="00FA77E0" w:rsidRDefault="00FA77E0" w:rsidP="002E6581">
      <w:pPr>
        <w:jc w:val="both"/>
        <w:rPr>
          <w:rFonts w:ascii="Tahoma" w:eastAsia="Times New Roman" w:hAnsi="Tahoma" w:cs="Tahoma"/>
          <w:i/>
          <w:kern w:val="0"/>
          <w:sz w:val="24"/>
          <w:szCs w:val="24"/>
          <w:lang w:eastAsia="en-ZW"/>
        </w:rPr>
      </w:pPr>
      <w:r w:rsidRPr="00FA77E0">
        <w:rPr>
          <w:rFonts w:ascii="Tahoma" w:eastAsia="Times New Roman" w:hAnsi="Tahoma" w:cs="Tahoma"/>
          <w:i/>
          <w:kern w:val="0"/>
          <w:sz w:val="24"/>
          <w:szCs w:val="24"/>
          <w:lang w:eastAsia="en-ZW"/>
        </w:rPr>
        <w:t>Source: RBZ (202</w:t>
      </w:r>
      <w:r w:rsidR="00223882">
        <w:rPr>
          <w:rFonts w:ascii="Tahoma" w:eastAsia="Times New Roman" w:hAnsi="Tahoma" w:cs="Tahoma"/>
          <w:i/>
          <w:kern w:val="0"/>
          <w:sz w:val="24"/>
          <w:szCs w:val="24"/>
          <w:lang w:eastAsia="en-ZW"/>
        </w:rPr>
        <w:t>5</w:t>
      </w:r>
      <w:r w:rsidRPr="00FA77E0">
        <w:rPr>
          <w:rFonts w:ascii="Tahoma" w:eastAsia="Times New Roman" w:hAnsi="Tahoma" w:cs="Tahoma"/>
          <w:i/>
          <w:kern w:val="0"/>
          <w:sz w:val="24"/>
          <w:szCs w:val="24"/>
          <w:lang w:eastAsia="en-ZW"/>
        </w:rPr>
        <w:t>)</w:t>
      </w:r>
    </w:p>
    <w:bookmarkEnd w:id="56"/>
    <w:p w14:paraId="78D50B1B" w14:textId="4A6B3AC0" w:rsidR="004514A3" w:rsidRDefault="00A1045C" w:rsidP="00E63964">
      <w:pPr>
        <w:spacing w:line="240" w:lineRule="auto"/>
        <w:ind w:left="720" w:hanging="720"/>
        <w:jc w:val="both"/>
        <w:rPr>
          <w:rFonts w:ascii="Tahoma" w:hAnsi="Tahoma" w:cs="Tahoma"/>
          <w:sz w:val="24"/>
          <w:szCs w:val="24"/>
        </w:rPr>
      </w:pPr>
      <w:r>
        <w:rPr>
          <w:rFonts w:ascii="Tahoma" w:hAnsi="Tahoma" w:cs="Tahoma"/>
          <w:sz w:val="24"/>
          <w:szCs w:val="24"/>
        </w:rPr>
        <w:t>7.1.2</w:t>
      </w:r>
      <w:r>
        <w:rPr>
          <w:rFonts w:ascii="Tahoma" w:hAnsi="Tahoma" w:cs="Tahoma"/>
          <w:sz w:val="24"/>
          <w:szCs w:val="24"/>
        </w:rPr>
        <w:tab/>
      </w:r>
      <w:bookmarkStart w:id="58" w:name="_Hlk179978781"/>
      <w:r w:rsidR="00C92835">
        <w:rPr>
          <w:rFonts w:ascii="Tahoma" w:hAnsi="Tahoma" w:cs="Tahoma"/>
          <w:sz w:val="24"/>
          <w:szCs w:val="24"/>
        </w:rPr>
        <w:t>During the period under review,</w:t>
      </w:r>
      <w:bookmarkEnd w:id="58"/>
      <w:r w:rsidR="00FF19C4">
        <w:rPr>
          <w:rFonts w:ascii="Tahoma" w:hAnsi="Tahoma" w:cs="Tahoma"/>
          <w:sz w:val="24"/>
          <w:szCs w:val="24"/>
        </w:rPr>
        <w:t xml:space="preserve"> deposit rates </w:t>
      </w:r>
      <w:r w:rsidR="00AB2B87">
        <w:rPr>
          <w:rFonts w:ascii="Tahoma" w:hAnsi="Tahoma" w:cs="Tahoma"/>
          <w:sz w:val="24"/>
          <w:szCs w:val="24"/>
        </w:rPr>
        <w:t xml:space="preserve">for local currency </w:t>
      </w:r>
      <w:r w:rsidR="00FF19C4">
        <w:rPr>
          <w:rFonts w:ascii="Tahoma" w:hAnsi="Tahoma" w:cs="Tahoma"/>
          <w:sz w:val="24"/>
          <w:szCs w:val="24"/>
        </w:rPr>
        <w:t>were</w:t>
      </w:r>
      <w:r w:rsidR="00AB2B87">
        <w:rPr>
          <w:rFonts w:ascii="Tahoma" w:hAnsi="Tahoma" w:cs="Tahoma"/>
          <w:sz w:val="24"/>
          <w:szCs w:val="24"/>
        </w:rPr>
        <w:t xml:space="preserve"> </w:t>
      </w:r>
      <w:r w:rsidR="00FF19C4">
        <w:rPr>
          <w:rFonts w:ascii="Tahoma" w:hAnsi="Tahoma" w:cs="Tahoma"/>
          <w:sz w:val="24"/>
          <w:szCs w:val="24"/>
        </w:rPr>
        <w:t>adjusted downwar</w:t>
      </w:r>
      <w:r w:rsidR="00AB2B87">
        <w:rPr>
          <w:rFonts w:ascii="Tahoma" w:hAnsi="Tahoma" w:cs="Tahoma"/>
          <w:sz w:val="24"/>
          <w:szCs w:val="24"/>
        </w:rPr>
        <w:t>d diminishing the incentive to save while on the other hand lending rates were generally increased resulting in rise of cost of borrowing hindering investment the economy.</w:t>
      </w:r>
    </w:p>
    <w:p w14:paraId="20181341" w14:textId="77777777" w:rsidR="00184FA3" w:rsidRPr="00A64F64" w:rsidRDefault="00F67469" w:rsidP="00022BFE">
      <w:pPr>
        <w:pStyle w:val="Heading1"/>
        <w:spacing w:before="0" w:after="240" w:line="240" w:lineRule="auto"/>
        <w:rPr>
          <w:rFonts w:cs="Tahoma"/>
          <w:bCs/>
          <w:color w:val="000000"/>
          <w:szCs w:val="24"/>
          <w:lang w:val="en-US"/>
        </w:rPr>
      </w:pPr>
      <w:bookmarkStart w:id="59" w:name="_Toc166607902"/>
      <w:bookmarkStart w:id="60" w:name="_Toc189745284"/>
      <w:r w:rsidRPr="00A64F64">
        <w:rPr>
          <w:rFonts w:cs="Tahoma"/>
          <w:bCs/>
          <w:color w:val="000000"/>
          <w:szCs w:val="24"/>
          <w:lang w:val="en-US"/>
        </w:rPr>
        <w:t>8.0</w:t>
      </w:r>
      <w:r w:rsidRPr="00A64F64">
        <w:rPr>
          <w:rFonts w:cs="Tahoma"/>
          <w:bCs/>
          <w:color w:val="000000"/>
          <w:szCs w:val="24"/>
          <w:lang w:val="en-US"/>
        </w:rPr>
        <w:tab/>
      </w:r>
      <w:r w:rsidR="00184FA3" w:rsidRPr="00A64F64">
        <w:rPr>
          <w:rFonts w:cs="Tahoma"/>
          <w:bCs/>
          <w:color w:val="000000"/>
          <w:szCs w:val="24"/>
          <w:lang w:val="en-US"/>
        </w:rPr>
        <w:t>Stock Market Developments</w:t>
      </w:r>
      <w:bookmarkEnd w:id="59"/>
      <w:bookmarkEnd w:id="60"/>
      <w:r w:rsidR="00184FA3" w:rsidRPr="00A64F64">
        <w:rPr>
          <w:rFonts w:cs="Tahoma"/>
          <w:bCs/>
          <w:color w:val="000000"/>
          <w:szCs w:val="24"/>
          <w:lang w:val="en-US"/>
        </w:rPr>
        <w:t xml:space="preserve"> </w:t>
      </w:r>
    </w:p>
    <w:p w14:paraId="56A7759C" w14:textId="35538552" w:rsidR="00184FA3" w:rsidRPr="00863A17" w:rsidRDefault="00F67469" w:rsidP="003C1D2F">
      <w:pPr>
        <w:pStyle w:val="Heading2"/>
        <w:spacing w:before="0" w:after="240" w:line="240" w:lineRule="auto"/>
        <w:rPr>
          <w:rFonts w:cs="Tahoma"/>
          <w:b/>
          <w:color w:val="000000"/>
          <w:szCs w:val="24"/>
          <w:lang w:val="en-US"/>
        </w:rPr>
      </w:pPr>
      <w:bookmarkStart w:id="61" w:name="_Toc166607903"/>
      <w:bookmarkStart w:id="62" w:name="_Toc189745285"/>
      <w:r w:rsidRPr="00863A17">
        <w:rPr>
          <w:rFonts w:cs="Tahoma"/>
          <w:b/>
          <w:color w:val="000000"/>
          <w:szCs w:val="24"/>
          <w:lang w:val="en-US"/>
        </w:rPr>
        <w:t>8.1</w:t>
      </w:r>
      <w:r w:rsidRPr="00863A17">
        <w:rPr>
          <w:rFonts w:cs="Tahoma"/>
          <w:b/>
          <w:color w:val="000000"/>
          <w:szCs w:val="24"/>
          <w:lang w:val="en-US"/>
        </w:rPr>
        <w:tab/>
      </w:r>
      <w:r w:rsidR="00184FA3" w:rsidRPr="00863A17">
        <w:rPr>
          <w:rFonts w:cs="Tahoma"/>
          <w:b/>
          <w:color w:val="000000"/>
          <w:szCs w:val="24"/>
          <w:lang w:val="en-US"/>
        </w:rPr>
        <w:t>Zimbabwe Stock Exchange</w:t>
      </w:r>
      <w:bookmarkEnd w:id="61"/>
      <w:r w:rsidR="00184FA3" w:rsidRPr="00863A17">
        <w:rPr>
          <w:rFonts w:cs="Tahoma"/>
          <w:b/>
          <w:color w:val="000000"/>
          <w:szCs w:val="24"/>
          <w:lang w:val="en-US"/>
        </w:rPr>
        <w:t xml:space="preserve"> </w:t>
      </w:r>
      <w:r w:rsidR="00A37061">
        <w:rPr>
          <w:rFonts w:cs="Tahoma"/>
          <w:b/>
          <w:color w:val="000000"/>
          <w:szCs w:val="24"/>
          <w:lang w:val="en-US"/>
        </w:rPr>
        <w:t>(ZSE)</w:t>
      </w:r>
      <w:bookmarkEnd w:id="62"/>
    </w:p>
    <w:p w14:paraId="7157C912" w14:textId="63657B7D" w:rsidR="00F6081E" w:rsidRPr="00863A17" w:rsidRDefault="00F67469" w:rsidP="00F67469">
      <w:pPr>
        <w:ind w:left="720" w:hanging="720"/>
        <w:jc w:val="both"/>
        <w:rPr>
          <w:rFonts w:ascii="Tahoma" w:hAnsi="Tahoma" w:cs="Tahoma"/>
          <w:sz w:val="24"/>
          <w:szCs w:val="24"/>
          <w:lang w:val="en-US"/>
        </w:rPr>
      </w:pPr>
      <w:r w:rsidRPr="00863A17">
        <w:rPr>
          <w:rFonts w:ascii="Tahoma" w:hAnsi="Tahoma" w:cs="Tahoma"/>
          <w:sz w:val="24"/>
          <w:szCs w:val="24"/>
          <w:lang w:val="en-US"/>
        </w:rPr>
        <w:t>8.1.</w:t>
      </w:r>
      <w:r w:rsidR="009D4D20">
        <w:rPr>
          <w:rFonts w:ascii="Tahoma" w:hAnsi="Tahoma" w:cs="Tahoma"/>
          <w:sz w:val="24"/>
          <w:szCs w:val="24"/>
          <w:lang w:val="en-US"/>
        </w:rPr>
        <w:t>1</w:t>
      </w:r>
      <w:r w:rsidRPr="00863A17">
        <w:rPr>
          <w:rFonts w:ascii="Tahoma" w:hAnsi="Tahoma" w:cs="Tahoma"/>
          <w:sz w:val="24"/>
          <w:szCs w:val="24"/>
          <w:lang w:val="en-US"/>
        </w:rPr>
        <w:tab/>
      </w:r>
      <w:bookmarkStart w:id="63" w:name="_Hlk179978801"/>
      <w:r w:rsidR="00DC08A3">
        <w:rPr>
          <w:rFonts w:ascii="Tahoma" w:hAnsi="Tahoma" w:cs="Tahoma"/>
          <w:sz w:val="24"/>
          <w:szCs w:val="24"/>
          <w:lang w:val="en-US"/>
        </w:rPr>
        <w:t>During the</w:t>
      </w:r>
      <w:r w:rsidR="00925EA9">
        <w:rPr>
          <w:rFonts w:ascii="Tahoma" w:hAnsi="Tahoma" w:cs="Tahoma"/>
          <w:sz w:val="24"/>
          <w:szCs w:val="24"/>
          <w:lang w:val="en-US"/>
        </w:rPr>
        <w:t xml:space="preserve"> period under review</w:t>
      </w:r>
      <w:r w:rsidR="00A37061">
        <w:rPr>
          <w:rFonts w:ascii="Tahoma" w:hAnsi="Tahoma" w:cs="Tahoma"/>
          <w:sz w:val="24"/>
          <w:szCs w:val="24"/>
          <w:lang w:val="en-US"/>
        </w:rPr>
        <w:t>, t</w:t>
      </w:r>
      <w:r w:rsidR="008E7F02">
        <w:rPr>
          <w:rFonts w:ascii="Tahoma" w:hAnsi="Tahoma" w:cs="Tahoma"/>
          <w:sz w:val="24"/>
          <w:szCs w:val="24"/>
          <w:lang w:val="en-US"/>
        </w:rPr>
        <w:t>he</w:t>
      </w:r>
      <w:r w:rsidR="006809E5">
        <w:rPr>
          <w:rFonts w:ascii="Tahoma" w:hAnsi="Tahoma" w:cs="Tahoma"/>
          <w:sz w:val="24"/>
          <w:szCs w:val="24"/>
          <w:lang w:val="en-US"/>
        </w:rPr>
        <w:t xml:space="preserve"> ZSE</w:t>
      </w:r>
      <w:r w:rsidR="00A37061">
        <w:rPr>
          <w:rFonts w:ascii="Tahoma" w:hAnsi="Tahoma" w:cs="Tahoma"/>
          <w:sz w:val="24"/>
          <w:szCs w:val="24"/>
          <w:lang w:val="en-US"/>
        </w:rPr>
        <w:t xml:space="preserve"> </w:t>
      </w:r>
      <w:r w:rsidR="00925EA9">
        <w:rPr>
          <w:rFonts w:ascii="Tahoma" w:hAnsi="Tahoma" w:cs="Tahoma"/>
          <w:sz w:val="24"/>
          <w:szCs w:val="24"/>
          <w:lang w:val="en-US"/>
        </w:rPr>
        <w:t xml:space="preserve">continued to </w:t>
      </w:r>
      <w:r w:rsidR="00DC08A3">
        <w:rPr>
          <w:rFonts w:ascii="Tahoma" w:hAnsi="Tahoma" w:cs="Tahoma"/>
          <w:sz w:val="24"/>
          <w:szCs w:val="24"/>
          <w:lang w:val="en-US"/>
        </w:rPr>
        <w:t>recor</w:t>
      </w:r>
      <w:r w:rsidR="00925EA9">
        <w:rPr>
          <w:rFonts w:ascii="Tahoma" w:hAnsi="Tahoma" w:cs="Tahoma"/>
          <w:sz w:val="24"/>
          <w:szCs w:val="24"/>
          <w:lang w:val="en-US"/>
        </w:rPr>
        <w:t xml:space="preserve">d </w:t>
      </w:r>
      <w:r w:rsidR="00A37061">
        <w:rPr>
          <w:rFonts w:ascii="Tahoma" w:hAnsi="Tahoma" w:cs="Tahoma"/>
          <w:sz w:val="24"/>
          <w:szCs w:val="24"/>
          <w:lang w:val="en-US"/>
        </w:rPr>
        <w:t xml:space="preserve">bearish sentiments. All share index, top 10 index, value </w:t>
      </w:r>
      <w:r w:rsidR="00BF28B5">
        <w:rPr>
          <w:rFonts w:ascii="Tahoma" w:hAnsi="Tahoma" w:cs="Tahoma"/>
          <w:sz w:val="24"/>
          <w:szCs w:val="24"/>
          <w:lang w:val="en-US"/>
        </w:rPr>
        <w:t>traded,</w:t>
      </w:r>
      <w:r w:rsidR="00A37061">
        <w:rPr>
          <w:rFonts w:ascii="Tahoma" w:hAnsi="Tahoma" w:cs="Tahoma"/>
          <w:sz w:val="24"/>
          <w:szCs w:val="24"/>
          <w:lang w:val="en-US"/>
        </w:rPr>
        <w:t xml:space="preserve"> and market capitalization fell by </w:t>
      </w:r>
      <w:r w:rsidR="00925EA9">
        <w:rPr>
          <w:rFonts w:ascii="Tahoma" w:hAnsi="Tahoma" w:cs="Tahoma"/>
          <w:sz w:val="24"/>
          <w:szCs w:val="24"/>
          <w:lang w:val="en-US"/>
        </w:rPr>
        <w:t>10.12%, 10.42%, 73.15% and 9.61%</w:t>
      </w:r>
      <w:r w:rsidR="00DC08A3">
        <w:rPr>
          <w:rFonts w:ascii="Tahoma" w:hAnsi="Tahoma" w:cs="Tahoma"/>
          <w:sz w:val="24"/>
          <w:szCs w:val="24"/>
          <w:lang w:val="en-US"/>
        </w:rPr>
        <w:t xml:space="preserve">, </w:t>
      </w:r>
      <w:r w:rsidR="00A37061">
        <w:rPr>
          <w:rFonts w:ascii="Tahoma" w:hAnsi="Tahoma" w:cs="Tahoma"/>
          <w:sz w:val="24"/>
          <w:szCs w:val="24"/>
          <w:lang w:val="en-US"/>
        </w:rPr>
        <w:t>respectively</w:t>
      </w:r>
      <w:r w:rsidR="004D31CB">
        <w:rPr>
          <w:rFonts w:ascii="Tahoma" w:hAnsi="Tahoma" w:cs="Tahoma"/>
          <w:sz w:val="24"/>
          <w:szCs w:val="24"/>
          <w:lang w:val="en-US"/>
        </w:rPr>
        <w:t xml:space="preserve">, see table </w:t>
      </w:r>
      <w:r w:rsidR="002B0281">
        <w:rPr>
          <w:rFonts w:ascii="Tahoma" w:hAnsi="Tahoma" w:cs="Tahoma"/>
          <w:sz w:val="24"/>
          <w:szCs w:val="24"/>
          <w:lang w:val="en-US"/>
        </w:rPr>
        <w:t>6</w:t>
      </w:r>
      <w:r w:rsidR="004D31CB">
        <w:rPr>
          <w:rFonts w:ascii="Tahoma" w:hAnsi="Tahoma" w:cs="Tahoma"/>
          <w:sz w:val="24"/>
          <w:szCs w:val="24"/>
          <w:lang w:val="en-US"/>
        </w:rPr>
        <w:t xml:space="preserve">. </w:t>
      </w:r>
      <w:r w:rsidR="00D4189F">
        <w:rPr>
          <w:rFonts w:ascii="Tahoma" w:hAnsi="Tahoma" w:cs="Tahoma"/>
          <w:sz w:val="24"/>
          <w:szCs w:val="24"/>
          <w:lang w:val="en-US"/>
        </w:rPr>
        <w:t xml:space="preserve"> According to ZSE (2025), the performance of the ZSE eased with Econet, Delta, NMB and SEEDCO trading in the negative.</w:t>
      </w:r>
      <w:r w:rsidR="00DF2E4E">
        <w:rPr>
          <w:rFonts w:ascii="Tahoma" w:hAnsi="Tahoma" w:cs="Tahoma"/>
          <w:sz w:val="24"/>
          <w:szCs w:val="24"/>
          <w:lang w:val="en-US"/>
        </w:rPr>
        <w:t xml:space="preserve"> Bulls and Bears (2025) argued that e</w:t>
      </w:r>
      <w:r w:rsidR="00DF2E4E" w:rsidRPr="00DF2E4E">
        <w:rPr>
          <w:rFonts w:ascii="Tahoma" w:hAnsi="Tahoma" w:cs="Tahoma"/>
          <w:sz w:val="24"/>
          <w:szCs w:val="24"/>
          <w:lang w:val="en-US"/>
        </w:rPr>
        <w:t xml:space="preserve">xchange rate movement has had a significant bearing on </w:t>
      </w:r>
      <w:r w:rsidR="00DF2E4E" w:rsidRPr="00DF2E4E">
        <w:rPr>
          <w:rFonts w:ascii="Tahoma" w:hAnsi="Tahoma" w:cs="Tahoma"/>
          <w:sz w:val="24"/>
          <w:szCs w:val="24"/>
          <w:lang w:val="en-US"/>
        </w:rPr>
        <w:lastRenderedPageBreak/>
        <w:t>inflationary pressures in the economy which has an impact on the movement of equity prices</w:t>
      </w:r>
      <w:r w:rsidR="008C5A6A">
        <w:rPr>
          <w:rFonts w:ascii="Tahoma" w:hAnsi="Tahoma" w:cs="Tahoma"/>
          <w:sz w:val="24"/>
          <w:szCs w:val="24"/>
          <w:lang w:val="en-US"/>
        </w:rPr>
        <w:t>.</w:t>
      </w:r>
    </w:p>
    <w:p w14:paraId="4FC9AADA" w14:textId="13C925FF" w:rsidR="00F6081E" w:rsidRPr="00863A17" w:rsidRDefault="00F67469" w:rsidP="00F67469">
      <w:pPr>
        <w:ind w:left="720" w:hanging="720"/>
        <w:jc w:val="both"/>
        <w:rPr>
          <w:rFonts w:ascii="Tahoma" w:hAnsi="Tahoma" w:cs="Tahoma"/>
          <w:sz w:val="24"/>
          <w:szCs w:val="24"/>
        </w:rPr>
      </w:pPr>
      <w:r w:rsidRPr="00863A17">
        <w:rPr>
          <w:rFonts w:ascii="Tahoma" w:hAnsi="Tahoma" w:cs="Tahoma"/>
          <w:sz w:val="24"/>
          <w:szCs w:val="24"/>
        </w:rPr>
        <w:t>8.1.</w:t>
      </w:r>
      <w:r w:rsidR="009D4D20">
        <w:rPr>
          <w:rFonts w:ascii="Tahoma" w:hAnsi="Tahoma" w:cs="Tahoma"/>
          <w:sz w:val="24"/>
          <w:szCs w:val="24"/>
        </w:rPr>
        <w:t>2</w:t>
      </w:r>
      <w:r w:rsidRPr="00863A17">
        <w:rPr>
          <w:rFonts w:ascii="Tahoma" w:hAnsi="Tahoma" w:cs="Tahoma"/>
          <w:sz w:val="24"/>
          <w:szCs w:val="24"/>
        </w:rPr>
        <w:tab/>
      </w:r>
      <w:r w:rsidR="00505644">
        <w:rPr>
          <w:rFonts w:ascii="Tahoma" w:hAnsi="Tahoma" w:cs="Tahoma"/>
          <w:sz w:val="24"/>
          <w:szCs w:val="24"/>
        </w:rPr>
        <w:t>On</w:t>
      </w:r>
      <w:r w:rsidR="00FA2E40">
        <w:rPr>
          <w:rFonts w:ascii="Tahoma" w:hAnsi="Tahoma" w:cs="Tahoma"/>
          <w:sz w:val="24"/>
          <w:szCs w:val="24"/>
        </w:rPr>
        <w:t xml:space="preserve"> </w:t>
      </w:r>
      <w:r w:rsidR="0040512D">
        <w:rPr>
          <w:rFonts w:ascii="Tahoma" w:hAnsi="Tahoma" w:cs="Tahoma"/>
          <w:sz w:val="24"/>
          <w:szCs w:val="24"/>
        </w:rPr>
        <w:t>year-to-date</w:t>
      </w:r>
      <w:r w:rsidR="00130CC2">
        <w:rPr>
          <w:rFonts w:ascii="Tahoma" w:hAnsi="Tahoma" w:cs="Tahoma"/>
          <w:sz w:val="24"/>
          <w:szCs w:val="24"/>
        </w:rPr>
        <w:t xml:space="preserve"> and </w:t>
      </w:r>
      <w:r w:rsidR="0040512D">
        <w:rPr>
          <w:rFonts w:ascii="Tahoma" w:hAnsi="Tahoma" w:cs="Tahoma"/>
          <w:sz w:val="24"/>
          <w:szCs w:val="24"/>
        </w:rPr>
        <w:t>year-on-year</w:t>
      </w:r>
      <w:r w:rsidR="00130CC2">
        <w:rPr>
          <w:rFonts w:ascii="Tahoma" w:hAnsi="Tahoma" w:cs="Tahoma"/>
          <w:sz w:val="24"/>
          <w:szCs w:val="24"/>
        </w:rPr>
        <w:t>,</w:t>
      </w:r>
      <w:r w:rsidR="00542DE9">
        <w:rPr>
          <w:rFonts w:ascii="Tahoma" w:hAnsi="Tahoma" w:cs="Tahoma"/>
          <w:sz w:val="24"/>
          <w:szCs w:val="24"/>
        </w:rPr>
        <w:t xml:space="preserve"> all selected indices </w:t>
      </w:r>
      <w:bookmarkEnd w:id="63"/>
      <w:r w:rsidR="00925EA9">
        <w:rPr>
          <w:rFonts w:ascii="Tahoma" w:hAnsi="Tahoma" w:cs="Tahoma"/>
          <w:sz w:val="24"/>
          <w:szCs w:val="24"/>
        </w:rPr>
        <w:t>dwindled</w:t>
      </w:r>
      <w:r w:rsidR="00BF28B5">
        <w:rPr>
          <w:rFonts w:ascii="Tahoma" w:hAnsi="Tahoma" w:cs="Tahoma"/>
          <w:sz w:val="24"/>
          <w:szCs w:val="24"/>
        </w:rPr>
        <w:t xml:space="preserve"> except</w:t>
      </w:r>
      <w:r w:rsidR="00925EA9">
        <w:rPr>
          <w:rFonts w:ascii="Tahoma" w:hAnsi="Tahoma" w:cs="Tahoma"/>
          <w:sz w:val="24"/>
          <w:szCs w:val="24"/>
        </w:rPr>
        <w:t xml:space="preserve"> the top 10 index (98.39%) and market capitalisation (253.32%) on y-o-y basis.</w:t>
      </w:r>
    </w:p>
    <w:p w14:paraId="06AC5C05" w14:textId="5C4F14B4" w:rsidR="00ED0A35" w:rsidRPr="00ED0A35" w:rsidRDefault="00595E97" w:rsidP="00ED0A35">
      <w:pPr>
        <w:pStyle w:val="ListofTables"/>
      </w:pPr>
      <w:bookmarkStart w:id="64" w:name="_Toc164072367"/>
      <w:bookmarkStart w:id="65" w:name="_Toc166658894"/>
      <w:bookmarkStart w:id="66" w:name="_Toc189745379"/>
      <w:r w:rsidRPr="0031015F">
        <w:t xml:space="preserve">Table </w:t>
      </w:r>
      <w:r w:rsidR="00B8291A">
        <w:t>7</w:t>
      </w:r>
      <w:r w:rsidRPr="0031015F">
        <w:t xml:space="preserve">: Zimbabwe Stock </w:t>
      </w:r>
      <w:r w:rsidR="00D30418" w:rsidRPr="0031015F">
        <w:t xml:space="preserve">Exchange </w:t>
      </w:r>
      <w:r w:rsidRPr="0031015F">
        <w:t>Movements</w:t>
      </w:r>
      <w:bookmarkEnd w:id="64"/>
      <w:bookmarkEnd w:id="65"/>
      <w:bookmarkEnd w:id="66"/>
    </w:p>
    <w:p w14:paraId="1D52D1BC" w14:textId="7C388068" w:rsidR="00E24E7D" w:rsidRDefault="00A30E56" w:rsidP="00427CDA">
      <w:pPr>
        <w:spacing w:after="0"/>
        <w:ind w:left="720" w:hanging="720"/>
        <w:jc w:val="both"/>
        <w:rPr>
          <w:rFonts w:ascii="Tahoma" w:hAnsi="Tahoma" w:cs="Tahoma"/>
          <w:sz w:val="24"/>
          <w:szCs w:val="24"/>
        </w:rPr>
      </w:pPr>
      <w:r w:rsidRPr="00A30E56">
        <w:rPr>
          <w:noProof/>
        </w:rPr>
        <w:drawing>
          <wp:inline distT="0" distB="0" distL="0" distR="0" wp14:anchorId="1EA319BB" wp14:editId="23CEB915">
            <wp:extent cx="5731510" cy="1103630"/>
            <wp:effectExtent l="0" t="0" r="2540" b="1270"/>
            <wp:docPr id="127511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15201" name=""/>
                    <pic:cNvPicPr/>
                  </pic:nvPicPr>
                  <pic:blipFill>
                    <a:blip r:embed="rId21"/>
                    <a:stretch>
                      <a:fillRect/>
                    </a:stretch>
                  </pic:blipFill>
                  <pic:spPr>
                    <a:xfrm>
                      <a:off x="0" y="0"/>
                      <a:ext cx="5731510" cy="1103630"/>
                    </a:xfrm>
                    <a:prstGeom prst="rect">
                      <a:avLst/>
                    </a:prstGeom>
                  </pic:spPr>
                </pic:pic>
              </a:graphicData>
            </a:graphic>
          </wp:inline>
        </w:drawing>
      </w:r>
    </w:p>
    <w:p w14:paraId="0D44C954" w14:textId="0CD034C7" w:rsidR="00C56F60" w:rsidRPr="00C56F60" w:rsidRDefault="00C56F60" w:rsidP="00F67469">
      <w:pPr>
        <w:ind w:left="720" w:hanging="720"/>
        <w:jc w:val="both"/>
        <w:rPr>
          <w:rFonts w:ascii="Tahoma" w:hAnsi="Tahoma" w:cs="Tahoma"/>
          <w:i/>
          <w:iCs/>
          <w:sz w:val="24"/>
          <w:szCs w:val="24"/>
          <w:lang w:val="en-US"/>
        </w:rPr>
      </w:pPr>
      <w:r w:rsidRPr="00C56F60">
        <w:rPr>
          <w:rFonts w:ascii="Tahoma" w:hAnsi="Tahoma" w:cs="Tahoma"/>
          <w:i/>
          <w:iCs/>
          <w:sz w:val="24"/>
          <w:szCs w:val="24"/>
        </w:rPr>
        <w:t xml:space="preserve">Source: </w:t>
      </w:r>
      <w:r w:rsidR="00D31BED">
        <w:rPr>
          <w:rFonts w:ascii="Tahoma" w:hAnsi="Tahoma" w:cs="Tahoma"/>
          <w:i/>
          <w:iCs/>
          <w:sz w:val="24"/>
          <w:szCs w:val="24"/>
        </w:rPr>
        <w:t>ZSE</w:t>
      </w:r>
      <w:r w:rsidRPr="00C56F60">
        <w:rPr>
          <w:rFonts w:ascii="Tahoma" w:hAnsi="Tahoma" w:cs="Tahoma"/>
          <w:i/>
          <w:iCs/>
          <w:sz w:val="24"/>
          <w:szCs w:val="24"/>
        </w:rPr>
        <w:t xml:space="preserve"> (202</w:t>
      </w:r>
      <w:r w:rsidR="00A30E56">
        <w:rPr>
          <w:rFonts w:ascii="Tahoma" w:hAnsi="Tahoma" w:cs="Tahoma"/>
          <w:i/>
          <w:iCs/>
          <w:sz w:val="24"/>
          <w:szCs w:val="24"/>
        </w:rPr>
        <w:t>5</w:t>
      </w:r>
      <w:r w:rsidRPr="00C56F60">
        <w:rPr>
          <w:rFonts w:ascii="Tahoma" w:hAnsi="Tahoma" w:cs="Tahoma"/>
          <w:i/>
          <w:iCs/>
          <w:sz w:val="24"/>
          <w:szCs w:val="24"/>
        </w:rPr>
        <w:t>)</w:t>
      </w:r>
    </w:p>
    <w:p w14:paraId="22EC5F8D" w14:textId="4AA29C48" w:rsidR="00184FA3" w:rsidRPr="00863A17" w:rsidRDefault="00F67469" w:rsidP="003C1D2F">
      <w:pPr>
        <w:pStyle w:val="Heading2"/>
        <w:spacing w:before="0" w:after="240" w:line="240" w:lineRule="auto"/>
        <w:rPr>
          <w:rFonts w:cs="Tahoma"/>
          <w:b/>
          <w:color w:val="000000"/>
          <w:szCs w:val="24"/>
          <w:lang w:val="en-US"/>
        </w:rPr>
      </w:pPr>
      <w:bookmarkStart w:id="67" w:name="_Toc166607904"/>
      <w:bookmarkStart w:id="68" w:name="_Toc189745286"/>
      <w:r w:rsidRPr="00863A17">
        <w:rPr>
          <w:rFonts w:cs="Tahoma"/>
          <w:b/>
          <w:color w:val="000000"/>
          <w:szCs w:val="24"/>
          <w:lang w:val="en-US"/>
        </w:rPr>
        <w:t>8.2</w:t>
      </w:r>
      <w:r w:rsidRPr="00863A17">
        <w:rPr>
          <w:rFonts w:cs="Tahoma"/>
          <w:b/>
          <w:color w:val="000000"/>
          <w:szCs w:val="24"/>
          <w:lang w:val="en-US"/>
        </w:rPr>
        <w:tab/>
      </w:r>
      <w:r w:rsidR="00184FA3" w:rsidRPr="00863A17">
        <w:rPr>
          <w:rFonts w:cs="Tahoma"/>
          <w:b/>
          <w:color w:val="000000"/>
          <w:szCs w:val="24"/>
          <w:lang w:val="en-US"/>
        </w:rPr>
        <w:t>Victoria Falls Stock Exchange</w:t>
      </w:r>
      <w:bookmarkEnd w:id="67"/>
      <w:r w:rsidR="00184FA3" w:rsidRPr="00863A17">
        <w:rPr>
          <w:rFonts w:cs="Tahoma"/>
          <w:b/>
          <w:color w:val="000000"/>
          <w:szCs w:val="24"/>
          <w:lang w:val="en-US"/>
        </w:rPr>
        <w:t xml:space="preserve"> </w:t>
      </w:r>
      <w:r w:rsidR="00C10E3B">
        <w:rPr>
          <w:rFonts w:cs="Tahoma"/>
          <w:b/>
          <w:color w:val="000000"/>
          <w:szCs w:val="24"/>
          <w:lang w:val="en-US"/>
        </w:rPr>
        <w:t>(VFEX)</w:t>
      </w:r>
      <w:bookmarkEnd w:id="68"/>
    </w:p>
    <w:p w14:paraId="611A7B5D" w14:textId="15A7BD7E" w:rsidR="00427CDA" w:rsidRDefault="00F67469" w:rsidP="00D46304">
      <w:pPr>
        <w:ind w:left="720" w:hanging="720"/>
        <w:jc w:val="both"/>
        <w:rPr>
          <w:rFonts w:ascii="Tahoma" w:hAnsi="Tahoma" w:cs="Tahoma"/>
          <w:sz w:val="24"/>
          <w:szCs w:val="24"/>
          <w:lang w:val="en-US"/>
        </w:rPr>
      </w:pPr>
      <w:r w:rsidRPr="00863A17">
        <w:rPr>
          <w:rFonts w:ascii="Tahoma" w:hAnsi="Tahoma" w:cs="Tahoma"/>
          <w:sz w:val="24"/>
          <w:szCs w:val="24"/>
          <w:lang w:val="en-US"/>
        </w:rPr>
        <w:t>8.2.1</w:t>
      </w:r>
      <w:r w:rsidRPr="00863A17">
        <w:rPr>
          <w:rFonts w:ascii="Tahoma" w:hAnsi="Tahoma" w:cs="Tahoma"/>
          <w:sz w:val="24"/>
          <w:szCs w:val="24"/>
          <w:lang w:val="en-US"/>
        </w:rPr>
        <w:tab/>
      </w:r>
      <w:bookmarkStart w:id="69" w:name="_Hlk179978821"/>
      <w:r w:rsidR="00C10E3B">
        <w:rPr>
          <w:rFonts w:ascii="Tahoma" w:hAnsi="Tahoma" w:cs="Tahoma"/>
          <w:sz w:val="24"/>
          <w:szCs w:val="24"/>
          <w:lang w:val="en-US"/>
        </w:rPr>
        <w:t>T</w:t>
      </w:r>
      <w:r w:rsidR="00427CDA">
        <w:rPr>
          <w:rFonts w:ascii="Tahoma" w:hAnsi="Tahoma" w:cs="Tahoma"/>
          <w:sz w:val="24"/>
          <w:szCs w:val="24"/>
          <w:lang w:val="en-US"/>
        </w:rPr>
        <w:t>he V</w:t>
      </w:r>
      <w:r w:rsidR="00EE1EEF">
        <w:rPr>
          <w:rFonts w:ascii="Tahoma" w:hAnsi="Tahoma" w:cs="Tahoma"/>
          <w:sz w:val="24"/>
          <w:szCs w:val="24"/>
          <w:lang w:val="en-US"/>
        </w:rPr>
        <w:t xml:space="preserve">FEX </w:t>
      </w:r>
      <w:r w:rsidR="006F0EFE">
        <w:rPr>
          <w:rFonts w:ascii="Tahoma" w:hAnsi="Tahoma" w:cs="Tahoma"/>
          <w:sz w:val="24"/>
          <w:szCs w:val="24"/>
          <w:lang w:val="en-US"/>
        </w:rPr>
        <w:t xml:space="preserve">continued to </w:t>
      </w:r>
      <w:r w:rsidR="00932158">
        <w:rPr>
          <w:rFonts w:ascii="Tahoma" w:hAnsi="Tahoma" w:cs="Tahoma"/>
          <w:sz w:val="24"/>
          <w:szCs w:val="24"/>
          <w:lang w:val="en-US"/>
        </w:rPr>
        <w:t>record a bullish</w:t>
      </w:r>
      <w:r w:rsidR="006F0EFE">
        <w:rPr>
          <w:rFonts w:ascii="Tahoma" w:hAnsi="Tahoma" w:cs="Tahoma"/>
          <w:sz w:val="24"/>
          <w:szCs w:val="24"/>
          <w:lang w:val="en-US"/>
        </w:rPr>
        <w:t xml:space="preserve"> </w:t>
      </w:r>
      <w:r w:rsidR="00932158">
        <w:rPr>
          <w:rFonts w:ascii="Tahoma" w:hAnsi="Tahoma" w:cs="Tahoma"/>
          <w:sz w:val="24"/>
          <w:szCs w:val="24"/>
          <w:lang w:val="en-US"/>
        </w:rPr>
        <w:t xml:space="preserve">trend in </w:t>
      </w:r>
      <w:r w:rsidR="006F0EFE">
        <w:rPr>
          <w:rFonts w:ascii="Tahoma" w:hAnsi="Tahoma" w:cs="Tahoma"/>
          <w:sz w:val="24"/>
          <w:szCs w:val="24"/>
          <w:lang w:val="en-US"/>
        </w:rPr>
        <w:t>January</w:t>
      </w:r>
      <w:r w:rsidR="00932158">
        <w:rPr>
          <w:rFonts w:ascii="Tahoma" w:hAnsi="Tahoma" w:cs="Tahoma"/>
          <w:sz w:val="24"/>
          <w:szCs w:val="24"/>
          <w:lang w:val="en-US"/>
        </w:rPr>
        <w:t xml:space="preserve"> </w:t>
      </w:r>
      <w:r w:rsidR="00C10E3B">
        <w:rPr>
          <w:rFonts w:ascii="Tahoma" w:hAnsi="Tahoma" w:cs="Tahoma"/>
          <w:sz w:val="24"/>
          <w:szCs w:val="24"/>
          <w:lang w:val="en-US"/>
        </w:rPr>
        <w:t>202</w:t>
      </w:r>
      <w:r w:rsidR="006F0EFE">
        <w:rPr>
          <w:rFonts w:ascii="Tahoma" w:hAnsi="Tahoma" w:cs="Tahoma"/>
          <w:sz w:val="24"/>
          <w:szCs w:val="24"/>
          <w:lang w:val="en-US"/>
        </w:rPr>
        <w:t>5</w:t>
      </w:r>
      <w:r w:rsidR="00C10E3B">
        <w:rPr>
          <w:rFonts w:ascii="Tahoma" w:hAnsi="Tahoma" w:cs="Tahoma"/>
          <w:sz w:val="24"/>
          <w:szCs w:val="24"/>
          <w:lang w:val="en-US"/>
        </w:rPr>
        <w:t xml:space="preserve">, with all share index </w:t>
      </w:r>
      <w:r w:rsidR="00932158">
        <w:rPr>
          <w:rFonts w:ascii="Tahoma" w:hAnsi="Tahoma" w:cs="Tahoma"/>
          <w:sz w:val="24"/>
          <w:szCs w:val="24"/>
          <w:lang w:val="en-US"/>
        </w:rPr>
        <w:t xml:space="preserve">gaining </w:t>
      </w:r>
      <w:r w:rsidR="006F0EFE">
        <w:rPr>
          <w:rFonts w:ascii="Tahoma" w:hAnsi="Tahoma" w:cs="Tahoma"/>
          <w:sz w:val="24"/>
          <w:szCs w:val="24"/>
          <w:lang w:val="en-US"/>
        </w:rPr>
        <w:t>0.81</w:t>
      </w:r>
      <w:r w:rsidR="00932158">
        <w:rPr>
          <w:rFonts w:ascii="Tahoma" w:hAnsi="Tahoma" w:cs="Tahoma"/>
          <w:sz w:val="24"/>
          <w:szCs w:val="24"/>
          <w:lang w:val="en-US"/>
        </w:rPr>
        <w:t xml:space="preserve">%, value traded hiked </w:t>
      </w:r>
      <w:r w:rsidR="006F0EFE">
        <w:rPr>
          <w:rFonts w:ascii="Tahoma" w:hAnsi="Tahoma" w:cs="Tahoma"/>
          <w:sz w:val="24"/>
          <w:szCs w:val="24"/>
          <w:lang w:val="en-US"/>
        </w:rPr>
        <w:t>by 109.95</w:t>
      </w:r>
      <w:r w:rsidR="00932158">
        <w:rPr>
          <w:rFonts w:ascii="Tahoma" w:hAnsi="Tahoma" w:cs="Tahoma"/>
          <w:sz w:val="24"/>
          <w:szCs w:val="24"/>
          <w:lang w:val="en-US"/>
        </w:rPr>
        <w:t>% and</w:t>
      </w:r>
      <w:r w:rsidR="00C10E3B">
        <w:rPr>
          <w:rFonts w:ascii="Tahoma" w:hAnsi="Tahoma" w:cs="Tahoma"/>
          <w:sz w:val="24"/>
          <w:szCs w:val="24"/>
          <w:lang w:val="en-US"/>
        </w:rPr>
        <w:t xml:space="preserve"> market capitalization </w:t>
      </w:r>
      <w:r w:rsidR="006F0EFE">
        <w:rPr>
          <w:rFonts w:ascii="Tahoma" w:hAnsi="Tahoma" w:cs="Tahoma"/>
          <w:sz w:val="24"/>
          <w:szCs w:val="24"/>
          <w:lang w:val="en-US"/>
        </w:rPr>
        <w:t>grew</w:t>
      </w:r>
      <w:r w:rsidR="00C10E3B">
        <w:rPr>
          <w:rFonts w:ascii="Tahoma" w:hAnsi="Tahoma" w:cs="Tahoma"/>
          <w:sz w:val="24"/>
          <w:szCs w:val="24"/>
          <w:lang w:val="en-US"/>
        </w:rPr>
        <w:t xml:space="preserve"> by </w:t>
      </w:r>
      <w:r w:rsidR="006F0EFE">
        <w:rPr>
          <w:rFonts w:ascii="Tahoma" w:hAnsi="Tahoma" w:cs="Tahoma"/>
          <w:sz w:val="24"/>
          <w:szCs w:val="24"/>
          <w:lang w:val="en-US"/>
        </w:rPr>
        <w:t>31.66</w:t>
      </w:r>
      <w:r w:rsidR="00C10E3B">
        <w:rPr>
          <w:rFonts w:ascii="Tahoma" w:hAnsi="Tahoma" w:cs="Tahoma"/>
          <w:sz w:val="24"/>
          <w:szCs w:val="24"/>
          <w:lang w:val="en-US"/>
        </w:rPr>
        <w:t>%.</w:t>
      </w:r>
      <w:r w:rsidR="001C6D0E">
        <w:rPr>
          <w:rFonts w:ascii="Tahoma" w:hAnsi="Tahoma" w:cs="Tahoma"/>
          <w:sz w:val="24"/>
          <w:szCs w:val="24"/>
          <w:lang w:val="en-US"/>
        </w:rPr>
        <w:t xml:space="preserve"> </w:t>
      </w:r>
    </w:p>
    <w:p w14:paraId="4FFB8224" w14:textId="2E7CD5CC" w:rsidR="00F84FC8" w:rsidRPr="00863A17" w:rsidRDefault="00DC4765" w:rsidP="00906D64">
      <w:pPr>
        <w:ind w:left="720" w:hanging="720"/>
        <w:jc w:val="both"/>
        <w:rPr>
          <w:rFonts w:ascii="Tahoma" w:hAnsi="Tahoma" w:cs="Tahoma"/>
          <w:sz w:val="24"/>
          <w:szCs w:val="24"/>
          <w:lang w:val="en-US"/>
        </w:rPr>
      </w:pPr>
      <w:r w:rsidRPr="00863A17">
        <w:rPr>
          <w:rFonts w:ascii="Tahoma" w:hAnsi="Tahoma" w:cs="Tahoma"/>
          <w:sz w:val="24"/>
          <w:szCs w:val="24"/>
          <w:lang w:val="en-US"/>
        </w:rPr>
        <w:t xml:space="preserve"> </w:t>
      </w:r>
      <w:r w:rsidR="00F67469" w:rsidRPr="00863A17">
        <w:rPr>
          <w:rFonts w:ascii="Tahoma" w:hAnsi="Tahoma" w:cs="Tahoma"/>
          <w:sz w:val="24"/>
          <w:szCs w:val="24"/>
          <w:lang w:val="en-US"/>
        </w:rPr>
        <w:t>8.2.</w:t>
      </w:r>
      <w:r w:rsidR="009D4D20">
        <w:rPr>
          <w:rFonts w:ascii="Tahoma" w:hAnsi="Tahoma" w:cs="Tahoma"/>
          <w:sz w:val="24"/>
          <w:szCs w:val="24"/>
          <w:lang w:val="en-US"/>
        </w:rPr>
        <w:t>2</w:t>
      </w:r>
      <w:r w:rsidR="00F67469" w:rsidRPr="00863A17">
        <w:rPr>
          <w:rFonts w:ascii="Tahoma" w:hAnsi="Tahoma" w:cs="Tahoma"/>
          <w:sz w:val="24"/>
          <w:szCs w:val="24"/>
          <w:lang w:val="en-US"/>
        </w:rPr>
        <w:tab/>
      </w:r>
      <w:r w:rsidR="00144E1E">
        <w:rPr>
          <w:rFonts w:ascii="Tahoma" w:hAnsi="Tahoma" w:cs="Tahoma"/>
          <w:sz w:val="24"/>
          <w:szCs w:val="24"/>
          <w:lang w:val="en-US"/>
        </w:rPr>
        <w:t>All other indices grew on</w:t>
      </w:r>
      <w:r w:rsidR="004A2699">
        <w:rPr>
          <w:rFonts w:ascii="Tahoma" w:hAnsi="Tahoma" w:cs="Tahoma"/>
          <w:sz w:val="24"/>
          <w:szCs w:val="24"/>
          <w:lang w:val="en-US"/>
        </w:rPr>
        <w:t xml:space="preserve"> YtD</w:t>
      </w:r>
      <w:r w:rsidR="00526479">
        <w:rPr>
          <w:rFonts w:ascii="Tahoma" w:hAnsi="Tahoma" w:cs="Tahoma"/>
          <w:sz w:val="24"/>
          <w:szCs w:val="24"/>
          <w:lang w:val="en-US"/>
        </w:rPr>
        <w:t xml:space="preserve"> and YoY </w:t>
      </w:r>
      <w:r w:rsidR="00EB6377">
        <w:rPr>
          <w:rFonts w:ascii="Tahoma" w:hAnsi="Tahoma" w:cs="Tahoma"/>
          <w:sz w:val="24"/>
          <w:szCs w:val="24"/>
          <w:lang w:val="en-US"/>
        </w:rPr>
        <w:t xml:space="preserve">basis, </w:t>
      </w:r>
      <w:r w:rsidR="00144E1E">
        <w:rPr>
          <w:rFonts w:ascii="Tahoma" w:hAnsi="Tahoma" w:cs="Tahoma"/>
          <w:sz w:val="24"/>
          <w:szCs w:val="24"/>
          <w:lang w:val="en-US"/>
        </w:rPr>
        <w:t>except all share index falling by 1.48% and value traded also falling by 35.21%.</w:t>
      </w:r>
    </w:p>
    <w:p w14:paraId="7EBC735E" w14:textId="2E714DCA" w:rsidR="00E57C56" w:rsidRDefault="00D30418" w:rsidP="00246949">
      <w:pPr>
        <w:pStyle w:val="ListofTables"/>
      </w:pPr>
      <w:bookmarkStart w:id="70" w:name="_Toc164072368"/>
      <w:bookmarkStart w:id="71" w:name="_Toc166658895"/>
      <w:bookmarkStart w:id="72" w:name="_Toc189745380"/>
      <w:bookmarkEnd w:id="69"/>
      <w:r w:rsidRPr="0031015F">
        <w:t xml:space="preserve">Table </w:t>
      </w:r>
      <w:r w:rsidR="00B8291A">
        <w:t>8</w:t>
      </w:r>
      <w:r w:rsidRPr="0031015F">
        <w:t>: Victoria Falls Stock Exchange Movements</w:t>
      </w:r>
      <w:bookmarkEnd w:id="70"/>
      <w:bookmarkEnd w:id="71"/>
      <w:bookmarkEnd w:id="72"/>
    </w:p>
    <w:p w14:paraId="1EA2EA9E" w14:textId="5EC6284A" w:rsidR="00AB0841" w:rsidRPr="00863A17" w:rsidRDefault="00526C07" w:rsidP="00FF0FB8">
      <w:pPr>
        <w:spacing w:after="0"/>
        <w:rPr>
          <w:rFonts w:ascii="Tahoma" w:hAnsi="Tahoma" w:cs="Tahoma"/>
          <w:sz w:val="24"/>
          <w:szCs w:val="24"/>
          <w:lang w:val="en-US"/>
        </w:rPr>
      </w:pPr>
      <w:r w:rsidRPr="00526C07">
        <w:rPr>
          <w:noProof/>
        </w:rPr>
        <w:drawing>
          <wp:inline distT="0" distB="0" distL="0" distR="0" wp14:anchorId="73048CBA" wp14:editId="7ED71CDE">
            <wp:extent cx="5731510" cy="972820"/>
            <wp:effectExtent l="0" t="0" r="2540" b="0"/>
            <wp:docPr id="222995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95247" name="Picture 1" descr="A screenshot of a computer&#10;&#10;Description automatically generated"/>
                    <pic:cNvPicPr/>
                  </pic:nvPicPr>
                  <pic:blipFill>
                    <a:blip r:embed="rId22"/>
                    <a:stretch>
                      <a:fillRect/>
                    </a:stretch>
                  </pic:blipFill>
                  <pic:spPr>
                    <a:xfrm>
                      <a:off x="0" y="0"/>
                      <a:ext cx="5731510" cy="972820"/>
                    </a:xfrm>
                    <a:prstGeom prst="rect">
                      <a:avLst/>
                    </a:prstGeom>
                  </pic:spPr>
                </pic:pic>
              </a:graphicData>
            </a:graphic>
          </wp:inline>
        </w:drawing>
      </w:r>
    </w:p>
    <w:p w14:paraId="6B0F6079" w14:textId="0ABB7194" w:rsidR="00E36CF6" w:rsidRDefault="00E36CF6">
      <w:pPr>
        <w:rPr>
          <w:rFonts w:ascii="Tahoma" w:hAnsi="Tahoma" w:cs="Tahoma"/>
          <w:i/>
          <w:sz w:val="24"/>
          <w:szCs w:val="24"/>
          <w:lang w:val="en-US"/>
        </w:rPr>
      </w:pPr>
      <w:r w:rsidRPr="00863A17">
        <w:rPr>
          <w:rFonts w:ascii="Tahoma" w:hAnsi="Tahoma" w:cs="Tahoma"/>
          <w:i/>
          <w:sz w:val="24"/>
          <w:szCs w:val="24"/>
          <w:lang w:val="en-US"/>
        </w:rPr>
        <w:t>Source:</w:t>
      </w:r>
      <w:r w:rsidR="00F67469" w:rsidRPr="00863A17">
        <w:rPr>
          <w:rFonts w:ascii="Tahoma" w:hAnsi="Tahoma" w:cs="Tahoma"/>
          <w:i/>
          <w:sz w:val="24"/>
          <w:szCs w:val="24"/>
          <w:lang w:val="en-US"/>
        </w:rPr>
        <w:t xml:space="preserve"> </w:t>
      </w:r>
      <w:r w:rsidR="005F5AF8">
        <w:rPr>
          <w:rFonts w:ascii="Tahoma" w:hAnsi="Tahoma" w:cs="Tahoma"/>
          <w:i/>
          <w:sz w:val="24"/>
          <w:szCs w:val="24"/>
          <w:lang w:val="en-US"/>
        </w:rPr>
        <w:t>VFEX</w:t>
      </w:r>
      <w:r w:rsidR="00F5173C" w:rsidRPr="00863A17">
        <w:rPr>
          <w:rFonts w:ascii="Tahoma" w:hAnsi="Tahoma" w:cs="Tahoma"/>
          <w:i/>
          <w:sz w:val="24"/>
          <w:szCs w:val="24"/>
          <w:lang w:val="en-US"/>
        </w:rPr>
        <w:t xml:space="preserve"> </w:t>
      </w:r>
      <w:r w:rsidR="00F67469" w:rsidRPr="00863A17">
        <w:rPr>
          <w:rFonts w:ascii="Tahoma" w:hAnsi="Tahoma" w:cs="Tahoma"/>
          <w:i/>
          <w:sz w:val="24"/>
          <w:szCs w:val="24"/>
          <w:lang w:val="en-US"/>
        </w:rPr>
        <w:t>(</w:t>
      </w:r>
      <w:r w:rsidRPr="00863A17">
        <w:rPr>
          <w:rFonts w:ascii="Tahoma" w:hAnsi="Tahoma" w:cs="Tahoma"/>
          <w:i/>
          <w:sz w:val="24"/>
          <w:szCs w:val="24"/>
          <w:lang w:val="en-US"/>
        </w:rPr>
        <w:t>202</w:t>
      </w:r>
      <w:r w:rsidR="00526C07">
        <w:rPr>
          <w:rFonts w:ascii="Tahoma" w:hAnsi="Tahoma" w:cs="Tahoma"/>
          <w:i/>
          <w:sz w:val="24"/>
          <w:szCs w:val="24"/>
          <w:lang w:val="en-US"/>
        </w:rPr>
        <w:t>5</w:t>
      </w:r>
      <w:r w:rsidR="00F67469" w:rsidRPr="00863A17">
        <w:rPr>
          <w:rFonts w:ascii="Tahoma" w:hAnsi="Tahoma" w:cs="Tahoma"/>
          <w:i/>
          <w:sz w:val="24"/>
          <w:szCs w:val="24"/>
          <w:lang w:val="en-US"/>
        </w:rPr>
        <w:t>)</w:t>
      </w:r>
      <w:r w:rsidRPr="00863A17">
        <w:rPr>
          <w:rFonts w:ascii="Tahoma" w:hAnsi="Tahoma" w:cs="Tahoma"/>
          <w:i/>
          <w:sz w:val="24"/>
          <w:szCs w:val="24"/>
          <w:lang w:val="en-US"/>
        </w:rPr>
        <w:t xml:space="preserve"> </w:t>
      </w:r>
    </w:p>
    <w:p w14:paraId="122B974C" w14:textId="77777777" w:rsidR="00E2017D" w:rsidRDefault="00E2017D">
      <w:pPr>
        <w:rPr>
          <w:rFonts w:ascii="Tahoma" w:hAnsi="Tahoma" w:cs="Tahoma"/>
          <w:iCs/>
          <w:sz w:val="24"/>
          <w:szCs w:val="24"/>
          <w:lang w:val="en-US"/>
        </w:rPr>
      </w:pPr>
    </w:p>
    <w:p w14:paraId="34F5DA1B" w14:textId="77777777" w:rsidR="00E2017D" w:rsidRDefault="00E2017D">
      <w:pPr>
        <w:rPr>
          <w:rFonts w:ascii="Tahoma" w:hAnsi="Tahoma" w:cs="Tahoma"/>
          <w:iCs/>
          <w:sz w:val="24"/>
          <w:szCs w:val="24"/>
          <w:lang w:val="en-US"/>
        </w:rPr>
      </w:pPr>
    </w:p>
    <w:p w14:paraId="44B817E1" w14:textId="77777777" w:rsidR="00E2017D" w:rsidRDefault="00E2017D">
      <w:pPr>
        <w:rPr>
          <w:rFonts w:ascii="Tahoma" w:hAnsi="Tahoma" w:cs="Tahoma"/>
          <w:iCs/>
          <w:sz w:val="24"/>
          <w:szCs w:val="24"/>
          <w:lang w:val="en-US"/>
        </w:rPr>
      </w:pPr>
    </w:p>
    <w:p w14:paraId="1D23D26A" w14:textId="77777777" w:rsidR="00E2017D" w:rsidRDefault="00E2017D">
      <w:pPr>
        <w:rPr>
          <w:rFonts w:ascii="Tahoma" w:hAnsi="Tahoma" w:cs="Tahoma"/>
          <w:iCs/>
          <w:sz w:val="24"/>
          <w:szCs w:val="24"/>
          <w:lang w:val="en-US"/>
        </w:rPr>
      </w:pPr>
    </w:p>
    <w:p w14:paraId="3726D254" w14:textId="77777777" w:rsidR="00E2017D" w:rsidRDefault="00E2017D">
      <w:pPr>
        <w:rPr>
          <w:rFonts w:ascii="Tahoma" w:hAnsi="Tahoma" w:cs="Tahoma"/>
          <w:iCs/>
          <w:sz w:val="24"/>
          <w:szCs w:val="24"/>
          <w:lang w:val="en-US"/>
        </w:rPr>
      </w:pPr>
    </w:p>
    <w:p w14:paraId="1A6FD8CC" w14:textId="77777777" w:rsidR="00E2017D" w:rsidRDefault="00E2017D">
      <w:pPr>
        <w:rPr>
          <w:rFonts w:ascii="Tahoma" w:hAnsi="Tahoma" w:cs="Tahoma"/>
          <w:iCs/>
          <w:sz w:val="24"/>
          <w:szCs w:val="24"/>
          <w:lang w:val="en-US"/>
        </w:rPr>
      </w:pPr>
    </w:p>
    <w:p w14:paraId="6F6A5CE9" w14:textId="77777777" w:rsidR="00B8291A" w:rsidRDefault="00B8291A">
      <w:pPr>
        <w:rPr>
          <w:rFonts w:ascii="Tahoma" w:hAnsi="Tahoma" w:cs="Tahoma"/>
          <w:iCs/>
          <w:sz w:val="24"/>
          <w:szCs w:val="24"/>
          <w:lang w:val="en-US"/>
        </w:rPr>
      </w:pPr>
    </w:p>
    <w:p w14:paraId="3D328F68" w14:textId="77777777" w:rsidR="00B8291A" w:rsidRDefault="00B8291A">
      <w:pPr>
        <w:rPr>
          <w:rFonts w:ascii="Tahoma" w:hAnsi="Tahoma" w:cs="Tahoma"/>
          <w:iCs/>
          <w:sz w:val="24"/>
          <w:szCs w:val="24"/>
          <w:lang w:val="en-US"/>
        </w:rPr>
      </w:pPr>
    </w:p>
    <w:p w14:paraId="2CB837DE" w14:textId="77777777" w:rsidR="00452C25" w:rsidRDefault="00452C25">
      <w:pPr>
        <w:rPr>
          <w:rFonts w:ascii="Tahoma" w:hAnsi="Tahoma" w:cs="Tahoma"/>
          <w:iCs/>
          <w:sz w:val="24"/>
          <w:szCs w:val="24"/>
          <w:lang w:val="en-US"/>
        </w:rPr>
      </w:pPr>
    </w:p>
    <w:p w14:paraId="5DD9FE06" w14:textId="77777777" w:rsidR="00E2017D" w:rsidRPr="00E2017D" w:rsidRDefault="00E2017D">
      <w:pPr>
        <w:rPr>
          <w:rFonts w:ascii="Tahoma" w:hAnsi="Tahoma" w:cs="Tahoma"/>
          <w:iCs/>
          <w:sz w:val="24"/>
          <w:szCs w:val="24"/>
          <w:lang w:val="en-US"/>
        </w:rPr>
      </w:pPr>
    </w:p>
    <w:p w14:paraId="1D3B5266" w14:textId="77777777" w:rsidR="00EF3AD6" w:rsidRPr="00A64F64" w:rsidRDefault="00FC703F" w:rsidP="00FB337E">
      <w:pPr>
        <w:pStyle w:val="Heading1"/>
        <w:spacing w:before="0" w:after="240" w:line="240" w:lineRule="auto"/>
        <w:jc w:val="both"/>
        <w:rPr>
          <w:rFonts w:cs="Tahoma"/>
          <w:bCs/>
          <w:color w:val="000000"/>
          <w:szCs w:val="24"/>
          <w:lang w:val="en-US"/>
        </w:rPr>
      </w:pPr>
      <w:bookmarkStart w:id="73" w:name="_Toc166607905"/>
      <w:bookmarkStart w:id="74" w:name="_Toc189745287"/>
      <w:r w:rsidRPr="00A64F64">
        <w:rPr>
          <w:rFonts w:cs="Tahoma"/>
          <w:bCs/>
          <w:color w:val="000000"/>
          <w:szCs w:val="24"/>
          <w:lang w:val="en-US"/>
        </w:rPr>
        <w:lastRenderedPageBreak/>
        <w:t>9.0</w:t>
      </w:r>
      <w:r w:rsidRPr="00A64F64">
        <w:rPr>
          <w:rFonts w:cs="Tahoma"/>
          <w:bCs/>
          <w:color w:val="000000"/>
          <w:szCs w:val="24"/>
          <w:lang w:val="en-US"/>
        </w:rPr>
        <w:tab/>
        <w:t>Recommendations</w:t>
      </w:r>
      <w:bookmarkEnd w:id="73"/>
      <w:bookmarkEnd w:id="74"/>
      <w:r w:rsidRPr="00A64F64">
        <w:rPr>
          <w:rFonts w:cs="Tahoma"/>
          <w:bCs/>
          <w:color w:val="000000"/>
          <w:szCs w:val="24"/>
          <w:lang w:val="en-US"/>
        </w:rPr>
        <w:t xml:space="preserve"> </w:t>
      </w:r>
    </w:p>
    <w:p w14:paraId="07D4E33B" w14:textId="77777777" w:rsidR="00790EF8" w:rsidRDefault="00EC6C43" w:rsidP="00FB337E">
      <w:pPr>
        <w:ind w:left="720" w:hanging="720"/>
        <w:jc w:val="both"/>
        <w:rPr>
          <w:rFonts w:ascii="Tahoma" w:hAnsi="Tahoma" w:cs="Tahoma"/>
          <w:sz w:val="24"/>
          <w:szCs w:val="24"/>
          <w:lang w:val="en-US"/>
        </w:rPr>
      </w:pPr>
      <w:r w:rsidRPr="00863A17">
        <w:rPr>
          <w:rFonts w:ascii="Tahoma" w:hAnsi="Tahoma" w:cs="Tahoma"/>
          <w:sz w:val="24"/>
          <w:szCs w:val="24"/>
          <w:lang w:val="en-US"/>
        </w:rPr>
        <w:t>9.1</w:t>
      </w:r>
      <w:r w:rsidR="00FC703F" w:rsidRPr="00863A17">
        <w:rPr>
          <w:rFonts w:ascii="Tahoma" w:hAnsi="Tahoma" w:cs="Tahoma"/>
          <w:sz w:val="24"/>
          <w:szCs w:val="24"/>
          <w:lang w:val="en-US"/>
        </w:rPr>
        <w:tab/>
        <w:t>The following reco</w:t>
      </w:r>
      <w:r w:rsidR="00A43C6F">
        <w:rPr>
          <w:rFonts w:ascii="Tahoma" w:hAnsi="Tahoma" w:cs="Tahoma"/>
          <w:sz w:val="24"/>
          <w:szCs w:val="24"/>
          <w:lang w:val="en-US"/>
        </w:rPr>
        <w:t>mmendations are being proposed:</w:t>
      </w:r>
    </w:p>
    <w:p w14:paraId="3F3098F5" w14:textId="4C840239" w:rsidR="004F77B5" w:rsidRDefault="003F15BF" w:rsidP="00FB337E">
      <w:pPr>
        <w:ind w:left="720" w:hanging="720"/>
        <w:jc w:val="both"/>
        <w:rPr>
          <w:rFonts w:ascii="Tahoma" w:hAnsi="Tahoma" w:cs="Tahoma"/>
          <w:sz w:val="24"/>
          <w:szCs w:val="24"/>
          <w:lang w:val="en-US"/>
        </w:rPr>
      </w:pPr>
      <w:r w:rsidRPr="003F15BF">
        <w:rPr>
          <w:rFonts w:ascii="Tahoma" w:hAnsi="Tahoma" w:cs="Tahoma"/>
          <w:b/>
          <w:bCs/>
          <w:sz w:val="24"/>
          <w:szCs w:val="24"/>
          <w:lang w:val="en-US"/>
        </w:rPr>
        <w:t>9.1.1</w:t>
      </w:r>
      <w:r w:rsidRPr="003F15BF">
        <w:rPr>
          <w:rFonts w:ascii="Tahoma" w:hAnsi="Tahoma" w:cs="Tahoma"/>
          <w:b/>
          <w:bCs/>
          <w:sz w:val="24"/>
          <w:szCs w:val="24"/>
          <w:lang w:val="en-US"/>
        </w:rPr>
        <w:tab/>
      </w:r>
      <w:r w:rsidR="00AC04BD">
        <w:rPr>
          <w:rFonts w:ascii="Tahoma" w:hAnsi="Tahoma" w:cs="Tahoma"/>
          <w:b/>
          <w:bCs/>
          <w:sz w:val="24"/>
          <w:szCs w:val="24"/>
          <w:lang w:val="en-US"/>
        </w:rPr>
        <w:t>Monetary Policy Adjustment</w:t>
      </w:r>
      <w:r w:rsidR="004F77B5" w:rsidRPr="003F15BF">
        <w:rPr>
          <w:rFonts w:ascii="Tahoma" w:hAnsi="Tahoma" w:cs="Tahoma"/>
          <w:b/>
          <w:bCs/>
          <w:sz w:val="24"/>
          <w:szCs w:val="24"/>
          <w:lang w:val="en-US"/>
        </w:rPr>
        <w:t>:</w:t>
      </w:r>
      <w:r w:rsidR="00AC04BD">
        <w:rPr>
          <w:rFonts w:ascii="Tahoma" w:hAnsi="Tahoma" w:cs="Tahoma"/>
          <w:sz w:val="24"/>
          <w:szCs w:val="24"/>
          <w:lang w:val="en-US"/>
        </w:rPr>
        <w:t xml:space="preserve"> </w:t>
      </w:r>
      <w:r w:rsidR="006A226A">
        <w:rPr>
          <w:rFonts w:ascii="Tahoma" w:hAnsi="Tahoma" w:cs="Tahoma"/>
          <w:sz w:val="24"/>
          <w:szCs w:val="24"/>
          <w:lang w:val="en-US"/>
        </w:rPr>
        <w:t xml:space="preserve">Despite the </w:t>
      </w:r>
      <w:r w:rsidR="00FB337E">
        <w:rPr>
          <w:rFonts w:ascii="Tahoma" w:hAnsi="Tahoma" w:cs="Tahoma"/>
          <w:sz w:val="24"/>
          <w:szCs w:val="24"/>
          <w:lang w:val="en-US"/>
        </w:rPr>
        <w:t>Reserve Bank’</w:t>
      </w:r>
      <w:r w:rsidR="006A226A">
        <w:rPr>
          <w:rFonts w:ascii="Tahoma" w:hAnsi="Tahoma" w:cs="Tahoma"/>
          <w:sz w:val="24"/>
          <w:szCs w:val="24"/>
          <w:lang w:val="en-US"/>
        </w:rPr>
        <w:t xml:space="preserve">s tight monetary stance, the ZWG continued to depreciate against major currencies and inflation grew </w:t>
      </w:r>
      <w:r w:rsidR="00FB337E">
        <w:rPr>
          <w:rFonts w:ascii="Tahoma" w:hAnsi="Tahoma" w:cs="Tahoma"/>
          <w:sz w:val="24"/>
          <w:szCs w:val="24"/>
          <w:lang w:val="en-US"/>
        </w:rPr>
        <w:t>significantly</w:t>
      </w:r>
      <w:r w:rsidR="006A226A">
        <w:rPr>
          <w:rFonts w:ascii="Tahoma" w:hAnsi="Tahoma" w:cs="Tahoma"/>
          <w:sz w:val="24"/>
          <w:szCs w:val="24"/>
          <w:lang w:val="en-US"/>
        </w:rPr>
        <w:t xml:space="preserve">. The </w:t>
      </w:r>
      <w:r w:rsidR="00FB337E">
        <w:rPr>
          <w:rFonts w:ascii="Tahoma" w:hAnsi="Tahoma" w:cs="Tahoma"/>
          <w:sz w:val="24"/>
          <w:szCs w:val="24"/>
          <w:lang w:val="en-US"/>
        </w:rPr>
        <w:t>Reserve Bank</w:t>
      </w:r>
      <w:r w:rsidR="006A226A">
        <w:rPr>
          <w:rFonts w:ascii="Tahoma" w:hAnsi="Tahoma" w:cs="Tahoma"/>
          <w:sz w:val="24"/>
          <w:szCs w:val="24"/>
          <w:lang w:val="en-US"/>
        </w:rPr>
        <w:t xml:space="preserve"> must promote usage of ZWG than the USD to improve </w:t>
      </w:r>
      <w:r w:rsidR="00AC04BD">
        <w:rPr>
          <w:rFonts w:ascii="Tahoma" w:hAnsi="Tahoma" w:cs="Tahoma"/>
          <w:sz w:val="24"/>
          <w:szCs w:val="24"/>
          <w:lang w:val="en-US"/>
        </w:rPr>
        <w:t xml:space="preserve">the </w:t>
      </w:r>
      <w:r w:rsidR="00FB337E">
        <w:rPr>
          <w:rFonts w:ascii="Tahoma" w:hAnsi="Tahoma" w:cs="Tahoma"/>
          <w:sz w:val="24"/>
          <w:szCs w:val="24"/>
          <w:lang w:val="en-US"/>
        </w:rPr>
        <w:t>effectiveness</w:t>
      </w:r>
      <w:r w:rsidR="00AC04BD">
        <w:rPr>
          <w:rFonts w:ascii="Tahoma" w:hAnsi="Tahoma" w:cs="Tahoma"/>
          <w:sz w:val="24"/>
          <w:szCs w:val="24"/>
          <w:lang w:val="en-US"/>
        </w:rPr>
        <w:t xml:space="preserve"> of the Monetary Policy on stabilizing the macroeconomic environment in Zimbabwe</w:t>
      </w:r>
      <w:r w:rsidR="006A226A">
        <w:rPr>
          <w:rFonts w:ascii="Tahoma" w:hAnsi="Tahoma" w:cs="Tahoma"/>
          <w:sz w:val="24"/>
          <w:szCs w:val="24"/>
          <w:lang w:val="en-US"/>
        </w:rPr>
        <w:t xml:space="preserve">. </w:t>
      </w:r>
      <w:r w:rsidR="00AC04BD">
        <w:rPr>
          <w:rFonts w:ascii="Tahoma" w:hAnsi="Tahoma" w:cs="Tahoma"/>
          <w:sz w:val="24"/>
          <w:szCs w:val="24"/>
          <w:lang w:val="en-US"/>
        </w:rPr>
        <w:t xml:space="preserve">The </w:t>
      </w:r>
      <w:r w:rsidR="00FB337E">
        <w:rPr>
          <w:rFonts w:ascii="Tahoma" w:hAnsi="Tahoma" w:cs="Tahoma"/>
          <w:sz w:val="24"/>
          <w:szCs w:val="24"/>
          <w:lang w:val="en-US"/>
        </w:rPr>
        <w:t>Bank</w:t>
      </w:r>
      <w:r w:rsidR="00AC04BD">
        <w:rPr>
          <w:rFonts w:ascii="Tahoma" w:hAnsi="Tahoma" w:cs="Tahoma"/>
          <w:sz w:val="24"/>
          <w:szCs w:val="24"/>
          <w:lang w:val="en-US"/>
        </w:rPr>
        <w:t xml:space="preserve"> may adjust interest rates to strike a balance between borrowing and controlling inflation, </w:t>
      </w:r>
      <w:r w:rsidR="00FB337E">
        <w:rPr>
          <w:rFonts w:ascii="Tahoma" w:hAnsi="Tahoma" w:cs="Tahoma"/>
          <w:sz w:val="24"/>
          <w:szCs w:val="24"/>
          <w:lang w:val="en-US"/>
        </w:rPr>
        <w:t>stabilizing</w:t>
      </w:r>
      <w:r w:rsidR="00AC04BD">
        <w:rPr>
          <w:rFonts w:ascii="Tahoma" w:hAnsi="Tahoma" w:cs="Tahoma"/>
          <w:sz w:val="24"/>
          <w:szCs w:val="24"/>
          <w:lang w:val="en-US"/>
        </w:rPr>
        <w:t xml:space="preserve"> </w:t>
      </w:r>
      <w:r w:rsidR="00FB337E">
        <w:rPr>
          <w:rFonts w:ascii="Tahoma" w:hAnsi="Tahoma" w:cs="Tahoma"/>
          <w:sz w:val="24"/>
          <w:szCs w:val="24"/>
          <w:lang w:val="en-US"/>
        </w:rPr>
        <w:t>the exchange</w:t>
      </w:r>
      <w:r w:rsidR="00AC04BD">
        <w:rPr>
          <w:rFonts w:ascii="Tahoma" w:hAnsi="Tahoma" w:cs="Tahoma"/>
          <w:sz w:val="24"/>
          <w:szCs w:val="24"/>
          <w:lang w:val="en-US"/>
        </w:rPr>
        <w:t xml:space="preserve"> rate to eliminate the discrepancies in the</w:t>
      </w:r>
      <w:r w:rsidR="006E650F">
        <w:rPr>
          <w:rFonts w:ascii="Tahoma" w:hAnsi="Tahoma" w:cs="Tahoma"/>
          <w:sz w:val="24"/>
          <w:szCs w:val="24"/>
          <w:lang w:val="en-US"/>
        </w:rPr>
        <w:t xml:space="preserve"> foreign exchange</w:t>
      </w:r>
      <w:r w:rsidR="00AC04BD">
        <w:rPr>
          <w:rFonts w:ascii="Tahoma" w:hAnsi="Tahoma" w:cs="Tahoma"/>
          <w:sz w:val="24"/>
          <w:szCs w:val="24"/>
          <w:lang w:val="en-US"/>
        </w:rPr>
        <w:t xml:space="preserve"> market.</w:t>
      </w:r>
    </w:p>
    <w:p w14:paraId="4E303DD5" w14:textId="3B7EB38E" w:rsidR="00F116AC" w:rsidRDefault="00F116AC" w:rsidP="00FB337E">
      <w:pPr>
        <w:pStyle w:val="ListParagraph"/>
        <w:numPr>
          <w:ilvl w:val="2"/>
          <w:numId w:val="20"/>
        </w:numPr>
        <w:jc w:val="both"/>
        <w:rPr>
          <w:rFonts w:ascii="Tahoma" w:hAnsi="Tahoma" w:cs="Tahoma"/>
          <w:sz w:val="24"/>
          <w:szCs w:val="24"/>
          <w:lang w:val="en-GB"/>
        </w:rPr>
      </w:pPr>
      <w:r w:rsidRPr="00B80EC5">
        <w:rPr>
          <w:rFonts w:ascii="Tahoma" w:hAnsi="Tahoma" w:cs="Tahoma"/>
          <w:b/>
          <w:bCs/>
          <w:sz w:val="24"/>
          <w:szCs w:val="24"/>
          <w:lang w:val="en-GB"/>
        </w:rPr>
        <w:t>Fiscal Austerity</w:t>
      </w:r>
      <w:r w:rsidR="000054C7" w:rsidRPr="00B80EC5">
        <w:rPr>
          <w:rFonts w:ascii="Tahoma" w:hAnsi="Tahoma" w:cs="Tahoma"/>
          <w:b/>
          <w:bCs/>
          <w:sz w:val="24"/>
          <w:szCs w:val="24"/>
          <w:lang w:val="en-GB"/>
        </w:rPr>
        <w:t>:</w:t>
      </w:r>
      <w:r w:rsidR="001D51A5">
        <w:rPr>
          <w:rFonts w:ascii="Tahoma" w:hAnsi="Tahoma" w:cs="Tahoma"/>
          <w:sz w:val="24"/>
          <w:szCs w:val="24"/>
          <w:lang w:val="en-GB"/>
        </w:rPr>
        <w:t xml:space="preserve"> </w:t>
      </w:r>
      <w:r w:rsidR="001D51A5" w:rsidRPr="001D51A5">
        <w:rPr>
          <w:rFonts w:ascii="Tahoma" w:hAnsi="Tahoma" w:cs="Tahoma"/>
          <w:sz w:val="24"/>
          <w:szCs w:val="24"/>
          <w:lang w:val="en-GB"/>
        </w:rPr>
        <w:t>The Government should uphold fiscal responsibility by implementing rigorous spending controls, aiming to reduce the budget deficit, curb inflation, and stabilize the exchange rate, ultimately driving sustainable economic growth.</w:t>
      </w:r>
    </w:p>
    <w:p w14:paraId="5217161F" w14:textId="1311A6EF" w:rsidR="00C15CEC" w:rsidRPr="00B80EC5" w:rsidRDefault="00470854" w:rsidP="00FB337E">
      <w:pPr>
        <w:pStyle w:val="ListParagraph"/>
        <w:numPr>
          <w:ilvl w:val="2"/>
          <w:numId w:val="20"/>
        </w:numPr>
        <w:jc w:val="both"/>
        <w:rPr>
          <w:rFonts w:ascii="Tahoma" w:hAnsi="Tahoma" w:cs="Tahoma"/>
          <w:sz w:val="24"/>
          <w:szCs w:val="24"/>
          <w:lang w:val="en-GB"/>
        </w:rPr>
      </w:pPr>
      <w:r>
        <w:rPr>
          <w:rFonts w:ascii="Tahoma" w:hAnsi="Tahoma" w:cs="Tahoma"/>
          <w:b/>
          <w:bCs/>
          <w:sz w:val="24"/>
          <w:szCs w:val="24"/>
          <w:lang w:val="en-GB"/>
        </w:rPr>
        <w:t>Boost</w:t>
      </w:r>
      <w:r w:rsidR="00C15CEC">
        <w:rPr>
          <w:rFonts w:ascii="Tahoma" w:hAnsi="Tahoma" w:cs="Tahoma"/>
          <w:b/>
          <w:bCs/>
          <w:sz w:val="24"/>
          <w:szCs w:val="24"/>
          <w:lang w:val="en-GB"/>
        </w:rPr>
        <w:t xml:space="preserve"> Investment and Trade:</w:t>
      </w:r>
      <w:r w:rsidR="00C15CEC">
        <w:rPr>
          <w:rFonts w:ascii="Tahoma" w:hAnsi="Tahoma" w:cs="Tahoma"/>
          <w:sz w:val="24"/>
          <w:szCs w:val="24"/>
          <w:lang w:val="en-GB"/>
        </w:rPr>
        <w:t xml:space="preserve"> The government must implement policies foreign direct investment particularly in key sectors like agriculture, mining and manufacturing. Export destination diversification is crucial to reduce dependency on traditional markets like South Africa and China. The economy must l</w:t>
      </w:r>
      <w:r w:rsidR="00C15CEC" w:rsidRPr="00C15CEC">
        <w:rPr>
          <w:rFonts w:ascii="Tahoma" w:hAnsi="Tahoma" w:cs="Tahoma"/>
          <w:sz w:val="24"/>
          <w:szCs w:val="24"/>
          <w:lang w:val="en-GB"/>
        </w:rPr>
        <w:t>everage</w:t>
      </w:r>
      <w:r w:rsidR="00C15CEC">
        <w:rPr>
          <w:rFonts w:ascii="Tahoma" w:hAnsi="Tahoma" w:cs="Tahoma"/>
          <w:sz w:val="24"/>
          <w:szCs w:val="24"/>
          <w:lang w:val="en-GB"/>
        </w:rPr>
        <w:t xml:space="preserve"> on</w:t>
      </w:r>
      <w:r w:rsidR="00C15CEC" w:rsidRPr="00C15CEC">
        <w:rPr>
          <w:rFonts w:ascii="Tahoma" w:hAnsi="Tahoma" w:cs="Tahoma"/>
          <w:sz w:val="24"/>
          <w:szCs w:val="24"/>
          <w:lang w:val="en-GB"/>
        </w:rPr>
        <w:t xml:space="preserve"> regional trade agreements, such as the African Continental Free Trade Area (AfCFTA), to increase trade with </w:t>
      </w:r>
      <w:r w:rsidR="00786B96">
        <w:rPr>
          <w:rFonts w:ascii="Tahoma" w:hAnsi="Tahoma" w:cs="Tahoma"/>
          <w:sz w:val="24"/>
          <w:szCs w:val="24"/>
          <w:lang w:val="en-GB"/>
        </w:rPr>
        <w:t>other</w:t>
      </w:r>
      <w:r w:rsidR="00C15CEC" w:rsidRPr="00C15CEC">
        <w:rPr>
          <w:rFonts w:ascii="Tahoma" w:hAnsi="Tahoma" w:cs="Tahoma"/>
          <w:sz w:val="24"/>
          <w:szCs w:val="24"/>
          <w:lang w:val="en-GB"/>
        </w:rPr>
        <w:t xml:space="preserve"> countries.</w:t>
      </w:r>
      <w:r w:rsidR="00214737">
        <w:rPr>
          <w:rFonts w:ascii="Tahoma" w:hAnsi="Tahoma" w:cs="Tahoma"/>
          <w:sz w:val="24"/>
          <w:szCs w:val="24"/>
          <w:lang w:val="en-GB"/>
        </w:rPr>
        <w:t xml:space="preserve"> Wide free trade present immense opportunities for export diversification, access to raw materials and technology. </w:t>
      </w:r>
    </w:p>
    <w:p w14:paraId="6FA36E7D" w14:textId="4F1A8ADA" w:rsidR="000054C7" w:rsidRPr="00583564" w:rsidRDefault="00B5157C" w:rsidP="00FB337E">
      <w:pPr>
        <w:pStyle w:val="ListParagraph"/>
        <w:numPr>
          <w:ilvl w:val="2"/>
          <w:numId w:val="20"/>
        </w:numPr>
        <w:jc w:val="both"/>
        <w:rPr>
          <w:rFonts w:ascii="Tahoma" w:hAnsi="Tahoma" w:cs="Tahoma"/>
          <w:sz w:val="24"/>
          <w:szCs w:val="24"/>
          <w:lang w:val="en-GB"/>
        </w:rPr>
      </w:pPr>
      <w:r w:rsidRPr="00583564">
        <w:rPr>
          <w:rFonts w:ascii="Tahoma" w:hAnsi="Tahoma" w:cs="Tahoma"/>
          <w:b/>
          <w:bCs/>
          <w:sz w:val="24"/>
          <w:szCs w:val="24"/>
          <w:lang w:val="en-GB"/>
        </w:rPr>
        <w:t>Enhancing Agriculture and Mining Sector</w:t>
      </w:r>
      <w:r w:rsidR="000054C7" w:rsidRPr="00583564">
        <w:rPr>
          <w:rFonts w:ascii="Tahoma" w:hAnsi="Tahoma" w:cs="Tahoma"/>
          <w:b/>
          <w:bCs/>
          <w:sz w:val="24"/>
          <w:szCs w:val="24"/>
          <w:lang w:val="en-GB"/>
        </w:rPr>
        <w:t>:</w:t>
      </w:r>
      <w:r w:rsidR="000054C7" w:rsidRPr="00583564">
        <w:rPr>
          <w:rFonts w:ascii="Tahoma" w:hAnsi="Tahoma" w:cs="Tahoma"/>
          <w:sz w:val="24"/>
          <w:szCs w:val="24"/>
          <w:lang w:val="en-GB"/>
        </w:rPr>
        <w:t xml:space="preserve"> </w:t>
      </w:r>
      <w:r w:rsidR="00E47A89" w:rsidRPr="00583564">
        <w:rPr>
          <w:rFonts w:ascii="Tahoma" w:hAnsi="Tahoma" w:cs="Tahoma"/>
          <w:sz w:val="24"/>
          <w:szCs w:val="24"/>
          <w:lang w:val="en-GB"/>
        </w:rPr>
        <w:t>Given an increase in prices of agricultural commodities and minerals like gold and copper</w:t>
      </w:r>
      <w:r w:rsidR="00583564" w:rsidRPr="00583564">
        <w:rPr>
          <w:rFonts w:ascii="Tahoma" w:hAnsi="Tahoma" w:cs="Tahoma"/>
          <w:sz w:val="24"/>
          <w:szCs w:val="24"/>
          <w:lang w:val="en-GB"/>
        </w:rPr>
        <w:t xml:space="preserve"> (reflecting potential earnings)</w:t>
      </w:r>
      <w:r w:rsidR="00B745C0">
        <w:rPr>
          <w:rFonts w:ascii="Tahoma" w:hAnsi="Tahoma" w:cs="Tahoma"/>
          <w:sz w:val="24"/>
          <w:szCs w:val="24"/>
          <w:lang w:val="en-GB"/>
        </w:rPr>
        <w:t xml:space="preserve"> on the international market.</w:t>
      </w:r>
      <w:r w:rsidR="00E47A89" w:rsidRPr="00583564">
        <w:rPr>
          <w:rFonts w:ascii="Tahoma" w:hAnsi="Tahoma" w:cs="Tahoma"/>
          <w:sz w:val="24"/>
          <w:szCs w:val="24"/>
          <w:lang w:val="en-GB"/>
        </w:rPr>
        <w:t xml:space="preserve"> </w:t>
      </w:r>
      <w:r w:rsidR="00B745C0">
        <w:rPr>
          <w:rFonts w:ascii="Tahoma" w:hAnsi="Tahoma" w:cs="Tahoma"/>
          <w:sz w:val="24"/>
          <w:szCs w:val="24"/>
          <w:lang w:val="en-GB"/>
        </w:rPr>
        <w:t>T</w:t>
      </w:r>
      <w:r w:rsidR="00E47A89" w:rsidRPr="00583564">
        <w:rPr>
          <w:rFonts w:ascii="Tahoma" w:hAnsi="Tahoma" w:cs="Tahoma"/>
          <w:sz w:val="24"/>
          <w:szCs w:val="24"/>
          <w:lang w:val="en-GB"/>
        </w:rPr>
        <w:t>he Government must</w:t>
      </w:r>
      <w:r w:rsidR="00583564" w:rsidRPr="00583564">
        <w:rPr>
          <w:rFonts w:ascii="Tahoma" w:hAnsi="Tahoma" w:cs="Tahoma"/>
          <w:sz w:val="24"/>
          <w:szCs w:val="24"/>
          <w:lang w:val="en-GB"/>
        </w:rPr>
        <w:t xml:space="preserve"> implement policies to support agricultural development, including irrigation, mechanisation and agricultural financing</w:t>
      </w:r>
      <w:r w:rsidR="00B745C0">
        <w:rPr>
          <w:rFonts w:ascii="Tahoma" w:hAnsi="Tahoma" w:cs="Tahoma"/>
          <w:sz w:val="24"/>
          <w:szCs w:val="24"/>
          <w:lang w:val="en-GB"/>
        </w:rPr>
        <w:t xml:space="preserve"> and invest in mineral production and its value chain to improve the country’s export earnings. </w:t>
      </w:r>
    </w:p>
    <w:p w14:paraId="6E57DAFE" w14:textId="47595293" w:rsidR="00790EF8" w:rsidRDefault="00036704" w:rsidP="00FB337E">
      <w:pPr>
        <w:ind w:left="720" w:hanging="720"/>
        <w:jc w:val="both"/>
        <w:rPr>
          <w:lang w:val="en-US"/>
        </w:rPr>
      </w:pPr>
      <w:r w:rsidRPr="00036704">
        <w:rPr>
          <w:rFonts w:ascii="Tahoma" w:hAnsi="Tahoma" w:cs="Tahoma"/>
          <w:b/>
          <w:bCs/>
          <w:sz w:val="24"/>
          <w:szCs w:val="24"/>
          <w:lang w:val="en-GB"/>
        </w:rPr>
        <w:t>9.1.</w:t>
      </w:r>
      <w:r w:rsidR="00576013">
        <w:rPr>
          <w:rFonts w:ascii="Tahoma" w:hAnsi="Tahoma" w:cs="Tahoma"/>
          <w:b/>
          <w:bCs/>
          <w:sz w:val="24"/>
          <w:szCs w:val="24"/>
          <w:lang w:val="en-GB"/>
        </w:rPr>
        <w:t>5</w:t>
      </w:r>
      <w:r w:rsidR="00B80EC5">
        <w:rPr>
          <w:rFonts w:ascii="Tahoma" w:hAnsi="Tahoma" w:cs="Tahoma"/>
          <w:b/>
          <w:bCs/>
          <w:sz w:val="24"/>
          <w:szCs w:val="24"/>
          <w:lang w:val="en-GB"/>
        </w:rPr>
        <w:tab/>
      </w:r>
      <w:r w:rsidR="003B7840">
        <w:rPr>
          <w:rFonts w:ascii="Tahoma" w:hAnsi="Tahoma" w:cs="Tahoma"/>
          <w:b/>
          <w:bCs/>
          <w:sz w:val="24"/>
          <w:szCs w:val="24"/>
          <w:lang w:val="en-GB"/>
        </w:rPr>
        <w:t>Enhance Stock Market Liquidity</w:t>
      </w:r>
      <w:r w:rsidRPr="00036704">
        <w:rPr>
          <w:rFonts w:ascii="Tahoma" w:hAnsi="Tahoma" w:cs="Tahoma"/>
          <w:b/>
          <w:bCs/>
          <w:sz w:val="24"/>
          <w:szCs w:val="24"/>
          <w:lang w:val="en-GB"/>
        </w:rPr>
        <w:t>:</w:t>
      </w:r>
      <w:r>
        <w:rPr>
          <w:rFonts w:ascii="Tahoma" w:hAnsi="Tahoma" w:cs="Tahoma"/>
          <w:sz w:val="24"/>
          <w:szCs w:val="24"/>
          <w:lang w:val="en-GB"/>
        </w:rPr>
        <w:t xml:space="preserve"> </w:t>
      </w:r>
      <w:r w:rsidR="00705AC8" w:rsidRPr="00705AC8">
        <w:rPr>
          <w:rFonts w:ascii="Tahoma" w:hAnsi="Tahoma" w:cs="Tahoma"/>
          <w:sz w:val="24"/>
          <w:szCs w:val="24"/>
          <w:lang w:val="en-US"/>
        </w:rPr>
        <w:t>To revitalize Zimbabwe's capital markets, particularly the struggling Zimbabwe Stock Exchange (ZSE), it's essential to boost liquidity and attract investors. Both ZSE and VFEX should focus on implementing measures such as investor education programs, tax incentives for institutional investors, and leveraging technology to enhance market efficiency and competitiveness.</w:t>
      </w:r>
    </w:p>
    <w:p w14:paraId="3B793956" w14:textId="77777777" w:rsidR="00790EF8" w:rsidRDefault="00790EF8" w:rsidP="00F05BD5">
      <w:pPr>
        <w:rPr>
          <w:lang w:val="en-US"/>
        </w:rPr>
      </w:pPr>
    </w:p>
    <w:p w14:paraId="423574C4" w14:textId="21A5E876" w:rsidR="00A35184" w:rsidRDefault="00790EF8" w:rsidP="00554386">
      <w:pPr>
        <w:pStyle w:val="Heading1"/>
        <w:spacing w:before="0" w:after="240"/>
      </w:pPr>
      <w:r>
        <w:rPr>
          <w:rFonts w:cs="Tahoma"/>
          <w:szCs w:val="24"/>
          <w:lang w:val="en-US"/>
        </w:rPr>
        <w:br w:type="page"/>
      </w:r>
    </w:p>
    <w:bookmarkStart w:id="75" w:name="_Toc189745288" w:displacedByCustomXml="next"/>
    <w:sdt>
      <w:sdtPr>
        <w:rPr>
          <w:rFonts w:ascii="Calibri" w:eastAsia="Calibri" w:hAnsi="Calibri"/>
          <w:b w:val="0"/>
          <w:sz w:val="22"/>
          <w:szCs w:val="22"/>
          <w:lang w:val="en-GB"/>
        </w:rPr>
        <w:id w:val="-235097665"/>
        <w:docPartObj>
          <w:docPartGallery w:val="Bibliographies"/>
          <w:docPartUnique/>
        </w:docPartObj>
      </w:sdtPr>
      <w:sdtEndPr>
        <w:rPr>
          <w:lang w:val="en-ZW"/>
        </w:rPr>
      </w:sdtEndPr>
      <w:sdtContent>
        <w:p w14:paraId="462EFE88" w14:textId="072E5701" w:rsidR="00554386" w:rsidRPr="00554386" w:rsidRDefault="006B2ACF" w:rsidP="00FB337E">
          <w:pPr>
            <w:pStyle w:val="Heading1"/>
            <w:spacing w:before="0" w:after="240"/>
            <w:jc w:val="both"/>
          </w:pPr>
          <w:r w:rsidRPr="006B2ACF">
            <w:rPr>
              <w:rFonts w:eastAsia="Calibri" w:cs="Tahoma"/>
              <w:bCs/>
              <w:szCs w:val="24"/>
              <w:lang w:val="en-GB"/>
            </w:rPr>
            <w:t>10</w:t>
          </w:r>
          <w:r>
            <w:rPr>
              <w:rFonts w:ascii="Calibri" w:eastAsia="Calibri" w:hAnsi="Calibri"/>
              <w:b w:val="0"/>
              <w:sz w:val="22"/>
              <w:szCs w:val="22"/>
              <w:lang w:val="en-GB"/>
            </w:rPr>
            <w:t xml:space="preserve"> </w:t>
          </w:r>
          <w:r w:rsidR="00554386" w:rsidRPr="00554386">
            <w:t>References</w:t>
          </w:r>
          <w:bookmarkEnd w:id="75"/>
        </w:p>
        <w:sdt>
          <w:sdtPr>
            <w:id w:val="-573587230"/>
            <w:bibliography/>
          </w:sdtPr>
          <w:sdtContent>
            <w:p w14:paraId="066DDE84" w14:textId="77777777" w:rsidR="00960B22" w:rsidRPr="00960B22" w:rsidRDefault="00554386" w:rsidP="00FB337E">
              <w:pPr>
                <w:pStyle w:val="Bibliography"/>
                <w:ind w:left="720" w:hanging="720"/>
                <w:jc w:val="both"/>
                <w:rPr>
                  <w:rFonts w:ascii="Tahoma" w:hAnsi="Tahoma" w:cs="Tahoma"/>
                  <w:noProof/>
                  <w:kern w:val="0"/>
                  <w:sz w:val="24"/>
                  <w:szCs w:val="24"/>
                </w:rPr>
              </w:pPr>
              <w:r w:rsidRPr="00960B22">
                <w:rPr>
                  <w:rFonts w:ascii="Tahoma" w:hAnsi="Tahoma" w:cs="Tahoma"/>
                  <w:sz w:val="24"/>
                  <w:szCs w:val="24"/>
                </w:rPr>
                <w:fldChar w:fldCharType="begin"/>
              </w:r>
              <w:r w:rsidRPr="00960B22">
                <w:rPr>
                  <w:rFonts w:ascii="Tahoma" w:hAnsi="Tahoma" w:cs="Tahoma"/>
                  <w:sz w:val="24"/>
                  <w:szCs w:val="24"/>
                </w:rPr>
                <w:instrText>BIBLIOGRAPHY</w:instrText>
              </w:r>
              <w:r w:rsidRPr="00960B22">
                <w:rPr>
                  <w:rFonts w:ascii="Tahoma" w:hAnsi="Tahoma" w:cs="Tahoma"/>
                  <w:sz w:val="24"/>
                  <w:szCs w:val="24"/>
                </w:rPr>
                <w:fldChar w:fldCharType="separate"/>
              </w:r>
              <w:r w:rsidR="00960B22" w:rsidRPr="00960B22">
                <w:rPr>
                  <w:rFonts w:ascii="Tahoma" w:hAnsi="Tahoma" w:cs="Tahoma"/>
                  <w:noProof/>
                  <w:sz w:val="24"/>
                  <w:szCs w:val="24"/>
                </w:rPr>
                <w:t xml:space="preserve">IMF. (2024). </w:t>
              </w:r>
              <w:r w:rsidR="00960B22" w:rsidRPr="00960B22">
                <w:rPr>
                  <w:rFonts w:ascii="Tahoma" w:hAnsi="Tahoma" w:cs="Tahoma"/>
                  <w:i/>
                  <w:iCs/>
                  <w:noProof/>
                  <w:sz w:val="24"/>
                  <w:szCs w:val="24"/>
                </w:rPr>
                <w:t>World Economic Outlook, October 2024; Global prospects and Policies: Chapter 1.</w:t>
              </w:r>
              <w:r w:rsidR="00960B22" w:rsidRPr="00960B22">
                <w:rPr>
                  <w:rFonts w:ascii="Tahoma" w:hAnsi="Tahoma" w:cs="Tahoma"/>
                  <w:noProof/>
                  <w:sz w:val="24"/>
                  <w:szCs w:val="24"/>
                </w:rPr>
                <w:t xml:space="preserve"> International Monetary Fund.</w:t>
              </w:r>
            </w:p>
            <w:p w14:paraId="3FFE131E" w14:textId="77777777" w:rsidR="00960B22" w:rsidRPr="00960B22" w:rsidRDefault="00960B22" w:rsidP="00FB337E">
              <w:pPr>
                <w:pStyle w:val="Bibliography"/>
                <w:ind w:left="720" w:hanging="720"/>
                <w:jc w:val="both"/>
                <w:rPr>
                  <w:rFonts w:ascii="Tahoma" w:hAnsi="Tahoma" w:cs="Tahoma"/>
                  <w:noProof/>
                  <w:sz w:val="24"/>
                  <w:szCs w:val="24"/>
                </w:rPr>
              </w:pPr>
              <w:r w:rsidRPr="00960B22">
                <w:rPr>
                  <w:rFonts w:ascii="Tahoma" w:hAnsi="Tahoma" w:cs="Tahoma"/>
                  <w:noProof/>
                  <w:sz w:val="24"/>
                  <w:szCs w:val="24"/>
                </w:rPr>
                <w:t xml:space="preserve">International Monetary Fund. (2025). </w:t>
              </w:r>
              <w:r w:rsidRPr="00960B22">
                <w:rPr>
                  <w:rFonts w:ascii="Tahoma" w:hAnsi="Tahoma" w:cs="Tahoma"/>
                  <w:i/>
                  <w:iCs/>
                  <w:noProof/>
                  <w:sz w:val="24"/>
                  <w:szCs w:val="24"/>
                </w:rPr>
                <w:t>World Economic Outlook, January 2025 Update.</w:t>
              </w:r>
              <w:r w:rsidRPr="00960B22">
                <w:rPr>
                  <w:rFonts w:ascii="Tahoma" w:hAnsi="Tahoma" w:cs="Tahoma"/>
                  <w:noProof/>
                  <w:sz w:val="24"/>
                  <w:szCs w:val="24"/>
                </w:rPr>
                <w:t xml:space="preserve"> IMF.</w:t>
              </w:r>
            </w:p>
            <w:p w14:paraId="11304356" w14:textId="77777777" w:rsidR="00960B22" w:rsidRPr="00960B22" w:rsidRDefault="00960B22" w:rsidP="00FB337E">
              <w:pPr>
                <w:pStyle w:val="Bibliography"/>
                <w:ind w:left="720" w:hanging="720"/>
                <w:jc w:val="both"/>
                <w:rPr>
                  <w:rFonts w:ascii="Tahoma" w:hAnsi="Tahoma" w:cs="Tahoma"/>
                  <w:noProof/>
                  <w:sz w:val="24"/>
                  <w:szCs w:val="24"/>
                </w:rPr>
              </w:pPr>
              <w:r w:rsidRPr="00960B22">
                <w:rPr>
                  <w:rFonts w:ascii="Tahoma" w:hAnsi="Tahoma" w:cs="Tahoma"/>
                  <w:noProof/>
                  <w:sz w:val="24"/>
                  <w:szCs w:val="24"/>
                </w:rPr>
                <w:t xml:space="preserve">RBZ. (2025). </w:t>
              </w:r>
              <w:r w:rsidRPr="00960B22">
                <w:rPr>
                  <w:rFonts w:ascii="Tahoma" w:hAnsi="Tahoma" w:cs="Tahoma"/>
                  <w:i/>
                  <w:iCs/>
                  <w:noProof/>
                  <w:sz w:val="24"/>
                  <w:szCs w:val="24"/>
                </w:rPr>
                <w:t>Exchange Rates</w:t>
              </w:r>
              <w:r w:rsidRPr="00960B22">
                <w:rPr>
                  <w:rFonts w:ascii="Tahoma" w:hAnsi="Tahoma" w:cs="Tahoma"/>
                  <w:noProof/>
                  <w:sz w:val="24"/>
                  <w:szCs w:val="24"/>
                </w:rPr>
                <w:t>. Retrieved from Reserve Bank of Zimbabwe: https://www.rbz.co.zw/index.php/research/markets/exchange-rates</w:t>
              </w:r>
            </w:p>
            <w:p w14:paraId="03940121" w14:textId="77777777" w:rsidR="00960B22" w:rsidRPr="00960B22" w:rsidRDefault="00960B22" w:rsidP="00FB337E">
              <w:pPr>
                <w:pStyle w:val="Bibliography"/>
                <w:ind w:left="720" w:hanging="720"/>
                <w:jc w:val="both"/>
                <w:rPr>
                  <w:rFonts w:ascii="Tahoma" w:hAnsi="Tahoma" w:cs="Tahoma"/>
                  <w:noProof/>
                  <w:sz w:val="24"/>
                  <w:szCs w:val="24"/>
                </w:rPr>
              </w:pPr>
              <w:r w:rsidRPr="00960B22">
                <w:rPr>
                  <w:rFonts w:ascii="Tahoma" w:hAnsi="Tahoma" w:cs="Tahoma"/>
                  <w:noProof/>
                  <w:sz w:val="24"/>
                  <w:szCs w:val="24"/>
                </w:rPr>
                <w:t xml:space="preserve">Reserve Bank of Zimbabwe. (2024). </w:t>
              </w:r>
              <w:r w:rsidRPr="00960B22">
                <w:rPr>
                  <w:rFonts w:ascii="Tahoma" w:hAnsi="Tahoma" w:cs="Tahoma"/>
                  <w:i/>
                  <w:iCs/>
                  <w:noProof/>
                  <w:sz w:val="24"/>
                  <w:szCs w:val="24"/>
                </w:rPr>
                <w:t>Monthly Economic Review: November 2024.</w:t>
              </w:r>
              <w:r w:rsidRPr="00960B22">
                <w:rPr>
                  <w:rFonts w:ascii="Tahoma" w:hAnsi="Tahoma" w:cs="Tahoma"/>
                  <w:noProof/>
                  <w:sz w:val="24"/>
                  <w:szCs w:val="24"/>
                </w:rPr>
                <w:t xml:space="preserve"> RBZ.</w:t>
              </w:r>
            </w:p>
            <w:p w14:paraId="5FFBFC05" w14:textId="77777777" w:rsidR="00960B22" w:rsidRPr="00960B22" w:rsidRDefault="00960B22" w:rsidP="00FB337E">
              <w:pPr>
                <w:pStyle w:val="Bibliography"/>
                <w:ind w:left="720" w:hanging="720"/>
                <w:jc w:val="both"/>
                <w:rPr>
                  <w:rFonts w:ascii="Tahoma" w:hAnsi="Tahoma" w:cs="Tahoma"/>
                  <w:noProof/>
                  <w:sz w:val="24"/>
                  <w:szCs w:val="24"/>
                </w:rPr>
              </w:pPr>
              <w:r w:rsidRPr="00960B22">
                <w:rPr>
                  <w:rFonts w:ascii="Tahoma" w:hAnsi="Tahoma" w:cs="Tahoma"/>
                  <w:noProof/>
                  <w:sz w:val="24"/>
                  <w:szCs w:val="24"/>
                </w:rPr>
                <w:t xml:space="preserve">Reserve Bank of Zimbabwe. (2025). </w:t>
              </w:r>
              <w:r w:rsidRPr="00960B22">
                <w:rPr>
                  <w:rFonts w:ascii="Tahoma" w:hAnsi="Tahoma" w:cs="Tahoma"/>
                  <w:i/>
                  <w:iCs/>
                  <w:noProof/>
                  <w:sz w:val="24"/>
                  <w:szCs w:val="24"/>
                </w:rPr>
                <w:t>Weekely Economic Highlights, 17 January 2024, Vol 27 No 3.</w:t>
              </w:r>
              <w:r w:rsidRPr="00960B22">
                <w:rPr>
                  <w:rFonts w:ascii="Tahoma" w:hAnsi="Tahoma" w:cs="Tahoma"/>
                  <w:noProof/>
                  <w:sz w:val="24"/>
                  <w:szCs w:val="24"/>
                </w:rPr>
                <w:t xml:space="preserve"> Reserve Bank of Zimbabwe.</w:t>
              </w:r>
            </w:p>
            <w:p w14:paraId="61002C06" w14:textId="77777777" w:rsidR="00960B22" w:rsidRPr="00960B22" w:rsidRDefault="00960B22" w:rsidP="00FB337E">
              <w:pPr>
                <w:pStyle w:val="Bibliography"/>
                <w:ind w:left="720" w:hanging="720"/>
                <w:jc w:val="both"/>
                <w:rPr>
                  <w:rFonts w:ascii="Tahoma" w:hAnsi="Tahoma" w:cs="Tahoma"/>
                  <w:noProof/>
                  <w:sz w:val="24"/>
                  <w:szCs w:val="24"/>
                </w:rPr>
              </w:pPr>
              <w:r w:rsidRPr="00960B22">
                <w:rPr>
                  <w:rFonts w:ascii="Tahoma" w:hAnsi="Tahoma" w:cs="Tahoma"/>
                  <w:noProof/>
                  <w:sz w:val="24"/>
                  <w:szCs w:val="24"/>
                </w:rPr>
                <w:t xml:space="preserve">Trading Economics. (2025). </w:t>
              </w:r>
              <w:r w:rsidRPr="00960B22">
                <w:rPr>
                  <w:rFonts w:ascii="Tahoma" w:hAnsi="Tahoma" w:cs="Tahoma"/>
                  <w:i/>
                  <w:iCs/>
                  <w:noProof/>
                  <w:sz w:val="24"/>
                  <w:szCs w:val="24"/>
                </w:rPr>
                <w:t>Commodities</w:t>
              </w:r>
              <w:r w:rsidRPr="00960B22">
                <w:rPr>
                  <w:rFonts w:ascii="Tahoma" w:hAnsi="Tahoma" w:cs="Tahoma"/>
                  <w:noProof/>
                  <w:sz w:val="24"/>
                  <w:szCs w:val="24"/>
                </w:rPr>
                <w:t>. Retrieved from Trading Economics: https://tradingeconomics.com/commodity/crude-oil</w:t>
              </w:r>
            </w:p>
            <w:p w14:paraId="5EA5C4B5" w14:textId="77777777" w:rsidR="00960B22" w:rsidRPr="00960B22" w:rsidRDefault="00960B22" w:rsidP="00FB337E">
              <w:pPr>
                <w:pStyle w:val="Bibliography"/>
                <w:ind w:left="720" w:hanging="720"/>
                <w:jc w:val="both"/>
                <w:rPr>
                  <w:rFonts w:ascii="Tahoma" w:hAnsi="Tahoma" w:cs="Tahoma"/>
                  <w:noProof/>
                  <w:sz w:val="24"/>
                  <w:szCs w:val="24"/>
                </w:rPr>
              </w:pPr>
              <w:r w:rsidRPr="00960B22">
                <w:rPr>
                  <w:rFonts w:ascii="Tahoma" w:hAnsi="Tahoma" w:cs="Tahoma"/>
                  <w:noProof/>
                  <w:sz w:val="24"/>
                  <w:szCs w:val="24"/>
                </w:rPr>
                <w:t xml:space="preserve">VFEX. (2025). </w:t>
              </w:r>
              <w:r w:rsidRPr="00960B22">
                <w:rPr>
                  <w:rFonts w:ascii="Tahoma" w:hAnsi="Tahoma" w:cs="Tahoma"/>
                  <w:i/>
                  <w:iCs/>
                  <w:noProof/>
                  <w:sz w:val="24"/>
                  <w:szCs w:val="24"/>
                </w:rPr>
                <w:t>Main Dashboard</w:t>
              </w:r>
              <w:r w:rsidRPr="00960B22">
                <w:rPr>
                  <w:rFonts w:ascii="Tahoma" w:hAnsi="Tahoma" w:cs="Tahoma"/>
                  <w:noProof/>
                  <w:sz w:val="24"/>
                  <w:szCs w:val="24"/>
                </w:rPr>
                <w:t>. Retrieved from Victoria Falls Stock Exchange: https://www.vfex.exchange/</w:t>
              </w:r>
            </w:p>
            <w:p w14:paraId="18784E7D" w14:textId="77777777" w:rsidR="00960B22" w:rsidRPr="00960B22" w:rsidRDefault="00960B22" w:rsidP="00FB337E">
              <w:pPr>
                <w:pStyle w:val="Bibliography"/>
                <w:ind w:left="720" w:hanging="720"/>
                <w:jc w:val="both"/>
                <w:rPr>
                  <w:rFonts w:ascii="Tahoma" w:hAnsi="Tahoma" w:cs="Tahoma"/>
                  <w:noProof/>
                  <w:sz w:val="24"/>
                  <w:szCs w:val="24"/>
                </w:rPr>
              </w:pPr>
              <w:r w:rsidRPr="00960B22">
                <w:rPr>
                  <w:rFonts w:ascii="Tahoma" w:hAnsi="Tahoma" w:cs="Tahoma"/>
                  <w:noProof/>
                  <w:sz w:val="24"/>
                  <w:szCs w:val="24"/>
                </w:rPr>
                <w:t xml:space="preserve">ZimStat. (2025). </w:t>
              </w:r>
              <w:r w:rsidRPr="00960B22">
                <w:rPr>
                  <w:rFonts w:ascii="Tahoma" w:hAnsi="Tahoma" w:cs="Tahoma"/>
                  <w:i/>
                  <w:iCs/>
                  <w:noProof/>
                  <w:sz w:val="24"/>
                  <w:szCs w:val="24"/>
                </w:rPr>
                <w:t>Inflation Rates</w:t>
              </w:r>
              <w:r w:rsidRPr="00960B22">
                <w:rPr>
                  <w:rFonts w:ascii="Tahoma" w:hAnsi="Tahoma" w:cs="Tahoma"/>
                  <w:noProof/>
                  <w:sz w:val="24"/>
                  <w:szCs w:val="24"/>
                </w:rPr>
                <w:t>. Retrieved from Zimbabwe Statistics Agency: https://www.zimstat.co.zw/</w:t>
              </w:r>
            </w:p>
            <w:p w14:paraId="5A67D91E" w14:textId="77777777" w:rsidR="00960B22" w:rsidRPr="00960B22" w:rsidRDefault="00960B22" w:rsidP="00FB337E">
              <w:pPr>
                <w:pStyle w:val="Bibliography"/>
                <w:ind w:left="720" w:hanging="720"/>
                <w:jc w:val="both"/>
                <w:rPr>
                  <w:rFonts w:ascii="Tahoma" w:hAnsi="Tahoma" w:cs="Tahoma"/>
                  <w:noProof/>
                  <w:sz w:val="24"/>
                  <w:szCs w:val="24"/>
                </w:rPr>
              </w:pPr>
              <w:r w:rsidRPr="00960B22">
                <w:rPr>
                  <w:rFonts w:ascii="Tahoma" w:hAnsi="Tahoma" w:cs="Tahoma"/>
                  <w:noProof/>
                  <w:sz w:val="24"/>
                  <w:szCs w:val="24"/>
                </w:rPr>
                <w:t xml:space="preserve">ZSE. (2025). </w:t>
              </w:r>
              <w:r w:rsidRPr="00960B22">
                <w:rPr>
                  <w:rFonts w:ascii="Tahoma" w:hAnsi="Tahoma" w:cs="Tahoma"/>
                  <w:i/>
                  <w:iCs/>
                  <w:noProof/>
                  <w:sz w:val="24"/>
                  <w:szCs w:val="24"/>
                </w:rPr>
                <w:t>Main Dashboard</w:t>
              </w:r>
              <w:r w:rsidRPr="00960B22">
                <w:rPr>
                  <w:rFonts w:ascii="Tahoma" w:hAnsi="Tahoma" w:cs="Tahoma"/>
                  <w:noProof/>
                  <w:sz w:val="24"/>
                  <w:szCs w:val="24"/>
                </w:rPr>
                <w:t>. Retrieved from Zimbabwe Stock Exchange: https://www.zse.co.zw/</w:t>
              </w:r>
            </w:p>
            <w:p w14:paraId="13E77ABB" w14:textId="41D20698" w:rsidR="00554386" w:rsidRDefault="00554386" w:rsidP="00FB337E">
              <w:pPr>
                <w:jc w:val="both"/>
              </w:pPr>
              <w:r w:rsidRPr="00960B22">
                <w:rPr>
                  <w:rFonts w:ascii="Tahoma" w:hAnsi="Tahoma" w:cs="Tahoma"/>
                  <w:b/>
                  <w:bCs/>
                  <w:sz w:val="24"/>
                  <w:szCs w:val="24"/>
                </w:rPr>
                <w:fldChar w:fldCharType="end"/>
              </w:r>
            </w:p>
          </w:sdtContent>
        </w:sdt>
      </w:sdtContent>
    </w:sdt>
    <w:p w14:paraId="4DDA6CFA" w14:textId="77777777" w:rsidR="009428C2" w:rsidRDefault="009428C2" w:rsidP="009428C2"/>
    <w:p w14:paraId="4F93A396" w14:textId="77777777" w:rsidR="009428C2" w:rsidRDefault="009428C2" w:rsidP="009428C2"/>
    <w:p w14:paraId="7675E105" w14:textId="77777777" w:rsidR="00EF3AD6" w:rsidRPr="0017300E" w:rsidRDefault="00EF3AD6" w:rsidP="0017300E">
      <w:pPr>
        <w:pStyle w:val="ListParagraph"/>
        <w:ind w:left="0"/>
        <w:rPr>
          <w:rFonts w:ascii="Tahoma" w:hAnsi="Tahoma" w:cs="Tahoma"/>
          <w:sz w:val="24"/>
          <w:szCs w:val="24"/>
          <w:lang w:val="en-US"/>
        </w:rPr>
      </w:pPr>
    </w:p>
    <w:sectPr w:rsidR="00EF3AD6" w:rsidRPr="0017300E" w:rsidSect="006D22C2">
      <w:head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1050E" w14:textId="77777777" w:rsidR="005E36FF" w:rsidRDefault="005E36FF" w:rsidP="00654F03">
      <w:pPr>
        <w:spacing w:after="0" w:line="240" w:lineRule="auto"/>
      </w:pPr>
      <w:r>
        <w:separator/>
      </w:r>
    </w:p>
    <w:p w14:paraId="582B9DC9" w14:textId="77777777" w:rsidR="005E36FF" w:rsidRDefault="005E36FF"/>
    <w:p w14:paraId="1C510E99" w14:textId="77777777" w:rsidR="005E36FF" w:rsidRDefault="005E36FF" w:rsidP="00D751E8"/>
  </w:endnote>
  <w:endnote w:type="continuationSeparator" w:id="0">
    <w:p w14:paraId="49B4C005" w14:textId="77777777" w:rsidR="005E36FF" w:rsidRDefault="005E36FF" w:rsidP="00654F03">
      <w:pPr>
        <w:spacing w:after="0" w:line="240" w:lineRule="auto"/>
      </w:pPr>
      <w:r>
        <w:continuationSeparator/>
      </w:r>
    </w:p>
    <w:p w14:paraId="36376771" w14:textId="77777777" w:rsidR="005E36FF" w:rsidRDefault="005E36FF"/>
    <w:p w14:paraId="06883BE9" w14:textId="77777777" w:rsidR="005E36FF" w:rsidRDefault="005E36FF" w:rsidP="00D75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1071772"/>
      <w:docPartObj>
        <w:docPartGallery w:val="Page Numbers (Bottom of Page)"/>
        <w:docPartUnique/>
      </w:docPartObj>
    </w:sdtPr>
    <w:sdtEndPr>
      <w:rPr>
        <w:color w:val="7F7F7F" w:themeColor="background1" w:themeShade="7F"/>
        <w:spacing w:val="60"/>
      </w:rPr>
    </w:sdtEndPr>
    <w:sdtContent>
      <w:p w14:paraId="7E5F8CF6" w14:textId="0F5E74AF" w:rsidR="00237F4C" w:rsidRDefault="00237F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NECF</w:t>
        </w:r>
        <w:r w:rsidR="00FB337E">
          <w:rPr>
            <w:color w:val="7F7F7F" w:themeColor="background1" w:themeShade="7F"/>
            <w:spacing w:val="60"/>
          </w:rPr>
          <w:t xml:space="preserve"> SECRETARIAT, 2025</w:t>
        </w:r>
      </w:p>
    </w:sdtContent>
  </w:sdt>
  <w:p w14:paraId="55377235" w14:textId="77777777" w:rsidR="006E77DB" w:rsidRDefault="006E7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BBBE3" w14:textId="77777777" w:rsidR="005E36FF" w:rsidRDefault="005E36FF" w:rsidP="00654F03">
      <w:pPr>
        <w:spacing w:after="0" w:line="240" w:lineRule="auto"/>
      </w:pPr>
      <w:r>
        <w:separator/>
      </w:r>
    </w:p>
    <w:p w14:paraId="4B43C583" w14:textId="77777777" w:rsidR="005E36FF" w:rsidRDefault="005E36FF"/>
    <w:p w14:paraId="01FD0876" w14:textId="77777777" w:rsidR="005E36FF" w:rsidRDefault="005E36FF" w:rsidP="00D751E8"/>
  </w:footnote>
  <w:footnote w:type="continuationSeparator" w:id="0">
    <w:p w14:paraId="4F2E990A" w14:textId="77777777" w:rsidR="005E36FF" w:rsidRDefault="005E36FF" w:rsidP="00654F03">
      <w:pPr>
        <w:spacing w:after="0" w:line="240" w:lineRule="auto"/>
      </w:pPr>
      <w:r>
        <w:continuationSeparator/>
      </w:r>
    </w:p>
    <w:p w14:paraId="49B1E601" w14:textId="77777777" w:rsidR="005E36FF" w:rsidRDefault="005E36FF"/>
    <w:p w14:paraId="48D1983E" w14:textId="77777777" w:rsidR="005E36FF" w:rsidRDefault="005E36FF" w:rsidP="00D751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882A" w14:textId="77777777" w:rsidR="006E77DB" w:rsidRDefault="006E7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A7B9E"/>
    <w:multiLevelType w:val="multilevel"/>
    <w:tmpl w:val="6454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12217"/>
    <w:multiLevelType w:val="multilevel"/>
    <w:tmpl w:val="2B46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B558A"/>
    <w:multiLevelType w:val="multilevel"/>
    <w:tmpl w:val="E7CCFA1C"/>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A3E6660"/>
    <w:multiLevelType w:val="multilevel"/>
    <w:tmpl w:val="8A265644"/>
    <w:lvl w:ilvl="0">
      <w:start w:val="9"/>
      <w:numFmt w:val="decimal"/>
      <w:lvlText w:val="%1"/>
      <w:lvlJc w:val="left"/>
      <w:pPr>
        <w:ind w:left="600" w:hanging="600"/>
      </w:pPr>
      <w:rPr>
        <w:rFonts w:hint="default"/>
        <w:b/>
      </w:rPr>
    </w:lvl>
    <w:lvl w:ilvl="1">
      <w:start w:val="1"/>
      <w:numFmt w:val="decimal"/>
      <w:lvlText w:val="%1.%2"/>
      <w:lvlJc w:val="left"/>
      <w:pPr>
        <w:ind w:left="720" w:hanging="72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205C2267"/>
    <w:multiLevelType w:val="multilevel"/>
    <w:tmpl w:val="1C10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263A3"/>
    <w:multiLevelType w:val="multilevel"/>
    <w:tmpl w:val="7116B1E8"/>
    <w:lvl w:ilvl="0">
      <w:start w:val="9"/>
      <w:numFmt w:val="decimal"/>
      <w:lvlText w:val="%1"/>
      <w:lvlJc w:val="left"/>
      <w:pPr>
        <w:ind w:left="612" w:hanging="612"/>
      </w:pPr>
      <w:rPr>
        <w:rFonts w:hint="default"/>
        <w:b/>
      </w:rPr>
    </w:lvl>
    <w:lvl w:ilvl="1">
      <w:start w:val="1"/>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241D1541"/>
    <w:multiLevelType w:val="multilevel"/>
    <w:tmpl w:val="4208BFCE"/>
    <w:lvl w:ilvl="0">
      <w:start w:val="9"/>
      <w:numFmt w:val="decimal"/>
      <w:lvlText w:val="%1"/>
      <w:lvlJc w:val="left"/>
      <w:pPr>
        <w:ind w:left="600" w:hanging="600"/>
      </w:pPr>
      <w:rPr>
        <w:rFonts w:hint="default"/>
        <w:b/>
      </w:rPr>
    </w:lvl>
    <w:lvl w:ilvl="1">
      <w:start w:val="1"/>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26AB1E4E"/>
    <w:multiLevelType w:val="hybridMultilevel"/>
    <w:tmpl w:val="A120BE0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2A4B3C36"/>
    <w:multiLevelType w:val="multilevel"/>
    <w:tmpl w:val="5BFEB69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394137F8"/>
    <w:multiLevelType w:val="hybridMultilevel"/>
    <w:tmpl w:val="E1B8DD8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420B6531"/>
    <w:multiLevelType w:val="multilevel"/>
    <w:tmpl w:val="C3B0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E3BB8"/>
    <w:multiLevelType w:val="multilevel"/>
    <w:tmpl w:val="8C58B400"/>
    <w:lvl w:ilvl="0">
      <w:start w:val="9"/>
      <w:numFmt w:val="decimal"/>
      <w:lvlText w:val="%1"/>
      <w:lvlJc w:val="left"/>
      <w:pPr>
        <w:ind w:left="612" w:hanging="61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49D07FA1"/>
    <w:multiLevelType w:val="multilevel"/>
    <w:tmpl w:val="0998752C"/>
    <w:lvl w:ilvl="0">
      <w:start w:val="9"/>
      <w:numFmt w:val="decimal"/>
      <w:lvlText w:val="%1"/>
      <w:lvlJc w:val="left"/>
      <w:pPr>
        <w:ind w:left="750" w:hanging="750"/>
      </w:pPr>
      <w:rPr>
        <w:rFonts w:hint="default"/>
        <w:b/>
      </w:rPr>
    </w:lvl>
    <w:lvl w:ilvl="1">
      <w:start w:val="1"/>
      <w:numFmt w:val="decimal"/>
      <w:lvlText w:val="%1.%2"/>
      <w:lvlJc w:val="left"/>
      <w:pPr>
        <w:ind w:left="750" w:hanging="750"/>
      </w:pPr>
      <w:rPr>
        <w:rFonts w:hint="default"/>
        <w:b/>
      </w:rPr>
    </w:lvl>
    <w:lvl w:ilvl="2">
      <w:start w:val="12"/>
      <w:numFmt w:val="decimal"/>
      <w:lvlText w:val="%1.%2.%3"/>
      <w:lvlJc w:val="left"/>
      <w:pPr>
        <w:ind w:left="750" w:hanging="75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4D8F35C4"/>
    <w:multiLevelType w:val="multilevel"/>
    <w:tmpl w:val="A210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9761C"/>
    <w:multiLevelType w:val="multilevel"/>
    <w:tmpl w:val="C4B25906"/>
    <w:lvl w:ilvl="0">
      <w:start w:val="9"/>
      <w:numFmt w:val="decimal"/>
      <w:lvlText w:val="%1"/>
      <w:lvlJc w:val="left"/>
      <w:pPr>
        <w:ind w:left="612" w:hanging="612"/>
      </w:pPr>
      <w:rPr>
        <w:rFonts w:hint="default"/>
        <w:b/>
      </w:rPr>
    </w:lvl>
    <w:lvl w:ilvl="1">
      <w:start w:val="1"/>
      <w:numFmt w:val="decimal"/>
      <w:lvlText w:val="%1.%2"/>
      <w:lvlJc w:val="left"/>
      <w:pPr>
        <w:ind w:left="720" w:hanging="72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5816130F"/>
    <w:multiLevelType w:val="multilevel"/>
    <w:tmpl w:val="D4C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60895"/>
    <w:multiLevelType w:val="hybridMultilevel"/>
    <w:tmpl w:val="D0AAC91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68420762"/>
    <w:multiLevelType w:val="multilevel"/>
    <w:tmpl w:val="CB24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A712E"/>
    <w:multiLevelType w:val="multilevel"/>
    <w:tmpl w:val="807A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101F2"/>
    <w:multiLevelType w:val="hybridMultilevel"/>
    <w:tmpl w:val="9D2E818C"/>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990935534">
    <w:abstractNumId w:val="16"/>
  </w:num>
  <w:num w:numId="2" w16cid:durableId="874923556">
    <w:abstractNumId w:val="19"/>
  </w:num>
  <w:num w:numId="3" w16cid:durableId="284166034">
    <w:abstractNumId w:val="7"/>
  </w:num>
  <w:num w:numId="4" w16cid:durableId="497965357">
    <w:abstractNumId w:val="8"/>
  </w:num>
  <w:num w:numId="5" w16cid:durableId="1683242485">
    <w:abstractNumId w:val="9"/>
  </w:num>
  <w:num w:numId="6" w16cid:durableId="228807139">
    <w:abstractNumId w:val="2"/>
  </w:num>
  <w:num w:numId="7" w16cid:durableId="807742019">
    <w:abstractNumId w:val="18"/>
  </w:num>
  <w:num w:numId="8" w16cid:durableId="217713302">
    <w:abstractNumId w:val="0"/>
  </w:num>
  <w:num w:numId="9" w16cid:durableId="777798105">
    <w:abstractNumId w:val="10"/>
  </w:num>
  <w:num w:numId="10" w16cid:durableId="845637487">
    <w:abstractNumId w:val="15"/>
  </w:num>
  <w:num w:numId="11" w16cid:durableId="1402485173">
    <w:abstractNumId w:val="17"/>
  </w:num>
  <w:num w:numId="12" w16cid:durableId="1922179601">
    <w:abstractNumId w:val="1"/>
  </w:num>
  <w:num w:numId="13" w16cid:durableId="2066027949">
    <w:abstractNumId w:val="4"/>
  </w:num>
  <w:num w:numId="14" w16cid:durableId="1202086439">
    <w:abstractNumId w:val="13"/>
  </w:num>
  <w:num w:numId="15" w16cid:durableId="2034727699">
    <w:abstractNumId w:val="6"/>
  </w:num>
  <w:num w:numId="16" w16cid:durableId="1999307851">
    <w:abstractNumId w:val="3"/>
  </w:num>
  <w:num w:numId="17" w16cid:durableId="1513496899">
    <w:abstractNumId w:val="12"/>
  </w:num>
  <w:num w:numId="18" w16cid:durableId="1192720116">
    <w:abstractNumId w:val="14"/>
  </w:num>
  <w:num w:numId="19" w16cid:durableId="163521430">
    <w:abstractNumId w:val="11"/>
  </w:num>
  <w:num w:numId="20" w16cid:durableId="1683387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8"/>
    <w:rsid w:val="0000057F"/>
    <w:rsid w:val="00000C72"/>
    <w:rsid w:val="00001AB7"/>
    <w:rsid w:val="000038E5"/>
    <w:rsid w:val="00003AB2"/>
    <w:rsid w:val="00004DDD"/>
    <w:rsid w:val="000054C7"/>
    <w:rsid w:val="000063E5"/>
    <w:rsid w:val="00006C30"/>
    <w:rsid w:val="0000732F"/>
    <w:rsid w:val="00010505"/>
    <w:rsid w:val="00010C2D"/>
    <w:rsid w:val="000123EE"/>
    <w:rsid w:val="0001267B"/>
    <w:rsid w:val="000129B7"/>
    <w:rsid w:val="00013442"/>
    <w:rsid w:val="0001510C"/>
    <w:rsid w:val="00017757"/>
    <w:rsid w:val="00020012"/>
    <w:rsid w:val="000227AC"/>
    <w:rsid w:val="00022BFE"/>
    <w:rsid w:val="000250F2"/>
    <w:rsid w:val="00026A42"/>
    <w:rsid w:val="0003098D"/>
    <w:rsid w:val="00030B8A"/>
    <w:rsid w:val="00030CEE"/>
    <w:rsid w:val="00031044"/>
    <w:rsid w:val="0003115B"/>
    <w:rsid w:val="000312F5"/>
    <w:rsid w:val="000313AF"/>
    <w:rsid w:val="00031E9A"/>
    <w:rsid w:val="0003253B"/>
    <w:rsid w:val="0003293A"/>
    <w:rsid w:val="000338D4"/>
    <w:rsid w:val="0003407B"/>
    <w:rsid w:val="000346FD"/>
    <w:rsid w:val="00036597"/>
    <w:rsid w:val="00036704"/>
    <w:rsid w:val="0003672E"/>
    <w:rsid w:val="000376E5"/>
    <w:rsid w:val="00041010"/>
    <w:rsid w:val="0004125F"/>
    <w:rsid w:val="000419DD"/>
    <w:rsid w:val="00041EA2"/>
    <w:rsid w:val="00043173"/>
    <w:rsid w:val="000469C1"/>
    <w:rsid w:val="00046B8A"/>
    <w:rsid w:val="00047DEA"/>
    <w:rsid w:val="00050765"/>
    <w:rsid w:val="000534B5"/>
    <w:rsid w:val="00056BC8"/>
    <w:rsid w:val="00056C3C"/>
    <w:rsid w:val="00056CEF"/>
    <w:rsid w:val="00060BA3"/>
    <w:rsid w:val="00061CC3"/>
    <w:rsid w:val="0006371A"/>
    <w:rsid w:val="00064B59"/>
    <w:rsid w:val="00066B05"/>
    <w:rsid w:val="00067C6D"/>
    <w:rsid w:val="00070950"/>
    <w:rsid w:val="00071182"/>
    <w:rsid w:val="0007119B"/>
    <w:rsid w:val="00071565"/>
    <w:rsid w:val="000732CC"/>
    <w:rsid w:val="000735EE"/>
    <w:rsid w:val="00074C3E"/>
    <w:rsid w:val="0007507E"/>
    <w:rsid w:val="0007510B"/>
    <w:rsid w:val="000751D2"/>
    <w:rsid w:val="0008009F"/>
    <w:rsid w:val="00081C1C"/>
    <w:rsid w:val="00083ABE"/>
    <w:rsid w:val="00083E6C"/>
    <w:rsid w:val="00084409"/>
    <w:rsid w:val="0008600D"/>
    <w:rsid w:val="00086539"/>
    <w:rsid w:val="00086A1B"/>
    <w:rsid w:val="00086F82"/>
    <w:rsid w:val="0008784D"/>
    <w:rsid w:val="00087AC2"/>
    <w:rsid w:val="00087E0F"/>
    <w:rsid w:val="00090D37"/>
    <w:rsid w:val="00093CAE"/>
    <w:rsid w:val="00096221"/>
    <w:rsid w:val="0009726E"/>
    <w:rsid w:val="0009768B"/>
    <w:rsid w:val="000A2C99"/>
    <w:rsid w:val="000A40EE"/>
    <w:rsid w:val="000A50AA"/>
    <w:rsid w:val="000A5880"/>
    <w:rsid w:val="000A7B2C"/>
    <w:rsid w:val="000B0224"/>
    <w:rsid w:val="000B0C38"/>
    <w:rsid w:val="000B183B"/>
    <w:rsid w:val="000B4023"/>
    <w:rsid w:val="000B5F4D"/>
    <w:rsid w:val="000B622D"/>
    <w:rsid w:val="000B63CE"/>
    <w:rsid w:val="000B6AA5"/>
    <w:rsid w:val="000B6E25"/>
    <w:rsid w:val="000B790A"/>
    <w:rsid w:val="000C07CA"/>
    <w:rsid w:val="000C1657"/>
    <w:rsid w:val="000C2206"/>
    <w:rsid w:val="000C29DA"/>
    <w:rsid w:val="000C2AA3"/>
    <w:rsid w:val="000C2D96"/>
    <w:rsid w:val="000C3268"/>
    <w:rsid w:val="000C412D"/>
    <w:rsid w:val="000C447C"/>
    <w:rsid w:val="000C5E77"/>
    <w:rsid w:val="000C78EC"/>
    <w:rsid w:val="000D0953"/>
    <w:rsid w:val="000D1368"/>
    <w:rsid w:val="000D1AB4"/>
    <w:rsid w:val="000D2070"/>
    <w:rsid w:val="000D22EE"/>
    <w:rsid w:val="000D2543"/>
    <w:rsid w:val="000D4C34"/>
    <w:rsid w:val="000D5212"/>
    <w:rsid w:val="000E0195"/>
    <w:rsid w:val="000E3511"/>
    <w:rsid w:val="000E455D"/>
    <w:rsid w:val="000E6686"/>
    <w:rsid w:val="000F316D"/>
    <w:rsid w:val="000F32A6"/>
    <w:rsid w:val="000F38C3"/>
    <w:rsid w:val="000F392D"/>
    <w:rsid w:val="000F5180"/>
    <w:rsid w:val="000F54F6"/>
    <w:rsid w:val="000F7929"/>
    <w:rsid w:val="000F7BEA"/>
    <w:rsid w:val="001000B2"/>
    <w:rsid w:val="00100AD4"/>
    <w:rsid w:val="001016F9"/>
    <w:rsid w:val="00101BC7"/>
    <w:rsid w:val="00101D9E"/>
    <w:rsid w:val="001029E1"/>
    <w:rsid w:val="00102E39"/>
    <w:rsid w:val="00103E4D"/>
    <w:rsid w:val="00104DFE"/>
    <w:rsid w:val="0010522F"/>
    <w:rsid w:val="00105DA8"/>
    <w:rsid w:val="00105EB6"/>
    <w:rsid w:val="00106B15"/>
    <w:rsid w:val="00106B69"/>
    <w:rsid w:val="00106F16"/>
    <w:rsid w:val="0011131C"/>
    <w:rsid w:val="00111B0D"/>
    <w:rsid w:val="00113183"/>
    <w:rsid w:val="0011335B"/>
    <w:rsid w:val="00114482"/>
    <w:rsid w:val="00115C8C"/>
    <w:rsid w:val="00115D09"/>
    <w:rsid w:val="0011714C"/>
    <w:rsid w:val="00117473"/>
    <w:rsid w:val="0012148A"/>
    <w:rsid w:val="001217A1"/>
    <w:rsid w:val="00122C08"/>
    <w:rsid w:val="00123F0C"/>
    <w:rsid w:val="0012708C"/>
    <w:rsid w:val="00130CC2"/>
    <w:rsid w:val="00132EAF"/>
    <w:rsid w:val="00133028"/>
    <w:rsid w:val="00133339"/>
    <w:rsid w:val="00133F55"/>
    <w:rsid w:val="00134E84"/>
    <w:rsid w:val="001354A1"/>
    <w:rsid w:val="00136197"/>
    <w:rsid w:val="00137BB3"/>
    <w:rsid w:val="00142A31"/>
    <w:rsid w:val="0014428B"/>
    <w:rsid w:val="00144B5F"/>
    <w:rsid w:val="00144E1E"/>
    <w:rsid w:val="00145005"/>
    <w:rsid w:val="00145C78"/>
    <w:rsid w:val="00146AB0"/>
    <w:rsid w:val="00146D0A"/>
    <w:rsid w:val="00146D2D"/>
    <w:rsid w:val="00150B6E"/>
    <w:rsid w:val="00152873"/>
    <w:rsid w:val="00160959"/>
    <w:rsid w:val="00161D6E"/>
    <w:rsid w:val="001621D0"/>
    <w:rsid w:val="00165790"/>
    <w:rsid w:val="00165A7C"/>
    <w:rsid w:val="00170788"/>
    <w:rsid w:val="0017160E"/>
    <w:rsid w:val="00171A37"/>
    <w:rsid w:val="00172873"/>
    <w:rsid w:val="0017300E"/>
    <w:rsid w:val="0017376E"/>
    <w:rsid w:val="00174CBF"/>
    <w:rsid w:val="00181085"/>
    <w:rsid w:val="001810AD"/>
    <w:rsid w:val="001840D4"/>
    <w:rsid w:val="00184FA3"/>
    <w:rsid w:val="0018530E"/>
    <w:rsid w:val="0018664B"/>
    <w:rsid w:val="001866A1"/>
    <w:rsid w:val="00187505"/>
    <w:rsid w:val="00187582"/>
    <w:rsid w:val="00190FD1"/>
    <w:rsid w:val="001910FB"/>
    <w:rsid w:val="00193B40"/>
    <w:rsid w:val="001946C3"/>
    <w:rsid w:val="00194CA9"/>
    <w:rsid w:val="0019671B"/>
    <w:rsid w:val="00196B3C"/>
    <w:rsid w:val="00197CDC"/>
    <w:rsid w:val="00197E46"/>
    <w:rsid w:val="001A0156"/>
    <w:rsid w:val="001A02C9"/>
    <w:rsid w:val="001A488A"/>
    <w:rsid w:val="001B17C0"/>
    <w:rsid w:val="001B195C"/>
    <w:rsid w:val="001B3048"/>
    <w:rsid w:val="001B3D5A"/>
    <w:rsid w:val="001B5559"/>
    <w:rsid w:val="001B5A7B"/>
    <w:rsid w:val="001B5C7B"/>
    <w:rsid w:val="001B624E"/>
    <w:rsid w:val="001C152E"/>
    <w:rsid w:val="001C160D"/>
    <w:rsid w:val="001C3D17"/>
    <w:rsid w:val="001C3F65"/>
    <w:rsid w:val="001C439F"/>
    <w:rsid w:val="001C46C6"/>
    <w:rsid w:val="001C6200"/>
    <w:rsid w:val="001C6748"/>
    <w:rsid w:val="001C6D0E"/>
    <w:rsid w:val="001C6DDE"/>
    <w:rsid w:val="001D0A18"/>
    <w:rsid w:val="001D2904"/>
    <w:rsid w:val="001D30EF"/>
    <w:rsid w:val="001D51A5"/>
    <w:rsid w:val="001D740D"/>
    <w:rsid w:val="001E3685"/>
    <w:rsid w:val="001E6283"/>
    <w:rsid w:val="001E6E33"/>
    <w:rsid w:val="001E7A8A"/>
    <w:rsid w:val="001F0303"/>
    <w:rsid w:val="001F1A94"/>
    <w:rsid w:val="001F2D81"/>
    <w:rsid w:val="001F4FFB"/>
    <w:rsid w:val="00200D47"/>
    <w:rsid w:val="002019B5"/>
    <w:rsid w:val="00201F25"/>
    <w:rsid w:val="0020440A"/>
    <w:rsid w:val="0020598F"/>
    <w:rsid w:val="00206550"/>
    <w:rsid w:val="0020788D"/>
    <w:rsid w:val="002100F7"/>
    <w:rsid w:val="00210685"/>
    <w:rsid w:val="00211270"/>
    <w:rsid w:val="00211AC2"/>
    <w:rsid w:val="002120A6"/>
    <w:rsid w:val="0021269E"/>
    <w:rsid w:val="00214737"/>
    <w:rsid w:val="0021615D"/>
    <w:rsid w:val="00222F0C"/>
    <w:rsid w:val="00223152"/>
    <w:rsid w:val="00223882"/>
    <w:rsid w:val="00223F21"/>
    <w:rsid w:val="00224681"/>
    <w:rsid w:val="0022734D"/>
    <w:rsid w:val="0023127A"/>
    <w:rsid w:val="00231396"/>
    <w:rsid w:val="00235667"/>
    <w:rsid w:val="0023673D"/>
    <w:rsid w:val="0023756F"/>
    <w:rsid w:val="00237F4C"/>
    <w:rsid w:val="0024058F"/>
    <w:rsid w:val="00241F4E"/>
    <w:rsid w:val="00242F69"/>
    <w:rsid w:val="00243665"/>
    <w:rsid w:val="00243C51"/>
    <w:rsid w:val="002448A6"/>
    <w:rsid w:val="00244E77"/>
    <w:rsid w:val="00245606"/>
    <w:rsid w:val="00245A55"/>
    <w:rsid w:val="00245AD4"/>
    <w:rsid w:val="002461D6"/>
    <w:rsid w:val="00246949"/>
    <w:rsid w:val="002473F1"/>
    <w:rsid w:val="00247F83"/>
    <w:rsid w:val="00250A42"/>
    <w:rsid w:val="00250D1B"/>
    <w:rsid w:val="00251269"/>
    <w:rsid w:val="002525BF"/>
    <w:rsid w:val="00252C38"/>
    <w:rsid w:val="0025382A"/>
    <w:rsid w:val="00253E89"/>
    <w:rsid w:val="00253FAC"/>
    <w:rsid w:val="00254DF0"/>
    <w:rsid w:val="0025517A"/>
    <w:rsid w:val="002555BE"/>
    <w:rsid w:val="0025612B"/>
    <w:rsid w:val="002569B2"/>
    <w:rsid w:val="00256E40"/>
    <w:rsid w:val="00261A5B"/>
    <w:rsid w:val="002653B7"/>
    <w:rsid w:val="00265AEC"/>
    <w:rsid w:val="0026637F"/>
    <w:rsid w:val="002668B7"/>
    <w:rsid w:val="002739B4"/>
    <w:rsid w:val="00277F04"/>
    <w:rsid w:val="00280519"/>
    <w:rsid w:val="00281635"/>
    <w:rsid w:val="00281EE3"/>
    <w:rsid w:val="00283000"/>
    <w:rsid w:val="00286562"/>
    <w:rsid w:val="00286DD4"/>
    <w:rsid w:val="00287F5F"/>
    <w:rsid w:val="002908F2"/>
    <w:rsid w:val="00291B44"/>
    <w:rsid w:val="00292C22"/>
    <w:rsid w:val="002934CA"/>
    <w:rsid w:val="00293EBD"/>
    <w:rsid w:val="00293F04"/>
    <w:rsid w:val="0029429F"/>
    <w:rsid w:val="002956D3"/>
    <w:rsid w:val="00296FDF"/>
    <w:rsid w:val="002A2E6B"/>
    <w:rsid w:val="002A3CAC"/>
    <w:rsid w:val="002A4DB7"/>
    <w:rsid w:val="002A7B6D"/>
    <w:rsid w:val="002B0281"/>
    <w:rsid w:val="002B11BD"/>
    <w:rsid w:val="002B2341"/>
    <w:rsid w:val="002B2FE8"/>
    <w:rsid w:val="002B60E5"/>
    <w:rsid w:val="002B6209"/>
    <w:rsid w:val="002B637D"/>
    <w:rsid w:val="002B7529"/>
    <w:rsid w:val="002B7F4B"/>
    <w:rsid w:val="002C1E2D"/>
    <w:rsid w:val="002C46A0"/>
    <w:rsid w:val="002C6020"/>
    <w:rsid w:val="002D0E61"/>
    <w:rsid w:val="002D227F"/>
    <w:rsid w:val="002D3344"/>
    <w:rsid w:val="002D3BAB"/>
    <w:rsid w:val="002D42BB"/>
    <w:rsid w:val="002D4758"/>
    <w:rsid w:val="002D478F"/>
    <w:rsid w:val="002D4973"/>
    <w:rsid w:val="002D7468"/>
    <w:rsid w:val="002D7D4E"/>
    <w:rsid w:val="002E1398"/>
    <w:rsid w:val="002E3ED2"/>
    <w:rsid w:val="002E4030"/>
    <w:rsid w:val="002E6010"/>
    <w:rsid w:val="002E6211"/>
    <w:rsid w:val="002E6581"/>
    <w:rsid w:val="002F0E69"/>
    <w:rsid w:val="002F1286"/>
    <w:rsid w:val="002F1AD6"/>
    <w:rsid w:val="002F3502"/>
    <w:rsid w:val="002F476B"/>
    <w:rsid w:val="002F6DA3"/>
    <w:rsid w:val="00300BB3"/>
    <w:rsid w:val="003015C7"/>
    <w:rsid w:val="003016BC"/>
    <w:rsid w:val="00303E26"/>
    <w:rsid w:val="00307C72"/>
    <w:rsid w:val="00307F4A"/>
    <w:rsid w:val="0031015F"/>
    <w:rsid w:val="00310BED"/>
    <w:rsid w:val="00310DF5"/>
    <w:rsid w:val="003120EE"/>
    <w:rsid w:val="00313C3E"/>
    <w:rsid w:val="0031428C"/>
    <w:rsid w:val="00314D22"/>
    <w:rsid w:val="00320F64"/>
    <w:rsid w:val="00324047"/>
    <w:rsid w:val="00324070"/>
    <w:rsid w:val="00325ECA"/>
    <w:rsid w:val="003270C4"/>
    <w:rsid w:val="00331834"/>
    <w:rsid w:val="003318ED"/>
    <w:rsid w:val="00332F5E"/>
    <w:rsid w:val="00334A6E"/>
    <w:rsid w:val="003357B5"/>
    <w:rsid w:val="00335FD6"/>
    <w:rsid w:val="00336354"/>
    <w:rsid w:val="00340BCF"/>
    <w:rsid w:val="003415BB"/>
    <w:rsid w:val="00341953"/>
    <w:rsid w:val="00347439"/>
    <w:rsid w:val="0035249D"/>
    <w:rsid w:val="00352C0D"/>
    <w:rsid w:val="00354CAD"/>
    <w:rsid w:val="00355310"/>
    <w:rsid w:val="00360073"/>
    <w:rsid w:val="00362187"/>
    <w:rsid w:val="003642DC"/>
    <w:rsid w:val="00364947"/>
    <w:rsid w:val="00365637"/>
    <w:rsid w:val="003661D8"/>
    <w:rsid w:val="00370049"/>
    <w:rsid w:val="00374FDC"/>
    <w:rsid w:val="003756E7"/>
    <w:rsid w:val="00375F22"/>
    <w:rsid w:val="00376204"/>
    <w:rsid w:val="00377FEB"/>
    <w:rsid w:val="00380DDB"/>
    <w:rsid w:val="00382F7E"/>
    <w:rsid w:val="003833D6"/>
    <w:rsid w:val="00385A53"/>
    <w:rsid w:val="00386A89"/>
    <w:rsid w:val="00392F38"/>
    <w:rsid w:val="003944CA"/>
    <w:rsid w:val="003951AC"/>
    <w:rsid w:val="00395F28"/>
    <w:rsid w:val="003976F2"/>
    <w:rsid w:val="003A04F3"/>
    <w:rsid w:val="003A19AF"/>
    <w:rsid w:val="003A3074"/>
    <w:rsid w:val="003A52BC"/>
    <w:rsid w:val="003A5A87"/>
    <w:rsid w:val="003A5E3C"/>
    <w:rsid w:val="003B03B6"/>
    <w:rsid w:val="003B0655"/>
    <w:rsid w:val="003B2B45"/>
    <w:rsid w:val="003B500E"/>
    <w:rsid w:val="003B6963"/>
    <w:rsid w:val="003B7840"/>
    <w:rsid w:val="003C07C8"/>
    <w:rsid w:val="003C0D94"/>
    <w:rsid w:val="003C1D2F"/>
    <w:rsid w:val="003C31F7"/>
    <w:rsid w:val="003C3CA1"/>
    <w:rsid w:val="003C53A3"/>
    <w:rsid w:val="003C5DC8"/>
    <w:rsid w:val="003C6349"/>
    <w:rsid w:val="003C7C0E"/>
    <w:rsid w:val="003D080C"/>
    <w:rsid w:val="003D0C8C"/>
    <w:rsid w:val="003D1B81"/>
    <w:rsid w:val="003D3E43"/>
    <w:rsid w:val="003D514B"/>
    <w:rsid w:val="003D6AAB"/>
    <w:rsid w:val="003D7035"/>
    <w:rsid w:val="003D7E2A"/>
    <w:rsid w:val="003E051C"/>
    <w:rsid w:val="003E2138"/>
    <w:rsid w:val="003E301F"/>
    <w:rsid w:val="003E53B2"/>
    <w:rsid w:val="003E5C08"/>
    <w:rsid w:val="003E7C62"/>
    <w:rsid w:val="003E7EEF"/>
    <w:rsid w:val="003F123A"/>
    <w:rsid w:val="003F15BF"/>
    <w:rsid w:val="003F1CAE"/>
    <w:rsid w:val="003F1F46"/>
    <w:rsid w:val="003F476D"/>
    <w:rsid w:val="003F481A"/>
    <w:rsid w:val="0040072A"/>
    <w:rsid w:val="0040272E"/>
    <w:rsid w:val="0040512D"/>
    <w:rsid w:val="004052E4"/>
    <w:rsid w:val="00405F3C"/>
    <w:rsid w:val="00407605"/>
    <w:rsid w:val="00410952"/>
    <w:rsid w:val="004149E4"/>
    <w:rsid w:val="0041518E"/>
    <w:rsid w:val="0041581E"/>
    <w:rsid w:val="00417DAD"/>
    <w:rsid w:val="00420CB9"/>
    <w:rsid w:val="00421D20"/>
    <w:rsid w:val="004246F6"/>
    <w:rsid w:val="00424868"/>
    <w:rsid w:val="00424F97"/>
    <w:rsid w:val="00427538"/>
    <w:rsid w:val="00427C53"/>
    <w:rsid w:val="00427CDA"/>
    <w:rsid w:val="00427E75"/>
    <w:rsid w:val="00430808"/>
    <w:rsid w:val="00431F13"/>
    <w:rsid w:val="00433F6A"/>
    <w:rsid w:val="00436220"/>
    <w:rsid w:val="0043763F"/>
    <w:rsid w:val="00437A2F"/>
    <w:rsid w:val="00437E4E"/>
    <w:rsid w:val="00441566"/>
    <w:rsid w:val="004416F2"/>
    <w:rsid w:val="00442387"/>
    <w:rsid w:val="00442B68"/>
    <w:rsid w:val="0044325B"/>
    <w:rsid w:val="00443D80"/>
    <w:rsid w:val="00445ADE"/>
    <w:rsid w:val="00446A6B"/>
    <w:rsid w:val="004477A2"/>
    <w:rsid w:val="004514A3"/>
    <w:rsid w:val="00452C25"/>
    <w:rsid w:val="00453CD8"/>
    <w:rsid w:val="004542F6"/>
    <w:rsid w:val="00455958"/>
    <w:rsid w:val="00455BB9"/>
    <w:rsid w:val="004563C8"/>
    <w:rsid w:val="0045689A"/>
    <w:rsid w:val="004600C3"/>
    <w:rsid w:val="004602CD"/>
    <w:rsid w:val="00460D78"/>
    <w:rsid w:val="0046189B"/>
    <w:rsid w:val="004624DA"/>
    <w:rsid w:val="00463A60"/>
    <w:rsid w:val="004645CE"/>
    <w:rsid w:val="00466CF2"/>
    <w:rsid w:val="00467E7F"/>
    <w:rsid w:val="00470854"/>
    <w:rsid w:val="0047159F"/>
    <w:rsid w:val="0047209E"/>
    <w:rsid w:val="004723DA"/>
    <w:rsid w:val="00472DF5"/>
    <w:rsid w:val="004737D3"/>
    <w:rsid w:val="00474E3B"/>
    <w:rsid w:val="004751AB"/>
    <w:rsid w:val="004761DA"/>
    <w:rsid w:val="00476214"/>
    <w:rsid w:val="00476766"/>
    <w:rsid w:val="00477E68"/>
    <w:rsid w:val="0048110F"/>
    <w:rsid w:val="0048248B"/>
    <w:rsid w:val="0048263C"/>
    <w:rsid w:val="0048370E"/>
    <w:rsid w:val="0048527C"/>
    <w:rsid w:val="004853CA"/>
    <w:rsid w:val="00485B9D"/>
    <w:rsid w:val="00487413"/>
    <w:rsid w:val="004874EA"/>
    <w:rsid w:val="00491236"/>
    <w:rsid w:val="004914BB"/>
    <w:rsid w:val="00491F1C"/>
    <w:rsid w:val="00492502"/>
    <w:rsid w:val="00494824"/>
    <w:rsid w:val="00495C20"/>
    <w:rsid w:val="00496A39"/>
    <w:rsid w:val="004A14EA"/>
    <w:rsid w:val="004A2699"/>
    <w:rsid w:val="004A269E"/>
    <w:rsid w:val="004A636E"/>
    <w:rsid w:val="004B15EE"/>
    <w:rsid w:val="004B2536"/>
    <w:rsid w:val="004B3B72"/>
    <w:rsid w:val="004B3C36"/>
    <w:rsid w:val="004B51EB"/>
    <w:rsid w:val="004B7945"/>
    <w:rsid w:val="004C15AC"/>
    <w:rsid w:val="004C2931"/>
    <w:rsid w:val="004C52BB"/>
    <w:rsid w:val="004C564F"/>
    <w:rsid w:val="004C5BDE"/>
    <w:rsid w:val="004C5EBF"/>
    <w:rsid w:val="004C6210"/>
    <w:rsid w:val="004C6A79"/>
    <w:rsid w:val="004C6B45"/>
    <w:rsid w:val="004C7E36"/>
    <w:rsid w:val="004D0F9B"/>
    <w:rsid w:val="004D2836"/>
    <w:rsid w:val="004D3066"/>
    <w:rsid w:val="004D31CB"/>
    <w:rsid w:val="004D32BD"/>
    <w:rsid w:val="004D35AC"/>
    <w:rsid w:val="004D4BEA"/>
    <w:rsid w:val="004D4E48"/>
    <w:rsid w:val="004D577F"/>
    <w:rsid w:val="004D5D49"/>
    <w:rsid w:val="004D7E96"/>
    <w:rsid w:val="004E37A1"/>
    <w:rsid w:val="004E5ABD"/>
    <w:rsid w:val="004E5DF5"/>
    <w:rsid w:val="004E5FEA"/>
    <w:rsid w:val="004E71C0"/>
    <w:rsid w:val="004E7861"/>
    <w:rsid w:val="004F153F"/>
    <w:rsid w:val="004F2B0F"/>
    <w:rsid w:val="004F4308"/>
    <w:rsid w:val="004F47ED"/>
    <w:rsid w:val="004F680D"/>
    <w:rsid w:val="004F7396"/>
    <w:rsid w:val="004F77B5"/>
    <w:rsid w:val="00500F38"/>
    <w:rsid w:val="00504786"/>
    <w:rsid w:val="00505299"/>
    <w:rsid w:val="00505513"/>
    <w:rsid w:val="00505644"/>
    <w:rsid w:val="00506236"/>
    <w:rsid w:val="00510452"/>
    <w:rsid w:val="00510A42"/>
    <w:rsid w:val="0051154E"/>
    <w:rsid w:val="00512965"/>
    <w:rsid w:val="005135DD"/>
    <w:rsid w:val="0051423B"/>
    <w:rsid w:val="00514497"/>
    <w:rsid w:val="00515620"/>
    <w:rsid w:val="00516FE0"/>
    <w:rsid w:val="00520398"/>
    <w:rsid w:val="005219CF"/>
    <w:rsid w:val="005225AD"/>
    <w:rsid w:val="00525461"/>
    <w:rsid w:val="00526479"/>
    <w:rsid w:val="00526C07"/>
    <w:rsid w:val="005306BE"/>
    <w:rsid w:val="00530EE9"/>
    <w:rsid w:val="00531A3E"/>
    <w:rsid w:val="00532CBC"/>
    <w:rsid w:val="00533363"/>
    <w:rsid w:val="00534F79"/>
    <w:rsid w:val="005356CB"/>
    <w:rsid w:val="005358BF"/>
    <w:rsid w:val="00535D08"/>
    <w:rsid w:val="00535EF4"/>
    <w:rsid w:val="005360D6"/>
    <w:rsid w:val="00542DE9"/>
    <w:rsid w:val="00543B7F"/>
    <w:rsid w:val="00546A12"/>
    <w:rsid w:val="00546CD8"/>
    <w:rsid w:val="00550A4C"/>
    <w:rsid w:val="00550C96"/>
    <w:rsid w:val="005512A6"/>
    <w:rsid w:val="005527BF"/>
    <w:rsid w:val="00552A26"/>
    <w:rsid w:val="00554386"/>
    <w:rsid w:val="0055557F"/>
    <w:rsid w:val="00555C23"/>
    <w:rsid w:val="00556E35"/>
    <w:rsid w:val="005621AD"/>
    <w:rsid w:val="00562318"/>
    <w:rsid w:val="005632D6"/>
    <w:rsid w:val="00563B95"/>
    <w:rsid w:val="005645F7"/>
    <w:rsid w:val="00564B53"/>
    <w:rsid w:val="005652FF"/>
    <w:rsid w:val="00567040"/>
    <w:rsid w:val="0056797E"/>
    <w:rsid w:val="005708CC"/>
    <w:rsid w:val="00572287"/>
    <w:rsid w:val="0057438A"/>
    <w:rsid w:val="00575008"/>
    <w:rsid w:val="00575C43"/>
    <w:rsid w:val="00576013"/>
    <w:rsid w:val="0057611D"/>
    <w:rsid w:val="00576A12"/>
    <w:rsid w:val="00577520"/>
    <w:rsid w:val="00582AA6"/>
    <w:rsid w:val="005833C4"/>
    <w:rsid w:val="00583564"/>
    <w:rsid w:val="0058797A"/>
    <w:rsid w:val="00587D5F"/>
    <w:rsid w:val="005916C9"/>
    <w:rsid w:val="005930D4"/>
    <w:rsid w:val="00593949"/>
    <w:rsid w:val="00594BC4"/>
    <w:rsid w:val="005954DA"/>
    <w:rsid w:val="00595E97"/>
    <w:rsid w:val="00596876"/>
    <w:rsid w:val="0059695C"/>
    <w:rsid w:val="00596D27"/>
    <w:rsid w:val="00597BF2"/>
    <w:rsid w:val="005A041F"/>
    <w:rsid w:val="005A05DE"/>
    <w:rsid w:val="005A1CCE"/>
    <w:rsid w:val="005A368E"/>
    <w:rsid w:val="005A42D0"/>
    <w:rsid w:val="005A44FC"/>
    <w:rsid w:val="005A77BC"/>
    <w:rsid w:val="005A7E05"/>
    <w:rsid w:val="005B02E0"/>
    <w:rsid w:val="005B491C"/>
    <w:rsid w:val="005B5A9A"/>
    <w:rsid w:val="005B616A"/>
    <w:rsid w:val="005B67F0"/>
    <w:rsid w:val="005B7691"/>
    <w:rsid w:val="005C0350"/>
    <w:rsid w:val="005C05AB"/>
    <w:rsid w:val="005C07A4"/>
    <w:rsid w:val="005C0BC4"/>
    <w:rsid w:val="005C14E0"/>
    <w:rsid w:val="005C2848"/>
    <w:rsid w:val="005C5497"/>
    <w:rsid w:val="005C6375"/>
    <w:rsid w:val="005D1A74"/>
    <w:rsid w:val="005D2E94"/>
    <w:rsid w:val="005D4799"/>
    <w:rsid w:val="005D76CA"/>
    <w:rsid w:val="005D7A0F"/>
    <w:rsid w:val="005D7B8C"/>
    <w:rsid w:val="005E2242"/>
    <w:rsid w:val="005E293E"/>
    <w:rsid w:val="005E36FF"/>
    <w:rsid w:val="005E3EC9"/>
    <w:rsid w:val="005E43C1"/>
    <w:rsid w:val="005E45D1"/>
    <w:rsid w:val="005E7963"/>
    <w:rsid w:val="005E7FCC"/>
    <w:rsid w:val="005F0769"/>
    <w:rsid w:val="005F16B4"/>
    <w:rsid w:val="005F1D93"/>
    <w:rsid w:val="005F2050"/>
    <w:rsid w:val="005F29F5"/>
    <w:rsid w:val="005F30E0"/>
    <w:rsid w:val="005F45A5"/>
    <w:rsid w:val="005F4E8D"/>
    <w:rsid w:val="005F5AF8"/>
    <w:rsid w:val="005F76C6"/>
    <w:rsid w:val="006002B0"/>
    <w:rsid w:val="00601251"/>
    <w:rsid w:val="00601473"/>
    <w:rsid w:val="00601F9E"/>
    <w:rsid w:val="006046B2"/>
    <w:rsid w:val="006047E9"/>
    <w:rsid w:val="00605582"/>
    <w:rsid w:val="00606C6F"/>
    <w:rsid w:val="00606D9C"/>
    <w:rsid w:val="00610CF9"/>
    <w:rsid w:val="00611255"/>
    <w:rsid w:val="00611424"/>
    <w:rsid w:val="00612036"/>
    <w:rsid w:val="006147E3"/>
    <w:rsid w:val="0062024E"/>
    <w:rsid w:val="00621157"/>
    <w:rsid w:val="00621AD9"/>
    <w:rsid w:val="00623F3A"/>
    <w:rsid w:val="00624B94"/>
    <w:rsid w:val="006258C5"/>
    <w:rsid w:val="00625D0B"/>
    <w:rsid w:val="006271AB"/>
    <w:rsid w:val="006307F6"/>
    <w:rsid w:val="00630831"/>
    <w:rsid w:val="00630988"/>
    <w:rsid w:val="006311F9"/>
    <w:rsid w:val="006315D8"/>
    <w:rsid w:val="00631976"/>
    <w:rsid w:val="00632011"/>
    <w:rsid w:val="00632EC8"/>
    <w:rsid w:val="006350ED"/>
    <w:rsid w:val="0063529F"/>
    <w:rsid w:val="00636D7C"/>
    <w:rsid w:val="00637666"/>
    <w:rsid w:val="00637AE0"/>
    <w:rsid w:val="0064127B"/>
    <w:rsid w:val="006421CB"/>
    <w:rsid w:val="00642C66"/>
    <w:rsid w:val="00642E80"/>
    <w:rsid w:val="00645ACC"/>
    <w:rsid w:val="0064604B"/>
    <w:rsid w:val="0064734D"/>
    <w:rsid w:val="00647E48"/>
    <w:rsid w:val="00647FF8"/>
    <w:rsid w:val="006503EF"/>
    <w:rsid w:val="006508CC"/>
    <w:rsid w:val="00651D77"/>
    <w:rsid w:val="00652559"/>
    <w:rsid w:val="00653B58"/>
    <w:rsid w:val="00654F03"/>
    <w:rsid w:val="0065553A"/>
    <w:rsid w:val="00656774"/>
    <w:rsid w:val="00656DC6"/>
    <w:rsid w:val="00656EBE"/>
    <w:rsid w:val="006574DF"/>
    <w:rsid w:val="0065787E"/>
    <w:rsid w:val="00657D43"/>
    <w:rsid w:val="00660AE3"/>
    <w:rsid w:val="00660C80"/>
    <w:rsid w:val="00662678"/>
    <w:rsid w:val="00664692"/>
    <w:rsid w:val="0066487F"/>
    <w:rsid w:val="00665449"/>
    <w:rsid w:val="0066679D"/>
    <w:rsid w:val="006671C9"/>
    <w:rsid w:val="00670A4D"/>
    <w:rsid w:val="00670F3B"/>
    <w:rsid w:val="00670FF1"/>
    <w:rsid w:val="00671788"/>
    <w:rsid w:val="00672D6D"/>
    <w:rsid w:val="00673D93"/>
    <w:rsid w:val="00675296"/>
    <w:rsid w:val="00675C2E"/>
    <w:rsid w:val="00676C2B"/>
    <w:rsid w:val="006809E5"/>
    <w:rsid w:val="00681642"/>
    <w:rsid w:val="00682520"/>
    <w:rsid w:val="0068460A"/>
    <w:rsid w:val="00684D03"/>
    <w:rsid w:val="00685ABF"/>
    <w:rsid w:val="00686026"/>
    <w:rsid w:val="006862E5"/>
    <w:rsid w:val="006878D3"/>
    <w:rsid w:val="0068792E"/>
    <w:rsid w:val="00694B57"/>
    <w:rsid w:val="00697921"/>
    <w:rsid w:val="006A126A"/>
    <w:rsid w:val="006A16E0"/>
    <w:rsid w:val="006A226A"/>
    <w:rsid w:val="006A2497"/>
    <w:rsid w:val="006A397F"/>
    <w:rsid w:val="006A3BF9"/>
    <w:rsid w:val="006A505B"/>
    <w:rsid w:val="006A628E"/>
    <w:rsid w:val="006A6773"/>
    <w:rsid w:val="006B2ACF"/>
    <w:rsid w:val="006B3019"/>
    <w:rsid w:val="006B3D94"/>
    <w:rsid w:val="006B5677"/>
    <w:rsid w:val="006B5C5F"/>
    <w:rsid w:val="006B6338"/>
    <w:rsid w:val="006B6F31"/>
    <w:rsid w:val="006C1DD6"/>
    <w:rsid w:val="006C2DE1"/>
    <w:rsid w:val="006C48F4"/>
    <w:rsid w:val="006C526D"/>
    <w:rsid w:val="006C55A4"/>
    <w:rsid w:val="006C744B"/>
    <w:rsid w:val="006D1B5C"/>
    <w:rsid w:val="006D22C2"/>
    <w:rsid w:val="006D311F"/>
    <w:rsid w:val="006D36BE"/>
    <w:rsid w:val="006D4D2B"/>
    <w:rsid w:val="006D57D8"/>
    <w:rsid w:val="006D75CE"/>
    <w:rsid w:val="006D7B79"/>
    <w:rsid w:val="006E3327"/>
    <w:rsid w:val="006E4498"/>
    <w:rsid w:val="006E5CA8"/>
    <w:rsid w:val="006E5F38"/>
    <w:rsid w:val="006E650F"/>
    <w:rsid w:val="006E77DB"/>
    <w:rsid w:val="006F0EFE"/>
    <w:rsid w:val="006F1347"/>
    <w:rsid w:val="006F3264"/>
    <w:rsid w:val="006F52AC"/>
    <w:rsid w:val="006F6612"/>
    <w:rsid w:val="006F66BD"/>
    <w:rsid w:val="006F6A12"/>
    <w:rsid w:val="006F7725"/>
    <w:rsid w:val="00700AAA"/>
    <w:rsid w:val="00705AC8"/>
    <w:rsid w:val="0070797C"/>
    <w:rsid w:val="00710140"/>
    <w:rsid w:val="00710494"/>
    <w:rsid w:val="00711F6D"/>
    <w:rsid w:val="0071392A"/>
    <w:rsid w:val="007141D0"/>
    <w:rsid w:val="00714516"/>
    <w:rsid w:val="00715890"/>
    <w:rsid w:val="007161E9"/>
    <w:rsid w:val="00716F4B"/>
    <w:rsid w:val="007209A1"/>
    <w:rsid w:val="00721162"/>
    <w:rsid w:val="00721CC2"/>
    <w:rsid w:val="00723630"/>
    <w:rsid w:val="007245DF"/>
    <w:rsid w:val="00730BB2"/>
    <w:rsid w:val="0073192D"/>
    <w:rsid w:val="00731D17"/>
    <w:rsid w:val="00732393"/>
    <w:rsid w:val="00732CDB"/>
    <w:rsid w:val="007330F5"/>
    <w:rsid w:val="00733755"/>
    <w:rsid w:val="007353EC"/>
    <w:rsid w:val="00743213"/>
    <w:rsid w:val="0074450F"/>
    <w:rsid w:val="00744659"/>
    <w:rsid w:val="00744B31"/>
    <w:rsid w:val="0074576F"/>
    <w:rsid w:val="00745804"/>
    <w:rsid w:val="00745D87"/>
    <w:rsid w:val="00746F8E"/>
    <w:rsid w:val="00747DDF"/>
    <w:rsid w:val="00750E65"/>
    <w:rsid w:val="0075234A"/>
    <w:rsid w:val="0075270F"/>
    <w:rsid w:val="0075339B"/>
    <w:rsid w:val="007535BA"/>
    <w:rsid w:val="0076001D"/>
    <w:rsid w:val="00761C54"/>
    <w:rsid w:val="007625FE"/>
    <w:rsid w:val="0076325F"/>
    <w:rsid w:val="00763655"/>
    <w:rsid w:val="00763A9E"/>
    <w:rsid w:val="00764844"/>
    <w:rsid w:val="0076540F"/>
    <w:rsid w:val="007663A2"/>
    <w:rsid w:val="0077058D"/>
    <w:rsid w:val="00770EBD"/>
    <w:rsid w:val="007723FC"/>
    <w:rsid w:val="00773D98"/>
    <w:rsid w:val="007746E2"/>
    <w:rsid w:val="0077695D"/>
    <w:rsid w:val="007778EE"/>
    <w:rsid w:val="007803A3"/>
    <w:rsid w:val="00780641"/>
    <w:rsid w:val="00781066"/>
    <w:rsid w:val="007829BA"/>
    <w:rsid w:val="00783ED0"/>
    <w:rsid w:val="007841AD"/>
    <w:rsid w:val="00786B96"/>
    <w:rsid w:val="00790899"/>
    <w:rsid w:val="00790EF8"/>
    <w:rsid w:val="00792B1A"/>
    <w:rsid w:val="00793F8C"/>
    <w:rsid w:val="00794057"/>
    <w:rsid w:val="00794971"/>
    <w:rsid w:val="00796037"/>
    <w:rsid w:val="00796FAC"/>
    <w:rsid w:val="007A0D34"/>
    <w:rsid w:val="007A33C0"/>
    <w:rsid w:val="007A38AE"/>
    <w:rsid w:val="007A3D03"/>
    <w:rsid w:val="007A3E1D"/>
    <w:rsid w:val="007A7031"/>
    <w:rsid w:val="007A7388"/>
    <w:rsid w:val="007B1554"/>
    <w:rsid w:val="007B1E38"/>
    <w:rsid w:val="007B269E"/>
    <w:rsid w:val="007B3539"/>
    <w:rsid w:val="007B3908"/>
    <w:rsid w:val="007B3F1B"/>
    <w:rsid w:val="007B43A5"/>
    <w:rsid w:val="007B4687"/>
    <w:rsid w:val="007B4DB8"/>
    <w:rsid w:val="007C0100"/>
    <w:rsid w:val="007C099C"/>
    <w:rsid w:val="007C0EE4"/>
    <w:rsid w:val="007C0F05"/>
    <w:rsid w:val="007C3AF3"/>
    <w:rsid w:val="007C3F2A"/>
    <w:rsid w:val="007C4E43"/>
    <w:rsid w:val="007C558F"/>
    <w:rsid w:val="007C67A7"/>
    <w:rsid w:val="007C6C40"/>
    <w:rsid w:val="007C738E"/>
    <w:rsid w:val="007D170F"/>
    <w:rsid w:val="007D2866"/>
    <w:rsid w:val="007D2FF3"/>
    <w:rsid w:val="007D58BC"/>
    <w:rsid w:val="007D5EB6"/>
    <w:rsid w:val="007D7062"/>
    <w:rsid w:val="007E1E9C"/>
    <w:rsid w:val="007E26B5"/>
    <w:rsid w:val="007E3794"/>
    <w:rsid w:val="007E39CC"/>
    <w:rsid w:val="007E5259"/>
    <w:rsid w:val="007E5DEF"/>
    <w:rsid w:val="007F0423"/>
    <w:rsid w:val="007F0AE8"/>
    <w:rsid w:val="007F2566"/>
    <w:rsid w:val="007F2795"/>
    <w:rsid w:val="007F2AD2"/>
    <w:rsid w:val="007F4864"/>
    <w:rsid w:val="007F731D"/>
    <w:rsid w:val="007F7CE4"/>
    <w:rsid w:val="008012AA"/>
    <w:rsid w:val="008026AB"/>
    <w:rsid w:val="00804E08"/>
    <w:rsid w:val="00804E66"/>
    <w:rsid w:val="0080684C"/>
    <w:rsid w:val="00807514"/>
    <w:rsid w:val="0081139C"/>
    <w:rsid w:val="00811E5E"/>
    <w:rsid w:val="00812D86"/>
    <w:rsid w:val="00813434"/>
    <w:rsid w:val="0081507F"/>
    <w:rsid w:val="00815F2D"/>
    <w:rsid w:val="008162BA"/>
    <w:rsid w:val="008174D1"/>
    <w:rsid w:val="00817BA6"/>
    <w:rsid w:val="008237EF"/>
    <w:rsid w:val="00823AEF"/>
    <w:rsid w:val="00824F12"/>
    <w:rsid w:val="00825361"/>
    <w:rsid w:val="008256D2"/>
    <w:rsid w:val="00825B6E"/>
    <w:rsid w:val="00826D84"/>
    <w:rsid w:val="008274AE"/>
    <w:rsid w:val="00830FD6"/>
    <w:rsid w:val="0083213C"/>
    <w:rsid w:val="00833C46"/>
    <w:rsid w:val="00835057"/>
    <w:rsid w:val="0083598D"/>
    <w:rsid w:val="00835B9A"/>
    <w:rsid w:val="008372AF"/>
    <w:rsid w:val="00840D04"/>
    <w:rsid w:val="00842AA1"/>
    <w:rsid w:val="00843009"/>
    <w:rsid w:val="00846A2F"/>
    <w:rsid w:val="008471C2"/>
    <w:rsid w:val="008474B3"/>
    <w:rsid w:val="00850A2A"/>
    <w:rsid w:val="00851D39"/>
    <w:rsid w:val="00852007"/>
    <w:rsid w:val="008522A9"/>
    <w:rsid w:val="00853E84"/>
    <w:rsid w:val="008541A6"/>
    <w:rsid w:val="00854348"/>
    <w:rsid w:val="0085444B"/>
    <w:rsid w:val="00857FD6"/>
    <w:rsid w:val="00860F23"/>
    <w:rsid w:val="0086152C"/>
    <w:rsid w:val="0086233B"/>
    <w:rsid w:val="00863A17"/>
    <w:rsid w:val="00863E04"/>
    <w:rsid w:val="00866209"/>
    <w:rsid w:val="008663C5"/>
    <w:rsid w:val="00866860"/>
    <w:rsid w:val="00867523"/>
    <w:rsid w:val="00870C37"/>
    <w:rsid w:val="00872EF1"/>
    <w:rsid w:val="00873DFE"/>
    <w:rsid w:val="008767BC"/>
    <w:rsid w:val="00880BE0"/>
    <w:rsid w:val="0088180C"/>
    <w:rsid w:val="00885493"/>
    <w:rsid w:val="008865D2"/>
    <w:rsid w:val="00887E9B"/>
    <w:rsid w:val="00890433"/>
    <w:rsid w:val="008904B8"/>
    <w:rsid w:val="00891F8B"/>
    <w:rsid w:val="00894694"/>
    <w:rsid w:val="008946A9"/>
    <w:rsid w:val="0089508C"/>
    <w:rsid w:val="00895C5B"/>
    <w:rsid w:val="00897CB3"/>
    <w:rsid w:val="008A0F87"/>
    <w:rsid w:val="008A1757"/>
    <w:rsid w:val="008A3AD2"/>
    <w:rsid w:val="008A5C51"/>
    <w:rsid w:val="008A6BBF"/>
    <w:rsid w:val="008A7422"/>
    <w:rsid w:val="008A7CDC"/>
    <w:rsid w:val="008B04E7"/>
    <w:rsid w:val="008B0E32"/>
    <w:rsid w:val="008B12BC"/>
    <w:rsid w:val="008B17C7"/>
    <w:rsid w:val="008B1903"/>
    <w:rsid w:val="008B1AC1"/>
    <w:rsid w:val="008B2E08"/>
    <w:rsid w:val="008B450A"/>
    <w:rsid w:val="008B5704"/>
    <w:rsid w:val="008B578C"/>
    <w:rsid w:val="008B582A"/>
    <w:rsid w:val="008B5A07"/>
    <w:rsid w:val="008C11EB"/>
    <w:rsid w:val="008C157D"/>
    <w:rsid w:val="008C1656"/>
    <w:rsid w:val="008C29B4"/>
    <w:rsid w:val="008C5898"/>
    <w:rsid w:val="008C5A6A"/>
    <w:rsid w:val="008C7178"/>
    <w:rsid w:val="008C7B6C"/>
    <w:rsid w:val="008D0614"/>
    <w:rsid w:val="008D271F"/>
    <w:rsid w:val="008D50BD"/>
    <w:rsid w:val="008D6D88"/>
    <w:rsid w:val="008D70BE"/>
    <w:rsid w:val="008E06E7"/>
    <w:rsid w:val="008E1069"/>
    <w:rsid w:val="008E12C7"/>
    <w:rsid w:val="008E1941"/>
    <w:rsid w:val="008E4B6F"/>
    <w:rsid w:val="008E4B72"/>
    <w:rsid w:val="008E4FF1"/>
    <w:rsid w:val="008E7F02"/>
    <w:rsid w:val="008F1C4F"/>
    <w:rsid w:val="008F35EF"/>
    <w:rsid w:val="008F4843"/>
    <w:rsid w:val="008F4B14"/>
    <w:rsid w:val="008F4EA1"/>
    <w:rsid w:val="008F5908"/>
    <w:rsid w:val="008F6F82"/>
    <w:rsid w:val="0090162B"/>
    <w:rsid w:val="009029E7"/>
    <w:rsid w:val="00902C42"/>
    <w:rsid w:val="00902FBD"/>
    <w:rsid w:val="009034D4"/>
    <w:rsid w:val="0090418A"/>
    <w:rsid w:val="009053C6"/>
    <w:rsid w:val="00905B1B"/>
    <w:rsid w:val="00906D64"/>
    <w:rsid w:val="00907F53"/>
    <w:rsid w:val="00910D86"/>
    <w:rsid w:val="00913A1B"/>
    <w:rsid w:val="0091423E"/>
    <w:rsid w:val="00916161"/>
    <w:rsid w:val="00916319"/>
    <w:rsid w:val="00917258"/>
    <w:rsid w:val="0091755A"/>
    <w:rsid w:val="009176AF"/>
    <w:rsid w:val="00917862"/>
    <w:rsid w:val="00920BA3"/>
    <w:rsid w:val="00921044"/>
    <w:rsid w:val="00923EB1"/>
    <w:rsid w:val="009241BD"/>
    <w:rsid w:val="00924605"/>
    <w:rsid w:val="00925EA9"/>
    <w:rsid w:val="009271BB"/>
    <w:rsid w:val="00930242"/>
    <w:rsid w:val="0093090F"/>
    <w:rsid w:val="009319C9"/>
    <w:rsid w:val="00932158"/>
    <w:rsid w:val="00932A16"/>
    <w:rsid w:val="0093372C"/>
    <w:rsid w:val="00934976"/>
    <w:rsid w:val="00934D46"/>
    <w:rsid w:val="009369AC"/>
    <w:rsid w:val="009379B9"/>
    <w:rsid w:val="009428C2"/>
    <w:rsid w:val="00943A82"/>
    <w:rsid w:val="0094561A"/>
    <w:rsid w:val="00945E19"/>
    <w:rsid w:val="00945F9D"/>
    <w:rsid w:val="00946E24"/>
    <w:rsid w:val="00952886"/>
    <w:rsid w:val="0095350E"/>
    <w:rsid w:val="00953C1E"/>
    <w:rsid w:val="009555CB"/>
    <w:rsid w:val="00960B22"/>
    <w:rsid w:val="009610A0"/>
    <w:rsid w:val="00961E32"/>
    <w:rsid w:val="00963BCE"/>
    <w:rsid w:val="00965A1C"/>
    <w:rsid w:val="009701AD"/>
    <w:rsid w:val="009705F8"/>
    <w:rsid w:val="00970F27"/>
    <w:rsid w:val="00971A5B"/>
    <w:rsid w:val="009726C7"/>
    <w:rsid w:val="00972E0C"/>
    <w:rsid w:val="009744EB"/>
    <w:rsid w:val="00974680"/>
    <w:rsid w:val="00975533"/>
    <w:rsid w:val="009760E3"/>
    <w:rsid w:val="009766D1"/>
    <w:rsid w:val="00976EA8"/>
    <w:rsid w:val="00977371"/>
    <w:rsid w:val="00980031"/>
    <w:rsid w:val="0098200F"/>
    <w:rsid w:val="00982A75"/>
    <w:rsid w:val="00982CFF"/>
    <w:rsid w:val="00984949"/>
    <w:rsid w:val="00985D76"/>
    <w:rsid w:val="00986C6F"/>
    <w:rsid w:val="009871D5"/>
    <w:rsid w:val="00990B3E"/>
    <w:rsid w:val="0099115D"/>
    <w:rsid w:val="009916D5"/>
    <w:rsid w:val="00991FA8"/>
    <w:rsid w:val="00992519"/>
    <w:rsid w:val="009950A4"/>
    <w:rsid w:val="00997574"/>
    <w:rsid w:val="00997E78"/>
    <w:rsid w:val="009A1C8E"/>
    <w:rsid w:val="009A1E73"/>
    <w:rsid w:val="009A23A4"/>
    <w:rsid w:val="009A28B6"/>
    <w:rsid w:val="009A72CC"/>
    <w:rsid w:val="009B03F6"/>
    <w:rsid w:val="009B052B"/>
    <w:rsid w:val="009B2E51"/>
    <w:rsid w:val="009B6068"/>
    <w:rsid w:val="009B650C"/>
    <w:rsid w:val="009B669F"/>
    <w:rsid w:val="009B75D9"/>
    <w:rsid w:val="009C0034"/>
    <w:rsid w:val="009C1166"/>
    <w:rsid w:val="009C3F8A"/>
    <w:rsid w:val="009C5B15"/>
    <w:rsid w:val="009C724B"/>
    <w:rsid w:val="009D123E"/>
    <w:rsid w:val="009D2297"/>
    <w:rsid w:val="009D2B26"/>
    <w:rsid w:val="009D3EE9"/>
    <w:rsid w:val="009D4508"/>
    <w:rsid w:val="009D473A"/>
    <w:rsid w:val="009D4D20"/>
    <w:rsid w:val="009D594C"/>
    <w:rsid w:val="009D7A60"/>
    <w:rsid w:val="009E0AFC"/>
    <w:rsid w:val="009E0D68"/>
    <w:rsid w:val="009E14A2"/>
    <w:rsid w:val="009E1523"/>
    <w:rsid w:val="009E206D"/>
    <w:rsid w:val="009E324E"/>
    <w:rsid w:val="009E4A5D"/>
    <w:rsid w:val="009E5E72"/>
    <w:rsid w:val="009E62AF"/>
    <w:rsid w:val="009E6B99"/>
    <w:rsid w:val="009E7083"/>
    <w:rsid w:val="009F03CB"/>
    <w:rsid w:val="009F0569"/>
    <w:rsid w:val="009F0698"/>
    <w:rsid w:val="009F1FF3"/>
    <w:rsid w:val="009F2D5F"/>
    <w:rsid w:val="009F4C6F"/>
    <w:rsid w:val="009F51B0"/>
    <w:rsid w:val="009F5CE5"/>
    <w:rsid w:val="009F6949"/>
    <w:rsid w:val="009F69E5"/>
    <w:rsid w:val="009F6F2D"/>
    <w:rsid w:val="009F795E"/>
    <w:rsid w:val="009F7A4B"/>
    <w:rsid w:val="00A02B17"/>
    <w:rsid w:val="00A02DA1"/>
    <w:rsid w:val="00A03033"/>
    <w:rsid w:val="00A0364A"/>
    <w:rsid w:val="00A054C3"/>
    <w:rsid w:val="00A05A61"/>
    <w:rsid w:val="00A06EBA"/>
    <w:rsid w:val="00A1045C"/>
    <w:rsid w:val="00A10F57"/>
    <w:rsid w:val="00A11FA3"/>
    <w:rsid w:val="00A12048"/>
    <w:rsid w:val="00A123CC"/>
    <w:rsid w:val="00A1337B"/>
    <w:rsid w:val="00A13732"/>
    <w:rsid w:val="00A1478A"/>
    <w:rsid w:val="00A15789"/>
    <w:rsid w:val="00A16BE8"/>
    <w:rsid w:val="00A21CB5"/>
    <w:rsid w:val="00A223C6"/>
    <w:rsid w:val="00A2259D"/>
    <w:rsid w:val="00A23DC9"/>
    <w:rsid w:val="00A2473B"/>
    <w:rsid w:val="00A254A1"/>
    <w:rsid w:val="00A26B7B"/>
    <w:rsid w:val="00A30D6D"/>
    <w:rsid w:val="00A30E56"/>
    <w:rsid w:val="00A31AE0"/>
    <w:rsid w:val="00A31AEF"/>
    <w:rsid w:val="00A31BB0"/>
    <w:rsid w:val="00A3277F"/>
    <w:rsid w:val="00A35184"/>
    <w:rsid w:val="00A35634"/>
    <w:rsid w:val="00A37061"/>
    <w:rsid w:val="00A41D77"/>
    <w:rsid w:val="00A42011"/>
    <w:rsid w:val="00A43157"/>
    <w:rsid w:val="00A43C6F"/>
    <w:rsid w:val="00A4420E"/>
    <w:rsid w:val="00A445AE"/>
    <w:rsid w:val="00A44AC7"/>
    <w:rsid w:val="00A4641E"/>
    <w:rsid w:val="00A501EF"/>
    <w:rsid w:val="00A51547"/>
    <w:rsid w:val="00A521E9"/>
    <w:rsid w:val="00A54384"/>
    <w:rsid w:val="00A54387"/>
    <w:rsid w:val="00A55EE7"/>
    <w:rsid w:val="00A571B2"/>
    <w:rsid w:val="00A5720C"/>
    <w:rsid w:val="00A5731E"/>
    <w:rsid w:val="00A57724"/>
    <w:rsid w:val="00A60CE8"/>
    <w:rsid w:val="00A61A16"/>
    <w:rsid w:val="00A63272"/>
    <w:rsid w:val="00A64F64"/>
    <w:rsid w:val="00A6586D"/>
    <w:rsid w:val="00A65D00"/>
    <w:rsid w:val="00A669AD"/>
    <w:rsid w:val="00A72F1B"/>
    <w:rsid w:val="00A741D6"/>
    <w:rsid w:val="00A7445A"/>
    <w:rsid w:val="00A74A5F"/>
    <w:rsid w:val="00A74E0C"/>
    <w:rsid w:val="00A758E2"/>
    <w:rsid w:val="00A761D1"/>
    <w:rsid w:val="00A76401"/>
    <w:rsid w:val="00A76C61"/>
    <w:rsid w:val="00A7764C"/>
    <w:rsid w:val="00A77B48"/>
    <w:rsid w:val="00A820F1"/>
    <w:rsid w:val="00A82135"/>
    <w:rsid w:val="00A8286A"/>
    <w:rsid w:val="00A82F07"/>
    <w:rsid w:val="00A84BD0"/>
    <w:rsid w:val="00A86549"/>
    <w:rsid w:val="00A866F0"/>
    <w:rsid w:val="00A90DAA"/>
    <w:rsid w:val="00A913CF"/>
    <w:rsid w:val="00A92BE1"/>
    <w:rsid w:val="00A92C33"/>
    <w:rsid w:val="00A92D2C"/>
    <w:rsid w:val="00A92D41"/>
    <w:rsid w:val="00A937B8"/>
    <w:rsid w:val="00AA0759"/>
    <w:rsid w:val="00AA284A"/>
    <w:rsid w:val="00AA3A3B"/>
    <w:rsid w:val="00AA4A6E"/>
    <w:rsid w:val="00AB0841"/>
    <w:rsid w:val="00AB0BD6"/>
    <w:rsid w:val="00AB120F"/>
    <w:rsid w:val="00AB2B87"/>
    <w:rsid w:val="00AB32FE"/>
    <w:rsid w:val="00AB4D3A"/>
    <w:rsid w:val="00AB665D"/>
    <w:rsid w:val="00AB70DE"/>
    <w:rsid w:val="00AB7531"/>
    <w:rsid w:val="00AB7F32"/>
    <w:rsid w:val="00AC04BD"/>
    <w:rsid w:val="00AC0D70"/>
    <w:rsid w:val="00AC2CDA"/>
    <w:rsid w:val="00AC3249"/>
    <w:rsid w:val="00AC3BAD"/>
    <w:rsid w:val="00AC4BB6"/>
    <w:rsid w:val="00AC62CB"/>
    <w:rsid w:val="00AC77F7"/>
    <w:rsid w:val="00AD05AA"/>
    <w:rsid w:val="00AD55C5"/>
    <w:rsid w:val="00AD7826"/>
    <w:rsid w:val="00AE068D"/>
    <w:rsid w:val="00AE4A62"/>
    <w:rsid w:val="00AE4C1F"/>
    <w:rsid w:val="00AE4C4E"/>
    <w:rsid w:val="00AE5108"/>
    <w:rsid w:val="00AE68CA"/>
    <w:rsid w:val="00AF19B8"/>
    <w:rsid w:val="00AF211E"/>
    <w:rsid w:val="00AF2AD5"/>
    <w:rsid w:val="00AF39E9"/>
    <w:rsid w:val="00AF44CA"/>
    <w:rsid w:val="00AF57FE"/>
    <w:rsid w:val="00AF6FB2"/>
    <w:rsid w:val="00B00382"/>
    <w:rsid w:val="00B00A82"/>
    <w:rsid w:val="00B02A7C"/>
    <w:rsid w:val="00B05ED2"/>
    <w:rsid w:val="00B0635A"/>
    <w:rsid w:val="00B06DC1"/>
    <w:rsid w:val="00B10BB2"/>
    <w:rsid w:val="00B1273E"/>
    <w:rsid w:val="00B13388"/>
    <w:rsid w:val="00B13ACA"/>
    <w:rsid w:val="00B13FFB"/>
    <w:rsid w:val="00B14F38"/>
    <w:rsid w:val="00B15352"/>
    <w:rsid w:val="00B1678A"/>
    <w:rsid w:val="00B16DBC"/>
    <w:rsid w:val="00B17B93"/>
    <w:rsid w:val="00B17E7D"/>
    <w:rsid w:val="00B20D8D"/>
    <w:rsid w:val="00B20E1F"/>
    <w:rsid w:val="00B2171F"/>
    <w:rsid w:val="00B21A1F"/>
    <w:rsid w:val="00B22E03"/>
    <w:rsid w:val="00B25019"/>
    <w:rsid w:val="00B25ABC"/>
    <w:rsid w:val="00B25DF2"/>
    <w:rsid w:val="00B268D1"/>
    <w:rsid w:val="00B27043"/>
    <w:rsid w:val="00B30DA8"/>
    <w:rsid w:val="00B3127C"/>
    <w:rsid w:val="00B32FF3"/>
    <w:rsid w:val="00B353E8"/>
    <w:rsid w:val="00B357AC"/>
    <w:rsid w:val="00B36D27"/>
    <w:rsid w:val="00B36FB5"/>
    <w:rsid w:val="00B37BF8"/>
    <w:rsid w:val="00B37DC1"/>
    <w:rsid w:val="00B42282"/>
    <w:rsid w:val="00B42926"/>
    <w:rsid w:val="00B42E80"/>
    <w:rsid w:val="00B42F0A"/>
    <w:rsid w:val="00B459DB"/>
    <w:rsid w:val="00B45B57"/>
    <w:rsid w:val="00B500DB"/>
    <w:rsid w:val="00B501A2"/>
    <w:rsid w:val="00B5157C"/>
    <w:rsid w:val="00B51D8D"/>
    <w:rsid w:val="00B52354"/>
    <w:rsid w:val="00B52B54"/>
    <w:rsid w:val="00B533D2"/>
    <w:rsid w:val="00B54741"/>
    <w:rsid w:val="00B54C6F"/>
    <w:rsid w:val="00B57B19"/>
    <w:rsid w:val="00B646B4"/>
    <w:rsid w:val="00B64D24"/>
    <w:rsid w:val="00B65977"/>
    <w:rsid w:val="00B66407"/>
    <w:rsid w:val="00B66820"/>
    <w:rsid w:val="00B673FB"/>
    <w:rsid w:val="00B72EA8"/>
    <w:rsid w:val="00B73625"/>
    <w:rsid w:val="00B741A1"/>
    <w:rsid w:val="00B745C0"/>
    <w:rsid w:val="00B74727"/>
    <w:rsid w:val="00B80293"/>
    <w:rsid w:val="00B80637"/>
    <w:rsid w:val="00B80EA7"/>
    <w:rsid w:val="00B80EC5"/>
    <w:rsid w:val="00B8291A"/>
    <w:rsid w:val="00B83700"/>
    <w:rsid w:val="00B84729"/>
    <w:rsid w:val="00B853F6"/>
    <w:rsid w:val="00B860C5"/>
    <w:rsid w:val="00B86E0B"/>
    <w:rsid w:val="00B90E60"/>
    <w:rsid w:val="00B90F27"/>
    <w:rsid w:val="00B91522"/>
    <w:rsid w:val="00B934DF"/>
    <w:rsid w:val="00B93EEE"/>
    <w:rsid w:val="00B968F0"/>
    <w:rsid w:val="00B97DEF"/>
    <w:rsid w:val="00BA01CB"/>
    <w:rsid w:val="00BA281B"/>
    <w:rsid w:val="00BA3693"/>
    <w:rsid w:val="00BA495A"/>
    <w:rsid w:val="00BA580D"/>
    <w:rsid w:val="00BA6525"/>
    <w:rsid w:val="00BA6671"/>
    <w:rsid w:val="00BA6BB3"/>
    <w:rsid w:val="00BB097C"/>
    <w:rsid w:val="00BB45D5"/>
    <w:rsid w:val="00BB49BD"/>
    <w:rsid w:val="00BB518F"/>
    <w:rsid w:val="00BB6E27"/>
    <w:rsid w:val="00BC1A8E"/>
    <w:rsid w:val="00BC1B0C"/>
    <w:rsid w:val="00BC1F33"/>
    <w:rsid w:val="00BC4213"/>
    <w:rsid w:val="00BC5636"/>
    <w:rsid w:val="00BC5A90"/>
    <w:rsid w:val="00BC5E57"/>
    <w:rsid w:val="00BC6C25"/>
    <w:rsid w:val="00BC7AAF"/>
    <w:rsid w:val="00BD09BA"/>
    <w:rsid w:val="00BD0F65"/>
    <w:rsid w:val="00BD45F4"/>
    <w:rsid w:val="00BD710B"/>
    <w:rsid w:val="00BD72A6"/>
    <w:rsid w:val="00BD7421"/>
    <w:rsid w:val="00BE1203"/>
    <w:rsid w:val="00BE12FE"/>
    <w:rsid w:val="00BE1F73"/>
    <w:rsid w:val="00BE25EC"/>
    <w:rsid w:val="00BE4E14"/>
    <w:rsid w:val="00BE5948"/>
    <w:rsid w:val="00BE64E8"/>
    <w:rsid w:val="00BE6AA3"/>
    <w:rsid w:val="00BF02CC"/>
    <w:rsid w:val="00BF0451"/>
    <w:rsid w:val="00BF058F"/>
    <w:rsid w:val="00BF28B5"/>
    <w:rsid w:val="00BF3E47"/>
    <w:rsid w:val="00BF40E2"/>
    <w:rsid w:val="00BF41C8"/>
    <w:rsid w:val="00BF7149"/>
    <w:rsid w:val="00BF727A"/>
    <w:rsid w:val="00C00CE3"/>
    <w:rsid w:val="00C017BF"/>
    <w:rsid w:val="00C01CAA"/>
    <w:rsid w:val="00C01E32"/>
    <w:rsid w:val="00C03AF8"/>
    <w:rsid w:val="00C05DD6"/>
    <w:rsid w:val="00C06295"/>
    <w:rsid w:val="00C06B15"/>
    <w:rsid w:val="00C075DB"/>
    <w:rsid w:val="00C07FC0"/>
    <w:rsid w:val="00C10419"/>
    <w:rsid w:val="00C10E3B"/>
    <w:rsid w:val="00C13C50"/>
    <w:rsid w:val="00C15011"/>
    <w:rsid w:val="00C1543E"/>
    <w:rsid w:val="00C15442"/>
    <w:rsid w:val="00C1551B"/>
    <w:rsid w:val="00C15AC0"/>
    <w:rsid w:val="00C15C2B"/>
    <w:rsid w:val="00C15CEC"/>
    <w:rsid w:val="00C22794"/>
    <w:rsid w:val="00C22B1B"/>
    <w:rsid w:val="00C25C31"/>
    <w:rsid w:val="00C262AF"/>
    <w:rsid w:val="00C26C2E"/>
    <w:rsid w:val="00C26D0C"/>
    <w:rsid w:val="00C27B1C"/>
    <w:rsid w:val="00C32272"/>
    <w:rsid w:val="00C3348F"/>
    <w:rsid w:val="00C3466F"/>
    <w:rsid w:val="00C35A81"/>
    <w:rsid w:val="00C35B21"/>
    <w:rsid w:val="00C36C70"/>
    <w:rsid w:val="00C37681"/>
    <w:rsid w:val="00C3794E"/>
    <w:rsid w:val="00C40B41"/>
    <w:rsid w:val="00C43994"/>
    <w:rsid w:val="00C4486D"/>
    <w:rsid w:val="00C453B6"/>
    <w:rsid w:val="00C456DD"/>
    <w:rsid w:val="00C473FA"/>
    <w:rsid w:val="00C50076"/>
    <w:rsid w:val="00C505A0"/>
    <w:rsid w:val="00C514A7"/>
    <w:rsid w:val="00C52811"/>
    <w:rsid w:val="00C52828"/>
    <w:rsid w:val="00C52C3C"/>
    <w:rsid w:val="00C52D80"/>
    <w:rsid w:val="00C5355A"/>
    <w:rsid w:val="00C539D8"/>
    <w:rsid w:val="00C53DD7"/>
    <w:rsid w:val="00C544A4"/>
    <w:rsid w:val="00C54991"/>
    <w:rsid w:val="00C54DA2"/>
    <w:rsid w:val="00C55EE1"/>
    <w:rsid w:val="00C56F60"/>
    <w:rsid w:val="00C60C1E"/>
    <w:rsid w:val="00C629A1"/>
    <w:rsid w:val="00C630A3"/>
    <w:rsid w:val="00C6411B"/>
    <w:rsid w:val="00C65CC6"/>
    <w:rsid w:val="00C66097"/>
    <w:rsid w:val="00C67132"/>
    <w:rsid w:val="00C67198"/>
    <w:rsid w:val="00C6736E"/>
    <w:rsid w:val="00C675CD"/>
    <w:rsid w:val="00C67BE7"/>
    <w:rsid w:val="00C70688"/>
    <w:rsid w:val="00C708EB"/>
    <w:rsid w:val="00C71CF1"/>
    <w:rsid w:val="00C73B5B"/>
    <w:rsid w:val="00C73F3A"/>
    <w:rsid w:val="00C74887"/>
    <w:rsid w:val="00C75970"/>
    <w:rsid w:val="00C766D0"/>
    <w:rsid w:val="00C817CC"/>
    <w:rsid w:val="00C82267"/>
    <w:rsid w:val="00C82689"/>
    <w:rsid w:val="00C840CA"/>
    <w:rsid w:val="00C846A6"/>
    <w:rsid w:val="00C8553D"/>
    <w:rsid w:val="00C85943"/>
    <w:rsid w:val="00C87EA9"/>
    <w:rsid w:val="00C90705"/>
    <w:rsid w:val="00C92835"/>
    <w:rsid w:val="00C928AA"/>
    <w:rsid w:val="00C928EA"/>
    <w:rsid w:val="00C93843"/>
    <w:rsid w:val="00C94F65"/>
    <w:rsid w:val="00C95D38"/>
    <w:rsid w:val="00C96FA1"/>
    <w:rsid w:val="00CA0274"/>
    <w:rsid w:val="00CA0358"/>
    <w:rsid w:val="00CA19E2"/>
    <w:rsid w:val="00CB0647"/>
    <w:rsid w:val="00CB099B"/>
    <w:rsid w:val="00CB14B5"/>
    <w:rsid w:val="00CB2650"/>
    <w:rsid w:val="00CB6A80"/>
    <w:rsid w:val="00CB73B4"/>
    <w:rsid w:val="00CB78E8"/>
    <w:rsid w:val="00CC0A83"/>
    <w:rsid w:val="00CC1429"/>
    <w:rsid w:val="00CC16ED"/>
    <w:rsid w:val="00CC34C5"/>
    <w:rsid w:val="00CC5796"/>
    <w:rsid w:val="00CC5C99"/>
    <w:rsid w:val="00CD06BB"/>
    <w:rsid w:val="00CD2224"/>
    <w:rsid w:val="00CD2D9C"/>
    <w:rsid w:val="00CD41A9"/>
    <w:rsid w:val="00CD54F7"/>
    <w:rsid w:val="00CD7410"/>
    <w:rsid w:val="00CE3603"/>
    <w:rsid w:val="00CE404B"/>
    <w:rsid w:val="00CE5572"/>
    <w:rsid w:val="00CE55D3"/>
    <w:rsid w:val="00CE5F58"/>
    <w:rsid w:val="00CE68CE"/>
    <w:rsid w:val="00CF05A5"/>
    <w:rsid w:val="00CF0857"/>
    <w:rsid w:val="00CF1F80"/>
    <w:rsid w:val="00CF366C"/>
    <w:rsid w:val="00CF510F"/>
    <w:rsid w:val="00CF53E2"/>
    <w:rsid w:val="00CF642B"/>
    <w:rsid w:val="00CF7A33"/>
    <w:rsid w:val="00D006C3"/>
    <w:rsid w:val="00D0095B"/>
    <w:rsid w:val="00D00A39"/>
    <w:rsid w:val="00D016AA"/>
    <w:rsid w:val="00D02F71"/>
    <w:rsid w:val="00D04600"/>
    <w:rsid w:val="00D054EE"/>
    <w:rsid w:val="00D075FF"/>
    <w:rsid w:val="00D10063"/>
    <w:rsid w:val="00D10CF7"/>
    <w:rsid w:val="00D11597"/>
    <w:rsid w:val="00D13A69"/>
    <w:rsid w:val="00D14CC4"/>
    <w:rsid w:val="00D20E30"/>
    <w:rsid w:val="00D22A32"/>
    <w:rsid w:val="00D23E29"/>
    <w:rsid w:val="00D24E19"/>
    <w:rsid w:val="00D250BF"/>
    <w:rsid w:val="00D2512D"/>
    <w:rsid w:val="00D269D6"/>
    <w:rsid w:val="00D2737C"/>
    <w:rsid w:val="00D275B9"/>
    <w:rsid w:val="00D30418"/>
    <w:rsid w:val="00D31BED"/>
    <w:rsid w:val="00D32E2B"/>
    <w:rsid w:val="00D350EC"/>
    <w:rsid w:val="00D36E5D"/>
    <w:rsid w:val="00D37A58"/>
    <w:rsid w:val="00D37B9E"/>
    <w:rsid w:val="00D400D6"/>
    <w:rsid w:val="00D4107C"/>
    <w:rsid w:val="00D4189F"/>
    <w:rsid w:val="00D41EFE"/>
    <w:rsid w:val="00D42BC4"/>
    <w:rsid w:val="00D42FB8"/>
    <w:rsid w:val="00D439AB"/>
    <w:rsid w:val="00D450EF"/>
    <w:rsid w:val="00D4512C"/>
    <w:rsid w:val="00D46304"/>
    <w:rsid w:val="00D46F37"/>
    <w:rsid w:val="00D471E4"/>
    <w:rsid w:val="00D472E8"/>
    <w:rsid w:val="00D478BF"/>
    <w:rsid w:val="00D50A5E"/>
    <w:rsid w:val="00D51501"/>
    <w:rsid w:val="00D51BD2"/>
    <w:rsid w:val="00D51C7D"/>
    <w:rsid w:val="00D5379F"/>
    <w:rsid w:val="00D537F4"/>
    <w:rsid w:val="00D5422A"/>
    <w:rsid w:val="00D544BD"/>
    <w:rsid w:val="00D5747C"/>
    <w:rsid w:val="00D60E8F"/>
    <w:rsid w:val="00D6287E"/>
    <w:rsid w:val="00D63077"/>
    <w:rsid w:val="00D637D2"/>
    <w:rsid w:val="00D64D53"/>
    <w:rsid w:val="00D66089"/>
    <w:rsid w:val="00D66735"/>
    <w:rsid w:val="00D67263"/>
    <w:rsid w:val="00D70A94"/>
    <w:rsid w:val="00D724A7"/>
    <w:rsid w:val="00D73153"/>
    <w:rsid w:val="00D735AB"/>
    <w:rsid w:val="00D746AA"/>
    <w:rsid w:val="00D74B46"/>
    <w:rsid w:val="00D7503A"/>
    <w:rsid w:val="00D751E8"/>
    <w:rsid w:val="00D75883"/>
    <w:rsid w:val="00D761E3"/>
    <w:rsid w:val="00D767B8"/>
    <w:rsid w:val="00D811C9"/>
    <w:rsid w:val="00D81672"/>
    <w:rsid w:val="00D8200D"/>
    <w:rsid w:val="00D849E0"/>
    <w:rsid w:val="00D84A1F"/>
    <w:rsid w:val="00D84FF2"/>
    <w:rsid w:val="00D861FB"/>
    <w:rsid w:val="00D87988"/>
    <w:rsid w:val="00D87BD3"/>
    <w:rsid w:val="00D90198"/>
    <w:rsid w:val="00D9193B"/>
    <w:rsid w:val="00D91A7C"/>
    <w:rsid w:val="00D92E70"/>
    <w:rsid w:val="00D93647"/>
    <w:rsid w:val="00D93B0D"/>
    <w:rsid w:val="00D93E18"/>
    <w:rsid w:val="00D94417"/>
    <w:rsid w:val="00D95FE1"/>
    <w:rsid w:val="00D9640B"/>
    <w:rsid w:val="00D97A60"/>
    <w:rsid w:val="00DA1E9E"/>
    <w:rsid w:val="00DA29D2"/>
    <w:rsid w:val="00DA2C89"/>
    <w:rsid w:val="00DA33E4"/>
    <w:rsid w:val="00DA458A"/>
    <w:rsid w:val="00DA4812"/>
    <w:rsid w:val="00DA5ADC"/>
    <w:rsid w:val="00DA6063"/>
    <w:rsid w:val="00DA7560"/>
    <w:rsid w:val="00DB1D93"/>
    <w:rsid w:val="00DB2373"/>
    <w:rsid w:val="00DB2E6D"/>
    <w:rsid w:val="00DB2E84"/>
    <w:rsid w:val="00DB3190"/>
    <w:rsid w:val="00DB3C2A"/>
    <w:rsid w:val="00DB40B1"/>
    <w:rsid w:val="00DB437E"/>
    <w:rsid w:val="00DB4775"/>
    <w:rsid w:val="00DB4BB9"/>
    <w:rsid w:val="00DB67ED"/>
    <w:rsid w:val="00DB7120"/>
    <w:rsid w:val="00DC04A4"/>
    <w:rsid w:val="00DC08A3"/>
    <w:rsid w:val="00DC4765"/>
    <w:rsid w:val="00DC5CBE"/>
    <w:rsid w:val="00DC6631"/>
    <w:rsid w:val="00DC6D5C"/>
    <w:rsid w:val="00DC7AC6"/>
    <w:rsid w:val="00DC7E5C"/>
    <w:rsid w:val="00DC7FB3"/>
    <w:rsid w:val="00DD3406"/>
    <w:rsid w:val="00DE15B4"/>
    <w:rsid w:val="00DE3766"/>
    <w:rsid w:val="00DE49CE"/>
    <w:rsid w:val="00DE5869"/>
    <w:rsid w:val="00DE5B29"/>
    <w:rsid w:val="00DE61F7"/>
    <w:rsid w:val="00DE683D"/>
    <w:rsid w:val="00DF01A6"/>
    <w:rsid w:val="00DF0399"/>
    <w:rsid w:val="00DF0401"/>
    <w:rsid w:val="00DF0833"/>
    <w:rsid w:val="00DF0F77"/>
    <w:rsid w:val="00DF2E4E"/>
    <w:rsid w:val="00DF45B9"/>
    <w:rsid w:val="00DF46D7"/>
    <w:rsid w:val="00DF4D1B"/>
    <w:rsid w:val="00E0023D"/>
    <w:rsid w:val="00E00EB5"/>
    <w:rsid w:val="00E01071"/>
    <w:rsid w:val="00E01DCE"/>
    <w:rsid w:val="00E05277"/>
    <w:rsid w:val="00E05443"/>
    <w:rsid w:val="00E05A07"/>
    <w:rsid w:val="00E05AFB"/>
    <w:rsid w:val="00E06872"/>
    <w:rsid w:val="00E100AD"/>
    <w:rsid w:val="00E103FD"/>
    <w:rsid w:val="00E12824"/>
    <w:rsid w:val="00E12C8C"/>
    <w:rsid w:val="00E12D13"/>
    <w:rsid w:val="00E148D0"/>
    <w:rsid w:val="00E1754A"/>
    <w:rsid w:val="00E176F5"/>
    <w:rsid w:val="00E1788E"/>
    <w:rsid w:val="00E17B28"/>
    <w:rsid w:val="00E2017D"/>
    <w:rsid w:val="00E21FB8"/>
    <w:rsid w:val="00E220C4"/>
    <w:rsid w:val="00E22B52"/>
    <w:rsid w:val="00E2424C"/>
    <w:rsid w:val="00E24D4D"/>
    <w:rsid w:val="00E24E7D"/>
    <w:rsid w:val="00E25542"/>
    <w:rsid w:val="00E25CB0"/>
    <w:rsid w:val="00E25E5A"/>
    <w:rsid w:val="00E30D4B"/>
    <w:rsid w:val="00E31148"/>
    <w:rsid w:val="00E31210"/>
    <w:rsid w:val="00E32789"/>
    <w:rsid w:val="00E32B87"/>
    <w:rsid w:val="00E35C9E"/>
    <w:rsid w:val="00E35D40"/>
    <w:rsid w:val="00E36073"/>
    <w:rsid w:val="00E36299"/>
    <w:rsid w:val="00E367E0"/>
    <w:rsid w:val="00E36CF6"/>
    <w:rsid w:val="00E36E28"/>
    <w:rsid w:val="00E4218B"/>
    <w:rsid w:val="00E42653"/>
    <w:rsid w:val="00E4337A"/>
    <w:rsid w:val="00E43FD7"/>
    <w:rsid w:val="00E44341"/>
    <w:rsid w:val="00E44B27"/>
    <w:rsid w:val="00E454DC"/>
    <w:rsid w:val="00E46909"/>
    <w:rsid w:val="00E47A89"/>
    <w:rsid w:val="00E53413"/>
    <w:rsid w:val="00E5407F"/>
    <w:rsid w:val="00E54A43"/>
    <w:rsid w:val="00E54C7E"/>
    <w:rsid w:val="00E54F1D"/>
    <w:rsid w:val="00E55353"/>
    <w:rsid w:val="00E563ED"/>
    <w:rsid w:val="00E5681C"/>
    <w:rsid w:val="00E57953"/>
    <w:rsid w:val="00E57C56"/>
    <w:rsid w:val="00E61821"/>
    <w:rsid w:val="00E62FD6"/>
    <w:rsid w:val="00E63964"/>
    <w:rsid w:val="00E63C0D"/>
    <w:rsid w:val="00E645F0"/>
    <w:rsid w:val="00E65332"/>
    <w:rsid w:val="00E65B67"/>
    <w:rsid w:val="00E65FAE"/>
    <w:rsid w:val="00E65FDE"/>
    <w:rsid w:val="00E664AA"/>
    <w:rsid w:val="00E70553"/>
    <w:rsid w:val="00E709C2"/>
    <w:rsid w:val="00E70CFF"/>
    <w:rsid w:val="00E71AD8"/>
    <w:rsid w:val="00E71E67"/>
    <w:rsid w:val="00E724A6"/>
    <w:rsid w:val="00E72ED8"/>
    <w:rsid w:val="00E7419F"/>
    <w:rsid w:val="00E76009"/>
    <w:rsid w:val="00E7668A"/>
    <w:rsid w:val="00E76745"/>
    <w:rsid w:val="00E76846"/>
    <w:rsid w:val="00E80DFA"/>
    <w:rsid w:val="00E81D19"/>
    <w:rsid w:val="00E821BC"/>
    <w:rsid w:val="00E83A04"/>
    <w:rsid w:val="00E83BE5"/>
    <w:rsid w:val="00E861B5"/>
    <w:rsid w:val="00E8709B"/>
    <w:rsid w:val="00E8798E"/>
    <w:rsid w:val="00E87DBE"/>
    <w:rsid w:val="00E90960"/>
    <w:rsid w:val="00E90A43"/>
    <w:rsid w:val="00E90F26"/>
    <w:rsid w:val="00E923FE"/>
    <w:rsid w:val="00E93420"/>
    <w:rsid w:val="00E934C0"/>
    <w:rsid w:val="00E93DB0"/>
    <w:rsid w:val="00E943B5"/>
    <w:rsid w:val="00EA13CB"/>
    <w:rsid w:val="00EA24D8"/>
    <w:rsid w:val="00EA59EC"/>
    <w:rsid w:val="00EA59F9"/>
    <w:rsid w:val="00EA7D21"/>
    <w:rsid w:val="00EB0818"/>
    <w:rsid w:val="00EB0D9F"/>
    <w:rsid w:val="00EB11EA"/>
    <w:rsid w:val="00EB16D2"/>
    <w:rsid w:val="00EB1B60"/>
    <w:rsid w:val="00EB1E82"/>
    <w:rsid w:val="00EB2799"/>
    <w:rsid w:val="00EB381C"/>
    <w:rsid w:val="00EB3B35"/>
    <w:rsid w:val="00EB6377"/>
    <w:rsid w:val="00EC05CD"/>
    <w:rsid w:val="00EC0618"/>
    <w:rsid w:val="00EC074A"/>
    <w:rsid w:val="00EC2487"/>
    <w:rsid w:val="00EC35B9"/>
    <w:rsid w:val="00EC3D0A"/>
    <w:rsid w:val="00EC512C"/>
    <w:rsid w:val="00EC62B2"/>
    <w:rsid w:val="00EC632F"/>
    <w:rsid w:val="00EC682D"/>
    <w:rsid w:val="00EC6C43"/>
    <w:rsid w:val="00EC7280"/>
    <w:rsid w:val="00EC7B62"/>
    <w:rsid w:val="00ED0A35"/>
    <w:rsid w:val="00ED18BB"/>
    <w:rsid w:val="00ED2F0C"/>
    <w:rsid w:val="00ED3991"/>
    <w:rsid w:val="00ED402A"/>
    <w:rsid w:val="00ED6A04"/>
    <w:rsid w:val="00EE1EEF"/>
    <w:rsid w:val="00EE2480"/>
    <w:rsid w:val="00EE339B"/>
    <w:rsid w:val="00EE5E37"/>
    <w:rsid w:val="00EE6387"/>
    <w:rsid w:val="00EE71C0"/>
    <w:rsid w:val="00EF0007"/>
    <w:rsid w:val="00EF0A5F"/>
    <w:rsid w:val="00EF0F8C"/>
    <w:rsid w:val="00EF15A0"/>
    <w:rsid w:val="00EF25BB"/>
    <w:rsid w:val="00EF3588"/>
    <w:rsid w:val="00EF37FE"/>
    <w:rsid w:val="00EF38D0"/>
    <w:rsid w:val="00EF3AD6"/>
    <w:rsid w:val="00EF48FE"/>
    <w:rsid w:val="00EF7AF6"/>
    <w:rsid w:val="00F008A4"/>
    <w:rsid w:val="00F00CB6"/>
    <w:rsid w:val="00F022D2"/>
    <w:rsid w:val="00F03170"/>
    <w:rsid w:val="00F038FB"/>
    <w:rsid w:val="00F03F6C"/>
    <w:rsid w:val="00F04170"/>
    <w:rsid w:val="00F0484B"/>
    <w:rsid w:val="00F05BD5"/>
    <w:rsid w:val="00F0619B"/>
    <w:rsid w:val="00F06BF0"/>
    <w:rsid w:val="00F1031C"/>
    <w:rsid w:val="00F1158D"/>
    <w:rsid w:val="00F116AC"/>
    <w:rsid w:val="00F1299D"/>
    <w:rsid w:val="00F1500F"/>
    <w:rsid w:val="00F16CEF"/>
    <w:rsid w:val="00F16F6C"/>
    <w:rsid w:val="00F21C38"/>
    <w:rsid w:val="00F226F3"/>
    <w:rsid w:val="00F22A6E"/>
    <w:rsid w:val="00F233ED"/>
    <w:rsid w:val="00F24206"/>
    <w:rsid w:val="00F2449D"/>
    <w:rsid w:val="00F24D1D"/>
    <w:rsid w:val="00F27F0F"/>
    <w:rsid w:val="00F335FD"/>
    <w:rsid w:val="00F340C5"/>
    <w:rsid w:val="00F342E3"/>
    <w:rsid w:val="00F4230A"/>
    <w:rsid w:val="00F42E3C"/>
    <w:rsid w:val="00F44675"/>
    <w:rsid w:val="00F44EFC"/>
    <w:rsid w:val="00F45CD9"/>
    <w:rsid w:val="00F46929"/>
    <w:rsid w:val="00F4708E"/>
    <w:rsid w:val="00F471BC"/>
    <w:rsid w:val="00F478F6"/>
    <w:rsid w:val="00F50599"/>
    <w:rsid w:val="00F50A35"/>
    <w:rsid w:val="00F5173C"/>
    <w:rsid w:val="00F51CA1"/>
    <w:rsid w:val="00F51F34"/>
    <w:rsid w:val="00F5266F"/>
    <w:rsid w:val="00F53DB2"/>
    <w:rsid w:val="00F5598A"/>
    <w:rsid w:val="00F570D8"/>
    <w:rsid w:val="00F5751C"/>
    <w:rsid w:val="00F57AA6"/>
    <w:rsid w:val="00F57D6B"/>
    <w:rsid w:val="00F6081E"/>
    <w:rsid w:val="00F6183C"/>
    <w:rsid w:val="00F62A0A"/>
    <w:rsid w:val="00F63304"/>
    <w:rsid w:val="00F6371C"/>
    <w:rsid w:val="00F64E19"/>
    <w:rsid w:val="00F65CAE"/>
    <w:rsid w:val="00F669B4"/>
    <w:rsid w:val="00F67469"/>
    <w:rsid w:val="00F71110"/>
    <w:rsid w:val="00F71A8A"/>
    <w:rsid w:val="00F71C25"/>
    <w:rsid w:val="00F740B6"/>
    <w:rsid w:val="00F7468F"/>
    <w:rsid w:val="00F80F39"/>
    <w:rsid w:val="00F80F54"/>
    <w:rsid w:val="00F8250D"/>
    <w:rsid w:val="00F83B1B"/>
    <w:rsid w:val="00F84DF8"/>
    <w:rsid w:val="00F84FC8"/>
    <w:rsid w:val="00F863CE"/>
    <w:rsid w:val="00F875D5"/>
    <w:rsid w:val="00F8761B"/>
    <w:rsid w:val="00F905F1"/>
    <w:rsid w:val="00F9212A"/>
    <w:rsid w:val="00F94586"/>
    <w:rsid w:val="00F94945"/>
    <w:rsid w:val="00F94CB3"/>
    <w:rsid w:val="00F95202"/>
    <w:rsid w:val="00FA064F"/>
    <w:rsid w:val="00FA2E40"/>
    <w:rsid w:val="00FA3069"/>
    <w:rsid w:val="00FA366A"/>
    <w:rsid w:val="00FA3C4E"/>
    <w:rsid w:val="00FA5612"/>
    <w:rsid w:val="00FA61F1"/>
    <w:rsid w:val="00FA7297"/>
    <w:rsid w:val="00FA7739"/>
    <w:rsid w:val="00FA77E0"/>
    <w:rsid w:val="00FB01B7"/>
    <w:rsid w:val="00FB01E1"/>
    <w:rsid w:val="00FB0E59"/>
    <w:rsid w:val="00FB337E"/>
    <w:rsid w:val="00FB6E90"/>
    <w:rsid w:val="00FC08D7"/>
    <w:rsid w:val="00FC1039"/>
    <w:rsid w:val="00FC1C6C"/>
    <w:rsid w:val="00FC4690"/>
    <w:rsid w:val="00FC5380"/>
    <w:rsid w:val="00FC703F"/>
    <w:rsid w:val="00FC71BF"/>
    <w:rsid w:val="00FC73A2"/>
    <w:rsid w:val="00FC73FE"/>
    <w:rsid w:val="00FC7C5C"/>
    <w:rsid w:val="00FD0116"/>
    <w:rsid w:val="00FD11C4"/>
    <w:rsid w:val="00FD430D"/>
    <w:rsid w:val="00FD537C"/>
    <w:rsid w:val="00FD5EE2"/>
    <w:rsid w:val="00FD77E9"/>
    <w:rsid w:val="00FD7F0C"/>
    <w:rsid w:val="00FE055F"/>
    <w:rsid w:val="00FE1211"/>
    <w:rsid w:val="00FE31EE"/>
    <w:rsid w:val="00FE4782"/>
    <w:rsid w:val="00FE4A95"/>
    <w:rsid w:val="00FE524F"/>
    <w:rsid w:val="00FE6C9F"/>
    <w:rsid w:val="00FF0FB8"/>
    <w:rsid w:val="00FF16B2"/>
    <w:rsid w:val="00FF19C4"/>
    <w:rsid w:val="00FF2011"/>
    <w:rsid w:val="00FF23CD"/>
    <w:rsid w:val="00FF25A3"/>
    <w:rsid w:val="00FF51C6"/>
    <w:rsid w:val="00FF5F65"/>
    <w:rsid w:val="00FF7839"/>
    <w:rsid w:val="00FF7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CB377"/>
  <w15:chartTrackingRefBased/>
  <w15:docId w15:val="{170BA443-B887-428F-824F-E0D25A10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7D3"/>
    <w:pPr>
      <w:spacing w:after="160" w:line="259" w:lineRule="auto"/>
    </w:pPr>
    <w:rPr>
      <w:kern w:val="2"/>
      <w:sz w:val="22"/>
      <w:szCs w:val="22"/>
      <w:lang w:val="en-ZW" w:eastAsia="en-US"/>
    </w:rPr>
  </w:style>
  <w:style w:type="paragraph" w:styleId="Heading1">
    <w:name w:val="heading 1"/>
    <w:basedOn w:val="Normal"/>
    <w:next w:val="Normal"/>
    <w:link w:val="Heading1Char"/>
    <w:uiPriority w:val="9"/>
    <w:qFormat/>
    <w:rsid w:val="004542F6"/>
    <w:pPr>
      <w:keepNext/>
      <w:keepLines/>
      <w:spacing w:before="240" w:after="0"/>
      <w:outlineLvl w:val="0"/>
    </w:pPr>
    <w:rPr>
      <w:rFonts w:ascii="Tahoma" w:eastAsia="Times New Roman" w:hAnsi="Tahoma"/>
      <w:b/>
      <w:sz w:val="24"/>
      <w:szCs w:val="32"/>
    </w:rPr>
  </w:style>
  <w:style w:type="paragraph" w:styleId="Heading2">
    <w:name w:val="heading 2"/>
    <w:basedOn w:val="Normal"/>
    <w:next w:val="Normal"/>
    <w:link w:val="Heading2Char"/>
    <w:uiPriority w:val="9"/>
    <w:unhideWhenUsed/>
    <w:qFormat/>
    <w:rsid w:val="00EE6387"/>
    <w:pPr>
      <w:keepNext/>
      <w:keepLines/>
      <w:spacing w:before="40" w:after="0"/>
      <w:outlineLvl w:val="1"/>
    </w:pPr>
    <w:rPr>
      <w:rFonts w:ascii="Tahoma" w:eastAsia="Times New Roman" w:hAnsi="Tahoma"/>
      <w:sz w:val="24"/>
      <w:szCs w:val="26"/>
    </w:rPr>
  </w:style>
  <w:style w:type="paragraph" w:styleId="Heading3">
    <w:name w:val="heading 3"/>
    <w:basedOn w:val="Normal"/>
    <w:next w:val="Normal"/>
    <w:link w:val="Heading3Char"/>
    <w:uiPriority w:val="9"/>
    <w:unhideWhenUsed/>
    <w:qFormat/>
    <w:rsid w:val="00721CC2"/>
    <w:pPr>
      <w:keepNext/>
      <w:spacing w:before="240" w:after="60"/>
      <w:outlineLvl w:val="2"/>
    </w:pPr>
    <w:rPr>
      <w:rFonts w:ascii="Tahoma" w:eastAsia="Times New Roman" w:hAnsi="Tahoma"/>
      <w:b/>
      <w:bCs/>
      <w:sz w:val="24"/>
      <w:szCs w:val="26"/>
    </w:rPr>
  </w:style>
  <w:style w:type="paragraph" w:styleId="Heading4">
    <w:name w:val="heading 4"/>
    <w:basedOn w:val="Normal"/>
    <w:next w:val="Normal"/>
    <w:link w:val="Heading4Char"/>
    <w:uiPriority w:val="9"/>
    <w:semiHidden/>
    <w:unhideWhenUsed/>
    <w:qFormat/>
    <w:rsid w:val="000054C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11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03"/>
  </w:style>
  <w:style w:type="paragraph" w:styleId="Footer">
    <w:name w:val="footer"/>
    <w:basedOn w:val="Normal"/>
    <w:link w:val="FooterChar"/>
    <w:uiPriority w:val="99"/>
    <w:unhideWhenUsed/>
    <w:rsid w:val="006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03"/>
  </w:style>
  <w:style w:type="character" w:customStyle="1" w:styleId="Heading1Char">
    <w:name w:val="Heading 1 Char"/>
    <w:link w:val="Heading1"/>
    <w:uiPriority w:val="9"/>
    <w:rsid w:val="004542F6"/>
    <w:rPr>
      <w:rFonts w:ascii="Tahoma" w:eastAsia="Times New Roman" w:hAnsi="Tahoma"/>
      <w:b/>
      <w:kern w:val="2"/>
      <w:sz w:val="24"/>
      <w:szCs w:val="32"/>
      <w:lang w:eastAsia="en-US"/>
    </w:rPr>
  </w:style>
  <w:style w:type="character" w:customStyle="1" w:styleId="Heading2Char">
    <w:name w:val="Heading 2 Char"/>
    <w:link w:val="Heading2"/>
    <w:uiPriority w:val="9"/>
    <w:rsid w:val="00EE6387"/>
    <w:rPr>
      <w:rFonts w:ascii="Tahoma" w:eastAsia="Times New Roman" w:hAnsi="Tahoma"/>
      <w:kern w:val="2"/>
      <w:sz w:val="24"/>
      <w:szCs w:val="26"/>
      <w:lang w:eastAsia="en-US"/>
    </w:rPr>
  </w:style>
  <w:style w:type="paragraph" w:styleId="Caption">
    <w:name w:val="caption"/>
    <w:basedOn w:val="Normal"/>
    <w:next w:val="Normal"/>
    <w:uiPriority w:val="35"/>
    <w:unhideWhenUsed/>
    <w:qFormat/>
    <w:rsid w:val="00BC5A90"/>
    <w:pPr>
      <w:spacing w:after="200" w:line="240" w:lineRule="auto"/>
    </w:pPr>
    <w:rPr>
      <w:i/>
      <w:iCs/>
      <w:color w:val="44546A"/>
      <w:sz w:val="18"/>
      <w:szCs w:val="18"/>
    </w:rPr>
  </w:style>
  <w:style w:type="paragraph" w:styleId="TableofFigures">
    <w:name w:val="table of figures"/>
    <w:basedOn w:val="Normal"/>
    <w:next w:val="Normal"/>
    <w:uiPriority w:val="99"/>
    <w:unhideWhenUsed/>
    <w:rsid w:val="003C1D2F"/>
    <w:pPr>
      <w:spacing w:after="0"/>
    </w:pPr>
  </w:style>
  <w:style w:type="character" w:styleId="Hyperlink">
    <w:name w:val="Hyperlink"/>
    <w:uiPriority w:val="99"/>
    <w:unhideWhenUsed/>
    <w:rsid w:val="003C1D2F"/>
    <w:rPr>
      <w:color w:val="0563C1"/>
      <w:u w:val="single"/>
    </w:rPr>
  </w:style>
  <w:style w:type="paragraph" w:styleId="TOCHeading">
    <w:name w:val="TOC Heading"/>
    <w:basedOn w:val="Heading1"/>
    <w:next w:val="Normal"/>
    <w:uiPriority w:val="39"/>
    <w:unhideWhenUsed/>
    <w:qFormat/>
    <w:rsid w:val="00DA458A"/>
    <w:pPr>
      <w:outlineLvl w:val="9"/>
    </w:pPr>
    <w:rPr>
      <w:kern w:val="0"/>
      <w:lang w:val="en-US"/>
    </w:rPr>
  </w:style>
  <w:style w:type="paragraph" w:styleId="TOC1">
    <w:name w:val="toc 1"/>
    <w:basedOn w:val="Normal"/>
    <w:next w:val="Normal"/>
    <w:autoRedefine/>
    <w:uiPriority w:val="39"/>
    <w:unhideWhenUsed/>
    <w:rsid w:val="00C07FC0"/>
    <w:pPr>
      <w:spacing w:after="100"/>
    </w:pPr>
  </w:style>
  <w:style w:type="paragraph" w:styleId="TOC2">
    <w:name w:val="toc 2"/>
    <w:basedOn w:val="Normal"/>
    <w:next w:val="Normal"/>
    <w:autoRedefine/>
    <w:uiPriority w:val="39"/>
    <w:unhideWhenUsed/>
    <w:rsid w:val="00D46F37"/>
    <w:pPr>
      <w:tabs>
        <w:tab w:val="left" w:pos="880"/>
        <w:tab w:val="right" w:leader="dot" w:pos="9016"/>
      </w:tabs>
      <w:spacing w:after="100"/>
      <w:ind w:left="220"/>
    </w:pPr>
    <w:rPr>
      <w:rFonts w:ascii="Tahoma" w:hAnsi="Tahoma" w:cs="Tahoma"/>
      <w:b/>
      <w:noProof/>
      <w:sz w:val="24"/>
      <w:szCs w:val="24"/>
      <w:lang w:val="en-US"/>
    </w:rPr>
  </w:style>
  <w:style w:type="paragraph" w:styleId="ListParagraph">
    <w:name w:val="List Paragraph"/>
    <w:basedOn w:val="Normal"/>
    <w:uiPriority w:val="34"/>
    <w:qFormat/>
    <w:rsid w:val="00FC703F"/>
    <w:pPr>
      <w:ind w:left="720"/>
      <w:contextualSpacing/>
    </w:pPr>
  </w:style>
  <w:style w:type="paragraph" w:styleId="Revision">
    <w:name w:val="Revision"/>
    <w:hidden/>
    <w:uiPriority w:val="99"/>
    <w:semiHidden/>
    <w:rsid w:val="00300BB3"/>
    <w:rPr>
      <w:kern w:val="2"/>
      <w:sz w:val="22"/>
      <w:szCs w:val="22"/>
      <w:lang w:val="en-ZW" w:eastAsia="en-US"/>
    </w:rPr>
  </w:style>
  <w:style w:type="character" w:styleId="CommentReference">
    <w:name w:val="annotation reference"/>
    <w:uiPriority w:val="99"/>
    <w:semiHidden/>
    <w:unhideWhenUsed/>
    <w:rsid w:val="00300BB3"/>
    <w:rPr>
      <w:sz w:val="16"/>
      <w:szCs w:val="16"/>
    </w:rPr>
  </w:style>
  <w:style w:type="paragraph" w:styleId="CommentText">
    <w:name w:val="annotation text"/>
    <w:basedOn w:val="Normal"/>
    <w:link w:val="CommentTextChar"/>
    <w:uiPriority w:val="99"/>
    <w:unhideWhenUsed/>
    <w:rsid w:val="00300BB3"/>
    <w:pPr>
      <w:spacing w:line="240" w:lineRule="auto"/>
    </w:pPr>
    <w:rPr>
      <w:sz w:val="20"/>
      <w:szCs w:val="20"/>
    </w:rPr>
  </w:style>
  <w:style w:type="character" w:customStyle="1" w:styleId="CommentTextChar">
    <w:name w:val="Comment Text Char"/>
    <w:link w:val="CommentText"/>
    <w:uiPriority w:val="99"/>
    <w:rsid w:val="00300BB3"/>
    <w:rPr>
      <w:sz w:val="20"/>
      <w:szCs w:val="20"/>
    </w:rPr>
  </w:style>
  <w:style w:type="paragraph" w:styleId="CommentSubject">
    <w:name w:val="annotation subject"/>
    <w:basedOn w:val="CommentText"/>
    <w:next w:val="CommentText"/>
    <w:link w:val="CommentSubjectChar"/>
    <w:uiPriority w:val="99"/>
    <w:semiHidden/>
    <w:unhideWhenUsed/>
    <w:rsid w:val="00300BB3"/>
    <w:rPr>
      <w:b/>
      <w:bCs/>
    </w:rPr>
  </w:style>
  <w:style w:type="character" w:customStyle="1" w:styleId="CommentSubjectChar">
    <w:name w:val="Comment Subject Char"/>
    <w:link w:val="CommentSubject"/>
    <w:uiPriority w:val="99"/>
    <w:semiHidden/>
    <w:rsid w:val="00300BB3"/>
    <w:rPr>
      <w:b/>
      <w:bCs/>
      <w:sz w:val="20"/>
      <w:szCs w:val="20"/>
    </w:rPr>
  </w:style>
  <w:style w:type="paragraph" w:styleId="BalloonText">
    <w:name w:val="Balloon Text"/>
    <w:basedOn w:val="Normal"/>
    <w:link w:val="BalloonTextChar"/>
    <w:uiPriority w:val="99"/>
    <w:semiHidden/>
    <w:unhideWhenUsed/>
    <w:rsid w:val="006979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97921"/>
    <w:rPr>
      <w:rFonts w:ascii="Segoe UI" w:hAnsi="Segoe UI" w:cs="Segoe UI"/>
      <w:kern w:val="2"/>
      <w:sz w:val="18"/>
      <w:szCs w:val="18"/>
      <w:lang w:eastAsia="en-US"/>
    </w:rPr>
  </w:style>
  <w:style w:type="paragraph" w:styleId="NoSpacing">
    <w:name w:val="No Spacing"/>
    <w:uiPriority w:val="1"/>
    <w:qFormat/>
    <w:rsid w:val="00721CC2"/>
    <w:rPr>
      <w:rFonts w:ascii="Tahoma" w:hAnsi="Tahoma"/>
      <w:b/>
      <w:kern w:val="2"/>
      <w:sz w:val="24"/>
      <w:szCs w:val="22"/>
      <w:lang w:val="en-ZW" w:eastAsia="en-US"/>
    </w:rPr>
  </w:style>
  <w:style w:type="table" w:styleId="PlainTable1">
    <w:name w:val="Plain Table 1"/>
    <w:basedOn w:val="TableNormal"/>
    <w:uiPriority w:val="41"/>
    <w:rsid w:val="00DC5CB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link w:val="Heading3"/>
    <w:uiPriority w:val="9"/>
    <w:rsid w:val="00721CC2"/>
    <w:rPr>
      <w:rFonts w:ascii="Tahoma" w:eastAsia="Times New Roman" w:hAnsi="Tahoma" w:cs="Times New Roman"/>
      <w:b/>
      <w:bCs/>
      <w:kern w:val="2"/>
      <w:sz w:val="24"/>
      <w:szCs w:val="26"/>
      <w:lang w:eastAsia="en-US"/>
    </w:rPr>
  </w:style>
  <w:style w:type="paragraph" w:customStyle="1" w:styleId="ListofFigures">
    <w:name w:val="List of Figures"/>
    <w:basedOn w:val="Caption"/>
    <w:next w:val="Caption"/>
    <w:qFormat/>
    <w:rsid w:val="00750E65"/>
    <w:pPr>
      <w:tabs>
        <w:tab w:val="right" w:leader="dot" w:pos="9016"/>
      </w:tabs>
    </w:pPr>
    <w:rPr>
      <w:rFonts w:ascii="Tahoma" w:hAnsi="Tahoma" w:cs="Tahoma"/>
      <w:b/>
      <w:i w:val="0"/>
      <w:noProof/>
      <w:color w:val="auto"/>
      <w:sz w:val="24"/>
    </w:rPr>
  </w:style>
  <w:style w:type="paragraph" w:customStyle="1" w:styleId="ListofTables">
    <w:name w:val="List of Tables"/>
    <w:basedOn w:val="Caption"/>
    <w:next w:val="Caption"/>
    <w:qFormat/>
    <w:rsid w:val="0001510C"/>
    <w:pPr>
      <w:keepNext/>
      <w:spacing w:after="0"/>
    </w:pPr>
    <w:rPr>
      <w:rFonts w:ascii="Tahoma" w:hAnsi="Tahoma" w:cs="Tahoma"/>
      <w:b/>
      <w:i w:val="0"/>
      <w:color w:val="auto"/>
      <w:sz w:val="24"/>
      <w:szCs w:val="24"/>
    </w:rPr>
  </w:style>
  <w:style w:type="paragraph" w:styleId="Bibliography">
    <w:name w:val="Bibliography"/>
    <w:basedOn w:val="Normal"/>
    <w:next w:val="Normal"/>
    <w:uiPriority w:val="37"/>
    <w:unhideWhenUsed/>
    <w:rsid w:val="003C7C0E"/>
  </w:style>
  <w:style w:type="paragraph" w:styleId="NormalWeb">
    <w:name w:val="Normal (Web)"/>
    <w:basedOn w:val="Normal"/>
    <w:uiPriority w:val="99"/>
    <w:semiHidden/>
    <w:unhideWhenUsed/>
    <w:rsid w:val="0020788D"/>
    <w:rPr>
      <w:rFonts w:ascii="Times New Roman" w:hAnsi="Times New Roman"/>
      <w:sz w:val="24"/>
      <w:szCs w:val="24"/>
    </w:rPr>
  </w:style>
  <w:style w:type="character" w:customStyle="1" w:styleId="Heading4Char">
    <w:name w:val="Heading 4 Char"/>
    <w:basedOn w:val="DefaultParagraphFont"/>
    <w:link w:val="Heading4"/>
    <w:uiPriority w:val="9"/>
    <w:semiHidden/>
    <w:rsid w:val="000054C7"/>
    <w:rPr>
      <w:rFonts w:asciiTheme="majorHAnsi" w:eastAsiaTheme="majorEastAsia" w:hAnsiTheme="majorHAnsi" w:cstheme="majorBidi"/>
      <w:i/>
      <w:iCs/>
      <w:color w:val="0F4761" w:themeColor="accent1" w:themeShade="BF"/>
      <w:kern w:val="2"/>
      <w:sz w:val="22"/>
      <w:szCs w:val="22"/>
      <w:lang w:val="en-ZW"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364">
      <w:bodyDiv w:val="1"/>
      <w:marLeft w:val="0"/>
      <w:marRight w:val="0"/>
      <w:marTop w:val="0"/>
      <w:marBottom w:val="0"/>
      <w:divBdr>
        <w:top w:val="none" w:sz="0" w:space="0" w:color="auto"/>
        <w:left w:val="none" w:sz="0" w:space="0" w:color="auto"/>
        <w:bottom w:val="none" w:sz="0" w:space="0" w:color="auto"/>
        <w:right w:val="none" w:sz="0" w:space="0" w:color="auto"/>
      </w:divBdr>
    </w:div>
    <w:div w:id="94445601">
      <w:bodyDiv w:val="1"/>
      <w:marLeft w:val="0"/>
      <w:marRight w:val="0"/>
      <w:marTop w:val="0"/>
      <w:marBottom w:val="0"/>
      <w:divBdr>
        <w:top w:val="none" w:sz="0" w:space="0" w:color="auto"/>
        <w:left w:val="none" w:sz="0" w:space="0" w:color="auto"/>
        <w:bottom w:val="none" w:sz="0" w:space="0" w:color="auto"/>
        <w:right w:val="none" w:sz="0" w:space="0" w:color="auto"/>
      </w:divBdr>
    </w:div>
    <w:div w:id="168833991">
      <w:bodyDiv w:val="1"/>
      <w:marLeft w:val="0"/>
      <w:marRight w:val="0"/>
      <w:marTop w:val="0"/>
      <w:marBottom w:val="0"/>
      <w:divBdr>
        <w:top w:val="none" w:sz="0" w:space="0" w:color="auto"/>
        <w:left w:val="none" w:sz="0" w:space="0" w:color="auto"/>
        <w:bottom w:val="none" w:sz="0" w:space="0" w:color="auto"/>
        <w:right w:val="none" w:sz="0" w:space="0" w:color="auto"/>
      </w:divBdr>
    </w:div>
    <w:div w:id="258757121">
      <w:bodyDiv w:val="1"/>
      <w:marLeft w:val="0"/>
      <w:marRight w:val="0"/>
      <w:marTop w:val="0"/>
      <w:marBottom w:val="0"/>
      <w:divBdr>
        <w:top w:val="none" w:sz="0" w:space="0" w:color="auto"/>
        <w:left w:val="none" w:sz="0" w:space="0" w:color="auto"/>
        <w:bottom w:val="none" w:sz="0" w:space="0" w:color="auto"/>
        <w:right w:val="none" w:sz="0" w:space="0" w:color="auto"/>
      </w:divBdr>
    </w:div>
    <w:div w:id="276839923">
      <w:bodyDiv w:val="1"/>
      <w:marLeft w:val="0"/>
      <w:marRight w:val="0"/>
      <w:marTop w:val="0"/>
      <w:marBottom w:val="0"/>
      <w:divBdr>
        <w:top w:val="none" w:sz="0" w:space="0" w:color="auto"/>
        <w:left w:val="none" w:sz="0" w:space="0" w:color="auto"/>
        <w:bottom w:val="none" w:sz="0" w:space="0" w:color="auto"/>
        <w:right w:val="none" w:sz="0" w:space="0" w:color="auto"/>
      </w:divBdr>
    </w:div>
    <w:div w:id="302542723">
      <w:bodyDiv w:val="1"/>
      <w:marLeft w:val="0"/>
      <w:marRight w:val="0"/>
      <w:marTop w:val="0"/>
      <w:marBottom w:val="0"/>
      <w:divBdr>
        <w:top w:val="none" w:sz="0" w:space="0" w:color="auto"/>
        <w:left w:val="none" w:sz="0" w:space="0" w:color="auto"/>
        <w:bottom w:val="none" w:sz="0" w:space="0" w:color="auto"/>
        <w:right w:val="none" w:sz="0" w:space="0" w:color="auto"/>
      </w:divBdr>
    </w:div>
    <w:div w:id="340671189">
      <w:bodyDiv w:val="1"/>
      <w:marLeft w:val="0"/>
      <w:marRight w:val="0"/>
      <w:marTop w:val="0"/>
      <w:marBottom w:val="0"/>
      <w:divBdr>
        <w:top w:val="none" w:sz="0" w:space="0" w:color="auto"/>
        <w:left w:val="none" w:sz="0" w:space="0" w:color="auto"/>
        <w:bottom w:val="none" w:sz="0" w:space="0" w:color="auto"/>
        <w:right w:val="none" w:sz="0" w:space="0" w:color="auto"/>
      </w:divBdr>
    </w:div>
    <w:div w:id="352079526">
      <w:bodyDiv w:val="1"/>
      <w:marLeft w:val="0"/>
      <w:marRight w:val="0"/>
      <w:marTop w:val="0"/>
      <w:marBottom w:val="0"/>
      <w:divBdr>
        <w:top w:val="none" w:sz="0" w:space="0" w:color="auto"/>
        <w:left w:val="none" w:sz="0" w:space="0" w:color="auto"/>
        <w:bottom w:val="none" w:sz="0" w:space="0" w:color="auto"/>
        <w:right w:val="none" w:sz="0" w:space="0" w:color="auto"/>
      </w:divBdr>
    </w:div>
    <w:div w:id="370351089">
      <w:bodyDiv w:val="1"/>
      <w:marLeft w:val="0"/>
      <w:marRight w:val="0"/>
      <w:marTop w:val="0"/>
      <w:marBottom w:val="0"/>
      <w:divBdr>
        <w:top w:val="none" w:sz="0" w:space="0" w:color="auto"/>
        <w:left w:val="none" w:sz="0" w:space="0" w:color="auto"/>
        <w:bottom w:val="none" w:sz="0" w:space="0" w:color="auto"/>
        <w:right w:val="none" w:sz="0" w:space="0" w:color="auto"/>
      </w:divBdr>
    </w:div>
    <w:div w:id="404883050">
      <w:bodyDiv w:val="1"/>
      <w:marLeft w:val="0"/>
      <w:marRight w:val="0"/>
      <w:marTop w:val="0"/>
      <w:marBottom w:val="0"/>
      <w:divBdr>
        <w:top w:val="none" w:sz="0" w:space="0" w:color="auto"/>
        <w:left w:val="none" w:sz="0" w:space="0" w:color="auto"/>
        <w:bottom w:val="none" w:sz="0" w:space="0" w:color="auto"/>
        <w:right w:val="none" w:sz="0" w:space="0" w:color="auto"/>
      </w:divBdr>
    </w:div>
    <w:div w:id="420298280">
      <w:bodyDiv w:val="1"/>
      <w:marLeft w:val="0"/>
      <w:marRight w:val="0"/>
      <w:marTop w:val="0"/>
      <w:marBottom w:val="0"/>
      <w:divBdr>
        <w:top w:val="none" w:sz="0" w:space="0" w:color="auto"/>
        <w:left w:val="none" w:sz="0" w:space="0" w:color="auto"/>
        <w:bottom w:val="none" w:sz="0" w:space="0" w:color="auto"/>
        <w:right w:val="none" w:sz="0" w:space="0" w:color="auto"/>
      </w:divBdr>
    </w:div>
    <w:div w:id="498892672">
      <w:bodyDiv w:val="1"/>
      <w:marLeft w:val="0"/>
      <w:marRight w:val="0"/>
      <w:marTop w:val="0"/>
      <w:marBottom w:val="0"/>
      <w:divBdr>
        <w:top w:val="none" w:sz="0" w:space="0" w:color="auto"/>
        <w:left w:val="none" w:sz="0" w:space="0" w:color="auto"/>
        <w:bottom w:val="none" w:sz="0" w:space="0" w:color="auto"/>
        <w:right w:val="none" w:sz="0" w:space="0" w:color="auto"/>
      </w:divBdr>
    </w:div>
    <w:div w:id="502018243">
      <w:bodyDiv w:val="1"/>
      <w:marLeft w:val="0"/>
      <w:marRight w:val="0"/>
      <w:marTop w:val="0"/>
      <w:marBottom w:val="0"/>
      <w:divBdr>
        <w:top w:val="none" w:sz="0" w:space="0" w:color="auto"/>
        <w:left w:val="none" w:sz="0" w:space="0" w:color="auto"/>
        <w:bottom w:val="none" w:sz="0" w:space="0" w:color="auto"/>
        <w:right w:val="none" w:sz="0" w:space="0" w:color="auto"/>
      </w:divBdr>
    </w:div>
    <w:div w:id="509834341">
      <w:bodyDiv w:val="1"/>
      <w:marLeft w:val="0"/>
      <w:marRight w:val="0"/>
      <w:marTop w:val="0"/>
      <w:marBottom w:val="0"/>
      <w:divBdr>
        <w:top w:val="none" w:sz="0" w:space="0" w:color="auto"/>
        <w:left w:val="none" w:sz="0" w:space="0" w:color="auto"/>
        <w:bottom w:val="none" w:sz="0" w:space="0" w:color="auto"/>
        <w:right w:val="none" w:sz="0" w:space="0" w:color="auto"/>
      </w:divBdr>
    </w:div>
    <w:div w:id="517933771">
      <w:bodyDiv w:val="1"/>
      <w:marLeft w:val="0"/>
      <w:marRight w:val="0"/>
      <w:marTop w:val="0"/>
      <w:marBottom w:val="0"/>
      <w:divBdr>
        <w:top w:val="none" w:sz="0" w:space="0" w:color="auto"/>
        <w:left w:val="none" w:sz="0" w:space="0" w:color="auto"/>
        <w:bottom w:val="none" w:sz="0" w:space="0" w:color="auto"/>
        <w:right w:val="none" w:sz="0" w:space="0" w:color="auto"/>
      </w:divBdr>
    </w:div>
    <w:div w:id="525943812">
      <w:bodyDiv w:val="1"/>
      <w:marLeft w:val="0"/>
      <w:marRight w:val="0"/>
      <w:marTop w:val="0"/>
      <w:marBottom w:val="0"/>
      <w:divBdr>
        <w:top w:val="none" w:sz="0" w:space="0" w:color="auto"/>
        <w:left w:val="none" w:sz="0" w:space="0" w:color="auto"/>
        <w:bottom w:val="none" w:sz="0" w:space="0" w:color="auto"/>
        <w:right w:val="none" w:sz="0" w:space="0" w:color="auto"/>
      </w:divBdr>
    </w:div>
    <w:div w:id="540635561">
      <w:bodyDiv w:val="1"/>
      <w:marLeft w:val="0"/>
      <w:marRight w:val="0"/>
      <w:marTop w:val="0"/>
      <w:marBottom w:val="0"/>
      <w:divBdr>
        <w:top w:val="none" w:sz="0" w:space="0" w:color="auto"/>
        <w:left w:val="none" w:sz="0" w:space="0" w:color="auto"/>
        <w:bottom w:val="none" w:sz="0" w:space="0" w:color="auto"/>
        <w:right w:val="none" w:sz="0" w:space="0" w:color="auto"/>
      </w:divBdr>
    </w:div>
    <w:div w:id="562762955">
      <w:bodyDiv w:val="1"/>
      <w:marLeft w:val="0"/>
      <w:marRight w:val="0"/>
      <w:marTop w:val="0"/>
      <w:marBottom w:val="0"/>
      <w:divBdr>
        <w:top w:val="none" w:sz="0" w:space="0" w:color="auto"/>
        <w:left w:val="none" w:sz="0" w:space="0" w:color="auto"/>
        <w:bottom w:val="none" w:sz="0" w:space="0" w:color="auto"/>
        <w:right w:val="none" w:sz="0" w:space="0" w:color="auto"/>
      </w:divBdr>
    </w:div>
    <w:div w:id="623775281">
      <w:bodyDiv w:val="1"/>
      <w:marLeft w:val="0"/>
      <w:marRight w:val="0"/>
      <w:marTop w:val="0"/>
      <w:marBottom w:val="0"/>
      <w:divBdr>
        <w:top w:val="none" w:sz="0" w:space="0" w:color="auto"/>
        <w:left w:val="none" w:sz="0" w:space="0" w:color="auto"/>
        <w:bottom w:val="none" w:sz="0" w:space="0" w:color="auto"/>
        <w:right w:val="none" w:sz="0" w:space="0" w:color="auto"/>
      </w:divBdr>
    </w:div>
    <w:div w:id="636909022">
      <w:bodyDiv w:val="1"/>
      <w:marLeft w:val="0"/>
      <w:marRight w:val="0"/>
      <w:marTop w:val="0"/>
      <w:marBottom w:val="0"/>
      <w:divBdr>
        <w:top w:val="none" w:sz="0" w:space="0" w:color="auto"/>
        <w:left w:val="none" w:sz="0" w:space="0" w:color="auto"/>
        <w:bottom w:val="none" w:sz="0" w:space="0" w:color="auto"/>
        <w:right w:val="none" w:sz="0" w:space="0" w:color="auto"/>
      </w:divBdr>
    </w:div>
    <w:div w:id="662320033">
      <w:bodyDiv w:val="1"/>
      <w:marLeft w:val="0"/>
      <w:marRight w:val="0"/>
      <w:marTop w:val="0"/>
      <w:marBottom w:val="0"/>
      <w:divBdr>
        <w:top w:val="none" w:sz="0" w:space="0" w:color="auto"/>
        <w:left w:val="none" w:sz="0" w:space="0" w:color="auto"/>
        <w:bottom w:val="none" w:sz="0" w:space="0" w:color="auto"/>
        <w:right w:val="none" w:sz="0" w:space="0" w:color="auto"/>
      </w:divBdr>
    </w:div>
    <w:div w:id="666250830">
      <w:bodyDiv w:val="1"/>
      <w:marLeft w:val="0"/>
      <w:marRight w:val="0"/>
      <w:marTop w:val="0"/>
      <w:marBottom w:val="0"/>
      <w:divBdr>
        <w:top w:val="none" w:sz="0" w:space="0" w:color="auto"/>
        <w:left w:val="none" w:sz="0" w:space="0" w:color="auto"/>
        <w:bottom w:val="none" w:sz="0" w:space="0" w:color="auto"/>
        <w:right w:val="none" w:sz="0" w:space="0" w:color="auto"/>
      </w:divBdr>
    </w:div>
    <w:div w:id="699284679">
      <w:bodyDiv w:val="1"/>
      <w:marLeft w:val="0"/>
      <w:marRight w:val="0"/>
      <w:marTop w:val="0"/>
      <w:marBottom w:val="0"/>
      <w:divBdr>
        <w:top w:val="none" w:sz="0" w:space="0" w:color="auto"/>
        <w:left w:val="none" w:sz="0" w:space="0" w:color="auto"/>
        <w:bottom w:val="none" w:sz="0" w:space="0" w:color="auto"/>
        <w:right w:val="none" w:sz="0" w:space="0" w:color="auto"/>
      </w:divBdr>
    </w:div>
    <w:div w:id="749349085">
      <w:bodyDiv w:val="1"/>
      <w:marLeft w:val="0"/>
      <w:marRight w:val="0"/>
      <w:marTop w:val="0"/>
      <w:marBottom w:val="0"/>
      <w:divBdr>
        <w:top w:val="none" w:sz="0" w:space="0" w:color="auto"/>
        <w:left w:val="none" w:sz="0" w:space="0" w:color="auto"/>
        <w:bottom w:val="none" w:sz="0" w:space="0" w:color="auto"/>
        <w:right w:val="none" w:sz="0" w:space="0" w:color="auto"/>
      </w:divBdr>
    </w:div>
    <w:div w:id="766267803">
      <w:bodyDiv w:val="1"/>
      <w:marLeft w:val="0"/>
      <w:marRight w:val="0"/>
      <w:marTop w:val="0"/>
      <w:marBottom w:val="0"/>
      <w:divBdr>
        <w:top w:val="none" w:sz="0" w:space="0" w:color="auto"/>
        <w:left w:val="none" w:sz="0" w:space="0" w:color="auto"/>
        <w:bottom w:val="none" w:sz="0" w:space="0" w:color="auto"/>
        <w:right w:val="none" w:sz="0" w:space="0" w:color="auto"/>
      </w:divBdr>
    </w:div>
    <w:div w:id="778526624">
      <w:bodyDiv w:val="1"/>
      <w:marLeft w:val="0"/>
      <w:marRight w:val="0"/>
      <w:marTop w:val="0"/>
      <w:marBottom w:val="0"/>
      <w:divBdr>
        <w:top w:val="none" w:sz="0" w:space="0" w:color="auto"/>
        <w:left w:val="none" w:sz="0" w:space="0" w:color="auto"/>
        <w:bottom w:val="none" w:sz="0" w:space="0" w:color="auto"/>
        <w:right w:val="none" w:sz="0" w:space="0" w:color="auto"/>
      </w:divBdr>
    </w:div>
    <w:div w:id="857887673">
      <w:bodyDiv w:val="1"/>
      <w:marLeft w:val="0"/>
      <w:marRight w:val="0"/>
      <w:marTop w:val="0"/>
      <w:marBottom w:val="0"/>
      <w:divBdr>
        <w:top w:val="none" w:sz="0" w:space="0" w:color="auto"/>
        <w:left w:val="none" w:sz="0" w:space="0" w:color="auto"/>
        <w:bottom w:val="none" w:sz="0" w:space="0" w:color="auto"/>
        <w:right w:val="none" w:sz="0" w:space="0" w:color="auto"/>
      </w:divBdr>
    </w:div>
    <w:div w:id="898830225">
      <w:bodyDiv w:val="1"/>
      <w:marLeft w:val="0"/>
      <w:marRight w:val="0"/>
      <w:marTop w:val="0"/>
      <w:marBottom w:val="0"/>
      <w:divBdr>
        <w:top w:val="none" w:sz="0" w:space="0" w:color="auto"/>
        <w:left w:val="none" w:sz="0" w:space="0" w:color="auto"/>
        <w:bottom w:val="none" w:sz="0" w:space="0" w:color="auto"/>
        <w:right w:val="none" w:sz="0" w:space="0" w:color="auto"/>
      </w:divBdr>
    </w:div>
    <w:div w:id="947389224">
      <w:bodyDiv w:val="1"/>
      <w:marLeft w:val="0"/>
      <w:marRight w:val="0"/>
      <w:marTop w:val="0"/>
      <w:marBottom w:val="0"/>
      <w:divBdr>
        <w:top w:val="none" w:sz="0" w:space="0" w:color="auto"/>
        <w:left w:val="none" w:sz="0" w:space="0" w:color="auto"/>
        <w:bottom w:val="none" w:sz="0" w:space="0" w:color="auto"/>
        <w:right w:val="none" w:sz="0" w:space="0" w:color="auto"/>
      </w:divBdr>
    </w:div>
    <w:div w:id="950480770">
      <w:bodyDiv w:val="1"/>
      <w:marLeft w:val="0"/>
      <w:marRight w:val="0"/>
      <w:marTop w:val="0"/>
      <w:marBottom w:val="0"/>
      <w:divBdr>
        <w:top w:val="none" w:sz="0" w:space="0" w:color="auto"/>
        <w:left w:val="none" w:sz="0" w:space="0" w:color="auto"/>
        <w:bottom w:val="none" w:sz="0" w:space="0" w:color="auto"/>
        <w:right w:val="none" w:sz="0" w:space="0" w:color="auto"/>
      </w:divBdr>
    </w:div>
    <w:div w:id="966933962">
      <w:bodyDiv w:val="1"/>
      <w:marLeft w:val="0"/>
      <w:marRight w:val="0"/>
      <w:marTop w:val="0"/>
      <w:marBottom w:val="0"/>
      <w:divBdr>
        <w:top w:val="none" w:sz="0" w:space="0" w:color="auto"/>
        <w:left w:val="none" w:sz="0" w:space="0" w:color="auto"/>
        <w:bottom w:val="none" w:sz="0" w:space="0" w:color="auto"/>
        <w:right w:val="none" w:sz="0" w:space="0" w:color="auto"/>
      </w:divBdr>
    </w:div>
    <w:div w:id="989095941">
      <w:bodyDiv w:val="1"/>
      <w:marLeft w:val="0"/>
      <w:marRight w:val="0"/>
      <w:marTop w:val="0"/>
      <w:marBottom w:val="0"/>
      <w:divBdr>
        <w:top w:val="none" w:sz="0" w:space="0" w:color="auto"/>
        <w:left w:val="none" w:sz="0" w:space="0" w:color="auto"/>
        <w:bottom w:val="none" w:sz="0" w:space="0" w:color="auto"/>
        <w:right w:val="none" w:sz="0" w:space="0" w:color="auto"/>
      </w:divBdr>
    </w:div>
    <w:div w:id="1031495598">
      <w:bodyDiv w:val="1"/>
      <w:marLeft w:val="0"/>
      <w:marRight w:val="0"/>
      <w:marTop w:val="0"/>
      <w:marBottom w:val="0"/>
      <w:divBdr>
        <w:top w:val="none" w:sz="0" w:space="0" w:color="auto"/>
        <w:left w:val="none" w:sz="0" w:space="0" w:color="auto"/>
        <w:bottom w:val="none" w:sz="0" w:space="0" w:color="auto"/>
        <w:right w:val="none" w:sz="0" w:space="0" w:color="auto"/>
      </w:divBdr>
    </w:div>
    <w:div w:id="1068575386">
      <w:bodyDiv w:val="1"/>
      <w:marLeft w:val="0"/>
      <w:marRight w:val="0"/>
      <w:marTop w:val="0"/>
      <w:marBottom w:val="0"/>
      <w:divBdr>
        <w:top w:val="none" w:sz="0" w:space="0" w:color="auto"/>
        <w:left w:val="none" w:sz="0" w:space="0" w:color="auto"/>
        <w:bottom w:val="none" w:sz="0" w:space="0" w:color="auto"/>
        <w:right w:val="none" w:sz="0" w:space="0" w:color="auto"/>
      </w:divBdr>
    </w:div>
    <w:div w:id="1159080764">
      <w:bodyDiv w:val="1"/>
      <w:marLeft w:val="0"/>
      <w:marRight w:val="0"/>
      <w:marTop w:val="0"/>
      <w:marBottom w:val="0"/>
      <w:divBdr>
        <w:top w:val="none" w:sz="0" w:space="0" w:color="auto"/>
        <w:left w:val="none" w:sz="0" w:space="0" w:color="auto"/>
        <w:bottom w:val="none" w:sz="0" w:space="0" w:color="auto"/>
        <w:right w:val="none" w:sz="0" w:space="0" w:color="auto"/>
      </w:divBdr>
    </w:div>
    <w:div w:id="1163012317">
      <w:bodyDiv w:val="1"/>
      <w:marLeft w:val="0"/>
      <w:marRight w:val="0"/>
      <w:marTop w:val="0"/>
      <w:marBottom w:val="0"/>
      <w:divBdr>
        <w:top w:val="none" w:sz="0" w:space="0" w:color="auto"/>
        <w:left w:val="none" w:sz="0" w:space="0" w:color="auto"/>
        <w:bottom w:val="none" w:sz="0" w:space="0" w:color="auto"/>
        <w:right w:val="none" w:sz="0" w:space="0" w:color="auto"/>
      </w:divBdr>
    </w:div>
    <w:div w:id="1214466061">
      <w:bodyDiv w:val="1"/>
      <w:marLeft w:val="0"/>
      <w:marRight w:val="0"/>
      <w:marTop w:val="0"/>
      <w:marBottom w:val="0"/>
      <w:divBdr>
        <w:top w:val="none" w:sz="0" w:space="0" w:color="auto"/>
        <w:left w:val="none" w:sz="0" w:space="0" w:color="auto"/>
        <w:bottom w:val="none" w:sz="0" w:space="0" w:color="auto"/>
        <w:right w:val="none" w:sz="0" w:space="0" w:color="auto"/>
      </w:divBdr>
    </w:div>
    <w:div w:id="1253125103">
      <w:bodyDiv w:val="1"/>
      <w:marLeft w:val="0"/>
      <w:marRight w:val="0"/>
      <w:marTop w:val="0"/>
      <w:marBottom w:val="0"/>
      <w:divBdr>
        <w:top w:val="none" w:sz="0" w:space="0" w:color="auto"/>
        <w:left w:val="none" w:sz="0" w:space="0" w:color="auto"/>
        <w:bottom w:val="none" w:sz="0" w:space="0" w:color="auto"/>
        <w:right w:val="none" w:sz="0" w:space="0" w:color="auto"/>
      </w:divBdr>
    </w:div>
    <w:div w:id="1302659754">
      <w:bodyDiv w:val="1"/>
      <w:marLeft w:val="0"/>
      <w:marRight w:val="0"/>
      <w:marTop w:val="0"/>
      <w:marBottom w:val="0"/>
      <w:divBdr>
        <w:top w:val="none" w:sz="0" w:space="0" w:color="auto"/>
        <w:left w:val="none" w:sz="0" w:space="0" w:color="auto"/>
        <w:bottom w:val="none" w:sz="0" w:space="0" w:color="auto"/>
        <w:right w:val="none" w:sz="0" w:space="0" w:color="auto"/>
      </w:divBdr>
    </w:div>
    <w:div w:id="1339625693">
      <w:bodyDiv w:val="1"/>
      <w:marLeft w:val="0"/>
      <w:marRight w:val="0"/>
      <w:marTop w:val="0"/>
      <w:marBottom w:val="0"/>
      <w:divBdr>
        <w:top w:val="none" w:sz="0" w:space="0" w:color="auto"/>
        <w:left w:val="none" w:sz="0" w:space="0" w:color="auto"/>
        <w:bottom w:val="none" w:sz="0" w:space="0" w:color="auto"/>
        <w:right w:val="none" w:sz="0" w:space="0" w:color="auto"/>
      </w:divBdr>
    </w:div>
    <w:div w:id="1356347157">
      <w:bodyDiv w:val="1"/>
      <w:marLeft w:val="0"/>
      <w:marRight w:val="0"/>
      <w:marTop w:val="0"/>
      <w:marBottom w:val="0"/>
      <w:divBdr>
        <w:top w:val="none" w:sz="0" w:space="0" w:color="auto"/>
        <w:left w:val="none" w:sz="0" w:space="0" w:color="auto"/>
        <w:bottom w:val="none" w:sz="0" w:space="0" w:color="auto"/>
        <w:right w:val="none" w:sz="0" w:space="0" w:color="auto"/>
      </w:divBdr>
    </w:div>
    <w:div w:id="1385564205">
      <w:bodyDiv w:val="1"/>
      <w:marLeft w:val="0"/>
      <w:marRight w:val="0"/>
      <w:marTop w:val="0"/>
      <w:marBottom w:val="0"/>
      <w:divBdr>
        <w:top w:val="none" w:sz="0" w:space="0" w:color="auto"/>
        <w:left w:val="none" w:sz="0" w:space="0" w:color="auto"/>
        <w:bottom w:val="none" w:sz="0" w:space="0" w:color="auto"/>
        <w:right w:val="none" w:sz="0" w:space="0" w:color="auto"/>
      </w:divBdr>
    </w:div>
    <w:div w:id="1386291095">
      <w:bodyDiv w:val="1"/>
      <w:marLeft w:val="0"/>
      <w:marRight w:val="0"/>
      <w:marTop w:val="0"/>
      <w:marBottom w:val="0"/>
      <w:divBdr>
        <w:top w:val="none" w:sz="0" w:space="0" w:color="auto"/>
        <w:left w:val="none" w:sz="0" w:space="0" w:color="auto"/>
        <w:bottom w:val="none" w:sz="0" w:space="0" w:color="auto"/>
        <w:right w:val="none" w:sz="0" w:space="0" w:color="auto"/>
      </w:divBdr>
    </w:div>
    <w:div w:id="1387488587">
      <w:bodyDiv w:val="1"/>
      <w:marLeft w:val="0"/>
      <w:marRight w:val="0"/>
      <w:marTop w:val="0"/>
      <w:marBottom w:val="0"/>
      <w:divBdr>
        <w:top w:val="none" w:sz="0" w:space="0" w:color="auto"/>
        <w:left w:val="none" w:sz="0" w:space="0" w:color="auto"/>
        <w:bottom w:val="none" w:sz="0" w:space="0" w:color="auto"/>
        <w:right w:val="none" w:sz="0" w:space="0" w:color="auto"/>
      </w:divBdr>
    </w:div>
    <w:div w:id="1392459328">
      <w:bodyDiv w:val="1"/>
      <w:marLeft w:val="0"/>
      <w:marRight w:val="0"/>
      <w:marTop w:val="0"/>
      <w:marBottom w:val="0"/>
      <w:divBdr>
        <w:top w:val="none" w:sz="0" w:space="0" w:color="auto"/>
        <w:left w:val="none" w:sz="0" w:space="0" w:color="auto"/>
        <w:bottom w:val="none" w:sz="0" w:space="0" w:color="auto"/>
        <w:right w:val="none" w:sz="0" w:space="0" w:color="auto"/>
      </w:divBdr>
    </w:div>
    <w:div w:id="1411003019">
      <w:bodyDiv w:val="1"/>
      <w:marLeft w:val="0"/>
      <w:marRight w:val="0"/>
      <w:marTop w:val="0"/>
      <w:marBottom w:val="0"/>
      <w:divBdr>
        <w:top w:val="none" w:sz="0" w:space="0" w:color="auto"/>
        <w:left w:val="none" w:sz="0" w:space="0" w:color="auto"/>
        <w:bottom w:val="none" w:sz="0" w:space="0" w:color="auto"/>
        <w:right w:val="none" w:sz="0" w:space="0" w:color="auto"/>
      </w:divBdr>
    </w:div>
    <w:div w:id="1435977873">
      <w:bodyDiv w:val="1"/>
      <w:marLeft w:val="0"/>
      <w:marRight w:val="0"/>
      <w:marTop w:val="0"/>
      <w:marBottom w:val="0"/>
      <w:divBdr>
        <w:top w:val="none" w:sz="0" w:space="0" w:color="auto"/>
        <w:left w:val="none" w:sz="0" w:space="0" w:color="auto"/>
        <w:bottom w:val="none" w:sz="0" w:space="0" w:color="auto"/>
        <w:right w:val="none" w:sz="0" w:space="0" w:color="auto"/>
      </w:divBdr>
    </w:div>
    <w:div w:id="1486971228">
      <w:bodyDiv w:val="1"/>
      <w:marLeft w:val="0"/>
      <w:marRight w:val="0"/>
      <w:marTop w:val="0"/>
      <w:marBottom w:val="0"/>
      <w:divBdr>
        <w:top w:val="none" w:sz="0" w:space="0" w:color="auto"/>
        <w:left w:val="none" w:sz="0" w:space="0" w:color="auto"/>
        <w:bottom w:val="none" w:sz="0" w:space="0" w:color="auto"/>
        <w:right w:val="none" w:sz="0" w:space="0" w:color="auto"/>
      </w:divBdr>
    </w:div>
    <w:div w:id="1523319756">
      <w:bodyDiv w:val="1"/>
      <w:marLeft w:val="0"/>
      <w:marRight w:val="0"/>
      <w:marTop w:val="0"/>
      <w:marBottom w:val="0"/>
      <w:divBdr>
        <w:top w:val="none" w:sz="0" w:space="0" w:color="auto"/>
        <w:left w:val="none" w:sz="0" w:space="0" w:color="auto"/>
        <w:bottom w:val="none" w:sz="0" w:space="0" w:color="auto"/>
        <w:right w:val="none" w:sz="0" w:space="0" w:color="auto"/>
      </w:divBdr>
    </w:div>
    <w:div w:id="1527214596">
      <w:bodyDiv w:val="1"/>
      <w:marLeft w:val="0"/>
      <w:marRight w:val="0"/>
      <w:marTop w:val="0"/>
      <w:marBottom w:val="0"/>
      <w:divBdr>
        <w:top w:val="none" w:sz="0" w:space="0" w:color="auto"/>
        <w:left w:val="none" w:sz="0" w:space="0" w:color="auto"/>
        <w:bottom w:val="none" w:sz="0" w:space="0" w:color="auto"/>
        <w:right w:val="none" w:sz="0" w:space="0" w:color="auto"/>
      </w:divBdr>
    </w:div>
    <w:div w:id="1538086052">
      <w:bodyDiv w:val="1"/>
      <w:marLeft w:val="0"/>
      <w:marRight w:val="0"/>
      <w:marTop w:val="0"/>
      <w:marBottom w:val="0"/>
      <w:divBdr>
        <w:top w:val="none" w:sz="0" w:space="0" w:color="auto"/>
        <w:left w:val="none" w:sz="0" w:space="0" w:color="auto"/>
        <w:bottom w:val="none" w:sz="0" w:space="0" w:color="auto"/>
        <w:right w:val="none" w:sz="0" w:space="0" w:color="auto"/>
      </w:divBdr>
    </w:div>
    <w:div w:id="1565408065">
      <w:bodyDiv w:val="1"/>
      <w:marLeft w:val="0"/>
      <w:marRight w:val="0"/>
      <w:marTop w:val="0"/>
      <w:marBottom w:val="0"/>
      <w:divBdr>
        <w:top w:val="none" w:sz="0" w:space="0" w:color="auto"/>
        <w:left w:val="none" w:sz="0" w:space="0" w:color="auto"/>
        <w:bottom w:val="none" w:sz="0" w:space="0" w:color="auto"/>
        <w:right w:val="none" w:sz="0" w:space="0" w:color="auto"/>
      </w:divBdr>
    </w:div>
    <w:div w:id="1565918106">
      <w:bodyDiv w:val="1"/>
      <w:marLeft w:val="0"/>
      <w:marRight w:val="0"/>
      <w:marTop w:val="0"/>
      <w:marBottom w:val="0"/>
      <w:divBdr>
        <w:top w:val="none" w:sz="0" w:space="0" w:color="auto"/>
        <w:left w:val="none" w:sz="0" w:space="0" w:color="auto"/>
        <w:bottom w:val="none" w:sz="0" w:space="0" w:color="auto"/>
        <w:right w:val="none" w:sz="0" w:space="0" w:color="auto"/>
      </w:divBdr>
    </w:div>
    <w:div w:id="1576552003">
      <w:bodyDiv w:val="1"/>
      <w:marLeft w:val="0"/>
      <w:marRight w:val="0"/>
      <w:marTop w:val="0"/>
      <w:marBottom w:val="0"/>
      <w:divBdr>
        <w:top w:val="none" w:sz="0" w:space="0" w:color="auto"/>
        <w:left w:val="none" w:sz="0" w:space="0" w:color="auto"/>
        <w:bottom w:val="none" w:sz="0" w:space="0" w:color="auto"/>
        <w:right w:val="none" w:sz="0" w:space="0" w:color="auto"/>
      </w:divBdr>
    </w:div>
    <w:div w:id="1580823591">
      <w:bodyDiv w:val="1"/>
      <w:marLeft w:val="0"/>
      <w:marRight w:val="0"/>
      <w:marTop w:val="0"/>
      <w:marBottom w:val="0"/>
      <w:divBdr>
        <w:top w:val="none" w:sz="0" w:space="0" w:color="auto"/>
        <w:left w:val="none" w:sz="0" w:space="0" w:color="auto"/>
        <w:bottom w:val="none" w:sz="0" w:space="0" w:color="auto"/>
        <w:right w:val="none" w:sz="0" w:space="0" w:color="auto"/>
      </w:divBdr>
    </w:div>
    <w:div w:id="1632051359">
      <w:bodyDiv w:val="1"/>
      <w:marLeft w:val="0"/>
      <w:marRight w:val="0"/>
      <w:marTop w:val="0"/>
      <w:marBottom w:val="0"/>
      <w:divBdr>
        <w:top w:val="none" w:sz="0" w:space="0" w:color="auto"/>
        <w:left w:val="none" w:sz="0" w:space="0" w:color="auto"/>
        <w:bottom w:val="none" w:sz="0" w:space="0" w:color="auto"/>
        <w:right w:val="none" w:sz="0" w:space="0" w:color="auto"/>
      </w:divBdr>
    </w:div>
    <w:div w:id="1638756874">
      <w:bodyDiv w:val="1"/>
      <w:marLeft w:val="0"/>
      <w:marRight w:val="0"/>
      <w:marTop w:val="0"/>
      <w:marBottom w:val="0"/>
      <w:divBdr>
        <w:top w:val="none" w:sz="0" w:space="0" w:color="auto"/>
        <w:left w:val="none" w:sz="0" w:space="0" w:color="auto"/>
        <w:bottom w:val="none" w:sz="0" w:space="0" w:color="auto"/>
        <w:right w:val="none" w:sz="0" w:space="0" w:color="auto"/>
      </w:divBdr>
    </w:div>
    <w:div w:id="1647052246">
      <w:bodyDiv w:val="1"/>
      <w:marLeft w:val="0"/>
      <w:marRight w:val="0"/>
      <w:marTop w:val="0"/>
      <w:marBottom w:val="0"/>
      <w:divBdr>
        <w:top w:val="none" w:sz="0" w:space="0" w:color="auto"/>
        <w:left w:val="none" w:sz="0" w:space="0" w:color="auto"/>
        <w:bottom w:val="none" w:sz="0" w:space="0" w:color="auto"/>
        <w:right w:val="none" w:sz="0" w:space="0" w:color="auto"/>
      </w:divBdr>
    </w:div>
    <w:div w:id="1663386267">
      <w:bodyDiv w:val="1"/>
      <w:marLeft w:val="0"/>
      <w:marRight w:val="0"/>
      <w:marTop w:val="0"/>
      <w:marBottom w:val="0"/>
      <w:divBdr>
        <w:top w:val="none" w:sz="0" w:space="0" w:color="auto"/>
        <w:left w:val="none" w:sz="0" w:space="0" w:color="auto"/>
        <w:bottom w:val="none" w:sz="0" w:space="0" w:color="auto"/>
        <w:right w:val="none" w:sz="0" w:space="0" w:color="auto"/>
      </w:divBdr>
    </w:div>
    <w:div w:id="1682270363">
      <w:bodyDiv w:val="1"/>
      <w:marLeft w:val="0"/>
      <w:marRight w:val="0"/>
      <w:marTop w:val="0"/>
      <w:marBottom w:val="0"/>
      <w:divBdr>
        <w:top w:val="none" w:sz="0" w:space="0" w:color="auto"/>
        <w:left w:val="none" w:sz="0" w:space="0" w:color="auto"/>
        <w:bottom w:val="none" w:sz="0" w:space="0" w:color="auto"/>
        <w:right w:val="none" w:sz="0" w:space="0" w:color="auto"/>
      </w:divBdr>
    </w:div>
    <w:div w:id="1699500445">
      <w:bodyDiv w:val="1"/>
      <w:marLeft w:val="0"/>
      <w:marRight w:val="0"/>
      <w:marTop w:val="0"/>
      <w:marBottom w:val="0"/>
      <w:divBdr>
        <w:top w:val="none" w:sz="0" w:space="0" w:color="auto"/>
        <w:left w:val="none" w:sz="0" w:space="0" w:color="auto"/>
        <w:bottom w:val="none" w:sz="0" w:space="0" w:color="auto"/>
        <w:right w:val="none" w:sz="0" w:space="0" w:color="auto"/>
      </w:divBdr>
    </w:div>
    <w:div w:id="1713534031">
      <w:bodyDiv w:val="1"/>
      <w:marLeft w:val="0"/>
      <w:marRight w:val="0"/>
      <w:marTop w:val="0"/>
      <w:marBottom w:val="0"/>
      <w:divBdr>
        <w:top w:val="none" w:sz="0" w:space="0" w:color="auto"/>
        <w:left w:val="none" w:sz="0" w:space="0" w:color="auto"/>
        <w:bottom w:val="none" w:sz="0" w:space="0" w:color="auto"/>
        <w:right w:val="none" w:sz="0" w:space="0" w:color="auto"/>
      </w:divBdr>
    </w:div>
    <w:div w:id="1724594113">
      <w:bodyDiv w:val="1"/>
      <w:marLeft w:val="0"/>
      <w:marRight w:val="0"/>
      <w:marTop w:val="0"/>
      <w:marBottom w:val="0"/>
      <w:divBdr>
        <w:top w:val="none" w:sz="0" w:space="0" w:color="auto"/>
        <w:left w:val="none" w:sz="0" w:space="0" w:color="auto"/>
        <w:bottom w:val="none" w:sz="0" w:space="0" w:color="auto"/>
        <w:right w:val="none" w:sz="0" w:space="0" w:color="auto"/>
      </w:divBdr>
    </w:div>
    <w:div w:id="1727609123">
      <w:bodyDiv w:val="1"/>
      <w:marLeft w:val="0"/>
      <w:marRight w:val="0"/>
      <w:marTop w:val="0"/>
      <w:marBottom w:val="0"/>
      <w:divBdr>
        <w:top w:val="none" w:sz="0" w:space="0" w:color="auto"/>
        <w:left w:val="none" w:sz="0" w:space="0" w:color="auto"/>
        <w:bottom w:val="none" w:sz="0" w:space="0" w:color="auto"/>
        <w:right w:val="none" w:sz="0" w:space="0" w:color="auto"/>
      </w:divBdr>
    </w:div>
    <w:div w:id="1727685012">
      <w:bodyDiv w:val="1"/>
      <w:marLeft w:val="0"/>
      <w:marRight w:val="0"/>
      <w:marTop w:val="0"/>
      <w:marBottom w:val="0"/>
      <w:divBdr>
        <w:top w:val="none" w:sz="0" w:space="0" w:color="auto"/>
        <w:left w:val="none" w:sz="0" w:space="0" w:color="auto"/>
        <w:bottom w:val="none" w:sz="0" w:space="0" w:color="auto"/>
        <w:right w:val="none" w:sz="0" w:space="0" w:color="auto"/>
      </w:divBdr>
    </w:div>
    <w:div w:id="1727757928">
      <w:bodyDiv w:val="1"/>
      <w:marLeft w:val="0"/>
      <w:marRight w:val="0"/>
      <w:marTop w:val="0"/>
      <w:marBottom w:val="0"/>
      <w:divBdr>
        <w:top w:val="none" w:sz="0" w:space="0" w:color="auto"/>
        <w:left w:val="none" w:sz="0" w:space="0" w:color="auto"/>
        <w:bottom w:val="none" w:sz="0" w:space="0" w:color="auto"/>
        <w:right w:val="none" w:sz="0" w:space="0" w:color="auto"/>
      </w:divBdr>
    </w:div>
    <w:div w:id="1938171479">
      <w:bodyDiv w:val="1"/>
      <w:marLeft w:val="0"/>
      <w:marRight w:val="0"/>
      <w:marTop w:val="0"/>
      <w:marBottom w:val="0"/>
      <w:divBdr>
        <w:top w:val="none" w:sz="0" w:space="0" w:color="auto"/>
        <w:left w:val="none" w:sz="0" w:space="0" w:color="auto"/>
        <w:bottom w:val="none" w:sz="0" w:space="0" w:color="auto"/>
        <w:right w:val="none" w:sz="0" w:space="0" w:color="auto"/>
      </w:divBdr>
    </w:div>
    <w:div w:id="1941915993">
      <w:bodyDiv w:val="1"/>
      <w:marLeft w:val="0"/>
      <w:marRight w:val="0"/>
      <w:marTop w:val="0"/>
      <w:marBottom w:val="0"/>
      <w:divBdr>
        <w:top w:val="none" w:sz="0" w:space="0" w:color="auto"/>
        <w:left w:val="none" w:sz="0" w:space="0" w:color="auto"/>
        <w:bottom w:val="none" w:sz="0" w:space="0" w:color="auto"/>
        <w:right w:val="none" w:sz="0" w:space="0" w:color="auto"/>
      </w:divBdr>
    </w:div>
    <w:div w:id="1994287108">
      <w:bodyDiv w:val="1"/>
      <w:marLeft w:val="0"/>
      <w:marRight w:val="0"/>
      <w:marTop w:val="0"/>
      <w:marBottom w:val="0"/>
      <w:divBdr>
        <w:top w:val="none" w:sz="0" w:space="0" w:color="auto"/>
        <w:left w:val="none" w:sz="0" w:space="0" w:color="auto"/>
        <w:bottom w:val="none" w:sz="0" w:space="0" w:color="auto"/>
        <w:right w:val="none" w:sz="0" w:space="0" w:color="auto"/>
      </w:divBdr>
    </w:div>
    <w:div w:id="1997416376">
      <w:bodyDiv w:val="1"/>
      <w:marLeft w:val="0"/>
      <w:marRight w:val="0"/>
      <w:marTop w:val="0"/>
      <w:marBottom w:val="0"/>
      <w:divBdr>
        <w:top w:val="none" w:sz="0" w:space="0" w:color="auto"/>
        <w:left w:val="none" w:sz="0" w:space="0" w:color="auto"/>
        <w:bottom w:val="none" w:sz="0" w:space="0" w:color="auto"/>
        <w:right w:val="none" w:sz="0" w:space="0" w:color="auto"/>
      </w:divBdr>
    </w:div>
    <w:div w:id="2032146891">
      <w:bodyDiv w:val="1"/>
      <w:marLeft w:val="0"/>
      <w:marRight w:val="0"/>
      <w:marTop w:val="0"/>
      <w:marBottom w:val="0"/>
      <w:divBdr>
        <w:top w:val="none" w:sz="0" w:space="0" w:color="auto"/>
        <w:left w:val="none" w:sz="0" w:space="0" w:color="auto"/>
        <w:bottom w:val="none" w:sz="0" w:space="0" w:color="auto"/>
        <w:right w:val="none" w:sz="0" w:space="0" w:color="auto"/>
      </w:divBdr>
    </w:div>
    <w:div w:id="2076393656">
      <w:bodyDiv w:val="1"/>
      <w:marLeft w:val="0"/>
      <w:marRight w:val="0"/>
      <w:marTop w:val="0"/>
      <w:marBottom w:val="0"/>
      <w:divBdr>
        <w:top w:val="none" w:sz="0" w:space="0" w:color="auto"/>
        <w:left w:val="none" w:sz="0" w:space="0" w:color="auto"/>
        <w:bottom w:val="none" w:sz="0" w:space="0" w:color="auto"/>
        <w:right w:val="none" w:sz="0" w:space="0" w:color="auto"/>
      </w:divBdr>
    </w:div>
    <w:div w:id="210877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conomics\Documents\Monthly%20Economic%20Bulletin\MEB%20Databa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conomics\Documents\Monthly%20Economic%20Bulletin\MEB%20Databa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conomics\Documents\Monthly%20Economic%20Bulletin\MEB%20Databa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conomics\Documents\Monthly%20Economic%20Bulletin\MEB%20Databas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'[MEB Database.xlsx]Global Inflation'!$A$143</c:f>
              <c:strCache>
                <c:ptCount val="1"/>
              </c:strCache>
            </c:strRef>
          </c:tx>
          <c:spPr>
            <a:solidFill>
              <a:schemeClr val="accent1"/>
            </a:solidFill>
            <a:ln>
              <a:noFill/>
            </a:ln>
            <a:effectLst/>
          </c:spPr>
          <c:invertIfNegative val="0"/>
          <c:dLbls>
            <c:dLbl>
              <c:idx val="1"/>
              <c:layout>
                <c:manualLayout>
                  <c:x val="8.9726334679228349E-3"/>
                  <c:y val="-2.314814814814819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55D-474D-9F93-D00C6C504BD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trendline>
            <c:spPr>
              <a:ln w="19050" cap="rnd">
                <a:solidFill>
                  <a:schemeClr val="accent6"/>
                </a:solidFill>
              </a:ln>
              <a:effectLst/>
            </c:spPr>
            <c:trendlineType val="linear"/>
            <c:dispRSqr val="0"/>
            <c:dispEq val="0"/>
          </c:trendline>
          <c:cat>
            <c:numRef>
              <c:f>'[MEB Database.xlsx]Global Inflation'!$B$142:$D$142</c:f>
              <c:numCache>
                <c:formatCode>General</c:formatCode>
                <c:ptCount val="3"/>
                <c:pt idx="0">
                  <c:v>2024</c:v>
                </c:pt>
                <c:pt idx="1">
                  <c:v>2025</c:v>
                </c:pt>
                <c:pt idx="2">
                  <c:v>2026</c:v>
                </c:pt>
              </c:numCache>
            </c:numRef>
          </c:cat>
          <c:val>
            <c:numRef>
              <c:f>'[MEB Database.xlsx]Global Inflation'!$B$143:$D$143</c:f>
              <c:numCache>
                <c:formatCode>General</c:formatCode>
                <c:ptCount val="3"/>
                <c:pt idx="0">
                  <c:v>5.8</c:v>
                </c:pt>
                <c:pt idx="1">
                  <c:v>4.2</c:v>
                </c:pt>
                <c:pt idx="2">
                  <c:v>3.5</c:v>
                </c:pt>
              </c:numCache>
            </c:numRef>
          </c:val>
          <c:extLst>
            <c:ext xmlns:c16="http://schemas.microsoft.com/office/drawing/2014/chart" uri="{C3380CC4-5D6E-409C-BE32-E72D297353CC}">
              <c16:uniqueId val="{00000002-655D-474D-9F93-D00C6C504BDD}"/>
            </c:ext>
          </c:extLst>
        </c:ser>
        <c:dLbls>
          <c:dLblPos val="outEnd"/>
          <c:showLegendKey val="0"/>
          <c:showVal val="1"/>
          <c:showCatName val="0"/>
          <c:showSerName val="0"/>
          <c:showPercent val="0"/>
          <c:showBubbleSize val="0"/>
        </c:dLbls>
        <c:gapWidth val="267"/>
        <c:overlap val="-43"/>
        <c:axId val="580360911"/>
        <c:axId val="580358511"/>
      </c:barChart>
      <c:catAx>
        <c:axId val="580360911"/>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80358511"/>
        <c:crosses val="autoZero"/>
        <c:auto val="1"/>
        <c:lblAlgn val="ctr"/>
        <c:lblOffset val="100"/>
        <c:noMultiLvlLbl val="0"/>
      </c:catAx>
      <c:valAx>
        <c:axId val="580358511"/>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80360911"/>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'[MEB Database.xlsx]Merchandise Trade'!$B$59</c:f>
              <c:strCache>
                <c:ptCount val="1"/>
                <c:pt idx="0">
                  <c:v>Exports(USD Million)</c:v>
                </c:pt>
              </c:strCache>
            </c:strRef>
          </c:tx>
          <c:spPr>
            <a:noFill/>
            <a:ln w="25400" cap="flat" cmpd="sng" algn="ctr">
              <a:solidFill>
                <a:schemeClr val="accent1"/>
              </a:solidFill>
              <a:miter lim="800000"/>
            </a:ln>
            <a:effectLst/>
          </c:spPr>
          <c:invertIfNegative val="0"/>
          <c:dLbls>
            <c:delete val="1"/>
          </c:dLbls>
          <c:cat>
            <c:numRef>
              <c:f>'[MEB Database.xlsx]Merchandise Trade'!$A$66:$A$78</c:f>
              <c:numCache>
                <c:formatCode>mmm\-yy</c:formatCode>
                <c:ptCount val="13"/>
                <c:pt idx="0">
                  <c:v>45231</c:v>
                </c:pt>
                <c:pt idx="1">
                  <c:v>45261</c:v>
                </c:pt>
                <c:pt idx="2">
                  <c:v>45292</c:v>
                </c:pt>
                <c:pt idx="3">
                  <c:v>45323</c:v>
                </c:pt>
                <c:pt idx="4">
                  <c:v>45352</c:v>
                </c:pt>
                <c:pt idx="5">
                  <c:v>45383</c:v>
                </c:pt>
                <c:pt idx="6">
                  <c:v>45413</c:v>
                </c:pt>
                <c:pt idx="7">
                  <c:v>45444</c:v>
                </c:pt>
                <c:pt idx="8">
                  <c:v>45474</c:v>
                </c:pt>
                <c:pt idx="9">
                  <c:v>45505</c:v>
                </c:pt>
                <c:pt idx="10">
                  <c:v>45536</c:v>
                </c:pt>
                <c:pt idx="11">
                  <c:v>45566</c:v>
                </c:pt>
                <c:pt idx="12">
                  <c:v>45597</c:v>
                </c:pt>
              </c:numCache>
            </c:numRef>
          </c:cat>
          <c:val>
            <c:numRef>
              <c:f>'[MEB Database.xlsx]Merchandise Trade'!$B$66:$B$78</c:f>
              <c:numCache>
                <c:formatCode>#,##0.00</c:formatCode>
                <c:ptCount val="13"/>
                <c:pt idx="0">
                  <c:v>681.28519700000004</c:v>
                </c:pt>
                <c:pt idx="1">
                  <c:v>550.63546699999995</c:v>
                </c:pt>
                <c:pt idx="2">
                  <c:v>540.89453400000002</c:v>
                </c:pt>
                <c:pt idx="3">
                  <c:v>645.01450299999999</c:v>
                </c:pt>
                <c:pt idx="4">
                  <c:v>534.69318499999997</c:v>
                </c:pt>
                <c:pt idx="5">
                  <c:v>513.5</c:v>
                </c:pt>
                <c:pt idx="6">
                  <c:v>583</c:v>
                </c:pt>
                <c:pt idx="7">
                  <c:v>524.70000000000005</c:v>
                </c:pt>
                <c:pt idx="8">
                  <c:v>548.29999999999995</c:v>
                </c:pt>
                <c:pt idx="9">
                  <c:v>674</c:v>
                </c:pt>
                <c:pt idx="10">
                  <c:v>575</c:v>
                </c:pt>
                <c:pt idx="11" formatCode="0.00">
                  <c:v>698.1</c:v>
                </c:pt>
                <c:pt idx="12" formatCode="0.00">
                  <c:v>905.2</c:v>
                </c:pt>
              </c:numCache>
            </c:numRef>
          </c:val>
          <c:extLst>
            <c:ext xmlns:c16="http://schemas.microsoft.com/office/drawing/2014/chart" uri="{C3380CC4-5D6E-409C-BE32-E72D297353CC}">
              <c16:uniqueId val="{0000000A-B061-49C3-B312-A79C0E4BD94F}"/>
            </c:ext>
          </c:extLst>
        </c:ser>
        <c:ser>
          <c:idx val="1"/>
          <c:order val="1"/>
          <c:tx>
            <c:strRef>
              <c:f>'[MEB Database.xlsx]Merchandise Trade'!$C$59</c:f>
              <c:strCache>
                <c:ptCount val="1"/>
                <c:pt idx="0">
                  <c:v>Imports(USD Million)</c:v>
                </c:pt>
              </c:strCache>
            </c:strRef>
          </c:tx>
          <c:spPr>
            <a:noFill/>
            <a:ln w="25400" cap="flat" cmpd="sng" algn="ctr">
              <a:solidFill>
                <a:schemeClr val="accent2"/>
              </a:solidFill>
              <a:miter lim="800000"/>
            </a:ln>
            <a:effectLst/>
          </c:spPr>
          <c:invertIfNegative val="0"/>
          <c:dLbls>
            <c:delete val="1"/>
          </c:dLbls>
          <c:cat>
            <c:numRef>
              <c:f>'[MEB Database.xlsx]Merchandise Trade'!$A$66:$A$78</c:f>
              <c:numCache>
                <c:formatCode>mmm\-yy</c:formatCode>
                <c:ptCount val="13"/>
                <c:pt idx="0">
                  <c:v>45231</c:v>
                </c:pt>
                <c:pt idx="1">
                  <c:v>45261</c:v>
                </c:pt>
                <c:pt idx="2">
                  <c:v>45292</c:v>
                </c:pt>
                <c:pt idx="3">
                  <c:v>45323</c:v>
                </c:pt>
                <c:pt idx="4">
                  <c:v>45352</c:v>
                </c:pt>
                <c:pt idx="5">
                  <c:v>45383</c:v>
                </c:pt>
                <c:pt idx="6">
                  <c:v>45413</c:v>
                </c:pt>
                <c:pt idx="7">
                  <c:v>45444</c:v>
                </c:pt>
                <c:pt idx="8">
                  <c:v>45474</c:v>
                </c:pt>
                <c:pt idx="9">
                  <c:v>45505</c:v>
                </c:pt>
                <c:pt idx="10">
                  <c:v>45536</c:v>
                </c:pt>
                <c:pt idx="11">
                  <c:v>45566</c:v>
                </c:pt>
                <c:pt idx="12">
                  <c:v>45597</c:v>
                </c:pt>
              </c:numCache>
            </c:numRef>
          </c:cat>
          <c:val>
            <c:numRef>
              <c:f>'[MEB Database.xlsx]Merchandise Trade'!$C$66:$C$78</c:f>
              <c:numCache>
                <c:formatCode>#,##0.00</c:formatCode>
                <c:ptCount val="13"/>
                <c:pt idx="0">
                  <c:v>824.85674800000004</c:v>
                </c:pt>
                <c:pt idx="1">
                  <c:v>814.64909899999998</c:v>
                </c:pt>
                <c:pt idx="2">
                  <c:v>691.53958</c:v>
                </c:pt>
                <c:pt idx="3">
                  <c:v>729.62664400000006</c:v>
                </c:pt>
                <c:pt idx="4">
                  <c:v>718.95693600000004</c:v>
                </c:pt>
                <c:pt idx="5">
                  <c:v>711.7</c:v>
                </c:pt>
                <c:pt idx="6">
                  <c:v>734.1</c:v>
                </c:pt>
                <c:pt idx="7">
                  <c:v>743.6</c:v>
                </c:pt>
                <c:pt idx="8">
                  <c:v>823.1</c:v>
                </c:pt>
                <c:pt idx="9">
                  <c:v>872.8</c:v>
                </c:pt>
                <c:pt idx="10">
                  <c:v>782.6</c:v>
                </c:pt>
                <c:pt idx="11">
                  <c:v>835.8</c:v>
                </c:pt>
                <c:pt idx="12" formatCode="0.00">
                  <c:v>952.1</c:v>
                </c:pt>
              </c:numCache>
            </c:numRef>
          </c:val>
          <c:extLst>
            <c:ext xmlns:c16="http://schemas.microsoft.com/office/drawing/2014/chart" uri="{C3380CC4-5D6E-409C-BE32-E72D297353CC}">
              <c16:uniqueId val="{0000000B-B061-49C3-B312-A79C0E4BD94F}"/>
            </c:ext>
          </c:extLst>
        </c:ser>
        <c:ser>
          <c:idx val="2"/>
          <c:order val="2"/>
          <c:tx>
            <c:strRef>
              <c:f>'[MEB Database.xlsx]Merchandise Trade'!$D$59</c:f>
              <c:strCache>
                <c:ptCount val="1"/>
                <c:pt idx="0">
                  <c:v>Trade Balance (USD Million)</c:v>
                </c:pt>
              </c:strCache>
            </c:strRef>
          </c:tx>
          <c:spPr>
            <a:noFill/>
            <a:ln w="25400" cap="flat" cmpd="sng" algn="ctr">
              <a:solidFill>
                <a:schemeClr val="accent3"/>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Database.xlsx]Merchandise Trade'!$A$66:$A$78</c:f>
              <c:numCache>
                <c:formatCode>mmm\-yy</c:formatCode>
                <c:ptCount val="13"/>
                <c:pt idx="0">
                  <c:v>45231</c:v>
                </c:pt>
                <c:pt idx="1">
                  <c:v>45261</c:v>
                </c:pt>
                <c:pt idx="2">
                  <c:v>45292</c:v>
                </c:pt>
                <c:pt idx="3">
                  <c:v>45323</c:v>
                </c:pt>
                <c:pt idx="4">
                  <c:v>45352</c:v>
                </c:pt>
                <c:pt idx="5">
                  <c:v>45383</c:v>
                </c:pt>
                <c:pt idx="6">
                  <c:v>45413</c:v>
                </c:pt>
                <c:pt idx="7">
                  <c:v>45444</c:v>
                </c:pt>
                <c:pt idx="8">
                  <c:v>45474</c:v>
                </c:pt>
                <c:pt idx="9">
                  <c:v>45505</c:v>
                </c:pt>
                <c:pt idx="10">
                  <c:v>45536</c:v>
                </c:pt>
                <c:pt idx="11">
                  <c:v>45566</c:v>
                </c:pt>
                <c:pt idx="12">
                  <c:v>45597</c:v>
                </c:pt>
              </c:numCache>
            </c:numRef>
          </c:cat>
          <c:val>
            <c:numRef>
              <c:f>'[MEB Database.xlsx]Merchandise Trade'!$D$66:$D$78</c:f>
              <c:numCache>
                <c:formatCode>#,##0.00</c:formatCode>
                <c:ptCount val="13"/>
                <c:pt idx="0">
                  <c:v>-143.571551</c:v>
                </c:pt>
                <c:pt idx="1">
                  <c:v>-264.01363200000003</c:v>
                </c:pt>
                <c:pt idx="2">
                  <c:v>-150.64504599999998</c:v>
                </c:pt>
                <c:pt idx="3">
                  <c:v>-84.612141000000065</c:v>
                </c:pt>
                <c:pt idx="4">
                  <c:v>-184.26375100000007</c:v>
                </c:pt>
                <c:pt idx="5">
                  <c:v>-198.20000000000005</c:v>
                </c:pt>
                <c:pt idx="6">
                  <c:v>-151.10000000000002</c:v>
                </c:pt>
                <c:pt idx="7">
                  <c:v>-218.89999999999998</c:v>
                </c:pt>
                <c:pt idx="8">
                  <c:v>-274.80000000000007</c:v>
                </c:pt>
                <c:pt idx="9">
                  <c:v>-198.79999999999995</c:v>
                </c:pt>
                <c:pt idx="10">
                  <c:v>-207.60000000000002</c:v>
                </c:pt>
                <c:pt idx="11">
                  <c:v>-137.69999999999993</c:v>
                </c:pt>
                <c:pt idx="12" formatCode="0.00">
                  <c:v>-46.899999999999977</c:v>
                </c:pt>
              </c:numCache>
            </c:numRef>
          </c:val>
          <c:extLst>
            <c:ext xmlns:c16="http://schemas.microsoft.com/office/drawing/2014/chart" uri="{C3380CC4-5D6E-409C-BE32-E72D297353CC}">
              <c16:uniqueId val="{0000000C-B061-49C3-B312-A79C0E4BD94F}"/>
            </c:ext>
          </c:extLst>
        </c:ser>
        <c:dLbls>
          <c:dLblPos val="outEnd"/>
          <c:showLegendKey val="0"/>
          <c:showVal val="1"/>
          <c:showCatName val="0"/>
          <c:showSerName val="0"/>
          <c:showPercent val="0"/>
          <c:showBubbleSize val="0"/>
        </c:dLbls>
        <c:gapWidth val="164"/>
        <c:overlap val="-35"/>
        <c:axId val="1460376464"/>
        <c:axId val="1460359664"/>
      </c:barChart>
      <c:dateAx>
        <c:axId val="1460376464"/>
        <c:scaling>
          <c:orientation val="minMax"/>
        </c:scaling>
        <c:delete val="0"/>
        <c:axPos val="b"/>
        <c:numFmt formatCode="mmm\-yy" sourceLinked="1"/>
        <c:majorTickMark val="out"/>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60359664"/>
        <c:crosses val="autoZero"/>
        <c:auto val="1"/>
        <c:lblOffset val="100"/>
        <c:baseTimeUnit val="months"/>
      </c:dateAx>
      <c:valAx>
        <c:axId val="146035966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60376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'[MEB Database.xlsx]ZWG USD Exch Rates'!$B$159</c:f>
              <c:strCache>
                <c:ptCount val="1"/>
                <c:pt idx="0">
                  <c:v>Official Rate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'[MEB Database.xlsx]ZWG USD Exch Rates'!$A$160:$A$181</c:f>
              <c:numCache>
                <c:formatCode>[$-3009]dd\-mmm\-yy;@</c:formatCode>
                <c:ptCount val="22"/>
                <c:pt idx="0">
                  <c:v>45659</c:v>
                </c:pt>
                <c:pt idx="1">
                  <c:v>45660</c:v>
                </c:pt>
                <c:pt idx="2">
                  <c:v>45663</c:v>
                </c:pt>
                <c:pt idx="3">
                  <c:v>45664</c:v>
                </c:pt>
                <c:pt idx="4">
                  <c:v>45665</c:v>
                </c:pt>
                <c:pt idx="5">
                  <c:v>45666</c:v>
                </c:pt>
                <c:pt idx="6">
                  <c:v>45667</c:v>
                </c:pt>
                <c:pt idx="7">
                  <c:v>45670</c:v>
                </c:pt>
                <c:pt idx="8">
                  <c:v>45671</c:v>
                </c:pt>
                <c:pt idx="9">
                  <c:v>45672</c:v>
                </c:pt>
                <c:pt idx="10">
                  <c:v>45673</c:v>
                </c:pt>
                <c:pt idx="11">
                  <c:v>45674</c:v>
                </c:pt>
                <c:pt idx="12">
                  <c:v>45677</c:v>
                </c:pt>
                <c:pt idx="13">
                  <c:v>45678</c:v>
                </c:pt>
                <c:pt idx="14">
                  <c:v>45679</c:v>
                </c:pt>
                <c:pt idx="15">
                  <c:v>45680</c:v>
                </c:pt>
                <c:pt idx="16">
                  <c:v>45681</c:v>
                </c:pt>
                <c:pt idx="17">
                  <c:v>45684</c:v>
                </c:pt>
                <c:pt idx="18">
                  <c:v>45685</c:v>
                </c:pt>
                <c:pt idx="19">
                  <c:v>45686</c:v>
                </c:pt>
                <c:pt idx="20">
                  <c:v>45687</c:v>
                </c:pt>
                <c:pt idx="21">
                  <c:v>45688</c:v>
                </c:pt>
              </c:numCache>
            </c:numRef>
          </c:cat>
          <c:val>
            <c:numRef>
              <c:f>'[MEB Database.xlsx]ZWG USD Exch Rates'!$B$160:$B$181</c:f>
              <c:numCache>
                <c:formatCode>0.00</c:formatCode>
                <c:ptCount val="22"/>
                <c:pt idx="0">
                  <c:v>25.826699999999999</c:v>
                </c:pt>
                <c:pt idx="1">
                  <c:v>25.822600000000001</c:v>
                </c:pt>
                <c:pt idx="2">
                  <c:v>25.834800000000001</c:v>
                </c:pt>
                <c:pt idx="3">
                  <c:v>25.862400000000001</c:v>
                </c:pt>
                <c:pt idx="4">
                  <c:v>25.883199999999999</c:v>
                </c:pt>
                <c:pt idx="5">
                  <c:v>26.023700000000002</c:v>
                </c:pt>
                <c:pt idx="6">
                  <c:v>26.0579</c:v>
                </c:pt>
                <c:pt idx="7">
                  <c:v>26.109000000000002</c:v>
                </c:pt>
                <c:pt idx="8">
                  <c:v>26.194800000000001</c:v>
                </c:pt>
                <c:pt idx="9">
                  <c:v>26.150300000000001</c:v>
                </c:pt>
                <c:pt idx="10">
                  <c:v>26.267499999999998</c:v>
                </c:pt>
                <c:pt idx="11">
                  <c:v>26.261399999999998</c:v>
                </c:pt>
                <c:pt idx="12">
                  <c:v>26.283100000000001</c:v>
                </c:pt>
                <c:pt idx="13">
                  <c:v>26.298200000000001</c:v>
                </c:pt>
                <c:pt idx="14">
                  <c:v>26.271599999999999</c:v>
                </c:pt>
                <c:pt idx="15">
                  <c:v>26.290299999999998</c:v>
                </c:pt>
                <c:pt idx="16">
                  <c:v>26.3004</c:v>
                </c:pt>
                <c:pt idx="17">
                  <c:v>26.321200000000001</c:v>
                </c:pt>
                <c:pt idx="18">
                  <c:v>26.3386</c:v>
                </c:pt>
                <c:pt idx="19">
                  <c:v>26.3461</c:v>
                </c:pt>
                <c:pt idx="20">
                  <c:v>26.350200000000001</c:v>
                </c:pt>
                <c:pt idx="21">
                  <c:v>26.365600000000001</c:v>
                </c:pt>
              </c:numCache>
            </c:numRef>
          </c:val>
          <c:smooth val="0"/>
          <c:extLst>
            <c:ext xmlns:c16="http://schemas.microsoft.com/office/drawing/2014/chart" uri="{C3380CC4-5D6E-409C-BE32-E72D297353CC}">
              <c16:uniqueId val="{00000000-CB4E-4665-AE9B-9B523CF74C73}"/>
            </c:ext>
          </c:extLst>
        </c:ser>
        <c:ser>
          <c:idx val="1"/>
          <c:order val="1"/>
          <c:tx>
            <c:strRef>
              <c:f>'[MEB Database.xlsx]ZWG USD Exch Rates'!$C$159</c:f>
              <c:strCache>
                <c:ptCount val="1"/>
                <c:pt idx="0">
                  <c:v>Parallel Market Rate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'[MEB Database.xlsx]ZWG USD Exch Rates'!$A$160:$A$181</c:f>
              <c:numCache>
                <c:formatCode>[$-3009]dd\-mmm\-yy;@</c:formatCode>
                <c:ptCount val="22"/>
                <c:pt idx="0">
                  <c:v>45659</c:v>
                </c:pt>
                <c:pt idx="1">
                  <c:v>45660</c:v>
                </c:pt>
                <c:pt idx="2">
                  <c:v>45663</c:v>
                </c:pt>
                <c:pt idx="3">
                  <c:v>45664</c:v>
                </c:pt>
                <c:pt idx="4">
                  <c:v>45665</c:v>
                </c:pt>
                <c:pt idx="5">
                  <c:v>45666</c:v>
                </c:pt>
                <c:pt idx="6">
                  <c:v>45667</c:v>
                </c:pt>
                <c:pt idx="7">
                  <c:v>45670</c:v>
                </c:pt>
                <c:pt idx="8">
                  <c:v>45671</c:v>
                </c:pt>
                <c:pt idx="9">
                  <c:v>45672</c:v>
                </c:pt>
                <c:pt idx="10">
                  <c:v>45673</c:v>
                </c:pt>
                <c:pt idx="11">
                  <c:v>45674</c:v>
                </c:pt>
                <c:pt idx="12">
                  <c:v>45677</c:v>
                </c:pt>
                <c:pt idx="13">
                  <c:v>45678</c:v>
                </c:pt>
                <c:pt idx="14">
                  <c:v>45679</c:v>
                </c:pt>
                <c:pt idx="15">
                  <c:v>45680</c:v>
                </c:pt>
                <c:pt idx="16">
                  <c:v>45681</c:v>
                </c:pt>
                <c:pt idx="17">
                  <c:v>45684</c:v>
                </c:pt>
                <c:pt idx="18">
                  <c:v>45685</c:v>
                </c:pt>
                <c:pt idx="19">
                  <c:v>45686</c:v>
                </c:pt>
                <c:pt idx="20">
                  <c:v>45687</c:v>
                </c:pt>
                <c:pt idx="21">
                  <c:v>45688</c:v>
                </c:pt>
              </c:numCache>
            </c:numRef>
          </c:cat>
          <c:val>
            <c:numRef>
              <c:f>'[MEB Database.xlsx]ZWG USD Exch Rates'!$C$160:$C$181</c:f>
              <c:numCache>
                <c:formatCode>0.00</c:formatCode>
                <c:ptCount val="22"/>
                <c:pt idx="0">
                  <c:v>35</c:v>
                </c:pt>
                <c:pt idx="1">
                  <c:v>35</c:v>
                </c:pt>
                <c:pt idx="2">
                  <c:v>35</c:v>
                </c:pt>
                <c:pt idx="3">
                  <c:v>33</c:v>
                </c:pt>
                <c:pt idx="4">
                  <c:v>33</c:v>
                </c:pt>
                <c:pt idx="5">
                  <c:v>33</c:v>
                </c:pt>
                <c:pt idx="6">
                  <c:v>33</c:v>
                </c:pt>
                <c:pt idx="7">
                  <c:v>33</c:v>
                </c:pt>
                <c:pt idx="8">
                  <c:v>33</c:v>
                </c:pt>
                <c:pt idx="9">
                  <c:v>33</c:v>
                </c:pt>
                <c:pt idx="10">
                  <c:v>33</c:v>
                </c:pt>
                <c:pt idx="11">
                  <c:v>33</c:v>
                </c:pt>
                <c:pt idx="12">
                  <c:v>33</c:v>
                </c:pt>
                <c:pt idx="13">
                  <c:v>33</c:v>
                </c:pt>
                <c:pt idx="14">
                  <c:v>33</c:v>
                </c:pt>
                <c:pt idx="15">
                  <c:v>33</c:v>
                </c:pt>
                <c:pt idx="16">
                  <c:v>33</c:v>
                </c:pt>
                <c:pt idx="17">
                  <c:v>31</c:v>
                </c:pt>
                <c:pt idx="18">
                  <c:v>31</c:v>
                </c:pt>
                <c:pt idx="19">
                  <c:v>31</c:v>
                </c:pt>
                <c:pt idx="20">
                  <c:v>31</c:v>
                </c:pt>
                <c:pt idx="21">
                  <c:v>31</c:v>
                </c:pt>
              </c:numCache>
            </c:numRef>
          </c:val>
          <c:smooth val="0"/>
          <c:extLst>
            <c:ext xmlns:c16="http://schemas.microsoft.com/office/drawing/2014/chart" uri="{C3380CC4-5D6E-409C-BE32-E72D297353CC}">
              <c16:uniqueId val="{00000001-CB4E-4665-AE9B-9B523CF74C73}"/>
            </c:ext>
          </c:extLst>
        </c:ser>
        <c:dLbls>
          <c:showLegendKey val="0"/>
          <c:showVal val="0"/>
          <c:showCatName val="0"/>
          <c:showSerName val="0"/>
          <c:showPercent val="0"/>
          <c:showBubbleSize val="0"/>
        </c:dLbls>
        <c:marker val="1"/>
        <c:smooth val="0"/>
        <c:axId val="554116655"/>
        <c:axId val="554118575"/>
      </c:lineChart>
      <c:lineChart>
        <c:grouping val="standard"/>
        <c:varyColors val="0"/>
        <c:ser>
          <c:idx val="2"/>
          <c:order val="2"/>
          <c:tx>
            <c:strRef>
              <c:f>'[MEB Database.xlsx]ZWG USD Exch Rates'!$D$159</c:f>
              <c:strCache>
                <c:ptCount val="1"/>
                <c:pt idx="0">
                  <c:v>Exchange Rate Premium</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'[MEB Database.xlsx]ZWG USD Exch Rates'!$A$160:$A$181</c:f>
              <c:numCache>
                <c:formatCode>[$-3009]dd\-mmm\-yy;@</c:formatCode>
                <c:ptCount val="22"/>
                <c:pt idx="0">
                  <c:v>45659</c:v>
                </c:pt>
                <c:pt idx="1">
                  <c:v>45660</c:v>
                </c:pt>
                <c:pt idx="2">
                  <c:v>45663</c:v>
                </c:pt>
                <c:pt idx="3">
                  <c:v>45664</c:v>
                </c:pt>
                <c:pt idx="4">
                  <c:v>45665</c:v>
                </c:pt>
                <c:pt idx="5">
                  <c:v>45666</c:v>
                </c:pt>
                <c:pt idx="6">
                  <c:v>45667</c:v>
                </c:pt>
                <c:pt idx="7">
                  <c:v>45670</c:v>
                </c:pt>
                <c:pt idx="8">
                  <c:v>45671</c:v>
                </c:pt>
                <c:pt idx="9">
                  <c:v>45672</c:v>
                </c:pt>
                <c:pt idx="10">
                  <c:v>45673</c:v>
                </c:pt>
                <c:pt idx="11">
                  <c:v>45674</c:v>
                </c:pt>
                <c:pt idx="12">
                  <c:v>45677</c:v>
                </c:pt>
                <c:pt idx="13">
                  <c:v>45678</c:v>
                </c:pt>
                <c:pt idx="14">
                  <c:v>45679</c:v>
                </c:pt>
                <c:pt idx="15">
                  <c:v>45680</c:v>
                </c:pt>
                <c:pt idx="16">
                  <c:v>45681</c:v>
                </c:pt>
                <c:pt idx="17">
                  <c:v>45684</c:v>
                </c:pt>
                <c:pt idx="18">
                  <c:v>45685</c:v>
                </c:pt>
                <c:pt idx="19">
                  <c:v>45686</c:v>
                </c:pt>
                <c:pt idx="20">
                  <c:v>45687</c:v>
                </c:pt>
                <c:pt idx="21">
                  <c:v>45688</c:v>
                </c:pt>
              </c:numCache>
            </c:numRef>
          </c:cat>
          <c:val>
            <c:numRef>
              <c:f>'[MEB Database.xlsx]ZWG USD Exch Rates'!$D$160:$D$181</c:f>
              <c:numCache>
                <c:formatCode>0.00</c:formatCode>
                <c:ptCount val="22"/>
                <c:pt idx="0">
                  <c:v>35.518668664599048</c:v>
                </c:pt>
                <c:pt idx="1">
                  <c:v>35.540185728780209</c:v>
                </c:pt>
                <c:pt idx="2">
                  <c:v>35.476179416910519</c:v>
                </c:pt>
                <c:pt idx="3">
                  <c:v>27.598366740905711</c:v>
                </c:pt>
                <c:pt idx="4">
                  <c:v>27.495827409284797</c:v>
                </c:pt>
                <c:pt idx="5">
                  <c:v>26.80748702144583</c:v>
                </c:pt>
                <c:pt idx="6">
                  <c:v>26.641057030689346</c:v>
                </c:pt>
                <c:pt idx="7">
                  <c:v>26.393197747903013</c:v>
                </c:pt>
                <c:pt idx="8">
                  <c:v>25.979201979018736</c:v>
                </c:pt>
                <c:pt idx="9">
                  <c:v>26.193580953182177</c:v>
                </c:pt>
                <c:pt idx="10">
                  <c:v>25.630532026268209</c:v>
                </c:pt>
                <c:pt idx="11">
                  <c:v>25.659713495853236</c:v>
                </c:pt>
                <c:pt idx="12">
                  <c:v>25.555965620493769</c:v>
                </c:pt>
                <c:pt idx="13">
                  <c:v>25.483873420994584</c:v>
                </c:pt>
                <c:pt idx="14">
                  <c:v>25.610925866715391</c:v>
                </c:pt>
                <c:pt idx="15">
                  <c:v>25.521580202584232</c:v>
                </c:pt>
                <c:pt idx="16">
                  <c:v>25.473376830770633</c:v>
                </c:pt>
                <c:pt idx="17">
                  <c:v>17.775785298542615</c:v>
                </c:pt>
                <c:pt idx="18">
                  <c:v>17.69797939146348</c:v>
                </c:pt>
                <c:pt idx="19">
                  <c:v>17.664474058779099</c:v>
                </c:pt>
                <c:pt idx="20">
                  <c:v>17.646165873503801</c:v>
                </c:pt>
                <c:pt idx="21">
                  <c:v>17.577449403768544</c:v>
                </c:pt>
              </c:numCache>
            </c:numRef>
          </c:val>
          <c:smooth val="0"/>
          <c:extLst>
            <c:ext xmlns:c16="http://schemas.microsoft.com/office/drawing/2014/chart" uri="{C3380CC4-5D6E-409C-BE32-E72D297353CC}">
              <c16:uniqueId val="{00000002-CB4E-4665-AE9B-9B523CF74C73}"/>
            </c:ext>
          </c:extLst>
        </c:ser>
        <c:dLbls>
          <c:showLegendKey val="0"/>
          <c:showVal val="0"/>
          <c:showCatName val="0"/>
          <c:showSerName val="0"/>
          <c:showPercent val="0"/>
          <c:showBubbleSize val="0"/>
        </c:dLbls>
        <c:marker val="1"/>
        <c:smooth val="0"/>
        <c:axId val="495677647"/>
        <c:axId val="495685807"/>
      </c:lineChart>
      <c:dateAx>
        <c:axId val="554116655"/>
        <c:scaling>
          <c:orientation val="minMax"/>
        </c:scaling>
        <c:delete val="0"/>
        <c:axPos val="b"/>
        <c:numFmt formatCode="[$-3009]dd\-mmm\-yy;@"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4118575"/>
        <c:crosses val="autoZero"/>
        <c:auto val="1"/>
        <c:lblOffset val="100"/>
        <c:baseTimeUnit val="days"/>
      </c:dateAx>
      <c:valAx>
        <c:axId val="55411857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4116655"/>
        <c:crosses val="autoZero"/>
        <c:crossBetween val="between"/>
      </c:valAx>
      <c:valAx>
        <c:axId val="495685807"/>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5677647"/>
        <c:crosses val="max"/>
        <c:crossBetween val="between"/>
      </c:valAx>
      <c:dateAx>
        <c:axId val="495677647"/>
        <c:scaling>
          <c:orientation val="minMax"/>
        </c:scaling>
        <c:delete val="1"/>
        <c:axPos val="b"/>
        <c:numFmt formatCode="[$-3009]dd\-mmm\-yy;@" sourceLinked="1"/>
        <c:majorTickMark val="out"/>
        <c:minorTickMark val="none"/>
        <c:tickLblPos val="nextTo"/>
        <c:crossAx val="495685807"/>
        <c:crosses val="autoZero"/>
        <c:auto val="1"/>
        <c:lblOffset val="100"/>
        <c:baseTimeUnit val="days"/>
        <c:majorUnit val="1"/>
        <c:minorUnit val="1"/>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'[MEB Database.xlsx]Zim Inflation'!$B$305</c:f>
              <c:strCache>
                <c:ptCount val="1"/>
                <c:pt idx="0">
                  <c:v>ZWG Inflation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'[MEB Database.xlsx]Zim Inflation'!$A$306:$A$314</c:f>
              <c:numCache>
                <c:formatCode>mmm\-yy</c:formatCode>
                <c:ptCount val="9"/>
                <c:pt idx="0">
                  <c:v>45413</c:v>
                </c:pt>
                <c:pt idx="1">
                  <c:v>45444</c:v>
                </c:pt>
                <c:pt idx="2">
                  <c:v>45474</c:v>
                </c:pt>
                <c:pt idx="3">
                  <c:v>45505</c:v>
                </c:pt>
                <c:pt idx="4">
                  <c:v>45536</c:v>
                </c:pt>
                <c:pt idx="5">
                  <c:v>45566</c:v>
                </c:pt>
                <c:pt idx="6">
                  <c:v>45597</c:v>
                </c:pt>
                <c:pt idx="7">
                  <c:v>45627</c:v>
                </c:pt>
                <c:pt idx="8">
                  <c:v>45658</c:v>
                </c:pt>
              </c:numCache>
            </c:numRef>
          </c:xVal>
          <c:yVal>
            <c:numRef>
              <c:f>'[MEB Database.xlsx]Zim Inflation'!$B$306:$B$314</c:f>
              <c:numCache>
                <c:formatCode>General</c:formatCode>
                <c:ptCount val="9"/>
                <c:pt idx="0">
                  <c:v>-2.4</c:v>
                </c:pt>
                <c:pt idx="1">
                  <c:v>0</c:v>
                </c:pt>
                <c:pt idx="2">
                  <c:v>-0.1</c:v>
                </c:pt>
                <c:pt idx="3">
                  <c:v>1.4</c:v>
                </c:pt>
                <c:pt idx="4" formatCode="0.0">
                  <c:v>5.7762813859791864</c:v>
                </c:pt>
                <c:pt idx="5" formatCode="0.0">
                  <c:v>37.200000000000003</c:v>
                </c:pt>
                <c:pt idx="6">
                  <c:v>11.7</c:v>
                </c:pt>
                <c:pt idx="7" formatCode="0.00">
                  <c:v>3.6728383023600455</c:v>
                </c:pt>
                <c:pt idx="8">
                  <c:v>10.5</c:v>
                </c:pt>
              </c:numCache>
            </c:numRef>
          </c:yVal>
          <c:smooth val="0"/>
          <c:extLst>
            <c:ext xmlns:c16="http://schemas.microsoft.com/office/drawing/2014/chart" uri="{C3380CC4-5D6E-409C-BE32-E72D297353CC}">
              <c16:uniqueId val="{00000000-EE97-491B-8680-59F3759B09FE}"/>
            </c:ext>
          </c:extLst>
        </c:ser>
        <c:dLbls>
          <c:dLblPos val="t"/>
          <c:showLegendKey val="0"/>
          <c:showVal val="1"/>
          <c:showCatName val="0"/>
          <c:showSerName val="0"/>
          <c:showPercent val="0"/>
          <c:showBubbleSize val="0"/>
        </c:dLbls>
        <c:axId val="1637316031"/>
        <c:axId val="1637314367"/>
      </c:scatterChart>
      <c:valAx>
        <c:axId val="1637316031"/>
        <c:scaling>
          <c:orientation val="minMax"/>
        </c:scaling>
        <c:delete val="0"/>
        <c:axPos val="b"/>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7314367"/>
        <c:crosses val="autoZero"/>
        <c:crossBetween val="midCat"/>
      </c:valAx>
      <c:valAx>
        <c:axId val="1637314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73160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IMF24</b:Tag>
    <b:SourceType>Book</b:SourceType>
    <b:Guid>{8A8C0E7B-BE26-47E6-9B86-F7A3732992D2}</b:Guid>
    <b:Author>
      <b:Author>
        <b:Corporate>IMF</b:Corporate>
      </b:Author>
    </b:Author>
    <b:Title>World Economic Outlook, October 2024; Global prospects and Policies: Chapter 1</b:Title>
    <b:Year>2024</b:Year>
    <b:Publisher>International Monetary Fund</b:Publisher>
    <b:RefOrder>1</b:RefOrder>
  </b:Source>
  <b:Source>
    <b:Tag>Tra24</b:Tag>
    <b:SourceType>InternetSite</b:SourceType>
    <b:Guid>{8FD644BD-52F0-40B5-AA47-65EF794A8C0A}</b:Guid>
    <b:Author>
      <b:Author>
        <b:Corporate>Trading Economics</b:Corporate>
      </b:Author>
    </b:Author>
    <b:Title>Commodities</b:Title>
    <b:InternetSiteTitle>Trading  Economics</b:InternetSiteTitle>
    <b:Year>2025</b:Year>
    <b:URL>https://tradingeconomics.com/commodity/crude-oil</b:URL>
    <b:RefOrder>2</b:RefOrder>
  </b:Source>
  <b:Source>
    <b:Tag>RBZ24</b:Tag>
    <b:SourceType>InternetSite</b:SourceType>
    <b:Guid>{9ADA1191-28B5-4AFC-BCF2-5EC76C1C1032}</b:Guid>
    <b:Title>Exchange Rates</b:Title>
    <b:Year>2025</b:Year>
    <b:Author>
      <b:Author>
        <b:Corporate>RBZ</b:Corporate>
      </b:Author>
    </b:Author>
    <b:InternetSiteTitle>Reserve Bank of Zimbabwe</b:InternetSiteTitle>
    <b:URL>https://www.rbz.co.zw/index.php/research/markets/exchange-rates</b:URL>
    <b:RefOrder>3</b:RefOrder>
  </b:Source>
  <b:Source>
    <b:Tag>Zim24</b:Tag>
    <b:SourceType>InternetSite</b:SourceType>
    <b:Guid>{AF40DC90-F2B6-408B-958F-D547AD08A3C8}</b:Guid>
    <b:Author>
      <b:Author>
        <b:Corporate>ZimStat</b:Corporate>
      </b:Author>
    </b:Author>
    <b:Title>Inflation Rates</b:Title>
    <b:InternetSiteTitle>Zimbabwe Statistics Agency</b:InternetSiteTitle>
    <b:Year>2025</b:Year>
    <b:URL>https://www.zimstat.co.zw/</b:URL>
    <b:RefOrder>4</b:RefOrder>
  </b:Source>
  <b:Source>
    <b:Tag>VFE24</b:Tag>
    <b:SourceType>InternetSite</b:SourceType>
    <b:Guid>{8510DB52-D32D-4756-AAC5-8745265FD83E}</b:Guid>
    <b:Author>
      <b:Author>
        <b:Corporate>VFEX</b:Corporate>
      </b:Author>
    </b:Author>
    <b:Title>Main Dashboard</b:Title>
    <b:InternetSiteTitle>Victoria Falls Stock Exchange</b:InternetSiteTitle>
    <b:Year>2025</b:Year>
    <b:URL>https://www.vfex.exchange/</b:URL>
    <b:RefOrder>5</b:RefOrder>
  </b:Source>
  <b:Source>
    <b:Tag>ZSE24</b:Tag>
    <b:SourceType>InternetSite</b:SourceType>
    <b:Guid>{4043118D-EB9F-4448-9012-AC87DC38415A}</b:Guid>
    <b:Author>
      <b:Author>
        <b:Corporate>ZSE</b:Corporate>
      </b:Author>
    </b:Author>
    <b:Title>Main Dashboard</b:Title>
    <b:InternetSiteTitle>Zimbabwe Stock Exchange</b:InternetSiteTitle>
    <b:Year>2025</b:Year>
    <b:URL>https://www.zse.co.zw/</b:URL>
    <b:RefOrder>6</b:RefOrder>
  </b:Source>
  <b:Source>
    <b:Tag>Res24</b:Tag>
    <b:SourceType>Report</b:SourceType>
    <b:Guid>{02F32E08-E322-47C4-886E-2D90F087FB60}</b:Guid>
    <b:Author>
      <b:Author>
        <b:Corporate>Reserve Bank of Zimbabwe</b:Corporate>
      </b:Author>
    </b:Author>
    <b:Title>Monthly Economic Review: November 2024</b:Title>
    <b:Year>2024</b:Year>
    <b:Publisher>RBZ</b:Publisher>
    <b:RefOrder>7</b:RefOrder>
  </b:Source>
  <b:Source>
    <b:Tag>Res241</b:Tag>
    <b:SourceType>Report</b:SourceType>
    <b:Guid>{DBBF8895-1707-4F05-9845-07A9B5D18541}</b:Guid>
    <b:Author>
      <b:Author>
        <b:Corporate>Reserve Bank of Zimbabwe</b:Corporate>
      </b:Author>
    </b:Author>
    <b:Title>Weekely Economic Highlights, 17 January 2024, Vol 27 No 3</b:Title>
    <b:Year>2025</b:Year>
    <b:Publisher>Reserve Bank of Zimbabwe</b:Publisher>
    <b:RefOrder>8</b:RefOrder>
  </b:Source>
  <b:Source>
    <b:Tag>Int25</b:Tag>
    <b:SourceType>Book</b:SourceType>
    <b:Guid>{39BFBC03-20A2-4CE2-8069-7ECAD6398391}</b:Guid>
    <b:Author>
      <b:Author>
        <b:Corporate>International Monetary Fund</b:Corporate>
      </b:Author>
    </b:Author>
    <b:Title>World Economic Outlook, January 2025 Update</b:Title>
    <b:Year>2025</b:Year>
    <b:Publisher>IMF</b:Publisher>
    <b:RefOrder>9</b:RefOrder>
  </b:Source>
</b:Sources>
</file>

<file path=customXml/itemProps1.xml><?xml version="1.0" encoding="utf-8"?>
<ds:datastoreItem xmlns:ds="http://schemas.openxmlformats.org/officeDocument/2006/customXml" ds:itemID="{D8F4E9DE-9862-42C3-9F01-28036622B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5586</TotalTime>
  <Pages>17</Pages>
  <Words>3389</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22667</CharactersWithSpaces>
  <SharedDoc>false</SharedDoc>
  <HLinks>
    <vt:vector size="198" baseType="variant">
      <vt:variant>
        <vt:i4>1310782</vt:i4>
      </vt:variant>
      <vt:variant>
        <vt:i4>200</vt:i4>
      </vt:variant>
      <vt:variant>
        <vt:i4>0</vt:i4>
      </vt:variant>
      <vt:variant>
        <vt:i4>5</vt:i4>
      </vt:variant>
      <vt:variant>
        <vt:lpwstr/>
      </vt:variant>
      <vt:variant>
        <vt:lpwstr>_Toc181785691</vt:lpwstr>
      </vt:variant>
      <vt:variant>
        <vt:i4>1310782</vt:i4>
      </vt:variant>
      <vt:variant>
        <vt:i4>194</vt:i4>
      </vt:variant>
      <vt:variant>
        <vt:i4>0</vt:i4>
      </vt:variant>
      <vt:variant>
        <vt:i4>5</vt:i4>
      </vt:variant>
      <vt:variant>
        <vt:lpwstr/>
      </vt:variant>
      <vt:variant>
        <vt:lpwstr>_Toc181785690</vt:lpwstr>
      </vt:variant>
      <vt:variant>
        <vt:i4>1376318</vt:i4>
      </vt:variant>
      <vt:variant>
        <vt:i4>188</vt:i4>
      </vt:variant>
      <vt:variant>
        <vt:i4>0</vt:i4>
      </vt:variant>
      <vt:variant>
        <vt:i4>5</vt:i4>
      </vt:variant>
      <vt:variant>
        <vt:lpwstr/>
      </vt:variant>
      <vt:variant>
        <vt:lpwstr>_Toc181785689</vt:lpwstr>
      </vt:variant>
      <vt:variant>
        <vt:i4>1376318</vt:i4>
      </vt:variant>
      <vt:variant>
        <vt:i4>182</vt:i4>
      </vt:variant>
      <vt:variant>
        <vt:i4>0</vt:i4>
      </vt:variant>
      <vt:variant>
        <vt:i4>5</vt:i4>
      </vt:variant>
      <vt:variant>
        <vt:lpwstr/>
      </vt:variant>
      <vt:variant>
        <vt:lpwstr>_Toc181785688</vt:lpwstr>
      </vt:variant>
      <vt:variant>
        <vt:i4>1376318</vt:i4>
      </vt:variant>
      <vt:variant>
        <vt:i4>176</vt:i4>
      </vt:variant>
      <vt:variant>
        <vt:i4>0</vt:i4>
      </vt:variant>
      <vt:variant>
        <vt:i4>5</vt:i4>
      </vt:variant>
      <vt:variant>
        <vt:lpwstr/>
      </vt:variant>
      <vt:variant>
        <vt:lpwstr>_Toc181785687</vt:lpwstr>
      </vt:variant>
      <vt:variant>
        <vt:i4>1376318</vt:i4>
      </vt:variant>
      <vt:variant>
        <vt:i4>170</vt:i4>
      </vt:variant>
      <vt:variant>
        <vt:i4>0</vt:i4>
      </vt:variant>
      <vt:variant>
        <vt:i4>5</vt:i4>
      </vt:variant>
      <vt:variant>
        <vt:lpwstr/>
      </vt:variant>
      <vt:variant>
        <vt:lpwstr>_Toc181785686</vt:lpwstr>
      </vt:variant>
      <vt:variant>
        <vt:i4>1376319</vt:i4>
      </vt:variant>
      <vt:variant>
        <vt:i4>161</vt:i4>
      </vt:variant>
      <vt:variant>
        <vt:i4>0</vt:i4>
      </vt:variant>
      <vt:variant>
        <vt:i4>5</vt:i4>
      </vt:variant>
      <vt:variant>
        <vt:lpwstr/>
      </vt:variant>
      <vt:variant>
        <vt:lpwstr>_Toc181785785</vt:lpwstr>
      </vt:variant>
      <vt:variant>
        <vt:i4>1376319</vt:i4>
      </vt:variant>
      <vt:variant>
        <vt:i4>155</vt:i4>
      </vt:variant>
      <vt:variant>
        <vt:i4>0</vt:i4>
      </vt:variant>
      <vt:variant>
        <vt:i4>5</vt:i4>
      </vt:variant>
      <vt:variant>
        <vt:lpwstr/>
      </vt:variant>
      <vt:variant>
        <vt:lpwstr>_Toc181785784</vt:lpwstr>
      </vt:variant>
      <vt:variant>
        <vt:i4>1376319</vt:i4>
      </vt:variant>
      <vt:variant>
        <vt:i4>149</vt:i4>
      </vt:variant>
      <vt:variant>
        <vt:i4>0</vt:i4>
      </vt:variant>
      <vt:variant>
        <vt:i4>5</vt:i4>
      </vt:variant>
      <vt:variant>
        <vt:lpwstr/>
      </vt:variant>
      <vt:variant>
        <vt:lpwstr>_Toc181785783</vt:lpwstr>
      </vt:variant>
      <vt:variant>
        <vt:i4>1376319</vt:i4>
      </vt:variant>
      <vt:variant>
        <vt:i4>143</vt:i4>
      </vt:variant>
      <vt:variant>
        <vt:i4>0</vt:i4>
      </vt:variant>
      <vt:variant>
        <vt:i4>5</vt:i4>
      </vt:variant>
      <vt:variant>
        <vt:lpwstr/>
      </vt:variant>
      <vt:variant>
        <vt:lpwstr>_Toc181785782</vt:lpwstr>
      </vt:variant>
      <vt:variant>
        <vt:i4>1376319</vt:i4>
      </vt:variant>
      <vt:variant>
        <vt:i4>137</vt:i4>
      </vt:variant>
      <vt:variant>
        <vt:i4>0</vt:i4>
      </vt:variant>
      <vt:variant>
        <vt:i4>5</vt:i4>
      </vt:variant>
      <vt:variant>
        <vt:lpwstr/>
      </vt:variant>
      <vt:variant>
        <vt:lpwstr>_Toc181785781</vt:lpwstr>
      </vt:variant>
      <vt:variant>
        <vt:i4>1376319</vt:i4>
      </vt:variant>
      <vt:variant>
        <vt:i4>131</vt:i4>
      </vt:variant>
      <vt:variant>
        <vt:i4>0</vt:i4>
      </vt:variant>
      <vt:variant>
        <vt:i4>5</vt:i4>
      </vt:variant>
      <vt:variant>
        <vt:lpwstr/>
      </vt:variant>
      <vt:variant>
        <vt:lpwstr>_Toc181785780</vt:lpwstr>
      </vt:variant>
      <vt:variant>
        <vt:i4>1703999</vt:i4>
      </vt:variant>
      <vt:variant>
        <vt:i4>125</vt:i4>
      </vt:variant>
      <vt:variant>
        <vt:i4>0</vt:i4>
      </vt:variant>
      <vt:variant>
        <vt:i4>5</vt:i4>
      </vt:variant>
      <vt:variant>
        <vt:lpwstr/>
      </vt:variant>
      <vt:variant>
        <vt:lpwstr>_Toc181785779</vt:lpwstr>
      </vt:variant>
      <vt:variant>
        <vt:i4>1703997</vt:i4>
      </vt:variant>
      <vt:variant>
        <vt:i4>116</vt:i4>
      </vt:variant>
      <vt:variant>
        <vt:i4>0</vt:i4>
      </vt:variant>
      <vt:variant>
        <vt:i4>5</vt:i4>
      </vt:variant>
      <vt:variant>
        <vt:lpwstr/>
      </vt:variant>
      <vt:variant>
        <vt:lpwstr>_Toc181785577</vt:lpwstr>
      </vt:variant>
      <vt:variant>
        <vt:i4>1703997</vt:i4>
      </vt:variant>
      <vt:variant>
        <vt:i4>110</vt:i4>
      </vt:variant>
      <vt:variant>
        <vt:i4>0</vt:i4>
      </vt:variant>
      <vt:variant>
        <vt:i4>5</vt:i4>
      </vt:variant>
      <vt:variant>
        <vt:lpwstr/>
      </vt:variant>
      <vt:variant>
        <vt:lpwstr>_Toc181785576</vt:lpwstr>
      </vt:variant>
      <vt:variant>
        <vt:i4>1703997</vt:i4>
      </vt:variant>
      <vt:variant>
        <vt:i4>104</vt:i4>
      </vt:variant>
      <vt:variant>
        <vt:i4>0</vt:i4>
      </vt:variant>
      <vt:variant>
        <vt:i4>5</vt:i4>
      </vt:variant>
      <vt:variant>
        <vt:lpwstr/>
      </vt:variant>
      <vt:variant>
        <vt:lpwstr>_Toc181785575</vt:lpwstr>
      </vt:variant>
      <vt:variant>
        <vt:i4>1703997</vt:i4>
      </vt:variant>
      <vt:variant>
        <vt:i4>98</vt:i4>
      </vt:variant>
      <vt:variant>
        <vt:i4>0</vt:i4>
      </vt:variant>
      <vt:variant>
        <vt:i4>5</vt:i4>
      </vt:variant>
      <vt:variant>
        <vt:lpwstr/>
      </vt:variant>
      <vt:variant>
        <vt:lpwstr>_Toc181785574</vt:lpwstr>
      </vt:variant>
      <vt:variant>
        <vt:i4>1703997</vt:i4>
      </vt:variant>
      <vt:variant>
        <vt:i4>92</vt:i4>
      </vt:variant>
      <vt:variant>
        <vt:i4>0</vt:i4>
      </vt:variant>
      <vt:variant>
        <vt:i4>5</vt:i4>
      </vt:variant>
      <vt:variant>
        <vt:lpwstr/>
      </vt:variant>
      <vt:variant>
        <vt:lpwstr>_Toc181785573</vt:lpwstr>
      </vt:variant>
      <vt:variant>
        <vt:i4>1703997</vt:i4>
      </vt:variant>
      <vt:variant>
        <vt:i4>86</vt:i4>
      </vt:variant>
      <vt:variant>
        <vt:i4>0</vt:i4>
      </vt:variant>
      <vt:variant>
        <vt:i4>5</vt:i4>
      </vt:variant>
      <vt:variant>
        <vt:lpwstr/>
      </vt:variant>
      <vt:variant>
        <vt:lpwstr>_Toc181785572</vt:lpwstr>
      </vt:variant>
      <vt:variant>
        <vt:i4>1703997</vt:i4>
      </vt:variant>
      <vt:variant>
        <vt:i4>80</vt:i4>
      </vt:variant>
      <vt:variant>
        <vt:i4>0</vt:i4>
      </vt:variant>
      <vt:variant>
        <vt:i4>5</vt:i4>
      </vt:variant>
      <vt:variant>
        <vt:lpwstr/>
      </vt:variant>
      <vt:variant>
        <vt:lpwstr>_Toc181785571</vt:lpwstr>
      </vt:variant>
      <vt:variant>
        <vt:i4>1703997</vt:i4>
      </vt:variant>
      <vt:variant>
        <vt:i4>74</vt:i4>
      </vt:variant>
      <vt:variant>
        <vt:i4>0</vt:i4>
      </vt:variant>
      <vt:variant>
        <vt:i4>5</vt:i4>
      </vt:variant>
      <vt:variant>
        <vt:lpwstr/>
      </vt:variant>
      <vt:variant>
        <vt:lpwstr>_Toc181785570</vt:lpwstr>
      </vt:variant>
      <vt:variant>
        <vt:i4>1769533</vt:i4>
      </vt:variant>
      <vt:variant>
        <vt:i4>68</vt:i4>
      </vt:variant>
      <vt:variant>
        <vt:i4>0</vt:i4>
      </vt:variant>
      <vt:variant>
        <vt:i4>5</vt:i4>
      </vt:variant>
      <vt:variant>
        <vt:lpwstr/>
      </vt:variant>
      <vt:variant>
        <vt:lpwstr>_Toc181785569</vt:lpwstr>
      </vt:variant>
      <vt:variant>
        <vt:i4>1769533</vt:i4>
      </vt:variant>
      <vt:variant>
        <vt:i4>62</vt:i4>
      </vt:variant>
      <vt:variant>
        <vt:i4>0</vt:i4>
      </vt:variant>
      <vt:variant>
        <vt:i4>5</vt:i4>
      </vt:variant>
      <vt:variant>
        <vt:lpwstr/>
      </vt:variant>
      <vt:variant>
        <vt:lpwstr>_Toc181785568</vt:lpwstr>
      </vt:variant>
      <vt:variant>
        <vt:i4>1769533</vt:i4>
      </vt:variant>
      <vt:variant>
        <vt:i4>56</vt:i4>
      </vt:variant>
      <vt:variant>
        <vt:i4>0</vt:i4>
      </vt:variant>
      <vt:variant>
        <vt:i4>5</vt:i4>
      </vt:variant>
      <vt:variant>
        <vt:lpwstr/>
      </vt:variant>
      <vt:variant>
        <vt:lpwstr>_Toc181785567</vt:lpwstr>
      </vt:variant>
      <vt:variant>
        <vt:i4>1769533</vt:i4>
      </vt:variant>
      <vt:variant>
        <vt:i4>50</vt:i4>
      </vt:variant>
      <vt:variant>
        <vt:i4>0</vt:i4>
      </vt:variant>
      <vt:variant>
        <vt:i4>5</vt:i4>
      </vt:variant>
      <vt:variant>
        <vt:lpwstr/>
      </vt:variant>
      <vt:variant>
        <vt:lpwstr>_Toc181785566</vt:lpwstr>
      </vt:variant>
      <vt:variant>
        <vt:i4>1769533</vt:i4>
      </vt:variant>
      <vt:variant>
        <vt:i4>44</vt:i4>
      </vt:variant>
      <vt:variant>
        <vt:i4>0</vt:i4>
      </vt:variant>
      <vt:variant>
        <vt:i4>5</vt:i4>
      </vt:variant>
      <vt:variant>
        <vt:lpwstr/>
      </vt:variant>
      <vt:variant>
        <vt:lpwstr>_Toc181785565</vt:lpwstr>
      </vt:variant>
      <vt:variant>
        <vt:i4>1769533</vt:i4>
      </vt:variant>
      <vt:variant>
        <vt:i4>38</vt:i4>
      </vt:variant>
      <vt:variant>
        <vt:i4>0</vt:i4>
      </vt:variant>
      <vt:variant>
        <vt:i4>5</vt:i4>
      </vt:variant>
      <vt:variant>
        <vt:lpwstr/>
      </vt:variant>
      <vt:variant>
        <vt:lpwstr>_Toc181785564</vt:lpwstr>
      </vt:variant>
      <vt:variant>
        <vt:i4>1769533</vt:i4>
      </vt:variant>
      <vt:variant>
        <vt:i4>32</vt:i4>
      </vt:variant>
      <vt:variant>
        <vt:i4>0</vt:i4>
      </vt:variant>
      <vt:variant>
        <vt:i4>5</vt:i4>
      </vt:variant>
      <vt:variant>
        <vt:lpwstr/>
      </vt:variant>
      <vt:variant>
        <vt:lpwstr>_Toc181785563</vt:lpwstr>
      </vt:variant>
      <vt:variant>
        <vt:i4>1769533</vt:i4>
      </vt:variant>
      <vt:variant>
        <vt:i4>26</vt:i4>
      </vt:variant>
      <vt:variant>
        <vt:i4>0</vt:i4>
      </vt:variant>
      <vt:variant>
        <vt:i4>5</vt:i4>
      </vt:variant>
      <vt:variant>
        <vt:lpwstr/>
      </vt:variant>
      <vt:variant>
        <vt:lpwstr>_Toc181785562</vt:lpwstr>
      </vt:variant>
      <vt:variant>
        <vt:i4>1769533</vt:i4>
      </vt:variant>
      <vt:variant>
        <vt:i4>20</vt:i4>
      </vt:variant>
      <vt:variant>
        <vt:i4>0</vt:i4>
      </vt:variant>
      <vt:variant>
        <vt:i4>5</vt:i4>
      </vt:variant>
      <vt:variant>
        <vt:lpwstr/>
      </vt:variant>
      <vt:variant>
        <vt:lpwstr>_Toc181785561</vt:lpwstr>
      </vt:variant>
      <vt:variant>
        <vt:i4>1769533</vt:i4>
      </vt:variant>
      <vt:variant>
        <vt:i4>14</vt:i4>
      </vt:variant>
      <vt:variant>
        <vt:i4>0</vt:i4>
      </vt:variant>
      <vt:variant>
        <vt:i4>5</vt:i4>
      </vt:variant>
      <vt:variant>
        <vt:lpwstr/>
      </vt:variant>
      <vt:variant>
        <vt:lpwstr>_Toc181785560</vt:lpwstr>
      </vt:variant>
      <vt:variant>
        <vt:i4>1572925</vt:i4>
      </vt:variant>
      <vt:variant>
        <vt:i4>8</vt:i4>
      </vt:variant>
      <vt:variant>
        <vt:i4>0</vt:i4>
      </vt:variant>
      <vt:variant>
        <vt:i4>5</vt:i4>
      </vt:variant>
      <vt:variant>
        <vt:lpwstr/>
      </vt:variant>
      <vt:variant>
        <vt:lpwstr>_Toc181785559</vt:lpwstr>
      </vt:variant>
      <vt:variant>
        <vt:i4>1572925</vt:i4>
      </vt:variant>
      <vt:variant>
        <vt:i4>2</vt:i4>
      </vt:variant>
      <vt:variant>
        <vt:i4>0</vt:i4>
      </vt:variant>
      <vt:variant>
        <vt:i4>5</vt:i4>
      </vt:variant>
      <vt:variant>
        <vt:lpwstr/>
      </vt:variant>
      <vt:variant>
        <vt:lpwstr>_Toc181785558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628</cp:revision>
  <dcterms:created xsi:type="dcterms:W3CDTF">2024-11-11T07:23:00Z</dcterms:created>
  <dcterms:modified xsi:type="dcterms:W3CDTF">2025-02-11T12:55:00Z</dcterms:modified>
</cp:coreProperties>
</file>