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7B320"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4D4FA48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0367709D" w14:textId="2595E40E" w:rsidR="00B357AC" w:rsidRPr="00863A17" w:rsidRDefault="00A270E8"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26DEF983" wp14:editId="4491B9E8">
            <wp:extent cx="3133725" cy="1895475"/>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3257F8E6"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73F45C6E"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008ACFBE"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68504F2A"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6BF9DF5D"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BFAE7AC"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1396991D"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137CA91B" w14:textId="376A8AF6" w:rsidR="00B357AC" w:rsidRPr="007E39CC" w:rsidRDefault="00EF65A0"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 xml:space="preserve">31 </w:t>
      </w:r>
      <w:r w:rsidR="00550C96">
        <w:rPr>
          <w:rFonts w:ascii="Tahoma" w:hAnsi="Tahoma" w:cs="Tahoma"/>
          <w:b/>
          <w:sz w:val="32"/>
          <w:szCs w:val="32"/>
          <w:lang w:val="en-US"/>
        </w:rPr>
        <w:t>JULY</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307033CC"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5B7FDB6B"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3118E8F"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6396D2FF"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2C2972AE"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4D214238" w14:textId="77777777" w:rsidR="007E39CC" w:rsidRPr="00A92D41" w:rsidRDefault="007E39CC" w:rsidP="007E39CC">
      <w:pPr>
        <w:pStyle w:val="Heading1"/>
        <w:spacing w:before="0" w:after="240"/>
        <w:rPr>
          <w:rFonts w:cs="Tahoma"/>
          <w:bCs/>
          <w:color w:val="000000"/>
          <w:szCs w:val="24"/>
          <w:lang w:val="en-US"/>
        </w:rPr>
      </w:pPr>
      <w:bookmarkStart w:id="0" w:name="_Toc166607888"/>
      <w:bookmarkStart w:id="1" w:name="_Toc175829606"/>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0FF6435A" w14:textId="77777777" w:rsidR="00193B40" w:rsidRDefault="007E39CC" w:rsidP="009D2C94">
      <w:pPr>
        <w:spacing w:line="276" w:lineRule="auto"/>
        <w:jc w:val="both"/>
        <w:rPr>
          <w:rFonts w:ascii="Tahoma" w:hAnsi="Tahoma" w:cs="Tahoma"/>
          <w:sz w:val="24"/>
          <w:szCs w:val="24"/>
          <w:lang w:val="en-US"/>
        </w:rPr>
      </w:pPr>
      <w:r w:rsidRPr="00DC5CBE">
        <w:rPr>
          <w:rFonts w:ascii="Tahoma" w:hAnsi="Tahoma" w:cs="Tahoma"/>
          <w:sz w:val="24"/>
          <w:szCs w:val="24"/>
          <w:lang w:val="en-US"/>
        </w:rPr>
        <w:t xml:space="preserve">This bulletin focuses on economic developments for the </w:t>
      </w:r>
      <w:r>
        <w:rPr>
          <w:rFonts w:ascii="Tahoma" w:hAnsi="Tahoma" w:cs="Tahoma"/>
          <w:sz w:val="24"/>
          <w:szCs w:val="24"/>
          <w:lang w:val="en-US"/>
        </w:rPr>
        <w:t>month</w:t>
      </w:r>
      <w:r w:rsidRPr="00DC5CBE">
        <w:rPr>
          <w:rFonts w:ascii="Tahoma" w:hAnsi="Tahoma" w:cs="Tahoma"/>
          <w:sz w:val="24"/>
          <w:szCs w:val="24"/>
          <w:lang w:val="en-US"/>
        </w:rPr>
        <w:t xml:space="preserve"> ending </w:t>
      </w:r>
      <w:r w:rsidR="005C14E0">
        <w:rPr>
          <w:rFonts w:ascii="Tahoma" w:hAnsi="Tahoma" w:cs="Tahoma"/>
          <w:sz w:val="24"/>
          <w:szCs w:val="24"/>
          <w:lang w:val="en-US"/>
        </w:rPr>
        <w:t>31</w:t>
      </w:r>
      <w:r w:rsidRPr="00DC5CBE">
        <w:rPr>
          <w:rFonts w:ascii="Tahoma" w:hAnsi="Tahoma" w:cs="Tahoma"/>
          <w:sz w:val="24"/>
          <w:szCs w:val="24"/>
          <w:lang w:val="en-US"/>
        </w:rPr>
        <w:t xml:space="preserve"> </w:t>
      </w:r>
      <w:r w:rsidR="005C14E0">
        <w:rPr>
          <w:rFonts w:ascii="Tahoma" w:hAnsi="Tahoma" w:cs="Tahoma"/>
          <w:sz w:val="24"/>
          <w:szCs w:val="24"/>
          <w:lang w:val="en-US"/>
        </w:rPr>
        <w:t>July</w:t>
      </w:r>
      <w:r w:rsidR="00CB78E8">
        <w:rPr>
          <w:rFonts w:ascii="Tahoma" w:hAnsi="Tahoma" w:cs="Tahoma"/>
          <w:sz w:val="24"/>
          <w:szCs w:val="24"/>
          <w:lang w:val="en-US"/>
        </w:rPr>
        <w:t xml:space="preserve"> </w:t>
      </w:r>
      <w:r w:rsidRPr="00DC5CBE">
        <w:rPr>
          <w:rFonts w:ascii="Tahoma" w:hAnsi="Tahoma" w:cs="Tahoma"/>
          <w:sz w:val="24"/>
          <w:szCs w:val="24"/>
          <w:lang w:val="en-US"/>
        </w:rPr>
        <w:t>202</w:t>
      </w:r>
      <w:r>
        <w:rPr>
          <w:rFonts w:ascii="Tahoma" w:hAnsi="Tahoma" w:cs="Tahoma"/>
          <w:sz w:val="24"/>
          <w:szCs w:val="24"/>
          <w:lang w:val="en-US"/>
        </w:rPr>
        <w:t>4</w:t>
      </w:r>
      <w:r w:rsidRPr="00DC5CBE">
        <w:rPr>
          <w:rFonts w:ascii="Tahoma" w:hAnsi="Tahoma" w:cs="Tahoma"/>
          <w:sz w:val="24"/>
          <w:szCs w:val="24"/>
          <w:lang w:val="en-US"/>
        </w:rPr>
        <w:t xml:space="preserve"> that include:</w:t>
      </w:r>
      <w:r w:rsidR="00193B40">
        <w:rPr>
          <w:rFonts w:ascii="Tahoma" w:hAnsi="Tahoma" w:cs="Tahoma"/>
          <w:sz w:val="24"/>
          <w:szCs w:val="24"/>
          <w:lang w:val="en-US"/>
        </w:rPr>
        <w:t xml:space="preserve"> World economic developments, international commodity prices,</w:t>
      </w:r>
      <w:r w:rsidRPr="00DC5CBE">
        <w:rPr>
          <w:rFonts w:ascii="Tahoma" w:hAnsi="Tahoma" w:cs="Tahoma"/>
          <w:sz w:val="24"/>
          <w:szCs w:val="24"/>
          <w:lang w:val="en-US"/>
        </w:rPr>
        <w:t xml:space="preserve"> Zimbabwe Gross Domestic Product (GDP) growth updates, merchandise trade developments, exchange rate developments, inflation developments, monetary development</w:t>
      </w:r>
      <w:r w:rsidR="00193B40">
        <w:rPr>
          <w:rFonts w:ascii="Tahoma" w:hAnsi="Tahoma" w:cs="Tahoma"/>
          <w:sz w:val="24"/>
          <w:szCs w:val="24"/>
          <w:lang w:val="en-US"/>
        </w:rPr>
        <w:t>s and stock market developments.</w:t>
      </w:r>
    </w:p>
    <w:p w14:paraId="1C6B3EBB"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The global economy is projected to experience a slight decline in growth from 3.3% in 2023 to 3.2% in 2024, according to the International Monetary Fund (IMF) July 2024 World Economic Outlook Update. Persistent geopolitical conflicts and the El Niño drought effects contribute to this slowdown. The outlook for 2025 anticipates a marginal recovery to 3.3% growth. Advanced economies, such as the United States and the Euro Area, exhibit mixed performance, with the U.S. expected to decelerate to 1.9% growth in 2025, while the Euro Area shows signs of improvement. Emerging markets and developing economies are projected to experience a slight decline in growth, with Sub-Saharan Africa seeing modest gains driven by Nigeria and South Africa.</w:t>
      </w:r>
    </w:p>
    <w:p w14:paraId="59524FD1"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Global inflation remains a challenge, with service sector inflation complicating efforts to normalize monetary policy. Advanced economies are expected to see a slow pace of disinflation in 2024 and 2025, while emerging markets will continue to face high inflation.</w:t>
      </w:r>
    </w:p>
    <w:p w14:paraId="45CCF47E"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International commodity prices showed a negative trend, with gold and cotton as exceptions, which gained by 5.13% and 7.01%, respectively, on a month-on-month basis. However, overall commodity prices fell due to the global economic slowdown, which has reduced demand for energy, mineral, and agricultural products.</w:t>
      </w:r>
    </w:p>
    <w:p w14:paraId="62CC715E"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In Zimbabwe, economic growth is projected at 2% in 2024, down from earlier projections of 3.5%. The decline is attributed to the El Niño-induced drought, low international commodity prices, and depressed global economic activity. Despite these challenges, the country recorded a current account surplus of US$19.2 million in the first half of 2024, supported by a 9.5% increase in foreign currency receipts, mainly driven by gold, agricultural exports, and diaspora remittances.</w:t>
      </w:r>
    </w:p>
    <w:p w14:paraId="58261D0E"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The Zimbabwean Gold (ZiG) currency depreciated against major currencies, with losses recorded on a month-on-month, year-to-date, and year-on-year basis. The trend of USD depreciation against the GBP, EUR, and ZAR can be linked to political uncertainties in the lead-up to the 2024 U.S. elections. Inflation in Zimbabwe remains on a deflationary path, with month-on-month inflation standing at -0.1% in July 2024, slightly up from -0.2% in June 2024.</w:t>
      </w:r>
    </w:p>
    <w:p w14:paraId="4935903B"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 xml:space="preserve">Money supply growth was recorded at 5.86% in May 2024, with broad money stock standing at ZWG41 billion. The stock market showed a bullish trend during July 2024, </w:t>
      </w:r>
      <w:r w:rsidRPr="00760CF6">
        <w:rPr>
          <w:rFonts w:ascii="Tahoma" w:eastAsia="Times New Roman" w:hAnsi="Tahoma" w:cs="Tahoma"/>
          <w:bCs/>
          <w:kern w:val="0"/>
          <w:sz w:val="24"/>
          <w:szCs w:val="24"/>
        </w:rPr>
        <w:lastRenderedPageBreak/>
        <w:t>with the Zimbabwe Stock Exchange and Victoria Falls Stock Exchange both registering gains in various indices and market capitalization.</w:t>
      </w:r>
    </w:p>
    <w:p w14:paraId="26EB01B9" w14:textId="77777777" w:rsidR="00760CF6" w:rsidRPr="00760CF6" w:rsidRDefault="00760CF6" w:rsidP="009D2C94">
      <w:pPr>
        <w:spacing w:line="276" w:lineRule="auto"/>
        <w:jc w:val="both"/>
        <w:rPr>
          <w:rFonts w:ascii="Tahoma" w:eastAsia="Times New Roman" w:hAnsi="Tahoma" w:cs="Tahoma"/>
          <w:bCs/>
          <w:kern w:val="0"/>
          <w:sz w:val="24"/>
          <w:szCs w:val="24"/>
        </w:rPr>
      </w:pPr>
      <w:r w:rsidRPr="00760CF6">
        <w:rPr>
          <w:rFonts w:ascii="Tahoma" w:eastAsia="Times New Roman" w:hAnsi="Tahoma" w:cs="Tahoma"/>
          <w:bCs/>
          <w:kern w:val="0"/>
          <w:sz w:val="24"/>
          <w:szCs w:val="24"/>
        </w:rPr>
        <w:t>Overall, Zimbabwe's economic outlook for 2024 is constrained by external shocks, including the El Niño drought and weak global demand for commodities, while some resilience is shown through trade and stock market performance.</w:t>
      </w:r>
    </w:p>
    <w:p w14:paraId="009507F3" w14:textId="77777777" w:rsidR="00760CF6" w:rsidRDefault="00760CF6">
      <w:pPr>
        <w:spacing w:after="0" w:line="240" w:lineRule="auto"/>
        <w:rPr>
          <w:rFonts w:ascii="Tahoma" w:eastAsia="Times New Roman" w:hAnsi="Tahoma" w:cs="Tahoma"/>
          <w:b/>
          <w:kern w:val="0"/>
          <w:sz w:val="24"/>
          <w:szCs w:val="24"/>
          <w:highlight w:val="yellow"/>
          <w:lang w:val="en-US"/>
        </w:rPr>
      </w:pPr>
      <w:r>
        <w:rPr>
          <w:rFonts w:cs="Tahoma"/>
          <w:szCs w:val="24"/>
          <w:highlight w:val="yellow"/>
        </w:rPr>
        <w:br w:type="page"/>
      </w:r>
    </w:p>
    <w:p w14:paraId="0CABA0B1" w14:textId="77777777" w:rsidR="00D46F37" w:rsidRPr="00AF6FB2" w:rsidRDefault="00D46F37" w:rsidP="00760CF6">
      <w:pPr>
        <w:pStyle w:val="TOCHeading"/>
        <w:spacing w:before="0" w:after="240"/>
      </w:pPr>
      <w:r w:rsidRPr="00AF6FB2">
        <w:lastRenderedPageBreak/>
        <w:t>Table of Contents</w:t>
      </w:r>
    </w:p>
    <w:p w14:paraId="19F30F18" w14:textId="6D516109" w:rsidR="00760CF6" w:rsidRPr="009D2C94" w:rsidRDefault="00D46F37">
      <w:pPr>
        <w:pStyle w:val="TOC1"/>
        <w:tabs>
          <w:tab w:val="right" w:leader="dot" w:pos="9016"/>
        </w:tabs>
        <w:rPr>
          <w:rFonts w:ascii="Tahoma" w:eastAsiaTheme="minorEastAsia" w:hAnsi="Tahoma" w:cs="Tahoma"/>
          <w:noProof/>
          <w:sz w:val="24"/>
          <w:szCs w:val="24"/>
          <w:lang w:eastAsia="en-ZW"/>
          <w14:ligatures w14:val="standardContextual"/>
        </w:rPr>
      </w:pPr>
      <w:r w:rsidRPr="009D2C94">
        <w:rPr>
          <w:rFonts w:ascii="Tahoma" w:hAnsi="Tahoma" w:cs="Tahoma"/>
          <w:sz w:val="24"/>
          <w:szCs w:val="24"/>
        </w:rPr>
        <w:fldChar w:fldCharType="begin"/>
      </w:r>
      <w:r w:rsidRPr="009D2C94">
        <w:rPr>
          <w:rFonts w:ascii="Tahoma" w:hAnsi="Tahoma" w:cs="Tahoma"/>
          <w:sz w:val="24"/>
          <w:szCs w:val="24"/>
        </w:rPr>
        <w:instrText xml:space="preserve"> TOC \o "1-3" \h \z \u </w:instrText>
      </w:r>
      <w:r w:rsidRPr="009D2C94">
        <w:rPr>
          <w:rFonts w:ascii="Tahoma" w:hAnsi="Tahoma" w:cs="Tahoma"/>
          <w:sz w:val="24"/>
          <w:szCs w:val="24"/>
        </w:rPr>
        <w:fldChar w:fldCharType="separate"/>
      </w:r>
      <w:hyperlink w:anchor="_Toc175829606" w:history="1">
        <w:r w:rsidR="00760CF6" w:rsidRPr="009D2C94">
          <w:rPr>
            <w:rStyle w:val="Hyperlink"/>
            <w:rFonts w:ascii="Tahoma" w:hAnsi="Tahoma" w:cs="Tahoma"/>
            <w:noProof/>
            <w:sz w:val="24"/>
            <w:szCs w:val="24"/>
            <w:lang w:val="en-US"/>
          </w:rPr>
          <w:t>Executive Summary</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_Toc175829606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i</w:t>
        </w:r>
        <w:r w:rsidR="00760CF6" w:rsidRPr="009D2C94">
          <w:rPr>
            <w:rFonts w:ascii="Tahoma" w:hAnsi="Tahoma" w:cs="Tahoma"/>
            <w:noProof/>
            <w:webHidden/>
            <w:sz w:val="24"/>
            <w:szCs w:val="24"/>
          </w:rPr>
          <w:fldChar w:fldCharType="end"/>
        </w:r>
      </w:hyperlink>
    </w:p>
    <w:p w14:paraId="1C96D85F" w14:textId="02190C0E"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07" w:history="1">
        <w:r w:rsidR="00760CF6" w:rsidRPr="009D2C94">
          <w:rPr>
            <w:rStyle w:val="Hyperlink"/>
            <w:rFonts w:ascii="Tahoma" w:hAnsi="Tahoma" w:cs="Tahoma"/>
            <w:noProof/>
            <w:sz w:val="24"/>
            <w:szCs w:val="24"/>
            <w:lang w:val="en-US"/>
          </w:rPr>
          <w:t>1.0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World Economic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_Toc175829607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1</w:t>
        </w:r>
        <w:r w:rsidR="00760CF6" w:rsidRPr="009D2C94">
          <w:rPr>
            <w:rFonts w:ascii="Tahoma" w:hAnsi="Tahoma" w:cs="Tahoma"/>
            <w:noProof/>
            <w:webHidden/>
            <w:sz w:val="24"/>
            <w:szCs w:val="24"/>
          </w:rPr>
          <w:fldChar w:fldCharType="end"/>
        </w:r>
      </w:hyperlink>
    </w:p>
    <w:p w14:paraId="61F78761" w14:textId="68ED0278" w:rsidR="00760CF6" w:rsidRPr="009D2C94" w:rsidRDefault="00000000">
      <w:pPr>
        <w:pStyle w:val="TOC2"/>
        <w:rPr>
          <w:rFonts w:eastAsiaTheme="minorEastAsia"/>
          <w:b w:val="0"/>
          <w:lang w:val="en-ZW" w:eastAsia="en-ZW"/>
          <w14:ligatures w14:val="standardContextual"/>
        </w:rPr>
      </w:pPr>
      <w:hyperlink w:anchor="_Toc175829608" w:history="1">
        <w:r w:rsidR="00760CF6" w:rsidRPr="009D2C94">
          <w:rPr>
            <w:rStyle w:val="Hyperlink"/>
            <w:b w:val="0"/>
          </w:rPr>
          <w:t xml:space="preserve">1.1 </w:t>
        </w:r>
        <w:r w:rsidR="00760CF6" w:rsidRPr="009D2C94">
          <w:rPr>
            <w:rFonts w:eastAsiaTheme="minorEastAsia"/>
            <w:b w:val="0"/>
            <w:lang w:val="en-ZW" w:eastAsia="en-ZW"/>
            <w14:ligatures w14:val="standardContextual"/>
          </w:rPr>
          <w:tab/>
        </w:r>
        <w:r w:rsidR="00760CF6" w:rsidRPr="009D2C94">
          <w:rPr>
            <w:rStyle w:val="Hyperlink"/>
            <w:b w:val="0"/>
          </w:rPr>
          <w:t>World Output</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_Toc175829608 \h </w:instrText>
        </w:r>
        <w:r w:rsidR="00760CF6" w:rsidRPr="009D2C94">
          <w:rPr>
            <w:b w:val="0"/>
            <w:webHidden/>
          </w:rPr>
        </w:r>
        <w:r w:rsidR="00760CF6" w:rsidRPr="009D2C94">
          <w:rPr>
            <w:b w:val="0"/>
            <w:webHidden/>
          </w:rPr>
          <w:fldChar w:fldCharType="separate"/>
        </w:r>
        <w:r w:rsidR="00760CF6" w:rsidRPr="009D2C94">
          <w:rPr>
            <w:b w:val="0"/>
            <w:webHidden/>
          </w:rPr>
          <w:t>1</w:t>
        </w:r>
        <w:r w:rsidR="00760CF6" w:rsidRPr="009D2C94">
          <w:rPr>
            <w:b w:val="0"/>
            <w:webHidden/>
          </w:rPr>
          <w:fldChar w:fldCharType="end"/>
        </w:r>
      </w:hyperlink>
    </w:p>
    <w:p w14:paraId="70119064" w14:textId="2B47C7E1" w:rsidR="00760CF6" w:rsidRPr="009D2C94" w:rsidRDefault="00000000">
      <w:pPr>
        <w:pStyle w:val="TOC2"/>
        <w:rPr>
          <w:rFonts w:eastAsiaTheme="minorEastAsia"/>
          <w:b w:val="0"/>
          <w:lang w:val="en-ZW" w:eastAsia="en-ZW"/>
          <w14:ligatures w14:val="standardContextual"/>
        </w:rPr>
      </w:pPr>
      <w:hyperlink w:anchor="_Toc175829609" w:history="1">
        <w:r w:rsidR="00760CF6" w:rsidRPr="009D2C94">
          <w:rPr>
            <w:rStyle w:val="Hyperlink"/>
            <w:b w:val="0"/>
          </w:rPr>
          <w:t>1.2</w:t>
        </w:r>
        <w:r w:rsidR="00760CF6" w:rsidRPr="009D2C94">
          <w:rPr>
            <w:rFonts w:eastAsiaTheme="minorEastAsia"/>
            <w:b w:val="0"/>
            <w:lang w:val="en-ZW" w:eastAsia="en-ZW"/>
            <w14:ligatures w14:val="standardContextual"/>
          </w:rPr>
          <w:tab/>
        </w:r>
        <w:r w:rsidR="00760CF6" w:rsidRPr="009D2C94">
          <w:rPr>
            <w:rStyle w:val="Hyperlink"/>
            <w:b w:val="0"/>
          </w:rPr>
          <w:t>Global Inflation Developments</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_Toc175829609 \h </w:instrText>
        </w:r>
        <w:r w:rsidR="00760CF6" w:rsidRPr="009D2C94">
          <w:rPr>
            <w:b w:val="0"/>
            <w:webHidden/>
          </w:rPr>
        </w:r>
        <w:r w:rsidR="00760CF6" w:rsidRPr="009D2C94">
          <w:rPr>
            <w:b w:val="0"/>
            <w:webHidden/>
          </w:rPr>
          <w:fldChar w:fldCharType="separate"/>
        </w:r>
        <w:r w:rsidR="00760CF6" w:rsidRPr="009D2C94">
          <w:rPr>
            <w:b w:val="0"/>
            <w:webHidden/>
          </w:rPr>
          <w:t>1</w:t>
        </w:r>
        <w:r w:rsidR="00760CF6" w:rsidRPr="009D2C94">
          <w:rPr>
            <w:b w:val="0"/>
            <w:webHidden/>
          </w:rPr>
          <w:fldChar w:fldCharType="end"/>
        </w:r>
      </w:hyperlink>
    </w:p>
    <w:p w14:paraId="6CDD4BB4" w14:textId="2B2BA550" w:rsidR="00760CF6" w:rsidRPr="009D2C94" w:rsidRDefault="00000000">
      <w:pPr>
        <w:pStyle w:val="TOC2"/>
        <w:rPr>
          <w:rFonts w:eastAsiaTheme="minorEastAsia"/>
          <w:b w:val="0"/>
          <w:lang w:val="en-ZW" w:eastAsia="en-ZW"/>
          <w14:ligatures w14:val="standardContextual"/>
        </w:rPr>
      </w:pPr>
      <w:hyperlink w:anchor="_Toc175829610" w:history="1">
        <w:r w:rsidR="00760CF6" w:rsidRPr="009D2C94">
          <w:rPr>
            <w:rStyle w:val="Hyperlink"/>
            <w:b w:val="0"/>
          </w:rPr>
          <w:t>2.0</w:t>
        </w:r>
        <w:r w:rsidR="00760CF6" w:rsidRPr="009D2C94">
          <w:rPr>
            <w:rFonts w:eastAsiaTheme="minorEastAsia"/>
            <w:b w:val="0"/>
            <w:lang w:val="en-ZW" w:eastAsia="en-ZW"/>
            <w14:ligatures w14:val="standardContextual"/>
          </w:rPr>
          <w:tab/>
        </w:r>
        <w:r w:rsidR="00760CF6" w:rsidRPr="009D2C94">
          <w:rPr>
            <w:rStyle w:val="Hyperlink"/>
            <w:b w:val="0"/>
          </w:rPr>
          <w:t>International Commodity Prices</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_Toc175829610 \h </w:instrText>
        </w:r>
        <w:r w:rsidR="00760CF6" w:rsidRPr="009D2C94">
          <w:rPr>
            <w:b w:val="0"/>
            <w:webHidden/>
          </w:rPr>
        </w:r>
        <w:r w:rsidR="00760CF6" w:rsidRPr="009D2C94">
          <w:rPr>
            <w:b w:val="0"/>
            <w:webHidden/>
          </w:rPr>
          <w:fldChar w:fldCharType="separate"/>
        </w:r>
        <w:r w:rsidR="00760CF6" w:rsidRPr="009D2C94">
          <w:rPr>
            <w:b w:val="0"/>
            <w:webHidden/>
          </w:rPr>
          <w:t>2</w:t>
        </w:r>
        <w:r w:rsidR="00760CF6" w:rsidRPr="009D2C94">
          <w:rPr>
            <w:b w:val="0"/>
            <w:webHidden/>
          </w:rPr>
          <w:fldChar w:fldCharType="end"/>
        </w:r>
      </w:hyperlink>
    </w:p>
    <w:p w14:paraId="00AE3081" w14:textId="7F8EF3DF"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1" w:history="1">
        <w:r w:rsidR="00760CF6" w:rsidRPr="009D2C94">
          <w:rPr>
            <w:rStyle w:val="Hyperlink"/>
            <w:rFonts w:ascii="Tahoma" w:hAnsi="Tahoma" w:cs="Tahoma"/>
            <w:noProof/>
            <w:sz w:val="24"/>
            <w:szCs w:val="24"/>
            <w:lang w:val="en-US"/>
          </w:rPr>
          <w:t>3.0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Zimbabwe GDP Growth Update</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_Toc175829611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2</w:t>
        </w:r>
        <w:r w:rsidR="00760CF6" w:rsidRPr="009D2C94">
          <w:rPr>
            <w:rFonts w:ascii="Tahoma" w:hAnsi="Tahoma" w:cs="Tahoma"/>
            <w:noProof/>
            <w:webHidden/>
            <w:sz w:val="24"/>
            <w:szCs w:val="24"/>
          </w:rPr>
          <w:fldChar w:fldCharType="end"/>
        </w:r>
      </w:hyperlink>
    </w:p>
    <w:p w14:paraId="35877EEF" w14:textId="2B43B616"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2" w:history="1">
        <w:r w:rsidR="00760CF6" w:rsidRPr="009D2C94">
          <w:rPr>
            <w:rStyle w:val="Hyperlink"/>
            <w:rFonts w:ascii="Tahoma" w:hAnsi="Tahoma" w:cs="Tahoma"/>
            <w:noProof/>
            <w:sz w:val="24"/>
            <w:szCs w:val="24"/>
            <w:lang w:val="en-US"/>
          </w:rPr>
          <w:t>4.0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Merchandise Trade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_Toc175829612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3</w:t>
        </w:r>
        <w:r w:rsidR="00760CF6" w:rsidRPr="009D2C94">
          <w:rPr>
            <w:rFonts w:ascii="Tahoma" w:hAnsi="Tahoma" w:cs="Tahoma"/>
            <w:noProof/>
            <w:webHidden/>
            <w:sz w:val="24"/>
            <w:szCs w:val="24"/>
          </w:rPr>
          <w:fldChar w:fldCharType="end"/>
        </w:r>
      </w:hyperlink>
    </w:p>
    <w:p w14:paraId="2A1D67E6" w14:textId="2EDCF8DC"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3" w:history="1">
        <w:r w:rsidR="00760CF6" w:rsidRPr="009D2C94">
          <w:rPr>
            <w:rStyle w:val="Hyperlink"/>
            <w:rFonts w:ascii="Tahoma" w:hAnsi="Tahoma" w:cs="Tahoma"/>
            <w:noProof/>
            <w:sz w:val="24"/>
            <w:szCs w:val="24"/>
            <w:lang w:val="en-US"/>
          </w:rPr>
          <w:t>5.0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Exchange Rate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_Toc175829613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3</w:t>
        </w:r>
        <w:r w:rsidR="00760CF6" w:rsidRPr="009D2C94">
          <w:rPr>
            <w:rFonts w:ascii="Tahoma" w:hAnsi="Tahoma" w:cs="Tahoma"/>
            <w:noProof/>
            <w:webHidden/>
            <w:sz w:val="24"/>
            <w:szCs w:val="24"/>
          </w:rPr>
          <w:fldChar w:fldCharType="end"/>
        </w:r>
      </w:hyperlink>
    </w:p>
    <w:p w14:paraId="4527B606" w14:textId="3E6544C2" w:rsidR="00760CF6" w:rsidRPr="009D2C94" w:rsidRDefault="00000000">
      <w:pPr>
        <w:pStyle w:val="TOC2"/>
        <w:rPr>
          <w:rFonts w:eastAsiaTheme="minorEastAsia"/>
          <w:b w:val="0"/>
          <w:lang w:val="en-ZW" w:eastAsia="en-ZW"/>
          <w14:ligatures w14:val="standardContextual"/>
        </w:rPr>
      </w:pPr>
      <w:hyperlink w:anchor="_Toc175829614" w:history="1">
        <w:r w:rsidR="00760CF6" w:rsidRPr="009D2C94">
          <w:rPr>
            <w:rStyle w:val="Hyperlink"/>
            <w:b w:val="0"/>
          </w:rPr>
          <w:t>5.1</w:t>
        </w:r>
        <w:r w:rsidR="00760CF6" w:rsidRPr="009D2C94">
          <w:rPr>
            <w:rFonts w:eastAsiaTheme="minorEastAsia"/>
            <w:b w:val="0"/>
            <w:lang w:val="en-ZW" w:eastAsia="en-ZW"/>
            <w14:ligatures w14:val="standardContextual"/>
          </w:rPr>
          <w:tab/>
        </w:r>
        <w:r w:rsidR="00760CF6" w:rsidRPr="009D2C94">
          <w:rPr>
            <w:rStyle w:val="Hyperlink"/>
            <w:b w:val="0"/>
          </w:rPr>
          <w:t>Zimbabwean Dollar Exchange Rate Developments</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_Toc175829614 \h </w:instrText>
        </w:r>
        <w:r w:rsidR="00760CF6" w:rsidRPr="009D2C94">
          <w:rPr>
            <w:b w:val="0"/>
            <w:webHidden/>
          </w:rPr>
        </w:r>
        <w:r w:rsidR="00760CF6" w:rsidRPr="009D2C94">
          <w:rPr>
            <w:b w:val="0"/>
            <w:webHidden/>
          </w:rPr>
          <w:fldChar w:fldCharType="separate"/>
        </w:r>
        <w:r w:rsidR="00760CF6" w:rsidRPr="009D2C94">
          <w:rPr>
            <w:b w:val="0"/>
            <w:webHidden/>
          </w:rPr>
          <w:t>3</w:t>
        </w:r>
        <w:r w:rsidR="00760CF6" w:rsidRPr="009D2C94">
          <w:rPr>
            <w:b w:val="0"/>
            <w:webHidden/>
          </w:rPr>
          <w:fldChar w:fldCharType="end"/>
        </w:r>
      </w:hyperlink>
    </w:p>
    <w:p w14:paraId="1F7EEB5C" w14:textId="118FA5C3" w:rsidR="00760CF6" w:rsidRPr="009D2C94" w:rsidRDefault="00000000">
      <w:pPr>
        <w:pStyle w:val="TOC2"/>
        <w:rPr>
          <w:rFonts w:eastAsiaTheme="minorEastAsia"/>
          <w:b w:val="0"/>
          <w:lang w:val="en-ZW" w:eastAsia="en-ZW"/>
          <w14:ligatures w14:val="standardContextual"/>
        </w:rPr>
      </w:pPr>
      <w:hyperlink w:anchor="_Toc175829615" w:history="1">
        <w:r w:rsidR="00760CF6" w:rsidRPr="009D2C94">
          <w:rPr>
            <w:rStyle w:val="Hyperlink"/>
            <w:b w:val="0"/>
          </w:rPr>
          <w:t>5.2</w:t>
        </w:r>
        <w:r w:rsidR="00760CF6" w:rsidRPr="009D2C94">
          <w:rPr>
            <w:rFonts w:eastAsiaTheme="minorEastAsia"/>
            <w:b w:val="0"/>
            <w:lang w:val="en-ZW" w:eastAsia="en-ZW"/>
            <w14:ligatures w14:val="standardContextual"/>
          </w:rPr>
          <w:tab/>
        </w:r>
        <w:r w:rsidR="00760CF6" w:rsidRPr="009D2C94">
          <w:rPr>
            <w:rStyle w:val="Hyperlink"/>
            <w:b w:val="0"/>
          </w:rPr>
          <w:t>Cross Rate Developments</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_Toc175829615 \h </w:instrText>
        </w:r>
        <w:r w:rsidR="00760CF6" w:rsidRPr="009D2C94">
          <w:rPr>
            <w:b w:val="0"/>
            <w:webHidden/>
          </w:rPr>
        </w:r>
        <w:r w:rsidR="00760CF6" w:rsidRPr="009D2C94">
          <w:rPr>
            <w:b w:val="0"/>
            <w:webHidden/>
          </w:rPr>
          <w:fldChar w:fldCharType="separate"/>
        </w:r>
        <w:r w:rsidR="00760CF6" w:rsidRPr="009D2C94">
          <w:rPr>
            <w:b w:val="0"/>
            <w:webHidden/>
          </w:rPr>
          <w:t>4</w:t>
        </w:r>
        <w:r w:rsidR="00760CF6" w:rsidRPr="009D2C94">
          <w:rPr>
            <w:b w:val="0"/>
            <w:webHidden/>
          </w:rPr>
          <w:fldChar w:fldCharType="end"/>
        </w:r>
      </w:hyperlink>
    </w:p>
    <w:p w14:paraId="6317E077" w14:textId="594276E8"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6" w:history="1">
        <w:r w:rsidR="00760CF6" w:rsidRPr="009D2C94">
          <w:rPr>
            <w:rStyle w:val="Hyperlink"/>
            <w:rFonts w:ascii="Tahoma" w:hAnsi="Tahoma" w:cs="Tahoma"/>
            <w:noProof/>
            <w:sz w:val="24"/>
            <w:szCs w:val="24"/>
            <w:lang w:val="en-US"/>
          </w:rPr>
          <w:t>6.0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Inflation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_Toc175829616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4</w:t>
        </w:r>
        <w:r w:rsidR="00760CF6" w:rsidRPr="009D2C94">
          <w:rPr>
            <w:rFonts w:ascii="Tahoma" w:hAnsi="Tahoma" w:cs="Tahoma"/>
            <w:noProof/>
            <w:webHidden/>
            <w:sz w:val="24"/>
            <w:szCs w:val="24"/>
          </w:rPr>
          <w:fldChar w:fldCharType="end"/>
        </w:r>
      </w:hyperlink>
    </w:p>
    <w:p w14:paraId="260B3057" w14:textId="0143495F"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7" w:history="1">
        <w:r w:rsidR="00760CF6" w:rsidRPr="009D2C94">
          <w:rPr>
            <w:rStyle w:val="Hyperlink"/>
            <w:rFonts w:ascii="Tahoma" w:hAnsi="Tahoma" w:cs="Tahoma"/>
            <w:noProof/>
            <w:sz w:val="24"/>
            <w:szCs w:val="24"/>
            <w:lang w:val="en-US"/>
          </w:rPr>
          <w:t>7.0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Monetary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_Toc175829617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5</w:t>
        </w:r>
        <w:r w:rsidR="00760CF6" w:rsidRPr="009D2C94">
          <w:rPr>
            <w:rFonts w:ascii="Tahoma" w:hAnsi="Tahoma" w:cs="Tahoma"/>
            <w:noProof/>
            <w:webHidden/>
            <w:sz w:val="24"/>
            <w:szCs w:val="24"/>
          </w:rPr>
          <w:fldChar w:fldCharType="end"/>
        </w:r>
      </w:hyperlink>
    </w:p>
    <w:p w14:paraId="164A3DCB" w14:textId="2C9DC0AD" w:rsidR="00760CF6" w:rsidRPr="009D2C94" w:rsidRDefault="00000000">
      <w:pPr>
        <w:pStyle w:val="TOC2"/>
        <w:rPr>
          <w:rFonts w:eastAsiaTheme="minorEastAsia"/>
          <w:b w:val="0"/>
          <w:lang w:val="en-ZW" w:eastAsia="en-ZW"/>
          <w14:ligatures w14:val="standardContextual"/>
        </w:rPr>
      </w:pPr>
      <w:hyperlink w:anchor="_Toc175829618" w:history="1">
        <w:r w:rsidR="00760CF6" w:rsidRPr="009D2C94">
          <w:rPr>
            <w:rStyle w:val="Hyperlink"/>
            <w:b w:val="0"/>
          </w:rPr>
          <w:t>7.1</w:t>
        </w:r>
        <w:r w:rsidR="00760CF6" w:rsidRPr="009D2C94">
          <w:rPr>
            <w:rFonts w:eastAsiaTheme="minorEastAsia"/>
            <w:b w:val="0"/>
            <w:lang w:val="en-ZW" w:eastAsia="en-ZW"/>
            <w14:ligatures w14:val="standardContextual"/>
          </w:rPr>
          <w:tab/>
        </w:r>
        <w:r w:rsidR="00760CF6" w:rsidRPr="009D2C94">
          <w:rPr>
            <w:rStyle w:val="Hyperlink"/>
            <w:b w:val="0"/>
          </w:rPr>
          <w:t>Money Supply and Interest Rates</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_Toc175829618 \h </w:instrText>
        </w:r>
        <w:r w:rsidR="00760CF6" w:rsidRPr="009D2C94">
          <w:rPr>
            <w:b w:val="0"/>
            <w:webHidden/>
          </w:rPr>
        </w:r>
        <w:r w:rsidR="00760CF6" w:rsidRPr="009D2C94">
          <w:rPr>
            <w:b w:val="0"/>
            <w:webHidden/>
          </w:rPr>
          <w:fldChar w:fldCharType="separate"/>
        </w:r>
        <w:r w:rsidR="00760CF6" w:rsidRPr="009D2C94">
          <w:rPr>
            <w:b w:val="0"/>
            <w:webHidden/>
          </w:rPr>
          <w:t>5</w:t>
        </w:r>
        <w:r w:rsidR="00760CF6" w:rsidRPr="009D2C94">
          <w:rPr>
            <w:b w:val="0"/>
            <w:webHidden/>
          </w:rPr>
          <w:fldChar w:fldCharType="end"/>
        </w:r>
      </w:hyperlink>
    </w:p>
    <w:p w14:paraId="39315376" w14:textId="583E94F3"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19" w:history="1">
        <w:r w:rsidR="00760CF6" w:rsidRPr="009D2C94">
          <w:rPr>
            <w:rStyle w:val="Hyperlink"/>
            <w:rFonts w:ascii="Tahoma" w:hAnsi="Tahoma" w:cs="Tahoma"/>
            <w:noProof/>
            <w:sz w:val="24"/>
            <w:szCs w:val="24"/>
            <w:lang w:val="en-US"/>
          </w:rPr>
          <w:t>8.0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Stock Market Developments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_Toc175829619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6</w:t>
        </w:r>
        <w:r w:rsidR="00760CF6" w:rsidRPr="009D2C94">
          <w:rPr>
            <w:rFonts w:ascii="Tahoma" w:hAnsi="Tahoma" w:cs="Tahoma"/>
            <w:noProof/>
            <w:webHidden/>
            <w:sz w:val="24"/>
            <w:szCs w:val="24"/>
          </w:rPr>
          <w:fldChar w:fldCharType="end"/>
        </w:r>
      </w:hyperlink>
    </w:p>
    <w:p w14:paraId="345BB0FB" w14:textId="370ACCB6" w:rsidR="00760CF6" w:rsidRPr="009D2C94" w:rsidRDefault="00000000">
      <w:pPr>
        <w:pStyle w:val="TOC2"/>
        <w:rPr>
          <w:rFonts w:eastAsiaTheme="minorEastAsia"/>
          <w:b w:val="0"/>
          <w:lang w:val="en-ZW" w:eastAsia="en-ZW"/>
          <w14:ligatures w14:val="standardContextual"/>
        </w:rPr>
      </w:pPr>
      <w:hyperlink w:anchor="_Toc175829620" w:history="1">
        <w:r w:rsidR="00760CF6" w:rsidRPr="009D2C94">
          <w:rPr>
            <w:rStyle w:val="Hyperlink"/>
            <w:b w:val="0"/>
          </w:rPr>
          <w:t>8.1</w:t>
        </w:r>
        <w:r w:rsidR="00760CF6" w:rsidRPr="009D2C94">
          <w:rPr>
            <w:rFonts w:eastAsiaTheme="minorEastAsia"/>
            <w:b w:val="0"/>
            <w:lang w:val="en-ZW" w:eastAsia="en-ZW"/>
            <w14:ligatures w14:val="standardContextual"/>
          </w:rPr>
          <w:tab/>
        </w:r>
        <w:r w:rsidR="00760CF6" w:rsidRPr="009D2C94">
          <w:rPr>
            <w:rStyle w:val="Hyperlink"/>
            <w:b w:val="0"/>
          </w:rPr>
          <w:t>Zimbabwe Stock Exchange</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_Toc175829620 \h </w:instrText>
        </w:r>
        <w:r w:rsidR="00760CF6" w:rsidRPr="009D2C94">
          <w:rPr>
            <w:b w:val="0"/>
            <w:webHidden/>
          </w:rPr>
        </w:r>
        <w:r w:rsidR="00760CF6" w:rsidRPr="009D2C94">
          <w:rPr>
            <w:b w:val="0"/>
            <w:webHidden/>
          </w:rPr>
          <w:fldChar w:fldCharType="separate"/>
        </w:r>
        <w:r w:rsidR="00760CF6" w:rsidRPr="009D2C94">
          <w:rPr>
            <w:b w:val="0"/>
            <w:webHidden/>
          </w:rPr>
          <w:t>6</w:t>
        </w:r>
        <w:r w:rsidR="00760CF6" w:rsidRPr="009D2C94">
          <w:rPr>
            <w:b w:val="0"/>
            <w:webHidden/>
          </w:rPr>
          <w:fldChar w:fldCharType="end"/>
        </w:r>
      </w:hyperlink>
    </w:p>
    <w:p w14:paraId="3CA1623A" w14:textId="133B667A" w:rsidR="00760CF6" w:rsidRPr="009D2C94" w:rsidRDefault="00000000">
      <w:pPr>
        <w:pStyle w:val="TOC2"/>
        <w:rPr>
          <w:rFonts w:eastAsiaTheme="minorEastAsia"/>
          <w:b w:val="0"/>
          <w:lang w:val="en-ZW" w:eastAsia="en-ZW"/>
          <w14:ligatures w14:val="standardContextual"/>
        </w:rPr>
      </w:pPr>
      <w:hyperlink w:anchor="_Toc175829621" w:history="1">
        <w:r w:rsidR="00760CF6" w:rsidRPr="009D2C94">
          <w:rPr>
            <w:rStyle w:val="Hyperlink"/>
            <w:b w:val="0"/>
          </w:rPr>
          <w:t>8.2</w:t>
        </w:r>
        <w:r w:rsidR="00760CF6" w:rsidRPr="009D2C94">
          <w:rPr>
            <w:rFonts w:eastAsiaTheme="minorEastAsia"/>
            <w:b w:val="0"/>
            <w:lang w:val="en-ZW" w:eastAsia="en-ZW"/>
            <w14:ligatures w14:val="standardContextual"/>
          </w:rPr>
          <w:tab/>
        </w:r>
        <w:r w:rsidR="00760CF6" w:rsidRPr="009D2C94">
          <w:rPr>
            <w:rStyle w:val="Hyperlink"/>
            <w:b w:val="0"/>
          </w:rPr>
          <w:t>Victoria Falls Stock Exchange</w:t>
        </w:r>
        <w:r w:rsidR="00760CF6" w:rsidRPr="009D2C94">
          <w:rPr>
            <w:b w:val="0"/>
            <w:webHidden/>
          </w:rPr>
          <w:tab/>
        </w:r>
        <w:r w:rsidR="00760CF6" w:rsidRPr="009D2C94">
          <w:rPr>
            <w:b w:val="0"/>
            <w:webHidden/>
          </w:rPr>
          <w:fldChar w:fldCharType="begin"/>
        </w:r>
        <w:r w:rsidR="00760CF6" w:rsidRPr="009D2C94">
          <w:rPr>
            <w:b w:val="0"/>
            <w:webHidden/>
          </w:rPr>
          <w:instrText xml:space="preserve"> PAGEREF _Toc175829621 \h </w:instrText>
        </w:r>
        <w:r w:rsidR="00760CF6" w:rsidRPr="009D2C94">
          <w:rPr>
            <w:b w:val="0"/>
            <w:webHidden/>
          </w:rPr>
        </w:r>
        <w:r w:rsidR="00760CF6" w:rsidRPr="009D2C94">
          <w:rPr>
            <w:b w:val="0"/>
            <w:webHidden/>
          </w:rPr>
          <w:fldChar w:fldCharType="separate"/>
        </w:r>
        <w:r w:rsidR="00760CF6" w:rsidRPr="009D2C94">
          <w:rPr>
            <w:b w:val="0"/>
            <w:webHidden/>
          </w:rPr>
          <w:t>7</w:t>
        </w:r>
        <w:r w:rsidR="00760CF6" w:rsidRPr="009D2C94">
          <w:rPr>
            <w:b w:val="0"/>
            <w:webHidden/>
          </w:rPr>
          <w:fldChar w:fldCharType="end"/>
        </w:r>
      </w:hyperlink>
    </w:p>
    <w:p w14:paraId="16422B22" w14:textId="0319372C" w:rsidR="00760CF6" w:rsidRPr="009D2C94" w:rsidRDefault="00000000">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75829622" w:history="1">
        <w:r w:rsidR="00760CF6" w:rsidRPr="009D2C94">
          <w:rPr>
            <w:rStyle w:val="Hyperlink"/>
            <w:rFonts w:ascii="Tahoma" w:hAnsi="Tahoma" w:cs="Tahoma"/>
            <w:noProof/>
            <w:sz w:val="24"/>
            <w:szCs w:val="24"/>
            <w:lang w:val="en-US"/>
          </w:rPr>
          <w:t>9.0</w:t>
        </w:r>
        <w:r w:rsidR="00760CF6" w:rsidRPr="009D2C94">
          <w:rPr>
            <w:rFonts w:ascii="Tahoma" w:eastAsiaTheme="minorEastAsia" w:hAnsi="Tahoma" w:cs="Tahoma"/>
            <w:noProof/>
            <w:sz w:val="24"/>
            <w:szCs w:val="24"/>
            <w:lang w:eastAsia="en-ZW"/>
            <w14:ligatures w14:val="standardContextual"/>
          </w:rPr>
          <w:tab/>
        </w:r>
        <w:r w:rsidR="00760CF6" w:rsidRPr="009D2C94">
          <w:rPr>
            <w:rStyle w:val="Hyperlink"/>
            <w:rFonts w:ascii="Tahoma" w:hAnsi="Tahoma" w:cs="Tahoma"/>
            <w:noProof/>
            <w:sz w:val="24"/>
            <w:szCs w:val="24"/>
            <w:lang w:val="en-US"/>
          </w:rPr>
          <w:t>Recommendations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_Toc175829622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7</w:t>
        </w:r>
        <w:r w:rsidR="00760CF6" w:rsidRPr="009D2C94">
          <w:rPr>
            <w:rFonts w:ascii="Tahoma" w:hAnsi="Tahoma" w:cs="Tahoma"/>
            <w:noProof/>
            <w:webHidden/>
            <w:sz w:val="24"/>
            <w:szCs w:val="24"/>
          </w:rPr>
          <w:fldChar w:fldCharType="end"/>
        </w:r>
      </w:hyperlink>
    </w:p>
    <w:p w14:paraId="037D6596" w14:textId="5C5A9118" w:rsidR="00760CF6" w:rsidRPr="009D2C94" w:rsidRDefault="00000000">
      <w:pPr>
        <w:pStyle w:val="TOC1"/>
        <w:tabs>
          <w:tab w:val="right" w:leader="dot" w:pos="9016"/>
        </w:tabs>
        <w:rPr>
          <w:rFonts w:ascii="Tahoma" w:eastAsiaTheme="minorEastAsia" w:hAnsi="Tahoma" w:cs="Tahoma"/>
          <w:noProof/>
          <w:sz w:val="24"/>
          <w:szCs w:val="24"/>
          <w:lang w:eastAsia="en-ZW"/>
          <w14:ligatures w14:val="standardContextual"/>
        </w:rPr>
      </w:pPr>
      <w:hyperlink w:anchor="_Toc175829623" w:history="1">
        <w:r w:rsidR="00760CF6" w:rsidRPr="009D2C94">
          <w:rPr>
            <w:rStyle w:val="Hyperlink"/>
            <w:rFonts w:ascii="Tahoma" w:hAnsi="Tahoma" w:cs="Tahoma"/>
            <w:noProof/>
            <w:sz w:val="24"/>
            <w:szCs w:val="24"/>
          </w:rPr>
          <w:t>10.0 References</w:t>
        </w:r>
        <w:r w:rsidR="00760CF6" w:rsidRPr="009D2C94">
          <w:rPr>
            <w:rFonts w:ascii="Tahoma" w:hAnsi="Tahoma" w:cs="Tahoma"/>
            <w:noProof/>
            <w:webHidden/>
            <w:sz w:val="24"/>
            <w:szCs w:val="24"/>
          </w:rPr>
          <w:tab/>
        </w:r>
        <w:r w:rsidR="00760CF6" w:rsidRPr="009D2C94">
          <w:rPr>
            <w:rFonts w:ascii="Tahoma" w:hAnsi="Tahoma" w:cs="Tahoma"/>
            <w:noProof/>
            <w:webHidden/>
            <w:sz w:val="24"/>
            <w:szCs w:val="24"/>
          </w:rPr>
          <w:fldChar w:fldCharType="begin"/>
        </w:r>
        <w:r w:rsidR="00760CF6" w:rsidRPr="009D2C94">
          <w:rPr>
            <w:rFonts w:ascii="Tahoma" w:hAnsi="Tahoma" w:cs="Tahoma"/>
            <w:noProof/>
            <w:webHidden/>
            <w:sz w:val="24"/>
            <w:szCs w:val="24"/>
          </w:rPr>
          <w:instrText xml:space="preserve"> PAGEREF _Toc175829623 \h </w:instrText>
        </w:r>
        <w:r w:rsidR="00760CF6" w:rsidRPr="009D2C94">
          <w:rPr>
            <w:rFonts w:ascii="Tahoma" w:hAnsi="Tahoma" w:cs="Tahoma"/>
            <w:noProof/>
            <w:webHidden/>
            <w:sz w:val="24"/>
            <w:szCs w:val="24"/>
          </w:rPr>
        </w:r>
        <w:r w:rsidR="00760CF6" w:rsidRPr="009D2C94">
          <w:rPr>
            <w:rFonts w:ascii="Tahoma" w:hAnsi="Tahoma" w:cs="Tahoma"/>
            <w:noProof/>
            <w:webHidden/>
            <w:sz w:val="24"/>
            <w:szCs w:val="24"/>
          </w:rPr>
          <w:fldChar w:fldCharType="separate"/>
        </w:r>
        <w:r w:rsidR="00760CF6" w:rsidRPr="009D2C94">
          <w:rPr>
            <w:rFonts w:ascii="Tahoma" w:hAnsi="Tahoma" w:cs="Tahoma"/>
            <w:noProof/>
            <w:webHidden/>
            <w:sz w:val="24"/>
            <w:szCs w:val="24"/>
          </w:rPr>
          <w:t>9</w:t>
        </w:r>
        <w:r w:rsidR="00760CF6" w:rsidRPr="009D2C94">
          <w:rPr>
            <w:rFonts w:ascii="Tahoma" w:hAnsi="Tahoma" w:cs="Tahoma"/>
            <w:noProof/>
            <w:webHidden/>
            <w:sz w:val="24"/>
            <w:szCs w:val="24"/>
          </w:rPr>
          <w:fldChar w:fldCharType="end"/>
        </w:r>
      </w:hyperlink>
    </w:p>
    <w:p w14:paraId="6F5CDEBF" w14:textId="77777777" w:rsidR="00D46F37" w:rsidRDefault="00D46F37">
      <w:r w:rsidRPr="009D2C94">
        <w:rPr>
          <w:rFonts w:ascii="Tahoma" w:hAnsi="Tahoma" w:cs="Tahoma"/>
          <w:noProof/>
          <w:sz w:val="24"/>
          <w:szCs w:val="24"/>
        </w:rPr>
        <w:fldChar w:fldCharType="end"/>
      </w:r>
    </w:p>
    <w:p w14:paraId="58DA4942" w14:textId="77777777" w:rsidR="00D46F37" w:rsidRDefault="00D46F37" w:rsidP="00D46F37">
      <w:pPr>
        <w:rPr>
          <w:lang w:val="en-US"/>
        </w:rPr>
      </w:pPr>
    </w:p>
    <w:p w14:paraId="49395D31" w14:textId="77777777" w:rsidR="00D46F37" w:rsidRDefault="00D46F37" w:rsidP="00D46F37">
      <w:pPr>
        <w:rPr>
          <w:lang w:val="en-US"/>
        </w:rPr>
      </w:pPr>
    </w:p>
    <w:p w14:paraId="38B8F013" w14:textId="77777777" w:rsidR="00D46F37" w:rsidRDefault="00D46F37" w:rsidP="00D46F37">
      <w:pPr>
        <w:rPr>
          <w:lang w:val="en-US"/>
        </w:rPr>
      </w:pPr>
    </w:p>
    <w:p w14:paraId="29DEE97D" w14:textId="77777777" w:rsidR="00D46F37" w:rsidRDefault="00D46F37" w:rsidP="00D46F37">
      <w:pPr>
        <w:rPr>
          <w:lang w:val="en-US"/>
        </w:rPr>
      </w:pPr>
    </w:p>
    <w:p w14:paraId="67B0190E" w14:textId="77777777" w:rsidR="00D46F37" w:rsidRDefault="00D46F37" w:rsidP="00D46F37">
      <w:pPr>
        <w:rPr>
          <w:lang w:val="en-US"/>
        </w:rPr>
      </w:pPr>
    </w:p>
    <w:p w14:paraId="69BE1436" w14:textId="77777777" w:rsidR="00D46F37" w:rsidRDefault="00D46F37" w:rsidP="00D46F37">
      <w:pPr>
        <w:rPr>
          <w:lang w:val="en-US"/>
        </w:rPr>
      </w:pPr>
    </w:p>
    <w:p w14:paraId="3C1A4B90" w14:textId="77777777" w:rsidR="00D46F37" w:rsidRDefault="00D46F37" w:rsidP="00D46F37">
      <w:pPr>
        <w:rPr>
          <w:lang w:val="en-US"/>
        </w:rPr>
      </w:pPr>
    </w:p>
    <w:p w14:paraId="57D19506" w14:textId="77777777" w:rsidR="00D46F37" w:rsidRDefault="00D46F37" w:rsidP="00D46F37">
      <w:pPr>
        <w:rPr>
          <w:lang w:val="en-US"/>
        </w:rPr>
      </w:pPr>
    </w:p>
    <w:p w14:paraId="1E4EEC7C" w14:textId="77777777" w:rsidR="00D46F37" w:rsidRDefault="00D46F37" w:rsidP="00D46F37">
      <w:pPr>
        <w:rPr>
          <w:lang w:val="en-US"/>
        </w:rPr>
      </w:pPr>
    </w:p>
    <w:p w14:paraId="54D31AB3" w14:textId="77777777" w:rsidR="00D751E8" w:rsidRDefault="00D751E8" w:rsidP="00D46F37">
      <w:pPr>
        <w:rPr>
          <w:lang w:val="en-US"/>
        </w:rPr>
      </w:pPr>
    </w:p>
    <w:p w14:paraId="69795337" w14:textId="77777777" w:rsidR="00760CF6" w:rsidRDefault="00760CF6" w:rsidP="00D46F37">
      <w:pPr>
        <w:rPr>
          <w:lang w:val="en-US"/>
        </w:rPr>
      </w:pPr>
    </w:p>
    <w:p w14:paraId="1D9B83AD" w14:textId="77777777" w:rsidR="00760CF6" w:rsidRDefault="00760CF6" w:rsidP="00D46F37">
      <w:pPr>
        <w:rPr>
          <w:lang w:val="en-US"/>
        </w:rPr>
      </w:pPr>
    </w:p>
    <w:p w14:paraId="41B43412" w14:textId="77777777" w:rsidR="001810AD" w:rsidRDefault="001810AD" w:rsidP="005D76CA">
      <w:pPr>
        <w:rPr>
          <w:lang w:val="en-US"/>
        </w:rPr>
      </w:pPr>
    </w:p>
    <w:p w14:paraId="393E77B9"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23943E0E" w14:textId="57F4BB12" w:rsidR="00760CF6" w:rsidRPr="009D2C94" w:rsidRDefault="00E36073">
      <w:pPr>
        <w:pStyle w:val="TableofFigures"/>
        <w:tabs>
          <w:tab w:val="right" w:leader="dot" w:pos="9016"/>
        </w:tabs>
        <w:rPr>
          <w:rFonts w:ascii="Tahoma" w:eastAsiaTheme="minorEastAsia" w:hAnsi="Tahoma" w:cs="Tahoma"/>
          <w:bCs/>
          <w:noProof/>
          <w:sz w:val="24"/>
          <w:szCs w:val="24"/>
          <w:lang w:eastAsia="en-ZW"/>
          <w14:ligatures w14:val="standardContextual"/>
        </w:rPr>
      </w:pPr>
      <w:r w:rsidRPr="009D2C94">
        <w:rPr>
          <w:rFonts w:ascii="Tahoma" w:hAnsi="Tahoma" w:cs="Tahoma"/>
          <w:bCs/>
          <w:iCs/>
          <w:sz w:val="24"/>
          <w:szCs w:val="24"/>
          <w:lang w:val="en-US"/>
        </w:rPr>
        <w:fldChar w:fldCharType="begin"/>
      </w:r>
      <w:r w:rsidRPr="009D2C94">
        <w:rPr>
          <w:rFonts w:ascii="Tahoma" w:hAnsi="Tahoma" w:cs="Tahoma"/>
          <w:bCs/>
          <w:iCs/>
          <w:sz w:val="24"/>
          <w:szCs w:val="24"/>
          <w:lang w:val="en-US"/>
        </w:rPr>
        <w:instrText xml:space="preserve"> TOC \f F \h \z \t "List of Tables" \c </w:instrText>
      </w:r>
      <w:r w:rsidRPr="009D2C94">
        <w:rPr>
          <w:rFonts w:ascii="Tahoma" w:hAnsi="Tahoma" w:cs="Tahoma"/>
          <w:bCs/>
          <w:iCs/>
          <w:sz w:val="24"/>
          <w:szCs w:val="24"/>
          <w:lang w:val="en-US"/>
        </w:rPr>
        <w:fldChar w:fldCharType="separate"/>
      </w:r>
      <w:hyperlink w:anchor="_Toc175829402" w:history="1">
        <w:r w:rsidR="00760CF6" w:rsidRPr="009D2C94">
          <w:rPr>
            <w:rStyle w:val="Hyperlink"/>
            <w:rFonts w:ascii="Tahoma" w:hAnsi="Tahoma" w:cs="Tahoma"/>
            <w:bCs/>
            <w:noProof/>
            <w:sz w:val="24"/>
            <w:szCs w:val="24"/>
          </w:rPr>
          <w:t xml:space="preserve">Table 1: </w:t>
        </w:r>
        <w:r w:rsidR="00760CF6" w:rsidRPr="009D2C94">
          <w:rPr>
            <w:rStyle w:val="Hyperlink"/>
            <w:rFonts w:ascii="Tahoma" w:hAnsi="Tahoma" w:cs="Tahoma"/>
            <w:bCs/>
            <w:noProof/>
            <w:sz w:val="24"/>
            <w:szCs w:val="24"/>
            <w:lang w:val="en-US"/>
          </w:rPr>
          <w:t>Global Economic Growth Developments</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_Toc175829402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1</w:t>
        </w:r>
        <w:r w:rsidR="00760CF6" w:rsidRPr="009D2C94">
          <w:rPr>
            <w:rFonts w:ascii="Tahoma" w:hAnsi="Tahoma" w:cs="Tahoma"/>
            <w:bCs/>
            <w:noProof/>
            <w:webHidden/>
            <w:sz w:val="24"/>
            <w:szCs w:val="24"/>
          </w:rPr>
          <w:fldChar w:fldCharType="end"/>
        </w:r>
      </w:hyperlink>
    </w:p>
    <w:p w14:paraId="091D593C" w14:textId="35F922A1"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3" w:history="1">
        <w:r w:rsidR="00760CF6" w:rsidRPr="009D2C94">
          <w:rPr>
            <w:rStyle w:val="Hyperlink"/>
            <w:rFonts w:ascii="Tahoma" w:hAnsi="Tahoma" w:cs="Tahoma"/>
            <w:bCs/>
            <w:noProof/>
            <w:sz w:val="24"/>
            <w:szCs w:val="24"/>
          </w:rPr>
          <w:t>Table 2:</w:t>
        </w:r>
        <w:r w:rsidR="00760CF6" w:rsidRPr="009D2C94">
          <w:rPr>
            <w:rStyle w:val="Hyperlink"/>
            <w:rFonts w:ascii="Tahoma" w:hAnsi="Tahoma" w:cs="Tahoma"/>
            <w:bCs/>
            <w:noProof/>
            <w:sz w:val="24"/>
            <w:szCs w:val="24"/>
            <w:lang w:val="en-US"/>
          </w:rPr>
          <w:t xml:space="preserve"> Commodity Price Movements – Month Ending 31 July 2024</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_Toc175829403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2</w:t>
        </w:r>
        <w:r w:rsidR="00760CF6" w:rsidRPr="009D2C94">
          <w:rPr>
            <w:rFonts w:ascii="Tahoma" w:hAnsi="Tahoma" w:cs="Tahoma"/>
            <w:bCs/>
            <w:noProof/>
            <w:webHidden/>
            <w:sz w:val="24"/>
            <w:szCs w:val="24"/>
          </w:rPr>
          <w:fldChar w:fldCharType="end"/>
        </w:r>
      </w:hyperlink>
    </w:p>
    <w:p w14:paraId="45F50479" w14:textId="311DF5F6"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4" w:history="1">
        <w:r w:rsidR="00760CF6" w:rsidRPr="009D2C94">
          <w:rPr>
            <w:rStyle w:val="Hyperlink"/>
            <w:rFonts w:ascii="Tahoma" w:hAnsi="Tahoma" w:cs="Tahoma"/>
            <w:bCs/>
            <w:noProof/>
            <w:sz w:val="24"/>
            <w:szCs w:val="24"/>
          </w:rPr>
          <w:t xml:space="preserve">Table 3: </w:t>
        </w:r>
        <w:r w:rsidR="00760CF6" w:rsidRPr="009D2C94">
          <w:rPr>
            <w:rStyle w:val="Hyperlink"/>
            <w:rFonts w:ascii="Tahoma" w:hAnsi="Tahoma" w:cs="Tahoma"/>
            <w:bCs/>
            <w:noProof/>
            <w:sz w:val="24"/>
            <w:szCs w:val="24"/>
            <w:lang w:val="en-US"/>
          </w:rPr>
          <w:t>ZiG Exchange Rate Movements – Month Ending 31 July 2024</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_Toc175829404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4</w:t>
        </w:r>
        <w:r w:rsidR="00760CF6" w:rsidRPr="009D2C94">
          <w:rPr>
            <w:rFonts w:ascii="Tahoma" w:hAnsi="Tahoma" w:cs="Tahoma"/>
            <w:bCs/>
            <w:noProof/>
            <w:webHidden/>
            <w:sz w:val="24"/>
            <w:szCs w:val="24"/>
          </w:rPr>
          <w:fldChar w:fldCharType="end"/>
        </w:r>
      </w:hyperlink>
    </w:p>
    <w:p w14:paraId="63B98034" w14:textId="36A0AB70"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5" w:history="1">
        <w:r w:rsidR="00760CF6" w:rsidRPr="009D2C94">
          <w:rPr>
            <w:rStyle w:val="Hyperlink"/>
            <w:rFonts w:ascii="Tahoma" w:hAnsi="Tahoma" w:cs="Tahoma"/>
            <w:bCs/>
            <w:noProof/>
            <w:sz w:val="24"/>
            <w:szCs w:val="24"/>
          </w:rPr>
          <w:t xml:space="preserve">Table 4: </w:t>
        </w:r>
        <w:r w:rsidR="00760CF6" w:rsidRPr="009D2C94">
          <w:rPr>
            <w:rStyle w:val="Hyperlink"/>
            <w:rFonts w:ascii="Tahoma" w:hAnsi="Tahoma" w:cs="Tahoma"/>
            <w:bCs/>
            <w:noProof/>
            <w:sz w:val="24"/>
            <w:szCs w:val="24"/>
            <w:lang w:val="en-US"/>
          </w:rPr>
          <w:t>USD Exchange Rate Movements – Month Ended 31 July 2024</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_Toc175829405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4</w:t>
        </w:r>
        <w:r w:rsidR="00760CF6" w:rsidRPr="009D2C94">
          <w:rPr>
            <w:rFonts w:ascii="Tahoma" w:hAnsi="Tahoma" w:cs="Tahoma"/>
            <w:bCs/>
            <w:noProof/>
            <w:webHidden/>
            <w:sz w:val="24"/>
            <w:szCs w:val="24"/>
          </w:rPr>
          <w:fldChar w:fldCharType="end"/>
        </w:r>
      </w:hyperlink>
    </w:p>
    <w:p w14:paraId="5E783A75" w14:textId="3796A196"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6" w:history="1">
        <w:r w:rsidR="00760CF6" w:rsidRPr="009D2C94">
          <w:rPr>
            <w:rStyle w:val="Hyperlink"/>
            <w:rFonts w:ascii="Tahoma" w:hAnsi="Tahoma" w:cs="Tahoma"/>
            <w:bCs/>
            <w:noProof/>
            <w:sz w:val="24"/>
            <w:szCs w:val="24"/>
          </w:rPr>
          <w:t xml:space="preserve">Table 5: Monthly </w:t>
        </w:r>
        <w:r w:rsidR="00760CF6" w:rsidRPr="009D2C94">
          <w:rPr>
            <w:rStyle w:val="Hyperlink"/>
            <w:rFonts w:ascii="Tahoma" w:hAnsi="Tahoma" w:cs="Tahoma"/>
            <w:bCs/>
            <w:noProof/>
            <w:sz w:val="24"/>
            <w:szCs w:val="24"/>
            <w:lang w:val="en-US"/>
          </w:rPr>
          <w:t>Inflation for July 2024</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_Toc175829406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5</w:t>
        </w:r>
        <w:r w:rsidR="00760CF6" w:rsidRPr="009D2C94">
          <w:rPr>
            <w:rFonts w:ascii="Tahoma" w:hAnsi="Tahoma" w:cs="Tahoma"/>
            <w:bCs/>
            <w:noProof/>
            <w:webHidden/>
            <w:sz w:val="24"/>
            <w:szCs w:val="24"/>
          </w:rPr>
          <w:fldChar w:fldCharType="end"/>
        </w:r>
      </w:hyperlink>
    </w:p>
    <w:p w14:paraId="4567861A" w14:textId="68AA100B"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7" w:history="1">
        <w:r w:rsidR="00760CF6" w:rsidRPr="009D2C94">
          <w:rPr>
            <w:rStyle w:val="Hyperlink"/>
            <w:rFonts w:ascii="Tahoma" w:hAnsi="Tahoma" w:cs="Tahoma"/>
            <w:bCs/>
            <w:noProof/>
            <w:sz w:val="24"/>
            <w:szCs w:val="24"/>
          </w:rPr>
          <w:t>Table 6: Zimbabwe Stock Exchange Movements</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_Toc175829407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7</w:t>
        </w:r>
        <w:r w:rsidR="00760CF6" w:rsidRPr="009D2C94">
          <w:rPr>
            <w:rFonts w:ascii="Tahoma" w:hAnsi="Tahoma" w:cs="Tahoma"/>
            <w:bCs/>
            <w:noProof/>
            <w:webHidden/>
            <w:sz w:val="24"/>
            <w:szCs w:val="24"/>
          </w:rPr>
          <w:fldChar w:fldCharType="end"/>
        </w:r>
      </w:hyperlink>
    </w:p>
    <w:p w14:paraId="2F9066FE" w14:textId="7690AD0B" w:rsidR="00760CF6" w:rsidRPr="009D2C94" w:rsidRDefault="00000000">
      <w:pPr>
        <w:pStyle w:val="TableofFigures"/>
        <w:tabs>
          <w:tab w:val="right" w:leader="dot" w:pos="9016"/>
        </w:tabs>
        <w:rPr>
          <w:rFonts w:ascii="Tahoma" w:eastAsiaTheme="minorEastAsia" w:hAnsi="Tahoma" w:cs="Tahoma"/>
          <w:bCs/>
          <w:noProof/>
          <w:sz w:val="24"/>
          <w:szCs w:val="24"/>
          <w:lang w:eastAsia="en-ZW"/>
          <w14:ligatures w14:val="standardContextual"/>
        </w:rPr>
      </w:pPr>
      <w:hyperlink w:anchor="_Toc175829408" w:history="1">
        <w:r w:rsidR="00760CF6" w:rsidRPr="009D2C94">
          <w:rPr>
            <w:rStyle w:val="Hyperlink"/>
            <w:rFonts w:ascii="Tahoma" w:hAnsi="Tahoma" w:cs="Tahoma"/>
            <w:bCs/>
            <w:noProof/>
            <w:sz w:val="24"/>
            <w:szCs w:val="24"/>
          </w:rPr>
          <w:t>Table 7: Victoria Falls Stock Exchange Movements</w:t>
        </w:r>
        <w:r w:rsidR="00760CF6" w:rsidRPr="009D2C94">
          <w:rPr>
            <w:rFonts w:ascii="Tahoma" w:hAnsi="Tahoma" w:cs="Tahoma"/>
            <w:bCs/>
            <w:noProof/>
            <w:webHidden/>
            <w:sz w:val="24"/>
            <w:szCs w:val="24"/>
          </w:rPr>
          <w:tab/>
        </w:r>
        <w:r w:rsidR="00760CF6" w:rsidRPr="009D2C94">
          <w:rPr>
            <w:rFonts w:ascii="Tahoma" w:hAnsi="Tahoma" w:cs="Tahoma"/>
            <w:bCs/>
            <w:noProof/>
            <w:webHidden/>
            <w:sz w:val="24"/>
            <w:szCs w:val="24"/>
          </w:rPr>
          <w:fldChar w:fldCharType="begin"/>
        </w:r>
        <w:r w:rsidR="00760CF6" w:rsidRPr="009D2C94">
          <w:rPr>
            <w:rFonts w:ascii="Tahoma" w:hAnsi="Tahoma" w:cs="Tahoma"/>
            <w:bCs/>
            <w:noProof/>
            <w:webHidden/>
            <w:sz w:val="24"/>
            <w:szCs w:val="24"/>
          </w:rPr>
          <w:instrText xml:space="preserve"> PAGEREF _Toc175829408 \h </w:instrText>
        </w:r>
        <w:r w:rsidR="00760CF6" w:rsidRPr="009D2C94">
          <w:rPr>
            <w:rFonts w:ascii="Tahoma" w:hAnsi="Tahoma" w:cs="Tahoma"/>
            <w:bCs/>
            <w:noProof/>
            <w:webHidden/>
            <w:sz w:val="24"/>
            <w:szCs w:val="24"/>
          </w:rPr>
        </w:r>
        <w:r w:rsidR="00760CF6" w:rsidRPr="009D2C94">
          <w:rPr>
            <w:rFonts w:ascii="Tahoma" w:hAnsi="Tahoma" w:cs="Tahoma"/>
            <w:bCs/>
            <w:noProof/>
            <w:webHidden/>
            <w:sz w:val="24"/>
            <w:szCs w:val="24"/>
          </w:rPr>
          <w:fldChar w:fldCharType="separate"/>
        </w:r>
        <w:r w:rsidR="00760CF6" w:rsidRPr="009D2C94">
          <w:rPr>
            <w:rFonts w:ascii="Tahoma" w:hAnsi="Tahoma" w:cs="Tahoma"/>
            <w:bCs/>
            <w:noProof/>
            <w:webHidden/>
            <w:sz w:val="24"/>
            <w:szCs w:val="24"/>
          </w:rPr>
          <w:t>7</w:t>
        </w:r>
        <w:r w:rsidR="00760CF6" w:rsidRPr="009D2C94">
          <w:rPr>
            <w:rFonts w:ascii="Tahoma" w:hAnsi="Tahoma" w:cs="Tahoma"/>
            <w:bCs/>
            <w:noProof/>
            <w:webHidden/>
            <w:sz w:val="24"/>
            <w:szCs w:val="24"/>
          </w:rPr>
          <w:fldChar w:fldCharType="end"/>
        </w:r>
      </w:hyperlink>
    </w:p>
    <w:p w14:paraId="416D217C" w14:textId="77777777" w:rsidR="00DA458A" w:rsidRPr="009D2C94" w:rsidRDefault="00E36073">
      <w:pPr>
        <w:rPr>
          <w:rFonts w:ascii="Tahoma" w:hAnsi="Tahoma" w:cs="Tahoma"/>
          <w:bCs/>
          <w:sz w:val="24"/>
          <w:szCs w:val="24"/>
          <w:lang w:val="en-US"/>
        </w:rPr>
      </w:pPr>
      <w:r w:rsidRPr="009D2C94">
        <w:rPr>
          <w:rFonts w:ascii="Tahoma" w:hAnsi="Tahoma" w:cs="Tahoma"/>
          <w:bCs/>
          <w:iCs/>
          <w:sz w:val="24"/>
          <w:szCs w:val="24"/>
          <w:lang w:val="en-US"/>
        </w:rPr>
        <w:fldChar w:fldCharType="end"/>
      </w:r>
    </w:p>
    <w:p w14:paraId="65F8CD07" w14:textId="77777777" w:rsidR="00760CF6" w:rsidRDefault="00654F03" w:rsidP="009D2C94">
      <w:pPr>
        <w:pStyle w:val="TableofFigures"/>
        <w:tabs>
          <w:tab w:val="right" w:leader="dot" w:pos="9016"/>
        </w:tabs>
        <w:spacing w:after="240"/>
        <w:rPr>
          <w:rFonts w:ascii="Tahoma" w:hAnsi="Tahoma" w:cs="Tahoma"/>
          <w:b/>
          <w:bCs/>
          <w:sz w:val="24"/>
          <w:szCs w:val="24"/>
          <w:lang w:val="en-US"/>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p>
    <w:p w14:paraId="12286090" w14:textId="3FF2AF5F" w:rsidR="007C0301" w:rsidRPr="009D2C94" w:rsidRDefault="007C0301">
      <w:pPr>
        <w:pStyle w:val="TableofFigures"/>
        <w:tabs>
          <w:tab w:val="right" w:leader="dot" w:pos="9016"/>
        </w:tabs>
        <w:rPr>
          <w:rFonts w:ascii="Tahoma" w:eastAsiaTheme="minorEastAsia" w:hAnsi="Tahoma" w:cs="Tahoma"/>
          <w:noProof/>
          <w:sz w:val="24"/>
          <w:szCs w:val="24"/>
          <w:lang w:eastAsia="en-ZW"/>
          <w14:ligatures w14:val="standardContextual"/>
        </w:rPr>
      </w:pPr>
      <w:r w:rsidRPr="009D2C94">
        <w:rPr>
          <w:rFonts w:ascii="Tahoma" w:hAnsi="Tahoma" w:cs="Tahoma"/>
          <w:sz w:val="24"/>
          <w:szCs w:val="24"/>
          <w:lang w:val="en-US"/>
        </w:rPr>
        <w:fldChar w:fldCharType="begin"/>
      </w:r>
      <w:r w:rsidRPr="009D2C94">
        <w:rPr>
          <w:rFonts w:ascii="Tahoma" w:hAnsi="Tahoma" w:cs="Tahoma"/>
          <w:sz w:val="24"/>
          <w:szCs w:val="24"/>
          <w:lang w:val="en-US"/>
        </w:rPr>
        <w:instrText xml:space="preserve"> TOC \h \z \c "Figure" </w:instrText>
      </w:r>
      <w:r w:rsidRPr="009D2C94">
        <w:rPr>
          <w:rFonts w:ascii="Tahoma" w:hAnsi="Tahoma" w:cs="Tahoma"/>
          <w:sz w:val="24"/>
          <w:szCs w:val="24"/>
          <w:lang w:val="en-US"/>
        </w:rPr>
        <w:fldChar w:fldCharType="separate"/>
      </w:r>
      <w:hyperlink w:anchor="_Toc175829855" w:history="1">
        <w:r w:rsidRPr="009D2C94">
          <w:rPr>
            <w:rStyle w:val="Hyperlink"/>
            <w:rFonts w:ascii="Tahoma" w:hAnsi="Tahoma" w:cs="Tahoma"/>
            <w:noProof/>
            <w:sz w:val="24"/>
            <w:szCs w:val="24"/>
          </w:rPr>
          <w:t xml:space="preserve">Figure 1: </w:t>
        </w:r>
        <w:r w:rsidRPr="009D2C94">
          <w:rPr>
            <w:rStyle w:val="Hyperlink"/>
            <w:rFonts w:ascii="Tahoma" w:hAnsi="Tahoma" w:cs="Tahoma"/>
            <w:noProof/>
            <w:sz w:val="24"/>
            <w:szCs w:val="24"/>
            <w:lang w:val="en-US"/>
          </w:rPr>
          <w:t>Zimbabwe Economic Growth Prospects</w:t>
        </w:r>
        <w:r w:rsidRPr="009D2C94">
          <w:rPr>
            <w:rFonts w:ascii="Tahoma" w:hAnsi="Tahoma" w:cs="Tahoma"/>
            <w:noProof/>
            <w:webHidden/>
            <w:sz w:val="24"/>
            <w:szCs w:val="24"/>
          </w:rPr>
          <w:tab/>
        </w:r>
        <w:r w:rsidRPr="009D2C94">
          <w:rPr>
            <w:rFonts w:ascii="Tahoma" w:hAnsi="Tahoma" w:cs="Tahoma"/>
            <w:noProof/>
            <w:webHidden/>
            <w:sz w:val="24"/>
            <w:szCs w:val="24"/>
          </w:rPr>
          <w:fldChar w:fldCharType="begin"/>
        </w:r>
        <w:r w:rsidRPr="009D2C94">
          <w:rPr>
            <w:rFonts w:ascii="Tahoma" w:hAnsi="Tahoma" w:cs="Tahoma"/>
            <w:noProof/>
            <w:webHidden/>
            <w:sz w:val="24"/>
            <w:szCs w:val="24"/>
          </w:rPr>
          <w:instrText xml:space="preserve"> PAGEREF _Toc175829855 \h </w:instrText>
        </w:r>
        <w:r w:rsidRPr="009D2C94">
          <w:rPr>
            <w:rFonts w:ascii="Tahoma" w:hAnsi="Tahoma" w:cs="Tahoma"/>
            <w:noProof/>
            <w:webHidden/>
            <w:sz w:val="24"/>
            <w:szCs w:val="24"/>
          </w:rPr>
        </w:r>
        <w:r w:rsidRPr="009D2C94">
          <w:rPr>
            <w:rFonts w:ascii="Tahoma" w:hAnsi="Tahoma" w:cs="Tahoma"/>
            <w:noProof/>
            <w:webHidden/>
            <w:sz w:val="24"/>
            <w:szCs w:val="24"/>
          </w:rPr>
          <w:fldChar w:fldCharType="separate"/>
        </w:r>
        <w:r w:rsidRPr="009D2C94">
          <w:rPr>
            <w:rFonts w:ascii="Tahoma" w:hAnsi="Tahoma" w:cs="Tahoma"/>
            <w:noProof/>
            <w:webHidden/>
            <w:sz w:val="24"/>
            <w:szCs w:val="24"/>
          </w:rPr>
          <w:t>7</w:t>
        </w:r>
        <w:r w:rsidRPr="009D2C94">
          <w:rPr>
            <w:rFonts w:ascii="Tahoma" w:hAnsi="Tahoma" w:cs="Tahoma"/>
            <w:noProof/>
            <w:webHidden/>
            <w:sz w:val="24"/>
            <w:szCs w:val="24"/>
          </w:rPr>
          <w:fldChar w:fldCharType="end"/>
        </w:r>
      </w:hyperlink>
    </w:p>
    <w:p w14:paraId="320D3FB1" w14:textId="4FE545B7" w:rsidR="007C0301" w:rsidRPr="009D2C94" w:rsidRDefault="00000000">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75829856" w:history="1">
        <w:r w:rsidR="007C0301" w:rsidRPr="009D2C94">
          <w:rPr>
            <w:rStyle w:val="Hyperlink"/>
            <w:rFonts w:ascii="Tahoma" w:hAnsi="Tahoma" w:cs="Tahoma"/>
            <w:noProof/>
            <w:sz w:val="24"/>
            <w:szCs w:val="24"/>
          </w:rPr>
          <w:t xml:space="preserve">Figure 2: </w:t>
        </w:r>
        <w:r w:rsidR="007C0301" w:rsidRPr="009D2C94">
          <w:rPr>
            <w:rStyle w:val="Hyperlink"/>
            <w:rFonts w:ascii="Tahoma" w:hAnsi="Tahoma" w:cs="Tahoma"/>
            <w:noProof/>
            <w:sz w:val="24"/>
            <w:szCs w:val="24"/>
            <w:lang w:val="en-US"/>
          </w:rPr>
          <w:t>Month-on-Month Inflation Outturn</w:t>
        </w:r>
        <w:r w:rsidR="007C0301" w:rsidRPr="009D2C94">
          <w:rPr>
            <w:rFonts w:ascii="Tahoma" w:hAnsi="Tahoma" w:cs="Tahoma"/>
            <w:noProof/>
            <w:webHidden/>
            <w:sz w:val="24"/>
            <w:szCs w:val="24"/>
          </w:rPr>
          <w:tab/>
        </w:r>
        <w:r w:rsidR="007C0301" w:rsidRPr="009D2C94">
          <w:rPr>
            <w:rFonts w:ascii="Tahoma" w:hAnsi="Tahoma" w:cs="Tahoma"/>
            <w:noProof/>
            <w:webHidden/>
            <w:sz w:val="24"/>
            <w:szCs w:val="24"/>
          </w:rPr>
          <w:fldChar w:fldCharType="begin"/>
        </w:r>
        <w:r w:rsidR="007C0301" w:rsidRPr="009D2C94">
          <w:rPr>
            <w:rFonts w:ascii="Tahoma" w:hAnsi="Tahoma" w:cs="Tahoma"/>
            <w:noProof/>
            <w:webHidden/>
            <w:sz w:val="24"/>
            <w:szCs w:val="24"/>
          </w:rPr>
          <w:instrText xml:space="preserve"> PAGEREF _Toc175829856 \h </w:instrText>
        </w:r>
        <w:r w:rsidR="007C0301" w:rsidRPr="009D2C94">
          <w:rPr>
            <w:rFonts w:ascii="Tahoma" w:hAnsi="Tahoma" w:cs="Tahoma"/>
            <w:noProof/>
            <w:webHidden/>
            <w:sz w:val="24"/>
            <w:szCs w:val="24"/>
          </w:rPr>
        </w:r>
        <w:r w:rsidR="007C0301" w:rsidRPr="009D2C94">
          <w:rPr>
            <w:rFonts w:ascii="Tahoma" w:hAnsi="Tahoma" w:cs="Tahoma"/>
            <w:noProof/>
            <w:webHidden/>
            <w:sz w:val="24"/>
            <w:szCs w:val="24"/>
          </w:rPr>
          <w:fldChar w:fldCharType="separate"/>
        </w:r>
        <w:r w:rsidR="007C0301" w:rsidRPr="009D2C94">
          <w:rPr>
            <w:rFonts w:ascii="Tahoma" w:hAnsi="Tahoma" w:cs="Tahoma"/>
            <w:noProof/>
            <w:webHidden/>
            <w:sz w:val="24"/>
            <w:szCs w:val="24"/>
          </w:rPr>
          <w:t>9</w:t>
        </w:r>
        <w:r w:rsidR="007C0301" w:rsidRPr="009D2C94">
          <w:rPr>
            <w:rFonts w:ascii="Tahoma" w:hAnsi="Tahoma" w:cs="Tahoma"/>
            <w:noProof/>
            <w:webHidden/>
            <w:sz w:val="24"/>
            <w:szCs w:val="24"/>
          </w:rPr>
          <w:fldChar w:fldCharType="end"/>
        </w:r>
      </w:hyperlink>
    </w:p>
    <w:p w14:paraId="415138CD" w14:textId="48396D29" w:rsidR="007C0301" w:rsidRPr="009D2C94" w:rsidRDefault="00000000">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75829857" w:history="1">
        <w:r w:rsidR="007C0301" w:rsidRPr="009D2C94">
          <w:rPr>
            <w:rStyle w:val="Hyperlink"/>
            <w:rFonts w:ascii="Tahoma" w:hAnsi="Tahoma" w:cs="Tahoma"/>
            <w:noProof/>
            <w:sz w:val="24"/>
            <w:szCs w:val="24"/>
          </w:rPr>
          <w:t>Figure 3: Broad Money (M3) Supply</w:t>
        </w:r>
        <w:r w:rsidR="007C0301" w:rsidRPr="009D2C94">
          <w:rPr>
            <w:rFonts w:ascii="Tahoma" w:hAnsi="Tahoma" w:cs="Tahoma"/>
            <w:noProof/>
            <w:webHidden/>
            <w:sz w:val="24"/>
            <w:szCs w:val="24"/>
          </w:rPr>
          <w:tab/>
        </w:r>
        <w:r w:rsidR="007C0301" w:rsidRPr="009D2C94">
          <w:rPr>
            <w:rFonts w:ascii="Tahoma" w:hAnsi="Tahoma" w:cs="Tahoma"/>
            <w:noProof/>
            <w:webHidden/>
            <w:sz w:val="24"/>
            <w:szCs w:val="24"/>
          </w:rPr>
          <w:fldChar w:fldCharType="begin"/>
        </w:r>
        <w:r w:rsidR="007C0301" w:rsidRPr="009D2C94">
          <w:rPr>
            <w:rFonts w:ascii="Tahoma" w:hAnsi="Tahoma" w:cs="Tahoma"/>
            <w:noProof/>
            <w:webHidden/>
            <w:sz w:val="24"/>
            <w:szCs w:val="24"/>
          </w:rPr>
          <w:instrText xml:space="preserve"> PAGEREF _Toc175829857 \h </w:instrText>
        </w:r>
        <w:r w:rsidR="007C0301" w:rsidRPr="009D2C94">
          <w:rPr>
            <w:rFonts w:ascii="Tahoma" w:hAnsi="Tahoma" w:cs="Tahoma"/>
            <w:noProof/>
            <w:webHidden/>
            <w:sz w:val="24"/>
            <w:szCs w:val="24"/>
          </w:rPr>
        </w:r>
        <w:r w:rsidR="007C0301" w:rsidRPr="009D2C94">
          <w:rPr>
            <w:rFonts w:ascii="Tahoma" w:hAnsi="Tahoma" w:cs="Tahoma"/>
            <w:noProof/>
            <w:webHidden/>
            <w:sz w:val="24"/>
            <w:szCs w:val="24"/>
          </w:rPr>
          <w:fldChar w:fldCharType="separate"/>
        </w:r>
        <w:r w:rsidR="007C0301" w:rsidRPr="009D2C94">
          <w:rPr>
            <w:rFonts w:ascii="Tahoma" w:hAnsi="Tahoma" w:cs="Tahoma"/>
            <w:noProof/>
            <w:webHidden/>
            <w:sz w:val="24"/>
            <w:szCs w:val="24"/>
          </w:rPr>
          <w:t>10</w:t>
        </w:r>
        <w:r w:rsidR="007C0301" w:rsidRPr="009D2C94">
          <w:rPr>
            <w:rFonts w:ascii="Tahoma" w:hAnsi="Tahoma" w:cs="Tahoma"/>
            <w:noProof/>
            <w:webHidden/>
            <w:sz w:val="24"/>
            <w:szCs w:val="24"/>
          </w:rPr>
          <w:fldChar w:fldCharType="end"/>
        </w:r>
      </w:hyperlink>
    </w:p>
    <w:p w14:paraId="5BE17FAE" w14:textId="463FBCAB" w:rsidR="007C0301" w:rsidRPr="009D2C94" w:rsidRDefault="007C0301" w:rsidP="007C0301">
      <w:pPr>
        <w:rPr>
          <w:rFonts w:ascii="Tahoma" w:hAnsi="Tahoma" w:cs="Tahoma"/>
          <w:sz w:val="24"/>
          <w:szCs w:val="24"/>
          <w:lang w:val="en-US"/>
        </w:rPr>
      </w:pPr>
      <w:r w:rsidRPr="009D2C94">
        <w:rPr>
          <w:rFonts w:ascii="Tahoma" w:hAnsi="Tahoma" w:cs="Tahoma"/>
          <w:sz w:val="24"/>
          <w:szCs w:val="24"/>
          <w:lang w:val="en-US"/>
        </w:rPr>
        <w:fldChar w:fldCharType="end"/>
      </w:r>
    </w:p>
    <w:p w14:paraId="1635C13E" w14:textId="77777777" w:rsidR="007C0301" w:rsidRDefault="007C0301">
      <w:pPr>
        <w:spacing w:after="0" w:line="240" w:lineRule="auto"/>
        <w:rPr>
          <w:lang w:val="en-US"/>
        </w:rPr>
      </w:pPr>
      <w:r>
        <w:rPr>
          <w:lang w:val="en-US"/>
        </w:rPr>
        <w:br w:type="page"/>
      </w:r>
    </w:p>
    <w:p w14:paraId="5D4E08F4" w14:textId="77777777" w:rsidR="007A3E1D" w:rsidRPr="00721CC2" w:rsidRDefault="004F680D" w:rsidP="00760CF6">
      <w:pPr>
        <w:pStyle w:val="Heading1"/>
        <w:spacing w:before="0" w:after="240"/>
        <w:rPr>
          <w:lang w:val="en-US"/>
        </w:rPr>
      </w:pPr>
      <w:bookmarkStart w:id="2" w:name="_Toc166607889"/>
      <w:bookmarkStart w:id="3" w:name="_Toc175829607"/>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15BA6D4F"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75829608"/>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24502A62" w14:textId="4B43D671" w:rsidR="000317BB" w:rsidRPr="000317BB" w:rsidRDefault="004F680D" w:rsidP="000317BB">
      <w:pPr>
        <w:ind w:left="720" w:hanging="720"/>
        <w:jc w:val="both"/>
        <w:rPr>
          <w:rFonts w:ascii="Tahoma" w:hAnsi="Tahoma" w:cs="Tahoma"/>
          <w:sz w:val="24"/>
          <w:szCs w:val="24"/>
          <w:lang w:val="en-US"/>
        </w:rPr>
      </w:pPr>
      <w:r w:rsidRPr="00863A17">
        <w:rPr>
          <w:rFonts w:ascii="Tahoma" w:hAnsi="Tahoma" w:cs="Tahoma"/>
          <w:sz w:val="24"/>
          <w:szCs w:val="24"/>
        </w:rPr>
        <w:t>1.1.1</w:t>
      </w:r>
      <w:r w:rsidR="001F2D81" w:rsidRPr="00863A17">
        <w:rPr>
          <w:rFonts w:ascii="Tahoma" w:hAnsi="Tahoma" w:cs="Tahoma"/>
          <w:sz w:val="24"/>
          <w:szCs w:val="24"/>
        </w:rPr>
        <w:t xml:space="preserve"> </w:t>
      </w:r>
      <w:r w:rsidR="00DC5CBE" w:rsidRPr="000F54F6">
        <w:rPr>
          <w:rFonts w:ascii="Tahoma" w:hAnsi="Tahoma" w:cs="Tahoma"/>
          <w:sz w:val="24"/>
          <w:szCs w:val="24"/>
        </w:rPr>
        <w:tab/>
      </w:r>
      <w:r w:rsidR="00437E4E">
        <w:rPr>
          <w:rFonts w:ascii="Tahoma" w:hAnsi="Tahoma" w:cs="Tahoma"/>
          <w:sz w:val="24"/>
          <w:szCs w:val="24"/>
        </w:rPr>
        <w:t xml:space="preserve">The Global economic growth </w:t>
      </w:r>
      <w:r w:rsidR="00E90F26">
        <w:rPr>
          <w:rFonts w:ascii="Tahoma" w:hAnsi="Tahoma" w:cs="Tahoma"/>
          <w:sz w:val="24"/>
          <w:szCs w:val="24"/>
        </w:rPr>
        <w:t xml:space="preserve">is projected to </w:t>
      </w:r>
      <w:r w:rsidR="00471A68">
        <w:rPr>
          <w:rFonts w:ascii="Tahoma" w:hAnsi="Tahoma" w:cs="Tahoma"/>
          <w:sz w:val="24"/>
          <w:szCs w:val="24"/>
        </w:rPr>
        <w:t xml:space="preserve">marginally decline from 3.3% registered in 2023 to </w:t>
      </w:r>
      <w:r w:rsidR="00E90F26">
        <w:rPr>
          <w:rFonts w:ascii="Tahoma" w:hAnsi="Tahoma" w:cs="Tahoma"/>
          <w:sz w:val="24"/>
          <w:szCs w:val="24"/>
        </w:rPr>
        <w:t>3.2% in 2024</w:t>
      </w:r>
      <w:r w:rsidR="003E089D">
        <w:rPr>
          <w:rFonts w:ascii="Tahoma" w:hAnsi="Tahoma" w:cs="Tahoma"/>
          <w:sz w:val="24"/>
          <w:szCs w:val="24"/>
        </w:rPr>
        <w:t xml:space="preserve"> according to the International Monetary Fund (IMF) World Economic Outlook (WEO) July 2024 Update. </w:t>
      </w:r>
      <w:r w:rsidR="000317BB">
        <w:rPr>
          <w:rFonts w:ascii="Tahoma" w:hAnsi="Tahoma" w:cs="Tahoma"/>
          <w:sz w:val="24"/>
          <w:szCs w:val="24"/>
        </w:rPr>
        <w:t xml:space="preserve">The slowdown is attributed to </w:t>
      </w:r>
      <w:r w:rsidR="000317BB" w:rsidRPr="000317BB">
        <w:rPr>
          <w:rFonts w:ascii="Tahoma" w:hAnsi="Tahoma" w:cs="Tahoma"/>
          <w:sz w:val="24"/>
          <w:szCs w:val="24"/>
          <w:lang w:val="en-US"/>
        </w:rPr>
        <w:t>persisting geo-political conflicts</w:t>
      </w:r>
      <w:r w:rsidR="000317BB">
        <w:rPr>
          <w:rFonts w:ascii="Tahoma" w:hAnsi="Tahoma" w:cs="Tahoma"/>
          <w:sz w:val="24"/>
          <w:szCs w:val="24"/>
          <w:lang w:val="en-US"/>
        </w:rPr>
        <w:t xml:space="preserve"> and the </w:t>
      </w:r>
      <w:r w:rsidR="000317BB" w:rsidRPr="000317BB">
        <w:rPr>
          <w:rFonts w:ascii="Tahoma" w:hAnsi="Tahoma" w:cs="Tahoma"/>
          <w:sz w:val="24"/>
          <w:szCs w:val="24"/>
          <w:lang w:val="en-US"/>
        </w:rPr>
        <w:t xml:space="preserve">El-Nino drought effects. </w:t>
      </w:r>
    </w:p>
    <w:p w14:paraId="2C001C0F" w14:textId="1DF302B9" w:rsidR="001C6200" w:rsidRPr="000F54F6" w:rsidRDefault="000317BB" w:rsidP="004F680D">
      <w:pPr>
        <w:ind w:left="720" w:hanging="720"/>
        <w:jc w:val="both"/>
        <w:rPr>
          <w:rFonts w:ascii="Tahoma" w:hAnsi="Tahoma" w:cs="Tahoma"/>
          <w:sz w:val="24"/>
          <w:szCs w:val="24"/>
        </w:rPr>
      </w:pPr>
      <w:r>
        <w:rPr>
          <w:rFonts w:ascii="Tahoma" w:hAnsi="Tahoma" w:cs="Tahoma"/>
          <w:sz w:val="24"/>
          <w:szCs w:val="24"/>
        </w:rPr>
        <w:t>1.1.2</w:t>
      </w:r>
      <w:r>
        <w:rPr>
          <w:rFonts w:ascii="Tahoma" w:hAnsi="Tahoma" w:cs="Tahoma"/>
          <w:sz w:val="24"/>
          <w:szCs w:val="24"/>
        </w:rPr>
        <w:tab/>
      </w:r>
      <w:r w:rsidR="00471A68">
        <w:rPr>
          <w:rFonts w:ascii="Tahoma" w:hAnsi="Tahoma" w:cs="Tahoma"/>
          <w:sz w:val="24"/>
          <w:szCs w:val="24"/>
        </w:rPr>
        <w:t xml:space="preserve">In terms of outlook, global economic growth is expected to slightly increase to </w:t>
      </w:r>
      <w:r w:rsidR="00E90F26">
        <w:rPr>
          <w:rFonts w:ascii="Tahoma" w:hAnsi="Tahoma" w:cs="Tahoma"/>
          <w:sz w:val="24"/>
          <w:szCs w:val="24"/>
        </w:rPr>
        <w:t>3.3% in 2025</w:t>
      </w:r>
      <w:bookmarkStart w:id="6" w:name="_Hlk166602890"/>
      <w:r w:rsidR="00E90F26">
        <w:rPr>
          <w:rFonts w:ascii="Tahoma" w:hAnsi="Tahoma" w:cs="Tahoma"/>
          <w:sz w:val="24"/>
          <w:szCs w:val="24"/>
        </w:rPr>
        <w:t xml:space="preserve"> </w:t>
      </w:r>
      <w:r w:rsidR="00F570D8">
        <w:rPr>
          <w:rFonts w:ascii="Tahoma" w:hAnsi="Tahoma" w:cs="Tahoma"/>
          <w:sz w:val="24"/>
          <w:szCs w:val="24"/>
        </w:rPr>
        <w:t xml:space="preserve">(see </w:t>
      </w:r>
      <w:r w:rsidR="000B790A">
        <w:rPr>
          <w:rFonts w:ascii="Tahoma" w:hAnsi="Tahoma" w:cs="Tahoma"/>
          <w:sz w:val="24"/>
          <w:szCs w:val="24"/>
        </w:rPr>
        <w:t>Table</w:t>
      </w:r>
      <w:r w:rsidR="00F570D8">
        <w:rPr>
          <w:rFonts w:ascii="Tahoma" w:hAnsi="Tahoma" w:cs="Tahoma"/>
          <w:sz w:val="24"/>
          <w:szCs w:val="24"/>
        </w:rPr>
        <w:t xml:space="preserve"> 1).</w:t>
      </w:r>
      <w:r w:rsidR="00B80EA7">
        <w:rPr>
          <w:rFonts w:ascii="Tahoma" w:hAnsi="Tahoma" w:cs="Tahoma"/>
          <w:sz w:val="24"/>
          <w:szCs w:val="24"/>
        </w:rPr>
        <w:t xml:space="preserve"> </w:t>
      </w:r>
      <w:r>
        <w:rPr>
          <w:rFonts w:ascii="Tahoma" w:hAnsi="Tahoma" w:cs="Tahoma"/>
          <w:sz w:val="24"/>
          <w:szCs w:val="24"/>
        </w:rPr>
        <w:t xml:space="preserve">These projections remain unchanged from the IMF WEO April 2024 Update. </w:t>
      </w:r>
    </w:p>
    <w:p w14:paraId="1B41334F" w14:textId="77777777" w:rsidR="00E31148" w:rsidRDefault="00BC5A90" w:rsidP="00D751E8">
      <w:pPr>
        <w:pStyle w:val="ListofTables"/>
        <w:rPr>
          <w:lang w:val="en-US"/>
        </w:rPr>
      </w:pPr>
      <w:bookmarkStart w:id="7" w:name="_Toc164072362"/>
      <w:bookmarkStart w:id="8" w:name="_Toc166658889"/>
      <w:bookmarkStart w:id="9" w:name="_Toc175829402"/>
      <w:bookmarkEnd w:id="6"/>
      <w:r w:rsidRPr="00863A17">
        <w:t xml:space="preserve">Table </w:t>
      </w:r>
      <w:r>
        <w:fldChar w:fldCharType="begin"/>
      </w:r>
      <w:r>
        <w:instrText xml:space="preserve"> SEQ Table \* ARABIC </w:instrText>
      </w:r>
      <w:r>
        <w:fldChar w:fldCharType="separate"/>
      </w:r>
      <w:r w:rsidR="00D30418">
        <w:rPr>
          <w:noProof/>
        </w:rPr>
        <w:t>1</w:t>
      </w:r>
      <w:r>
        <w:rPr>
          <w:noProof/>
        </w:rPr>
        <w:fldChar w:fldCharType="end"/>
      </w:r>
      <w:r w:rsidRPr="00863A17">
        <w:t xml:space="preserve">: </w:t>
      </w:r>
      <w:r w:rsidRPr="00863A17">
        <w:rPr>
          <w:lang w:val="en-US"/>
        </w:rPr>
        <w:t>Global Economic Growth Developments</w:t>
      </w:r>
      <w:bookmarkEnd w:id="7"/>
      <w:bookmarkEnd w:id="8"/>
      <w:bookmarkEnd w:id="9"/>
    </w:p>
    <w:tbl>
      <w:tblPr>
        <w:tblStyle w:val="GridTable4-Accent1"/>
        <w:tblW w:w="5000" w:type="pct"/>
        <w:tblLook w:val="04A0" w:firstRow="1" w:lastRow="0" w:firstColumn="1" w:lastColumn="0" w:noHBand="0" w:noVBand="1"/>
      </w:tblPr>
      <w:tblGrid>
        <w:gridCol w:w="5036"/>
        <w:gridCol w:w="1480"/>
        <w:gridCol w:w="1250"/>
        <w:gridCol w:w="1250"/>
      </w:tblGrid>
      <w:tr w:rsidR="00471A68" w:rsidRPr="00A53F01" w14:paraId="0A18B8F8" w14:textId="77777777" w:rsidTr="00760CF6">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2F5A1898" w14:textId="77777777" w:rsidR="00C675CD" w:rsidRPr="00760CF6" w:rsidRDefault="00C675CD" w:rsidP="00760CF6">
            <w:pPr>
              <w:pStyle w:val="Caption"/>
              <w:spacing w:after="0"/>
              <w:rPr>
                <w:rFonts w:ascii="Tahoma" w:hAnsi="Tahoma" w:cs="Tahoma"/>
                <w:i w:val="0"/>
                <w:color w:val="FFFFFF" w:themeColor="background1"/>
                <w:sz w:val="22"/>
                <w:szCs w:val="22"/>
              </w:rPr>
            </w:pPr>
          </w:p>
        </w:tc>
        <w:tc>
          <w:tcPr>
            <w:tcW w:w="608" w:type="pct"/>
            <w:noWrap/>
            <w:hideMark/>
          </w:tcPr>
          <w:p w14:paraId="2E6E5038" w14:textId="49D86611" w:rsidR="00C675CD" w:rsidRPr="00760CF6" w:rsidRDefault="00C675CD" w:rsidP="00760CF6">
            <w:pPr>
              <w:pStyle w:val="Caption"/>
              <w:spacing w:after="0"/>
              <w:cnfStyle w:val="100000000000" w:firstRow="1" w:lastRow="0" w:firstColumn="0" w:lastColumn="0" w:oddVBand="0" w:evenVBand="0" w:oddHBand="0" w:evenHBand="0" w:firstRowFirstColumn="0" w:firstRowLastColumn="0" w:lastRowFirstColumn="0" w:lastRowLastColumn="0"/>
              <w:rPr>
                <w:rFonts w:ascii="Tahoma" w:hAnsi="Tahoma" w:cs="Tahoma"/>
                <w:i w:val="0"/>
                <w:color w:val="FFFFFF" w:themeColor="background1"/>
                <w:sz w:val="22"/>
                <w:szCs w:val="22"/>
              </w:rPr>
            </w:pPr>
            <w:r w:rsidRPr="00760CF6">
              <w:rPr>
                <w:rFonts w:ascii="Tahoma" w:hAnsi="Tahoma" w:cs="Tahoma"/>
                <w:i w:val="0"/>
                <w:color w:val="FFFFFF" w:themeColor="background1"/>
                <w:sz w:val="22"/>
                <w:szCs w:val="22"/>
              </w:rPr>
              <w:t>2023 Actu</w:t>
            </w:r>
            <w:r w:rsidR="00471A68" w:rsidRPr="00760CF6">
              <w:rPr>
                <w:rFonts w:ascii="Tahoma" w:hAnsi="Tahoma" w:cs="Tahoma"/>
                <w:i w:val="0"/>
                <w:color w:val="FFFFFF" w:themeColor="background1"/>
                <w:sz w:val="22"/>
                <w:szCs w:val="22"/>
              </w:rPr>
              <w:t>al</w:t>
            </w:r>
          </w:p>
        </w:tc>
        <w:tc>
          <w:tcPr>
            <w:tcW w:w="536" w:type="pct"/>
            <w:noWrap/>
            <w:hideMark/>
          </w:tcPr>
          <w:p w14:paraId="59083561" w14:textId="77777777" w:rsidR="00C675CD" w:rsidRPr="00760CF6" w:rsidRDefault="00C675CD" w:rsidP="00760CF6">
            <w:pPr>
              <w:pStyle w:val="Caption"/>
              <w:spacing w:after="0"/>
              <w:cnfStyle w:val="100000000000" w:firstRow="1" w:lastRow="0" w:firstColumn="0" w:lastColumn="0" w:oddVBand="0" w:evenVBand="0" w:oddHBand="0" w:evenHBand="0" w:firstRowFirstColumn="0" w:firstRowLastColumn="0" w:lastRowFirstColumn="0" w:lastRowLastColumn="0"/>
              <w:rPr>
                <w:rFonts w:ascii="Tahoma" w:hAnsi="Tahoma" w:cs="Tahoma"/>
                <w:i w:val="0"/>
                <w:color w:val="FFFFFF" w:themeColor="background1"/>
                <w:sz w:val="22"/>
                <w:szCs w:val="22"/>
              </w:rPr>
            </w:pPr>
            <w:r w:rsidRPr="00760CF6">
              <w:rPr>
                <w:rFonts w:ascii="Tahoma" w:hAnsi="Tahoma" w:cs="Tahoma"/>
                <w:i w:val="0"/>
                <w:color w:val="FFFFFF" w:themeColor="background1"/>
                <w:sz w:val="22"/>
                <w:szCs w:val="22"/>
              </w:rPr>
              <w:t>2024 Proj</w:t>
            </w:r>
          </w:p>
        </w:tc>
        <w:tc>
          <w:tcPr>
            <w:tcW w:w="625" w:type="pct"/>
            <w:noWrap/>
            <w:hideMark/>
          </w:tcPr>
          <w:p w14:paraId="2AF4BD8E" w14:textId="77777777" w:rsidR="00C675CD" w:rsidRPr="00760CF6" w:rsidRDefault="00C675CD" w:rsidP="00760CF6">
            <w:pPr>
              <w:pStyle w:val="Caption"/>
              <w:spacing w:after="0"/>
              <w:cnfStyle w:val="100000000000" w:firstRow="1" w:lastRow="0" w:firstColumn="0" w:lastColumn="0" w:oddVBand="0" w:evenVBand="0" w:oddHBand="0" w:evenHBand="0" w:firstRowFirstColumn="0" w:firstRowLastColumn="0" w:lastRowFirstColumn="0" w:lastRowLastColumn="0"/>
              <w:rPr>
                <w:rFonts w:ascii="Tahoma" w:hAnsi="Tahoma" w:cs="Tahoma"/>
                <w:i w:val="0"/>
                <w:color w:val="FFFFFF" w:themeColor="background1"/>
                <w:sz w:val="22"/>
                <w:szCs w:val="22"/>
              </w:rPr>
            </w:pPr>
            <w:r w:rsidRPr="00760CF6">
              <w:rPr>
                <w:rFonts w:ascii="Tahoma" w:hAnsi="Tahoma" w:cs="Tahoma"/>
                <w:i w:val="0"/>
                <w:color w:val="FFFFFF" w:themeColor="background1"/>
                <w:sz w:val="22"/>
                <w:szCs w:val="22"/>
              </w:rPr>
              <w:t>2025 Proj</w:t>
            </w:r>
          </w:p>
        </w:tc>
      </w:tr>
      <w:tr w:rsidR="00471A68" w:rsidRPr="00A53F01" w14:paraId="48FA82B7" w14:textId="77777777" w:rsidTr="00760CF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717CC766"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Global</w:t>
            </w:r>
          </w:p>
        </w:tc>
        <w:tc>
          <w:tcPr>
            <w:tcW w:w="608" w:type="pct"/>
            <w:noWrap/>
            <w:hideMark/>
          </w:tcPr>
          <w:p w14:paraId="5AFA94EE"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3.3</w:t>
            </w:r>
          </w:p>
        </w:tc>
        <w:tc>
          <w:tcPr>
            <w:tcW w:w="536" w:type="pct"/>
            <w:noWrap/>
            <w:hideMark/>
          </w:tcPr>
          <w:p w14:paraId="5A30587C"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3.2</w:t>
            </w:r>
          </w:p>
        </w:tc>
        <w:tc>
          <w:tcPr>
            <w:tcW w:w="625" w:type="pct"/>
            <w:noWrap/>
            <w:hideMark/>
          </w:tcPr>
          <w:p w14:paraId="0BBF67B7"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3.3</w:t>
            </w:r>
          </w:p>
        </w:tc>
      </w:tr>
      <w:tr w:rsidR="00471A68" w:rsidRPr="00A53F01" w14:paraId="76EFC61C" w14:textId="77777777" w:rsidTr="00760CF6">
        <w:trPr>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4D7578E7" w14:textId="77777777" w:rsidR="00C675CD" w:rsidRPr="00760CF6" w:rsidRDefault="00C675CD" w:rsidP="00760CF6">
            <w:pPr>
              <w:pStyle w:val="Caption"/>
              <w:spacing w:after="0"/>
              <w:rPr>
                <w:rFonts w:ascii="Tahoma" w:hAnsi="Tahoma" w:cs="Tahoma"/>
                <w:b w:val="0"/>
                <w:bCs w:val="0"/>
                <w:i w:val="0"/>
                <w:color w:val="auto"/>
                <w:sz w:val="22"/>
                <w:szCs w:val="22"/>
              </w:rPr>
            </w:pPr>
            <w:r w:rsidRPr="00760CF6">
              <w:rPr>
                <w:rFonts w:ascii="Tahoma" w:hAnsi="Tahoma" w:cs="Tahoma"/>
                <w:i w:val="0"/>
                <w:color w:val="auto"/>
                <w:sz w:val="22"/>
                <w:szCs w:val="22"/>
              </w:rPr>
              <w:t>Advanced Economies</w:t>
            </w:r>
          </w:p>
        </w:tc>
        <w:tc>
          <w:tcPr>
            <w:tcW w:w="608" w:type="pct"/>
            <w:noWrap/>
            <w:hideMark/>
          </w:tcPr>
          <w:p w14:paraId="2EAC0844"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1.7</w:t>
            </w:r>
          </w:p>
        </w:tc>
        <w:tc>
          <w:tcPr>
            <w:tcW w:w="536" w:type="pct"/>
            <w:noWrap/>
            <w:hideMark/>
          </w:tcPr>
          <w:p w14:paraId="18C5E415"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1.7</w:t>
            </w:r>
          </w:p>
        </w:tc>
        <w:tc>
          <w:tcPr>
            <w:tcW w:w="625" w:type="pct"/>
            <w:noWrap/>
            <w:hideMark/>
          </w:tcPr>
          <w:p w14:paraId="7ACBC920"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1.8</w:t>
            </w:r>
          </w:p>
        </w:tc>
      </w:tr>
      <w:tr w:rsidR="00471A68" w:rsidRPr="00A53F01" w14:paraId="6D00E9D9" w14:textId="77777777" w:rsidTr="00760CF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6790192E"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United States</w:t>
            </w:r>
          </w:p>
        </w:tc>
        <w:tc>
          <w:tcPr>
            <w:tcW w:w="608" w:type="pct"/>
            <w:noWrap/>
            <w:hideMark/>
          </w:tcPr>
          <w:p w14:paraId="1E22E10A"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2.5</w:t>
            </w:r>
          </w:p>
        </w:tc>
        <w:tc>
          <w:tcPr>
            <w:tcW w:w="536" w:type="pct"/>
            <w:noWrap/>
            <w:hideMark/>
          </w:tcPr>
          <w:p w14:paraId="3B20029E"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2.6</w:t>
            </w:r>
          </w:p>
        </w:tc>
        <w:tc>
          <w:tcPr>
            <w:tcW w:w="625" w:type="pct"/>
            <w:noWrap/>
            <w:hideMark/>
          </w:tcPr>
          <w:p w14:paraId="561133E6"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1.9</w:t>
            </w:r>
          </w:p>
        </w:tc>
      </w:tr>
      <w:tr w:rsidR="00471A68" w:rsidRPr="00A53F01" w14:paraId="0813ABEA" w14:textId="77777777" w:rsidTr="00760CF6">
        <w:trPr>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57182E3B"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Euro Area</w:t>
            </w:r>
          </w:p>
        </w:tc>
        <w:tc>
          <w:tcPr>
            <w:tcW w:w="608" w:type="pct"/>
            <w:noWrap/>
            <w:hideMark/>
          </w:tcPr>
          <w:p w14:paraId="55B265C6"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0.5</w:t>
            </w:r>
          </w:p>
        </w:tc>
        <w:tc>
          <w:tcPr>
            <w:tcW w:w="536" w:type="pct"/>
            <w:noWrap/>
            <w:hideMark/>
          </w:tcPr>
          <w:p w14:paraId="37F73CB0"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0.9</w:t>
            </w:r>
          </w:p>
        </w:tc>
        <w:tc>
          <w:tcPr>
            <w:tcW w:w="625" w:type="pct"/>
            <w:noWrap/>
            <w:hideMark/>
          </w:tcPr>
          <w:p w14:paraId="22E00B06"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1.5</w:t>
            </w:r>
          </w:p>
        </w:tc>
      </w:tr>
      <w:tr w:rsidR="00471A68" w:rsidRPr="00A53F01" w14:paraId="3101A746" w14:textId="77777777" w:rsidTr="00760CF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75B6F577" w14:textId="77777777" w:rsidR="00C675CD" w:rsidRPr="00760CF6" w:rsidRDefault="00C675CD" w:rsidP="00760CF6">
            <w:pPr>
              <w:pStyle w:val="Caption"/>
              <w:spacing w:after="0"/>
              <w:rPr>
                <w:rFonts w:ascii="Tahoma" w:hAnsi="Tahoma" w:cs="Tahoma"/>
                <w:b w:val="0"/>
                <w:bCs w:val="0"/>
                <w:i w:val="0"/>
                <w:color w:val="auto"/>
                <w:sz w:val="22"/>
                <w:szCs w:val="22"/>
              </w:rPr>
            </w:pPr>
            <w:r w:rsidRPr="00760CF6">
              <w:rPr>
                <w:rFonts w:ascii="Tahoma" w:hAnsi="Tahoma" w:cs="Tahoma"/>
                <w:i w:val="0"/>
                <w:color w:val="auto"/>
                <w:sz w:val="22"/>
                <w:szCs w:val="22"/>
              </w:rPr>
              <w:t>Emerging Markets and Developing Economies</w:t>
            </w:r>
          </w:p>
        </w:tc>
        <w:tc>
          <w:tcPr>
            <w:tcW w:w="608" w:type="pct"/>
            <w:noWrap/>
            <w:hideMark/>
          </w:tcPr>
          <w:p w14:paraId="06F3BEAF"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4.4</w:t>
            </w:r>
          </w:p>
        </w:tc>
        <w:tc>
          <w:tcPr>
            <w:tcW w:w="536" w:type="pct"/>
            <w:noWrap/>
            <w:hideMark/>
          </w:tcPr>
          <w:p w14:paraId="4FE6FB24"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4.3</w:t>
            </w:r>
          </w:p>
        </w:tc>
        <w:tc>
          <w:tcPr>
            <w:tcW w:w="625" w:type="pct"/>
            <w:noWrap/>
            <w:hideMark/>
          </w:tcPr>
          <w:p w14:paraId="6B3D7D6D"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4.3</w:t>
            </w:r>
          </w:p>
        </w:tc>
      </w:tr>
      <w:tr w:rsidR="00471A68" w:rsidRPr="00A53F01" w14:paraId="79A0EB88" w14:textId="77777777" w:rsidTr="00760CF6">
        <w:trPr>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277AF8D4"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China</w:t>
            </w:r>
          </w:p>
        </w:tc>
        <w:tc>
          <w:tcPr>
            <w:tcW w:w="608" w:type="pct"/>
            <w:noWrap/>
            <w:hideMark/>
          </w:tcPr>
          <w:p w14:paraId="33A8B309"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5.2</w:t>
            </w:r>
          </w:p>
        </w:tc>
        <w:tc>
          <w:tcPr>
            <w:tcW w:w="536" w:type="pct"/>
            <w:noWrap/>
            <w:hideMark/>
          </w:tcPr>
          <w:p w14:paraId="69E927D3" w14:textId="6D999BDC"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5</w:t>
            </w:r>
            <w:r w:rsidR="000317BB" w:rsidRPr="00760CF6">
              <w:rPr>
                <w:rFonts w:ascii="Tahoma" w:hAnsi="Tahoma" w:cs="Tahoma"/>
                <w:i w:val="0"/>
                <w:color w:val="auto"/>
                <w:sz w:val="22"/>
                <w:szCs w:val="22"/>
              </w:rPr>
              <w:t>.0</w:t>
            </w:r>
          </w:p>
        </w:tc>
        <w:tc>
          <w:tcPr>
            <w:tcW w:w="625" w:type="pct"/>
            <w:noWrap/>
            <w:hideMark/>
          </w:tcPr>
          <w:p w14:paraId="30A9B567"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4.5</w:t>
            </w:r>
          </w:p>
        </w:tc>
      </w:tr>
      <w:tr w:rsidR="00471A68" w:rsidRPr="00A53F01" w14:paraId="020FC478" w14:textId="77777777" w:rsidTr="00760CF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2D78CCAC"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India</w:t>
            </w:r>
          </w:p>
        </w:tc>
        <w:tc>
          <w:tcPr>
            <w:tcW w:w="608" w:type="pct"/>
            <w:noWrap/>
            <w:hideMark/>
          </w:tcPr>
          <w:p w14:paraId="0E50BD87"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8.2</w:t>
            </w:r>
          </w:p>
        </w:tc>
        <w:tc>
          <w:tcPr>
            <w:tcW w:w="536" w:type="pct"/>
            <w:noWrap/>
            <w:hideMark/>
          </w:tcPr>
          <w:p w14:paraId="4A838BC1" w14:textId="4EDCE2AF"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7</w:t>
            </w:r>
            <w:r w:rsidR="000317BB" w:rsidRPr="00760CF6">
              <w:rPr>
                <w:rFonts w:ascii="Tahoma" w:hAnsi="Tahoma" w:cs="Tahoma"/>
                <w:i w:val="0"/>
                <w:color w:val="auto"/>
                <w:sz w:val="22"/>
                <w:szCs w:val="22"/>
              </w:rPr>
              <w:t>.0</w:t>
            </w:r>
          </w:p>
        </w:tc>
        <w:tc>
          <w:tcPr>
            <w:tcW w:w="625" w:type="pct"/>
            <w:noWrap/>
            <w:hideMark/>
          </w:tcPr>
          <w:p w14:paraId="33954F4B"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6.5</w:t>
            </w:r>
          </w:p>
        </w:tc>
      </w:tr>
      <w:tr w:rsidR="00471A68" w:rsidRPr="00A53F01" w14:paraId="57D1ACD3" w14:textId="77777777" w:rsidTr="00760CF6">
        <w:trPr>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31F0E95D" w14:textId="77777777" w:rsidR="00C675CD" w:rsidRPr="00760CF6" w:rsidRDefault="00C675CD" w:rsidP="00760CF6">
            <w:pPr>
              <w:pStyle w:val="Caption"/>
              <w:spacing w:after="0"/>
              <w:rPr>
                <w:rFonts w:ascii="Tahoma" w:hAnsi="Tahoma" w:cs="Tahoma"/>
                <w:b w:val="0"/>
                <w:bCs w:val="0"/>
                <w:i w:val="0"/>
                <w:color w:val="auto"/>
                <w:sz w:val="22"/>
                <w:szCs w:val="22"/>
              </w:rPr>
            </w:pPr>
            <w:r w:rsidRPr="00760CF6">
              <w:rPr>
                <w:rFonts w:ascii="Tahoma" w:hAnsi="Tahoma" w:cs="Tahoma"/>
                <w:i w:val="0"/>
                <w:color w:val="auto"/>
                <w:sz w:val="22"/>
                <w:szCs w:val="22"/>
              </w:rPr>
              <w:t>Sub-Saharan Africa</w:t>
            </w:r>
          </w:p>
        </w:tc>
        <w:tc>
          <w:tcPr>
            <w:tcW w:w="608" w:type="pct"/>
            <w:noWrap/>
            <w:hideMark/>
          </w:tcPr>
          <w:p w14:paraId="0235705B"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3.4</w:t>
            </w:r>
          </w:p>
        </w:tc>
        <w:tc>
          <w:tcPr>
            <w:tcW w:w="536" w:type="pct"/>
            <w:noWrap/>
            <w:hideMark/>
          </w:tcPr>
          <w:p w14:paraId="5723F5D3"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3.7</w:t>
            </w:r>
          </w:p>
        </w:tc>
        <w:tc>
          <w:tcPr>
            <w:tcW w:w="625" w:type="pct"/>
            <w:noWrap/>
            <w:hideMark/>
          </w:tcPr>
          <w:p w14:paraId="199A8449"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i w:val="0"/>
                <w:color w:val="auto"/>
                <w:sz w:val="22"/>
                <w:szCs w:val="22"/>
              </w:rPr>
            </w:pPr>
            <w:r w:rsidRPr="00760CF6">
              <w:rPr>
                <w:rFonts w:ascii="Tahoma" w:hAnsi="Tahoma" w:cs="Tahoma"/>
                <w:b/>
                <w:bCs/>
                <w:i w:val="0"/>
                <w:color w:val="auto"/>
                <w:sz w:val="22"/>
                <w:szCs w:val="22"/>
              </w:rPr>
              <w:t>4.1</w:t>
            </w:r>
          </w:p>
        </w:tc>
      </w:tr>
      <w:tr w:rsidR="00471A68" w:rsidRPr="00A53F01" w14:paraId="43639812" w14:textId="77777777" w:rsidTr="00760CF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21DFFF5C"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Nigeria</w:t>
            </w:r>
          </w:p>
        </w:tc>
        <w:tc>
          <w:tcPr>
            <w:tcW w:w="608" w:type="pct"/>
            <w:noWrap/>
            <w:hideMark/>
          </w:tcPr>
          <w:p w14:paraId="295424B2"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2.9</w:t>
            </w:r>
          </w:p>
        </w:tc>
        <w:tc>
          <w:tcPr>
            <w:tcW w:w="536" w:type="pct"/>
            <w:noWrap/>
            <w:hideMark/>
          </w:tcPr>
          <w:p w14:paraId="1C1083F4" w14:textId="7777777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3.1</w:t>
            </w:r>
          </w:p>
        </w:tc>
        <w:tc>
          <w:tcPr>
            <w:tcW w:w="625" w:type="pct"/>
            <w:noWrap/>
            <w:hideMark/>
          </w:tcPr>
          <w:p w14:paraId="40A2DF76" w14:textId="51101DF7" w:rsidR="00C675CD" w:rsidRPr="00760CF6" w:rsidRDefault="00C675CD" w:rsidP="00760CF6">
            <w:pPr>
              <w:pStyle w:val="Caption"/>
              <w:spacing w:after="0"/>
              <w:cnfStyle w:val="000000100000" w:firstRow="0" w:lastRow="0" w:firstColumn="0" w:lastColumn="0" w:oddVBand="0" w:evenVBand="0" w:oddHBand="1"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3</w:t>
            </w:r>
            <w:r w:rsidR="000317BB" w:rsidRPr="00760CF6">
              <w:rPr>
                <w:rFonts w:ascii="Tahoma" w:hAnsi="Tahoma" w:cs="Tahoma"/>
                <w:i w:val="0"/>
                <w:color w:val="auto"/>
                <w:sz w:val="22"/>
                <w:szCs w:val="22"/>
              </w:rPr>
              <w:t>.0</w:t>
            </w:r>
          </w:p>
        </w:tc>
      </w:tr>
      <w:tr w:rsidR="00471A68" w:rsidRPr="00A53F01" w14:paraId="6F0C5722" w14:textId="77777777" w:rsidTr="00760CF6">
        <w:trPr>
          <w:trHeight w:val="312"/>
        </w:trPr>
        <w:tc>
          <w:tcPr>
            <w:cnfStyle w:val="001000000000" w:firstRow="0" w:lastRow="0" w:firstColumn="1" w:lastColumn="0" w:oddVBand="0" w:evenVBand="0" w:oddHBand="0" w:evenHBand="0" w:firstRowFirstColumn="0" w:firstRowLastColumn="0" w:lastRowFirstColumn="0" w:lastRowLastColumn="0"/>
            <w:tcW w:w="3231" w:type="pct"/>
            <w:noWrap/>
            <w:hideMark/>
          </w:tcPr>
          <w:p w14:paraId="5ECDBB16" w14:textId="77777777" w:rsidR="00C675CD" w:rsidRPr="00760CF6" w:rsidRDefault="00C675CD" w:rsidP="00760CF6">
            <w:pPr>
              <w:pStyle w:val="Caption"/>
              <w:spacing w:after="0"/>
              <w:rPr>
                <w:rFonts w:ascii="Tahoma" w:hAnsi="Tahoma" w:cs="Tahoma"/>
                <w:i w:val="0"/>
                <w:color w:val="auto"/>
                <w:sz w:val="22"/>
                <w:szCs w:val="22"/>
              </w:rPr>
            </w:pPr>
            <w:r w:rsidRPr="00760CF6">
              <w:rPr>
                <w:rFonts w:ascii="Tahoma" w:hAnsi="Tahoma" w:cs="Tahoma"/>
                <w:i w:val="0"/>
                <w:color w:val="auto"/>
                <w:sz w:val="22"/>
                <w:szCs w:val="22"/>
              </w:rPr>
              <w:t>South Africa</w:t>
            </w:r>
          </w:p>
        </w:tc>
        <w:tc>
          <w:tcPr>
            <w:tcW w:w="608" w:type="pct"/>
            <w:noWrap/>
            <w:hideMark/>
          </w:tcPr>
          <w:p w14:paraId="158F1EF3"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0.7</w:t>
            </w:r>
          </w:p>
        </w:tc>
        <w:tc>
          <w:tcPr>
            <w:tcW w:w="536" w:type="pct"/>
            <w:noWrap/>
            <w:hideMark/>
          </w:tcPr>
          <w:p w14:paraId="2EA30F98"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0.9</w:t>
            </w:r>
          </w:p>
        </w:tc>
        <w:tc>
          <w:tcPr>
            <w:tcW w:w="625" w:type="pct"/>
            <w:noWrap/>
            <w:hideMark/>
          </w:tcPr>
          <w:p w14:paraId="409A005A" w14:textId="77777777" w:rsidR="00C675CD" w:rsidRPr="00760CF6" w:rsidRDefault="00C675CD" w:rsidP="00760CF6">
            <w:pPr>
              <w:pStyle w:val="Caption"/>
              <w:spacing w:after="0"/>
              <w:cnfStyle w:val="000000000000" w:firstRow="0" w:lastRow="0" w:firstColumn="0" w:lastColumn="0" w:oddVBand="0" w:evenVBand="0" w:oddHBand="0" w:evenHBand="0" w:firstRowFirstColumn="0" w:firstRowLastColumn="0" w:lastRowFirstColumn="0" w:lastRowLastColumn="0"/>
              <w:rPr>
                <w:rFonts w:ascii="Tahoma" w:hAnsi="Tahoma" w:cs="Tahoma"/>
                <w:i w:val="0"/>
                <w:color w:val="auto"/>
                <w:sz w:val="22"/>
                <w:szCs w:val="22"/>
              </w:rPr>
            </w:pPr>
            <w:r w:rsidRPr="00760CF6">
              <w:rPr>
                <w:rFonts w:ascii="Tahoma" w:hAnsi="Tahoma" w:cs="Tahoma"/>
                <w:i w:val="0"/>
                <w:color w:val="auto"/>
                <w:sz w:val="22"/>
                <w:szCs w:val="22"/>
              </w:rPr>
              <w:t>1.2</w:t>
            </w:r>
          </w:p>
        </w:tc>
      </w:tr>
    </w:tbl>
    <w:p w14:paraId="47779668" w14:textId="0EBC22B7" w:rsidR="00E36CF6" w:rsidRPr="00863A17" w:rsidRDefault="00E31148" w:rsidP="00E36CF6">
      <w:pPr>
        <w:rPr>
          <w:rFonts w:ascii="Tahoma" w:hAnsi="Tahoma" w:cs="Tahoma"/>
          <w:i/>
          <w:sz w:val="24"/>
          <w:szCs w:val="24"/>
        </w:rPr>
      </w:pPr>
      <w:r w:rsidRPr="00863A17">
        <w:rPr>
          <w:rFonts w:ascii="Tahoma" w:hAnsi="Tahoma" w:cs="Tahoma"/>
          <w:i/>
          <w:sz w:val="24"/>
          <w:szCs w:val="24"/>
          <w:lang w:val="en-US"/>
        </w:rPr>
        <w:t xml:space="preserve">Source: </w:t>
      </w:r>
      <w:r w:rsidR="006A16E0">
        <w:rPr>
          <w:rFonts w:ascii="Tahoma" w:hAnsi="Tahoma" w:cs="Tahoma"/>
          <w:i/>
          <w:sz w:val="24"/>
          <w:szCs w:val="24"/>
          <w:lang w:val="en-US"/>
        </w:rPr>
        <w:t xml:space="preserve">IMF, WEO July 2024 </w:t>
      </w:r>
      <w:r w:rsidR="000317BB">
        <w:rPr>
          <w:rFonts w:ascii="Tahoma" w:hAnsi="Tahoma" w:cs="Tahoma"/>
          <w:i/>
          <w:sz w:val="24"/>
          <w:szCs w:val="24"/>
          <w:lang w:val="en-US"/>
        </w:rPr>
        <w:t>U</w:t>
      </w:r>
      <w:r w:rsidR="006A16E0">
        <w:rPr>
          <w:rFonts w:ascii="Tahoma" w:hAnsi="Tahoma" w:cs="Tahoma"/>
          <w:i/>
          <w:sz w:val="24"/>
          <w:szCs w:val="24"/>
          <w:lang w:val="en-US"/>
        </w:rPr>
        <w:t>pdate</w:t>
      </w:r>
    </w:p>
    <w:p w14:paraId="4A2A1C61" w14:textId="4E38CB14" w:rsidR="00A53F01" w:rsidRDefault="004F680D" w:rsidP="00A521E9">
      <w:pPr>
        <w:ind w:left="720" w:hanging="720"/>
        <w:jc w:val="both"/>
        <w:rPr>
          <w:rFonts w:ascii="Tahoma" w:hAnsi="Tahoma" w:cs="Tahoma"/>
          <w:sz w:val="24"/>
          <w:szCs w:val="24"/>
          <w:lang w:val="en-US"/>
        </w:rPr>
      </w:pPr>
      <w:r w:rsidRPr="00863A17">
        <w:rPr>
          <w:rFonts w:ascii="Tahoma" w:hAnsi="Tahoma" w:cs="Tahoma"/>
          <w:sz w:val="24"/>
          <w:szCs w:val="24"/>
          <w:lang w:val="en-US"/>
        </w:rPr>
        <w:t>1.1.</w:t>
      </w:r>
      <w:r w:rsidR="00A53F01">
        <w:rPr>
          <w:rFonts w:ascii="Tahoma" w:hAnsi="Tahoma" w:cs="Tahoma"/>
          <w:sz w:val="24"/>
          <w:szCs w:val="24"/>
          <w:lang w:val="en-US"/>
        </w:rPr>
        <w:t>3</w:t>
      </w:r>
      <w:r w:rsidRPr="00863A17">
        <w:rPr>
          <w:rFonts w:ascii="Tahoma" w:hAnsi="Tahoma" w:cs="Tahoma"/>
          <w:sz w:val="24"/>
          <w:szCs w:val="24"/>
          <w:lang w:val="en-US"/>
        </w:rPr>
        <w:tab/>
      </w:r>
      <w:r w:rsidR="0077058D">
        <w:rPr>
          <w:rFonts w:ascii="Tahoma" w:hAnsi="Tahoma" w:cs="Tahoma"/>
          <w:sz w:val="24"/>
          <w:szCs w:val="24"/>
          <w:lang w:val="en-US"/>
        </w:rPr>
        <w:t>United States growth</w:t>
      </w:r>
      <w:r w:rsidR="000317BB">
        <w:rPr>
          <w:rFonts w:ascii="Tahoma" w:hAnsi="Tahoma" w:cs="Tahoma"/>
          <w:sz w:val="24"/>
          <w:szCs w:val="24"/>
          <w:lang w:val="en-US"/>
        </w:rPr>
        <w:t xml:space="preserve"> in 2025</w:t>
      </w:r>
      <w:r w:rsidR="0077058D">
        <w:rPr>
          <w:rFonts w:ascii="Tahoma" w:hAnsi="Tahoma" w:cs="Tahoma"/>
          <w:sz w:val="24"/>
          <w:szCs w:val="24"/>
          <w:lang w:val="en-US"/>
        </w:rPr>
        <w:t xml:space="preserve"> is expected to slow </w:t>
      </w:r>
      <w:r w:rsidR="000317BB">
        <w:rPr>
          <w:rFonts w:ascii="Tahoma" w:hAnsi="Tahoma" w:cs="Tahoma"/>
          <w:sz w:val="24"/>
          <w:szCs w:val="24"/>
          <w:lang w:val="en-US"/>
        </w:rPr>
        <w:t xml:space="preserve">down to 1.9% from 2.6% in 2024 </w:t>
      </w:r>
      <w:r w:rsidR="0077058D">
        <w:rPr>
          <w:rFonts w:ascii="Tahoma" w:hAnsi="Tahoma" w:cs="Tahoma"/>
          <w:sz w:val="24"/>
          <w:szCs w:val="24"/>
          <w:lang w:val="en-US"/>
        </w:rPr>
        <w:t xml:space="preserve">due to </w:t>
      </w:r>
      <w:r w:rsidR="00C15011">
        <w:rPr>
          <w:rFonts w:ascii="Tahoma" w:hAnsi="Tahoma" w:cs="Tahoma"/>
          <w:sz w:val="24"/>
          <w:szCs w:val="24"/>
          <w:lang w:val="en-US"/>
        </w:rPr>
        <w:t>labor</w:t>
      </w:r>
      <w:r w:rsidR="0077058D">
        <w:rPr>
          <w:rFonts w:ascii="Tahoma" w:hAnsi="Tahoma" w:cs="Tahoma"/>
          <w:sz w:val="24"/>
          <w:szCs w:val="24"/>
          <w:lang w:val="en-US"/>
        </w:rPr>
        <w:t xml:space="preserve"> market cooling, moderation of consumption and gradual tightening of fiscal policy</w:t>
      </w:r>
      <w:r w:rsidR="000317BB">
        <w:rPr>
          <w:rFonts w:ascii="Tahoma" w:hAnsi="Tahoma" w:cs="Tahoma"/>
          <w:sz w:val="24"/>
          <w:szCs w:val="24"/>
          <w:lang w:val="en-US"/>
        </w:rPr>
        <w:t>. The Eu</w:t>
      </w:r>
      <w:r w:rsidR="0077058D">
        <w:rPr>
          <w:rFonts w:ascii="Tahoma" w:hAnsi="Tahoma" w:cs="Tahoma"/>
          <w:sz w:val="24"/>
          <w:szCs w:val="24"/>
          <w:lang w:val="en-US"/>
        </w:rPr>
        <w:t>ro-</w:t>
      </w:r>
      <w:r w:rsidR="000317BB">
        <w:rPr>
          <w:rFonts w:ascii="Tahoma" w:hAnsi="Tahoma" w:cs="Tahoma"/>
          <w:sz w:val="24"/>
          <w:szCs w:val="24"/>
          <w:lang w:val="en-US"/>
        </w:rPr>
        <w:t>Ar</w:t>
      </w:r>
      <w:r w:rsidR="0077058D">
        <w:rPr>
          <w:rFonts w:ascii="Tahoma" w:hAnsi="Tahoma" w:cs="Tahoma"/>
          <w:sz w:val="24"/>
          <w:szCs w:val="24"/>
          <w:lang w:val="en-US"/>
        </w:rPr>
        <w:t xml:space="preserve">ea activity </w:t>
      </w:r>
      <w:r w:rsidR="000317BB">
        <w:rPr>
          <w:rFonts w:ascii="Tahoma" w:hAnsi="Tahoma" w:cs="Tahoma"/>
          <w:sz w:val="24"/>
          <w:szCs w:val="24"/>
          <w:lang w:val="en-US"/>
        </w:rPr>
        <w:t>is expected to increase with growth projected at 0.9% in 2024 from 0.5% in 2023</w:t>
      </w:r>
      <w:r w:rsidR="0077058D">
        <w:rPr>
          <w:rFonts w:ascii="Tahoma" w:hAnsi="Tahoma" w:cs="Tahoma"/>
          <w:sz w:val="24"/>
          <w:szCs w:val="24"/>
          <w:lang w:val="en-US"/>
        </w:rPr>
        <w:t xml:space="preserve"> driven by stronger momentum in services and higher than expected net exports. </w:t>
      </w:r>
    </w:p>
    <w:p w14:paraId="51D1F2B7" w14:textId="7CA5EA18" w:rsidR="00A521E9" w:rsidRPr="00863A17" w:rsidRDefault="00A53F01" w:rsidP="00A521E9">
      <w:pPr>
        <w:ind w:left="720" w:hanging="720"/>
        <w:jc w:val="both"/>
        <w:rPr>
          <w:rFonts w:ascii="Tahoma" w:hAnsi="Tahoma" w:cs="Tahoma"/>
          <w:sz w:val="24"/>
          <w:szCs w:val="24"/>
          <w:lang w:val="en-US"/>
        </w:rPr>
      </w:pPr>
      <w:r>
        <w:rPr>
          <w:rFonts w:ascii="Tahoma" w:hAnsi="Tahoma" w:cs="Tahoma"/>
          <w:sz w:val="24"/>
          <w:szCs w:val="24"/>
          <w:lang w:val="en-US"/>
        </w:rPr>
        <w:t>1.1.4</w:t>
      </w:r>
      <w:r>
        <w:rPr>
          <w:rFonts w:ascii="Tahoma" w:hAnsi="Tahoma" w:cs="Tahoma"/>
          <w:sz w:val="24"/>
          <w:szCs w:val="24"/>
          <w:lang w:val="en-US"/>
        </w:rPr>
        <w:tab/>
      </w:r>
      <w:r w:rsidR="0077058D">
        <w:rPr>
          <w:rFonts w:ascii="Tahoma" w:hAnsi="Tahoma" w:cs="Tahoma"/>
          <w:sz w:val="24"/>
          <w:szCs w:val="24"/>
          <w:lang w:val="en-US"/>
        </w:rPr>
        <w:t xml:space="preserve">Emerging markets and developing economies </w:t>
      </w:r>
      <w:r w:rsidR="000317BB">
        <w:rPr>
          <w:rFonts w:ascii="Tahoma" w:hAnsi="Tahoma" w:cs="Tahoma"/>
          <w:sz w:val="24"/>
          <w:szCs w:val="24"/>
          <w:lang w:val="en-US"/>
        </w:rPr>
        <w:t xml:space="preserve">are </w:t>
      </w:r>
      <w:r w:rsidR="0077058D">
        <w:rPr>
          <w:rFonts w:ascii="Tahoma" w:hAnsi="Tahoma" w:cs="Tahoma"/>
          <w:sz w:val="24"/>
          <w:szCs w:val="24"/>
          <w:lang w:val="en-US"/>
        </w:rPr>
        <w:t>projected</w:t>
      </w:r>
      <w:r w:rsidR="000317BB">
        <w:rPr>
          <w:rFonts w:ascii="Tahoma" w:hAnsi="Tahoma" w:cs="Tahoma"/>
          <w:sz w:val="24"/>
          <w:szCs w:val="24"/>
          <w:lang w:val="en-US"/>
        </w:rPr>
        <w:t xml:space="preserve"> to decline to 4.3% in 2024 from 4.4% in 2024 </w:t>
      </w:r>
      <w:r w:rsidR="0077058D">
        <w:rPr>
          <w:rFonts w:ascii="Tahoma" w:hAnsi="Tahoma" w:cs="Tahoma"/>
          <w:sz w:val="24"/>
          <w:szCs w:val="24"/>
          <w:lang w:val="en-US"/>
        </w:rPr>
        <w:t xml:space="preserve"> </w:t>
      </w:r>
      <w:r w:rsidR="000317BB">
        <w:rPr>
          <w:rFonts w:ascii="Tahoma" w:hAnsi="Tahoma" w:cs="Tahoma"/>
          <w:sz w:val="24"/>
          <w:szCs w:val="24"/>
          <w:lang w:val="en-US"/>
        </w:rPr>
        <w:t>due to</w:t>
      </w:r>
      <w:r w:rsidR="0077058D">
        <w:rPr>
          <w:rFonts w:ascii="Tahoma" w:hAnsi="Tahoma" w:cs="Tahoma"/>
          <w:sz w:val="24"/>
          <w:szCs w:val="24"/>
          <w:lang w:val="en-US"/>
        </w:rPr>
        <w:t xml:space="preserve"> </w:t>
      </w:r>
      <w:r w:rsidR="000317BB">
        <w:rPr>
          <w:rFonts w:ascii="Tahoma" w:hAnsi="Tahoma" w:cs="Tahoma"/>
          <w:sz w:val="24"/>
          <w:szCs w:val="24"/>
          <w:lang w:val="en-US"/>
        </w:rPr>
        <w:t>weak</w:t>
      </w:r>
      <w:r w:rsidR="0077058D">
        <w:rPr>
          <w:rFonts w:ascii="Tahoma" w:hAnsi="Tahoma" w:cs="Tahoma"/>
          <w:sz w:val="24"/>
          <w:szCs w:val="24"/>
          <w:lang w:val="en-US"/>
        </w:rPr>
        <w:t xml:space="preserve"> activity in Asia, particularly China and India. </w:t>
      </w:r>
      <w:r>
        <w:rPr>
          <w:rFonts w:ascii="Tahoma" w:hAnsi="Tahoma" w:cs="Tahoma"/>
          <w:sz w:val="24"/>
          <w:szCs w:val="24"/>
          <w:lang w:val="en-US"/>
        </w:rPr>
        <w:t xml:space="preserve">In 2024, </w:t>
      </w:r>
      <w:r w:rsidR="0077058D">
        <w:rPr>
          <w:rFonts w:ascii="Tahoma" w:hAnsi="Tahoma" w:cs="Tahoma"/>
          <w:sz w:val="24"/>
          <w:szCs w:val="24"/>
          <w:lang w:val="en-US"/>
        </w:rPr>
        <w:t>Sub-Saharan Africa</w:t>
      </w:r>
      <w:r w:rsidR="000317BB">
        <w:rPr>
          <w:rFonts w:ascii="Tahoma" w:hAnsi="Tahoma" w:cs="Tahoma"/>
          <w:sz w:val="24"/>
          <w:szCs w:val="24"/>
          <w:lang w:val="en-US"/>
        </w:rPr>
        <w:t xml:space="preserve"> (SSA)</w:t>
      </w:r>
      <w:r w:rsidR="0077058D">
        <w:rPr>
          <w:rFonts w:ascii="Tahoma" w:hAnsi="Tahoma" w:cs="Tahoma"/>
          <w:sz w:val="24"/>
          <w:szCs w:val="24"/>
          <w:lang w:val="en-US"/>
        </w:rPr>
        <w:t xml:space="preserve"> growth </w:t>
      </w:r>
      <w:r w:rsidR="000317BB">
        <w:rPr>
          <w:rFonts w:ascii="Tahoma" w:hAnsi="Tahoma" w:cs="Tahoma"/>
          <w:sz w:val="24"/>
          <w:szCs w:val="24"/>
          <w:lang w:val="en-US"/>
        </w:rPr>
        <w:t>is</w:t>
      </w:r>
      <w:r w:rsidR="0077058D">
        <w:rPr>
          <w:rFonts w:ascii="Tahoma" w:hAnsi="Tahoma" w:cs="Tahoma"/>
          <w:sz w:val="24"/>
          <w:szCs w:val="24"/>
          <w:lang w:val="en-US"/>
        </w:rPr>
        <w:t xml:space="preserve"> most</w:t>
      </w:r>
      <w:r>
        <w:rPr>
          <w:rFonts w:ascii="Tahoma" w:hAnsi="Tahoma" w:cs="Tahoma"/>
          <w:sz w:val="24"/>
          <w:szCs w:val="24"/>
          <w:lang w:val="en-US"/>
        </w:rPr>
        <w:t>ly</w:t>
      </w:r>
      <w:r w:rsidR="0077058D">
        <w:rPr>
          <w:rFonts w:ascii="Tahoma" w:hAnsi="Tahoma" w:cs="Tahoma"/>
          <w:sz w:val="24"/>
          <w:szCs w:val="24"/>
          <w:lang w:val="en-US"/>
        </w:rPr>
        <w:t xml:space="preserve"> attributed to </w:t>
      </w:r>
      <w:r w:rsidR="000317BB">
        <w:rPr>
          <w:rFonts w:ascii="Tahoma" w:hAnsi="Tahoma" w:cs="Tahoma"/>
          <w:sz w:val="24"/>
          <w:szCs w:val="24"/>
          <w:lang w:val="en-US"/>
        </w:rPr>
        <w:t xml:space="preserve">stronger </w:t>
      </w:r>
      <w:r w:rsidR="0077058D">
        <w:rPr>
          <w:rFonts w:ascii="Tahoma" w:hAnsi="Tahoma" w:cs="Tahoma"/>
          <w:sz w:val="24"/>
          <w:szCs w:val="24"/>
          <w:lang w:val="en-US"/>
        </w:rPr>
        <w:t xml:space="preserve">than expected activity in Nigeria </w:t>
      </w:r>
      <w:r w:rsidR="000317BB">
        <w:rPr>
          <w:rFonts w:ascii="Tahoma" w:hAnsi="Tahoma" w:cs="Tahoma"/>
          <w:sz w:val="24"/>
          <w:szCs w:val="24"/>
          <w:lang w:val="en-US"/>
        </w:rPr>
        <w:t xml:space="preserve">and South Africa as these economies are expected to register growth rates of 3.1% and 0.9% in 2024 respectively, which are up from 2.9% and 0.7% recorded in 2023, respectively. </w:t>
      </w:r>
    </w:p>
    <w:p w14:paraId="7E5935A3" w14:textId="77777777" w:rsidR="007A3E1D" w:rsidRPr="00863A17" w:rsidRDefault="004F680D" w:rsidP="00BC5A90">
      <w:pPr>
        <w:pStyle w:val="Heading2"/>
        <w:spacing w:before="0" w:after="240" w:line="240" w:lineRule="auto"/>
        <w:rPr>
          <w:rFonts w:cs="Tahoma"/>
          <w:b/>
          <w:color w:val="000000"/>
          <w:szCs w:val="24"/>
          <w:lang w:val="en-US"/>
        </w:rPr>
      </w:pPr>
      <w:bookmarkStart w:id="10" w:name="_Toc166607891"/>
      <w:bookmarkStart w:id="11" w:name="_Toc175829609"/>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0"/>
      <w:bookmarkEnd w:id="11"/>
      <w:r w:rsidR="007A3E1D" w:rsidRPr="00863A17">
        <w:rPr>
          <w:rFonts w:cs="Tahoma"/>
          <w:b/>
          <w:color w:val="000000"/>
          <w:szCs w:val="24"/>
          <w:lang w:val="en-US"/>
        </w:rPr>
        <w:t xml:space="preserve"> </w:t>
      </w:r>
    </w:p>
    <w:p w14:paraId="1C9342BC" w14:textId="77777777" w:rsidR="00AC57A9" w:rsidRDefault="004F680D" w:rsidP="00BC5A90">
      <w:pPr>
        <w:ind w:left="720" w:hanging="720"/>
        <w:jc w:val="both"/>
        <w:rPr>
          <w:rFonts w:ascii="Tahoma" w:hAnsi="Tahoma" w:cs="Tahoma"/>
          <w:sz w:val="24"/>
          <w:szCs w:val="24"/>
        </w:rPr>
      </w:pPr>
      <w:r w:rsidRPr="00863A17">
        <w:rPr>
          <w:rFonts w:ascii="Tahoma" w:hAnsi="Tahoma" w:cs="Tahoma"/>
          <w:sz w:val="24"/>
          <w:szCs w:val="24"/>
          <w:lang w:val="en-US"/>
        </w:rPr>
        <w:t>1.2.1</w:t>
      </w:r>
      <w:r w:rsidRPr="00863A17">
        <w:rPr>
          <w:rFonts w:ascii="Tahoma" w:hAnsi="Tahoma" w:cs="Tahoma"/>
          <w:sz w:val="24"/>
          <w:szCs w:val="24"/>
          <w:lang w:val="en-US"/>
        </w:rPr>
        <w:tab/>
      </w:r>
      <w:r w:rsidR="00854002">
        <w:rPr>
          <w:rFonts w:ascii="Tahoma" w:hAnsi="Tahoma" w:cs="Tahoma"/>
          <w:sz w:val="24"/>
          <w:szCs w:val="24"/>
          <w:lang w:val="en-US"/>
        </w:rPr>
        <w:t>According to the IMF WEO July 2024 Update, s</w:t>
      </w:r>
      <w:r w:rsidR="00854002" w:rsidRPr="00854002">
        <w:rPr>
          <w:rFonts w:ascii="Tahoma" w:hAnsi="Tahoma" w:cs="Tahoma"/>
          <w:sz w:val="24"/>
          <w:szCs w:val="24"/>
        </w:rPr>
        <w:t xml:space="preserve">ervices inflation is holding up progress on disinflation, which is complicating monetary policy normalization. Upside risks to inflation have thus increased, raising the prospect of higher for </w:t>
      </w:r>
      <w:r w:rsidR="00854002" w:rsidRPr="00854002">
        <w:rPr>
          <w:rFonts w:ascii="Tahoma" w:hAnsi="Tahoma" w:cs="Tahoma"/>
          <w:sz w:val="24"/>
          <w:szCs w:val="24"/>
        </w:rPr>
        <w:lastRenderedPageBreak/>
        <w:t>even longer interest rates, in the context of escalating trade tensions and increased policy uncertainty. </w:t>
      </w:r>
    </w:p>
    <w:p w14:paraId="3F6BA247" w14:textId="09145D0F" w:rsidR="006A6773" w:rsidRPr="00863A17" w:rsidRDefault="00AC57A9" w:rsidP="00BC5A90">
      <w:pPr>
        <w:ind w:left="720" w:hanging="720"/>
        <w:jc w:val="both"/>
        <w:rPr>
          <w:rFonts w:ascii="Tahoma" w:hAnsi="Tahoma" w:cs="Tahoma"/>
          <w:sz w:val="24"/>
          <w:szCs w:val="24"/>
          <w:lang w:val="en-US"/>
        </w:rPr>
      </w:pPr>
      <w:r>
        <w:rPr>
          <w:rFonts w:ascii="Tahoma" w:hAnsi="Tahoma" w:cs="Tahoma"/>
          <w:sz w:val="24"/>
          <w:szCs w:val="24"/>
        </w:rPr>
        <w:t>1.2.2</w:t>
      </w:r>
      <w:r>
        <w:rPr>
          <w:rFonts w:ascii="Tahoma" w:hAnsi="Tahoma" w:cs="Tahoma"/>
          <w:sz w:val="24"/>
          <w:szCs w:val="24"/>
        </w:rPr>
        <w:tab/>
      </w:r>
      <w:r w:rsidR="00854002">
        <w:rPr>
          <w:rFonts w:ascii="Tahoma" w:hAnsi="Tahoma" w:cs="Tahoma"/>
          <w:sz w:val="24"/>
          <w:szCs w:val="24"/>
          <w:lang w:val="en-US"/>
        </w:rPr>
        <w:t>I</w:t>
      </w:r>
      <w:r w:rsidR="004D32BD">
        <w:rPr>
          <w:rFonts w:ascii="Tahoma" w:hAnsi="Tahoma" w:cs="Tahoma"/>
          <w:sz w:val="24"/>
          <w:szCs w:val="24"/>
          <w:lang w:val="en-US"/>
        </w:rPr>
        <w:t>n advanced economies, the reviewed forecast is for the pace of disinflation to slow in 2024 and 2025 while inflation is expected to remain high in emerging markets and developing economies (to drop more slowly) than in advanced economies.</w:t>
      </w:r>
    </w:p>
    <w:p w14:paraId="16CEC77B" w14:textId="77777777" w:rsidR="00BB6E27" w:rsidRPr="00546CD8" w:rsidRDefault="004F680D" w:rsidP="00760CF6">
      <w:pPr>
        <w:pStyle w:val="Heading2"/>
        <w:spacing w:after="240"/>
        <w:rPr>
          <w:b/>
          <w:bCs/>
          <w:lang w:val="en-US"/>
        </w:rPr>
      </w:pPr>
      <w:bookmarkStart w:id="12" w:name="_Toc166607892"/>
      <w:bookmarkStart w:id="13" w:name="_Toc175829610"/>
      <w:r w:rsidRPr="00546CD8">
        <w:rPr>
          <w:b/>
          <w:bCs/>
          <w:lang w:val="en-US"/>
        </w:rPr>
        <w:t>2.0</w:t>
      </w:r>
      <w:r w:rsidRPr="00546CD8">
        <w:rPr>
          <w:b/>
          <w:bCs/>
          <w:lang w:val="en-US"/>
        </w:rPr>
        <w:tab/>
      </w:r>
      <w:r w:rsidR="00EF37FE" w:rsidRPr="00546CD8">
        <w:rPr>
          <w:b/>
          <w:bCs/>
          <w:lang w:val="en-US"/>
        </w:rPr>
        <w:t>International Commodity Prices</w:t>
      </w:r>
      <w:bookmarkEnd w:id="12"/>
      <w:bookmarkEnd w:id="13"/>
      <w:r w:rsidR="00EF37FE" w:rsidRPr="00546CD8">
        <w:rPr>
          <w:b/>
          <w:bCs/>
          <w:lang w:val="en-US"/>
        </w:rPr>
        <w:t xml:space="preserve"> </w:t>
      </w:r>
    </w:p>
    <w:p w14:paraId="15C78297" w14:textId="2A1F7C0A" w:rsidR="00E63C0D" w:rsidRPr="00863A17" w:rsidRDefault="004F680D" w:rsidP="0047159F">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AB665D" w:rsidRPr="00863A17">
        <w:rPr>
          <w:rFonts w:ascii="Tahoma" w:hAnsi="Tahoma" w:cs="Tahoma"/>
          <w:sz w:val="24"/>
          <w:szCs w:val="24"/>
          <w:lang w:val="en-US"/>
        </w:rPr>
        <w:t xml:space="preserve">During the </w:t>
      </w:r>
      <w:r w:rsidR="00D10063">
        <w:rPr>
          <w:rFonts w:ascii="Tahoma" w:hAnsi="Tahoma" w:cs="Tahoma"/>
          <w:sz w:val="24"/>
          <w:szCs w:val="24"/>
          <w:lang w:val="en-US"/>
        </w:rPr>
        <w:t>period</w:t>
      </w:r>
      <w:r w:rsidR="00AB665D" w:rsidRPr="00863A17">
        <w:rPr>
          <w:rFonts w:ascii="Tahoma" w:hAnsi="Tahoma" w:cs="Tahoma"/>
          <w:sz w:val="24"/>
          <w:szCs w:val="24"/>
          <w:lang w:val="en-US"/>
        </w:rPr>
        <w:t xml:space="preserve"> under review,</w:t>
      </w:r>
      <w:r w:rsidR="00D10063">
        <w:rPr>
          <w:rFonts w:ascii="Tahoma" w:hAnsi="Tahoma" w:cs="Tahoma"/>
          <w:sz w:val="24"/>
          <w:szCs w:val="24"/>
          <w:lang w:val="en-US"/>
        </w:rPr>
        <w:t xml:space="preserve"> </w:t>
      </w:r>
      <w:r w:rsidR="00AB665D" w:rsidRPr="00863A17">
        <w:rPr>
          <w:rFonts w:ascii="Tahoma" w:hAnsi="Tahoma" w:cs="Tahoma"/>
          <w:sz w:val="24"/>
          <w:szCs w:val="24"/>
          <w:lang w:val="en-US"/>
        </w:rPr>
        <w:t>commodity prices registered a</w:t>
      </w:r>
      <w:r w:rsidR="00C67198" w:rsidRPr="00863A17">
        <w:rPr>
          <w:rFonts w:ascii="Tahoma" w:hAnsi="Tahoma" w:cs="Tahoma"/>
          <w:sz w:val="24"/>
          <w:szCs w:val="24"/>
          <w:lang w:val="en-US"/>
        </w:rPr>
        <w:t xml:space="preserve"> </w:t>
      </w:r>
      <w:r w:rsidR="00E63C0D">
        <w:rPr>
          <w:rFonts w:ascii="Tahoma" w:hAnsi="Tahoma" w:cs="Tahoma"/>
          <w:sz w:val="24"/>
          <w:szCs w:val="24"/>
          <w:lang w:val="en-US"/>
        </w:rPr>
        <w:t>negative</w:t>
      </w:r>
      <w:r w:rsidR="007829BA">
        <w:rPr>
          <w:rFonts w:ascii="Tahoma" w:hAnsi="Tahoma" w:cs="Tahoma"/>
          <w:sz w:val="24"/>
          <w:szCs w:val="24"/>
          <w:lang w:val="en-US"/>
        </w:rPr>
        <w:t xml:space="preserve"> </w:t>
      </w:r>
      <w:r w:rsidR="00AC57A9">
        <w:rPr>
          <w:rFonts w:ascii="Tahoma" w:hAnsi="Tahoma" w:cs="Tahoma"/>
          <w:sz w:val="24"/>
          <w:szCs w:val="24"/>
          <w:lang w:val="en-US"/>
        </w:rPr>
        <w:t>trend,</w:t>
      </w:r>
      <w:r w:rsidR="00E63C0D">
        <w:rPr>
          <w:rFonts w:ascii="Tahoma" w:hAnsi="Tahoma" w:cs="Tahoma"/>
          <w:sz w:val="24"/>
          <w:szCs w:val="24"/>
          <w:lang w:val="en-US"/>
        </w:rPr>
        <w:t xml:space="preserve"> albeit gold and cotton prices </w:t>
      </w:r>
      <w:r w:rsidR="00AC57A9">
        <w:rPr>
          <w:rFonts w:ascii="Tahoma" w:hAnsi="Tahoma" w:cs="Tahoma"/>
          <w:sz w:val="24"/>
          <w:szCs w:val="24"/>
          <w:lang w:val="en-US"/>
        </w:rPr>
        <w:t xml:space="preserve">that </w:t>
      </w:r>
      <w:r w:rsidR="00E63C0D">
        <w:rPr>
          <w:rFonts w:ascii="Tahoma" w:hAnsi="Tahoma" w:cs="Tahoma"/>
          <w:sz w:val="24"/>
          <w:szCs w:val="24"/>
          <w:lang w:val="en-US"/>
        </w:rPr>
        <w:t>gain</w:t>
      </w:r>
      <w:r w:rsidR="00AC57A9">
        <w:rPr>
          <w:rFonts w:ascii="Tahoma" w:hAnsi="Tahoma" w:cs="Tahoma"/>
          <w:sz w:val="24"/>
          <w:szCs w:val="24"/>
          <w:lang w:val="en-US"/>
        </w:rPr>
        <w:t>ed</w:t>
      </w:r>
      <w:r w:rsidR="00E63C0D">
        <w:rPr>
          <w:rFonts w:ascii="Tahoma" w:hAnsi="Tahoma" w:cs="Tahoma"/>
          <w:sz w:val="24"/>
          <w:szCs w:val="24"/>
          <w:lang w:val="en-US"/>
        </w:rPr>
        <w:t xml:space="preserve"> by 5.13% and 7.01% respectively. Crude oil,</w:t>
      </w:r>
      <w:r w:rsidR="00D10063">
        <w:rPr>
          <w:rFonts w:ascii="Tahoma" w:hAnsi="Tahoma" w:cs="Tahoma"/>
          <w:sz w:val="24"/>
          <w:szCs w:val="24"/>
          <w:lang w:val="en-US"/>
        </w:rPr>
        <w:t xml:space="preserve"> </w:t>
      </w:r>
      <w:r w:rsidR="001C3F65">
        <w:rPr>
          <w:rFonts w:ascii="Tahoma" w:hAnsi="Tahoma" w:cs="Tahoma"/>
          <w:sz w:val="24"/>
          <w:szCs w:val="24"/>
          <w:lang w:val="en-US"/>
        </w:rPr>
        <w:t>n</w:t>
      </w:r>
      <w:r w:rsidR="00D10063">
        <w:rPr>
          <w:rFonts w:ascii="Tahoma" w:hAnsi="Tahoma" w:cs="Tahoma"/>
          <w:sz w:val="24"/>
          <w:szCs w:val="24"/>
          <w:lang w:val="en-US"/>
        </w:rPr>
        <w:t>atural</w:t>
      </w:r>
      <w:r w:rsidR="003C3CA1">
        <w:rPr>
          <w:rFonts w:ascii="Tahoma" w:hAnsi="Tahoma" w:cs="Tahoma"/>
          <w:sz w:val="24"/>
          <w:szCs w:val="24"/>
          <w:lang w:val="en-US"/>
        </w:rPr>
        <w:t xml:space="preserve"> </w:t>
      </w:r>
      <w:r w:rsidR="00E63C0D">
        <w:rPr>
          <w:rFonts w:ascii="Tahoma" w:hAnsi="Tahoma" w:cs="Tahoma"/>
          <w:sz w:val="24"/>
          <w:szCs w:val="24"/>
          <w:lang w:val="en-US"/>
        </w:rPr>
        <w:t xml:space="preserve">gas, </w:t>
      </w:r>
      <w:r w:rsidR="001C3F65">
        <w:rPr>
          <w:rFonts w:ascii="Tahoma" w:hAnsi="Tahoma" w:cs="Tahoma"/>
          <w:sz w:val="24"/>
          <w:szCs w:val="24"/>
          <w:lang w:val="en-US"/>
        </w:rPr>
        <w:t>a</w:t>
      </w:r>
      <w:r w:rsidR="00D10063">
        <w:rPr>
          <w:rFonts w:ascii="Tahoma" w:hAnsi="Tahoma" w:cs="Tahoma"/>
          <w:sz w:val="24"/>
          <w:szCs w:val="24"/>
          <w:lang w:val="en-US"/>
        </w:rPr>
        <w:t xml:space="preserve">luminum, </w:t>
      </w:r>
      <w:r w:rsidR="001C3F65">
        <w:rPr>
          <w:rFonts w:ascii="Tahoma" w:hAnsi="Tahoma" w:cs="Tahoma"/>
          <w:sz w:val="24"/>
          <w:szCs w:val="24"/>
          <w:lang w:val="en-US"/>
        </w:rPr>
        <w:t>c</w:t>
      </w:r>
      <w:r w:rsidR="00D10063">
        <w:rPr>
          <w:rFonts w:ascii="Tahoma" w:hAnsi="Tahoma" w:cs="Tahoma"/>
          <w:sz w:val="24"/>
          <w:szCs w:val="24"/>
          <w:lang w:val="en-US"/>
        </w:rPr>
        <w:t xml:space="preserve">opper, </w:t>
      </w:r>
      <w:r w:rsidR="001C3F65">
        <w:rPr>
          <w:rFonts w:ascii="Tahoma" w:hAnsi="Tahoma" w:cs="Tahoma"/>
          <w:sz w:val="24"/>
          <w:szCs w:val="24"/>
          <w:lang w:val="en-US"/>
        </w:rPr>
        <w:t>n</w:t>
      </w:r>
      <w:r w:rsidR="00E63C0D">
        <w:rPr>
          <w:rFonts w:ascii="Tahoma" w:hAnsi="Tahoma" w:cs="Tahoma"/>
          <w:sz w:val="24"/>
          <w:szCs w:val="24"/>
          <w:lang w:val="en-US"/>
        </w:rPr>
        <w:t>ickel, soybeans</w:t>
      </w:r>
      <w:r w:rsidR="00D10063">
        <w:rPr>
          <w:rFonts w:ascii="Tahoma" w:hAnsi="Tahoma" w:cs="Tahoma"/>
          <w:sz w:val="24"/>
          <w:szCs w:val="24"/>
          <w:lang w:val="en-US"/>
        </w:rPr>
        <w:t xml:space="preserve">, corn and wheat </w:t>
      </w:r>
      <w:r w:rsidR="00E63C0D">
        <w:rPr>
          <w:rFonts w:ascii="Tahoma" w:hAnsi="Tahoma" w:cs="Tahoma"/>
          <w:sz w:val="24"/>
          <w:szCs w:val="24"/>
          <w:lang w:val="en-US"/>
        </w:rPr>
        <w:t xml:space="preserve">prices </w:t>
      </w:r>
      <w:r w:rsidR="00D10063">
        <w:rPr>
          <w:rFonts w:ascii="Tahoma" w:hAnsi="Tahoma" w:cs="Tahoma"/>
          <w:sz w:val="24"/>
          <w:szCs w:val="24"/>
          <w:lang w:val="en-US"/>
        </w:rPr>
        <w:t>fell on a month-on-month basis</w:t>
      </w:r>
      <w:r w:rsidR="00BA281B">
        <w:rPr>
          <w:rFonts w:ascii="Tahoma" w:hAnsi="Tahoma" w:cs="Tahoma"/>
          <w:sz w:val="24"/>
          <w:szCs w:val="24"/>
          <w:lang w:val="en-US"/>
        </w:rPr>
        <w:t xml:space="preserve"> (see Table 2)</w:t>
      </w:r>
      <w:r w:rsidR="00D10063">
        <w:rPr>
          <w:rFonts w:ascii="Tahoma" w:hAnsi="Tahoma" w:cs="Tahoma"/>
          <w:sz w:val="24"/>
          <w:szCs w:val="24"/>
          <w:lang w:val="en-US"/>
        </w:rPr>
        <w:t>.</w:t>
      </w:r>
      <w:r w:rsidR="006D4D2B">
        <w:rPr>
          <w:rFonts w:ascii="Tahoma" w:hAnsi="Tahoma" w:cs="Tahoma"/>
          <w:sz w:val="24"/>
          <w:szCs w:val="24"/>
          <w:lang w:val="en-US"/>
        </w:rPr>
        <w:t xml:space="preserve"> </w:t>
      </w:r>
      <w:r w:rsidR="003C3CA1">
        <w:rPr>
          <w:rFonts w:ascii="Tahoma" w:hAnsi="Tahoma" w:cs="Tahoma"/>
          <w:sz w:val="24"/>
          <w:szCs w:val="24"/>
          <w:lang w:val="en-US"/>
        </w:rPr>
        <w:t xml:space="preserve"> </w:t>
      </w:r>
    </w:p>
    <w:p w14:paraId="21E9AA95" w14:textId="77777777" w:rsidR="00E63C0D" w:rsidRPr="00E63C0D" w:rsidRDefault="004F680D" w:rsidP="00E63C0D">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AB665D" w:rsidRPr="000C29DA">
        <w:rPr>
          <w:rFonts w:ascii="Tahoma" w:hAnsi="Tahoma" w:cs="Tahoma"/>
          <w:sz w:val="24"/>
          <w:szCs w:val="24"/>
          <w:lang w:val="en-US"/>
        </w:rPr>
        <w:t xml:space="preserve">On a </w:t>
      </w:r>
      <w:r w:rsidR="00E54A43" w:rsidRPr="000C29DA">
        <w:rPr>
          <w:rFonts w:ascii="Tahoma" w:hAnsi="Tahoma" w:cs="Tahoma"/>
          <w:sz w:val="24"/>
          <w:szCs w:val="24"/>
          <w:lang w:val="en-US"/>
        </w:rPr>
        <w:t>year-to-date</w:t>
      </w:r>
      <w:r w:rsidR="00AB665D" w:rsidRPr="000C29DA">
        <w:rPr>
          <w:rFonts w:ascii="Tahoma" w:hAnsi="Tahoma" w:cs="Tahoma"/>
          <w:sz w:val="24"/>
          <w:szCs w:val="24"/>
          <w:lang w:val="en-US"/>
        </w:rPr>
        <w:t xml:space="preserve"> basis (YtD)</w:t>
      </w:r>
      <w:r w:rsidR="00E63C0D">
        <w:rPr>
          <w:rFonts w:ascii="Tahoma" w:hAnsi="Tahoma" w:cs="Tahoma"/>
          <w:sz w:val="24"/>
          <w:szCs w:val="24"/>
          <w:lang w:val="en-US"/>
        </w:rPr>
        <w:t xml:space="preserve"> basis, crude oil, </w:t>
      </w:r>
      <w:r w:rsidR="00A51547">
        <w:rPr>
          <w:rFonts w:ascii="Tahoma" w:hAnsi="Tahoma" w:cs="Tahoma"/>
          <w:sz w:val="24"/>
          <w:szCs w:val="24"/>
          <w:lang w:val="en-US"/>
        </w:rPr>
        <w:t>aluminum, copper, nickel and gold prices gained while</w:t>
      </w:r>
      <w:r w:rsidR="00E63C0D">
        <w:rPr>
          <w:rFonts w:ascii="Tahoma" w:hAnsi="Tahoma" w:cs="Tahoma"/>
          <w:sz w:val="24"/>
          <w:szCs w:val="24"/>
          <w:lang w:val="en-US"/>
        </w:rPr>
        <w:t xml:space="preserve"> natural gas,</w:t>
      </w:r>
      <w:r w:rsidR="00A51547">
        <w:rPr>
          <w:rFonts w:ascii="Tahoma" w:hAnsi="Tahoma" w:cs="Tahoma"/>
          <w:sz w:val="24"/>
          <w:szCs w:val="24"/>
          <w:lang w:val="en-US"/>
        </w:rPr>
        <w:t xml:space="preserve"> cotton, </w:t>
      </w:r>
      <w:r w:rsidR="00E63C0D">
        <w:rPr>
          <w:rFonts w:ascii="Tahoma" w:hAnsi="Tahoma" w:cs="Tahoma"/>
          <w:sz w:val="24"/>
          <w:szCs w:val="24"/>
          <w:lang w:val="en-US"/>
        </w:rPr>
        <w:t>soybeans</w:t>
      </w:r>
      <w:r w:rsidR="00A51547">
        <w:rPr>
          <w:rFonts w:ascii="Tahoma" w:hAnsi="Tahoma" w:cs="Tahoma"/>
          <w:sz w:val="24"/>
          <w:szCs w:val="24"/>
          <w:lang w:val="en-US"/>
        </w:rPr>
        <w:t>, corn and wheat prices registered a decline.</w:t>
      </w:r>
      <w:r w:rsidR="00AB665D" w:rsidRPr="000C29DA">
        <w:rPr>
          <w:rFonts w:ascii="Tahoma" w:hAnsi="Tahoma" w:cs="Tahoma"/>
          <w:sz w:val="24"/>
          <w:szCs w:val="24"/>
          <w:lang w:val="en-US"/>
        </w:rPr>
        <w:t xml:space="preserve"> </w:t>
      </w:r>
    </w:p>
    <w:p w14:paraId="2B691D12" w14:textId="6334C2A1" w:rsidR="00AC57A9"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r w:rsidR="00F50599" w:rsidRPr="00647E48">
        <w:rPr>
          <w:rFonts w:ascii="Tahoma" w:hAnsi="Tahoma" w:cs="Tahoma"/>
          <w:sz w:val="24"/>
          <w:szCs w:val="24"/>
          <w:lang w:val="en-US"/>
        </w:rPr>
        <w:t xml:space="preserve">On </w:t>
      </w:r>
      <w:r w:rsidR="00A51547">
        <w:rPr>
          <w:rFonts w:ascii="Tahoma" w:hAnsi="Tahoma" w:cs="Tahoma"/>
          <w:sz w:val="24"/>
          <w:szCs w:val="24"/>
          <w:lang w:val="en-US"/>
        </w:rPr>
        <w:t>a year-on</w:t>
      </w:r>
      <w:r w:rsidR="00E63C0D">
        <w:rPr>
          <w:rFonts w:ascii="Tahoma" w:hAnsi="Tahoma" w:cs="Tahoma"/>
          <w:sz w:val="24"/>
          <w:szCs w:val="24"/>
          <w:lang w:val="en-US"/>
        </w:rPr>
        <w:t>-year basis</w:t>
      </w:r>
      <w:r w:rsidR="00AC57A9">
        <w:rPr>
          <w:rFonts w:ascii="Tahoma" w:hAnsi="Tahoma" w:cs="Tahoma"/>
          <w:sz w:val="24"/>
          <w:szCs w:val="24"/>
          <w:lang w:val="en-US"/>
        </w:rPr>
        <w:t xml:space="preserve"> (YoY)</w:t>
      </w:r>
      <w:r w:rsidR="00E63C0D">
        <w:rPr>
          <w:rFonts w:ascii="Tahoma" w:hAnsi="Tahoma" w:cs="Tahoma"/>
          <w:sz w:val="24"/>
          <w:szCs w:val="24"/>
          <w:lang w:val="en-US"/>
        </w:rPr>
        <w:t>, prices of</w:t>
      </w:r>
      <w:r w:rsidR="00A51547">
        <w:rPr>
          <w:rFonts w:ascii="Tahoma" w:hAnsi="Tahoma" w:cs="Tahoma"/>
          <w:sz w:val="24"/>
          <w:szCs w:val="24"/>
          <w:lang w:val="en-US"/>
        </w:rPr>
        <w:t xml:space="preserve"> aluminum, co</w:t>
      </w:r>
      <w:r w:rsidR="00E63C0D">
        <w:rPr>
          <w:rFonts w:ascii="Tahoma" w:hAnsi="Tahoma" w:cs="Tahoma"/>
          <w:sz w:val="24"/>
          <w:szCs w:val="24"/>
          <w:lang w:val="en-US"/>
        </w:rPr>
        <w:t xml:space="preserve">pper, and gold </w:t>
      </w:r>
      <w:r w:rsidR="00AC57A9">
        <w:rPr>
          <w:rFonts w:ascii="Tahoma" w:hAnsi="Tahoma" w:cs="Tahoma"/>
          <w:sz w:val="24"/>
          <w:szCs w:val="24"/>
          <w:lang w:val="en-US"/>
        </w:rPr>
        <w:t xml:space="preserve">gained </w:t>
      </w:r>
      <w:r w:rsidR="00E63C0D">
        <w:rPr>
          <w:rFonts w:ascii="Tahoma" w:hAnsi="Tahoma" w:cs="Tahoma"/>
          <w:sz w:val="24"/>
          <w:szCs w:val="24"/>
          <w:lang w:val="en-US"/>
        </w:rPr>
        <w:t xml:space="preserve">by 2.6%, 7.99% and 25.96% respectively. </w:t>
      </w:r>
      <w:r w:rsidR="00AC57A9">
        <w:rPr>
          <w:rFonts w:ascii="Tahoma" w:hAnsi="Tahoma" w:cs="Tahoma"/>
          <w:sz w:val="24"/>
          <w:szCs w:val="24"/>
          <w:lang w:val="en-US"/>
        </w:rPr>
        <w:t>On the other hand, c</w:t>
      </w:r>
      <w:r w:rsidR="0047159F">
        <w:rPr>
          <w:rFonts w:ascii="Tahoma" w:hAnsi="Tahoma" w:cs="Tahoma"/>
          <w:sz w:val="24"/>
          <w:szCs w:val="24"/>
          <w:lang w:val="en-US"/>
        </w:rPr>
        <w:t>rude oil, n</w:t>
      </w:r>
      <w:r w:rsidR="00BA281B">
        <w:rPr>
          <w:rFonts w:ascii="Tahoma" w:hAnsi="Tahoma" w:cs="Tahoma"/>
          <w:sz w:val="24"/>
          <w:szCs w:val="24"/>
          <w:lang w:val="en-US"/>
        </w:rPr>
        <w:t xml:space="preserve">atural gas, </w:t>
      </w:r>
      <w:r w:rsidR="00660AE3">
        <w:rPr>
          <w:rFonts w:ascii="Tahoma" w:hAnsi="Tahoma" w:cs="Tahoma"/>
          <w:sz w:val="24"/>
          <w:szCs w:val="24"/>
          <w:lang w:val="en-US"/>
        </w:rPr>
        <w:t>n</w:t>
      </w:r>
      <w:r w:rsidR="00BA281B">
        <w:rPr>
          <w:rFonts w:ascii="Tahoma" w:hAnsi="Tahoma" w:cs="Tahoma"/>
          <w:sz w:val="24"/>
          <w:szCs w:val="24"/>
          <w:lang w:val="en-US"/>
        </w:rPr>
        <w:t xml:space="preserve">ickel, cotton, </w:t>
      </w:r>
      <w:r w:rsidR="0011131C">
        <w:rPr>
          <w:rFonts w:ascii="Tahoma" w:hAnsi="Tahoma" w:cs="Tahoma"/>
          <w:sz w:val="24"/>
          <w:szCs w:val="24"/>
          <w:lang w:val="en-US"/>
        </w:rPr>
        <w:t>soybeans</w:t>
      </w:r>
      <w:r w:rsidR="00BA281B">
        <w:rPr>
          <w:rFonts w:ascii="Tahoma" w:hAnsi="Tahoma" w:cs="Tahoma"/>
          <w:sz w:val="24"/>
          <w:szCs w:val="24"/>
          <w:lang w:val="en-US"/>
        </w:rPr>
        <w:t>, corn and wheat registered a price fall.</w:t>
      </w:r>
      <w:r w:rsidR="003E051C" w:rsidRPr="00863A17">
        <w:rPr>
          <w:rFonts w:ascii="Tahoma" w:hAnsi="Tahoma" w:cs="Tahoma"/>
          <w:sz w:val="24"/>
          <w:szCs w:val="24"/>
          <w:lang w:val="en-US"/>
        </w:rPr>
        <w:t xml:space="preserve"> </w:t>
      </w:r>
    </w:p>
    <w:p w14:paraId="1C41D3CC" w14:textId="7DBE1FBA" w:rsidR="000732CC" w:rsidRPr="00AC57A9" w:rsidRDefault="00AC57A9" w:rsidP="004F680D">
      <w:pPr>
        <w:ind w:left="720" w:hanging="720"/>
        <w:jc w:val="both"/>
        <w:rPr>
          <w:rFonts w:ascii="Tahoma" w:hAnsi="Tahoma" w:cs="Tahoma"/>
          <w:sz w:val="24"/>
          <w:szCs w:val="24"/>
          <w:lang w:val="en-US"/>
        </w:rPr>
      </w:pPr>
      <w:r>
        <w:rPr>
          <w:rFonts w:ascii="Tahoma" w:hAnsi="Tahoma" w:cs="Tahoma"/>
          <w:sz w:val="24"/>
          <w:szCs w:val="24"/>
          <w:lang w:val="en-US"/>
        </w:rPr>
        <w:t>2.4</w:t>
      </w:r>
      <w:r>
        <w:rPr>
          <w:rFonts w:ascii="Tahoma" w:hAnsi="Tahoma" w:cs="Tahoma"/>
          <w:sz w:val="24"/>
          <w:szCs w:val="24"/>
          <w:lang w:val="en-US"/>
        </w:rPr>
        <w:tab/>
      </w:r>
      <w:r w:rsidR="00AC62CB" w:rsidRPr="00AC57A9">
        <w:rPr>
          <w:rFonts w:ascii="Tahoma" w:hAnsi="Tahoma" w:cs="Tahoma"/>
          <w:sz w:val="24"/>
          <w:szCs w:val="24"/>
          <w:lang w:val="en-US"/>
        </w:rPr>
        <w:t>Price movement of agricultural commodities is discouraging on MoM, YtD and Y-o-Y basis.</w:t>
      </w:r>
      <w:r w:rsidR="00F57D6B" w:rsidRPr="00AC57A9">
        <w:rPr>
          <w:rFonts w:ascii="Tahoma" w:hAnsi="Tahoma" w:cs="Tahoma"/>
          <w:sz w:val="24"/>
          <w:szCs w:val="24"/>
          <w:lang w:val="en-US"/>
        </w:rPr>
        <w:t xml:space="preserve"> Fall in commodity prices is attributed to global economic slowdown. According to the World Economic Forum, global economic slowdown has diminish</w:t>
      </w:r>
      <w:r>
        <w:rPr>
          <w:rFonts w:ascii="Tahoma" w:hAnsi="Tahoma" w:cs="Tahoma"/>
          <w:sz w:val="24"/>
          <w:szCs w:val="24"/>
          <w:lang w:val="en-US"/>
        </w:rPr>
        <w:t>ed</w:t>
      </w:r>
      <w:r w:rsidR="00F57D6B" w:rsidRPr="00AC57A9">
        <w:rPr>
          <w:rFonts w:ascii="Tahoma" w:hAnsi="Tahoma" w:cs="Tahoma"/>
          <w:sz w:val="24"/>
          <w:szCs w:val="24"/>
          <w:lang w:val="en-US"/>
        </w:rPr>
        <w:t xml:space="preserve"> demand for energy, mineral and agricultural products leading to falling commodity prices.</w:t>
      </w:r>
    </w:p>
    <w:p w14:paraId="2466FF65" w14:textId="77777777" w:rsidR="00EF37FE" w:rsidRPr="00AB0841" w:rsidRDefault="009F5CE5" w:rsidP="00AB0841">
      <w:pPr>
        <w:pStyle w:val="ListofTables"/>
        <w:rPr>
          <w:lang w:val="en-US"/>
        </w:rPr>
      </w:pPr>
      <w:bookmarkStart w:id="14" w:name="_Toc164072363"/>
      <w:bookmarkStart w:id="15" w:name="_Toc166658890"/>
      <w:bookmarkStart w:id="16" w:name="_Toc175829403"/>
      <w:r w:rsidRPr="00863A17">
        <w:t xml:space="preserve">Table </w:t>
      </w:r>
      <w:r>
        <w:fldChar w:fldCharType="begin"/>
      </w:r>
      <w:r>
        <w:instrText xml:space="preserve"> SEQ Table \* ARABIC </w:instrText>
      </w:r>
      <w:r>
        <w:fldChar w:fldCharType="separate"/>
      </w:r>
      <w:r w:rsidR="00D30418">
        <w:rPr>
          <w:noProof/>
        </w:rPr>
        <w:t>2</w:t>
      </w:r>
      <w:r>
        <w:rPr>
          <w:noProof/>
        </w:rPr>
        <w:fldChar w:fldCharType="end"/>
      </w:r>
      <w:r w:rsidRPr="00863A17">
        <w:t>:</w:t>
      </w:r>
      <w:r w:rsidRPr="00863A17">
        <w:rPr>
          <w:lang w:val="en-US"/>
        </w:rPr>
        <w:t xml:space="preserve"> Commodity Price Movements – </w:t>
      </w:r>
      <w:r w:rsidR="00761C54" w:rsidRPr="00863A17">
        <w:rPr>
          <w:lang w:val="en-US"/>
        </w:rPr>
        <w:t>Month</w:t>
      </w:r>
      <w:r w:rsidRPr="00863A17">
        <w:rPr>
          <w:lang w:val="en-US"/>
        </w:rPr>
        <w:t xml:space="preserve"> Ending </w:t>
      </w:r>
      <w:r w:rsidR="00FC7C5C">
        <w:rPr>
          <w:lang w:val="en-US"/>
        </w:rPr>
        <w:t>31</w:t>
      </w:r>
      <w:r w:rsidRPr="00863A17">
        <w:rPr>
          <w:lang w:val="en-US"/>
        </w:rPr>
        <w:t xml:space="preserve"> </w:t>
      </w:r>
      <w:r w:rsidR="00FC7C5C">
        <w:rPr>
          <w:lang w:val="en-US"/>
        </w:rPr>
        <w:t>July</w:t>
      </w:r>
      <w:r w:rsidRPr="00863A17">
        <w:rPr>
          <w:lang w:val="en-US"/>
        </w:rPr>
        <w:t xml:space="preserve"> 202</w:t>
      </w:r>
      <w:r w:rsidR="007A3D03" w:rsidRPr="00863A17">
        <w:rPr>
          <w:lang w:val="en-US"/>
        </w:rPr>
        <w:t>4</w:t>
      </w:r>
      <w:bookmarkEnd w:id="14"/>
      <w:bookmarkEnd w:id="15"/>
      <w:bookmarkEnd w:id="16"/>
    </w:p>
    <w:p w14:paraId="1E6087B5" w14:textId="691BEBFB" w:rsidR="009D4508" w:rsidRPr="00AB0841" w:rsidRDefault="00A270E8" w:rsidP="0076325F">
      <w:pPr>
        <w:spacing w:after="0"/>
        <w:rPr>
          <w:rFonts w:ascii="Tahoma" w:hAnsi="Tahoma" w:cs="Tahoma"/>
          <w:noProof/>
          <w:sz w:val="24"/>
          <w:szCs w:val="24"/>
          <w:lang w:eastAsia="en-ZW"/>
        </w:rPr>
      </w:pPr>
      <w:r w:rsidRPr="00AB0841">
        <w:rPr>
          <w:rFonts w:ascii="Tahoma" w:hAnsi="Tahoma" w:cs="Tahoma"/>
          <w:noProof/>
          <w:sz w:val="24"/>
          <w:szCs w:val="24"/>
          <w:lang w:eastAsia="en-ZW"/>
        </w:rPr>
        <w:drawing>
          <wp:inline distT="0" distB="0" distL="0" distR="0" wp14:anchorId="5316ECC2" wp14:editId="3F4C31B6">
            <wp:extent cx="5734050" cy="19526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14:paraId="7842DF33" w14:textId="77777777" w:rsidR="00EF37FE" w:rsidRPr="00863A17" w:rsidRDefault="00EF37FE">
      <w:pPr>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3879AD6D" w14:textId="77777777" w:rsidR="00EF37FE" w:rsidRPr="00863A17" w:rsidRDefault="004F680D" w:rsidP="00760CF6">
      <w:pPr>
        <w:pStyle w:val="Heading1"/>
        <w:spacing w:after="240"/>
        <w:rPr>
          <w:lang w:val="en-US"/>
        </w:rPr>
      </w:pPr>
      <w:bookmarkStart w:id="17" w:name="_Toc166607893"/>
      <w:bookmarkStart w:id="18" w:name="_Toc175829611"/>
      <w:r w:rsidRPr="00863A17">
        <w:rPr>
          <w:lang w:val="en-US"/>
        </w:rPr>
        <w:t>3.0</w:t>
      </w:r>
      <w:r w:rsidRPr="00863A17">
        <w:rPr>
          <w:lang w:val="en-US"/>
        </w:rPr>
        <w:tab/>
      </w:r>
      <w:r w:rsidR="00476766" w:rsidRPr="00863A17">
        <w:rPr>
          <w:lang w:val="en-US"/>
        </w:rPr>
        <w:t>Zimbabwe GDP Growth Update</w:t>
      </w:r>
      <w:bookmarkEnd w:id="17"/>
      <w:bookmarkEnd w:id="18"/>
      <w:r w:rsidR="00476766" w:rsidRPr="00863A17">
        <w:rPr>
          <w:lang w:val="en-US"/>
        </w:rPr>
        <w:t xml:space="preserve"> </w:t>
      </w:r>
      <w:r w:rsidR="00EF37FE" w:rsidRPr="00863A17">
        <w:rPr>
          <w:lang w:val="en-US"/>
        </w:rPr>
        <w:t xml:space="preserve"> </w:t>
      </w:r>
    </w:p>
    <w:p w14:paraId="2EFEF8DA" w14:textId="77777777" w:rsidR="000F32A6" w:rsidRDefault="004F680D" w:rsidP="000469C1">
      <w:pPr>
        <w:ind w:left="720" w:hanging="720"/>
        <w:jc w:val="both"/>
        <w:rPr>
          <w:rFonts w:ascii="Tahoma" w:hAnsi="Tahoma" w:cs="Tahoma"/>
          <w:kern w:val="0"/>
          <w:sz w:val="24"/>
          <w:szCs w:val="24"/>
          <w:lang w:eastAsia="en-ZW"/>
        </w:rPr>
      </w:pPr>
      <w:r w:rsidRPr="00863A17">
        <w:rPr>
          <w:rFonts w:ascii="Tahoma" w:hAnsi="Tahoma" w:cs="Tahoma"/>
          <w:sz w:val="24"/>
          <w:szCs w:val="24"/>
          <w:lang w:val="en-US"/>
        </w:rPr>
        <w:t>3.1</w:t>
      </w:r>
      <w:r w:rsidRPr="00863A17">
        <w:rPr>
          <w:rFonts w:ascii="Tahoma" w:hAnsi="Tahoma" w:cs="Tahoma"/>
          <w:sz w:val="24"/>
          <w:szCs w:val="24"/>
          <w:lang w:val="en-US"/>
        </w:rPr>
        <w:tab/>
      </w:r>
      <w:r w:rsidR="003976F2">
        <w:rPr>
          <w:rFonts w:ascii="Tahoma" w:hAnsi="Tahoma" w:cs="Tahoma"/>
          <w:kern w:val="0"/>
          <w:sz w:val="24"/>
          <w:szCs w:val="24"/>
          <w:lang w:eastAsia="en-ZW"/>
        </w:rPr>
        <w:t>Economic growth i</w:t>
      </w:r>
      <w:r w:rsidR="00BE4E14">
        <w:rPr>
          <w:rFonts w:ascii="Tahoma" w:hAnsi="Tahoma" w:cs="Tahoma"/>
          <w:kern w:val="0"/>
          <w:sz w:val="24"/>
          <w:szCs w:val="24"/>
          <w:lang w:eastAsia="en-ZW"/>
        </w:rPr>
        <w:t>n Zimbabwe is now projected to grow by 2% in 2024, 1.5% lower than the 2024 National Budget growth projections, on account of the El-Nino induced drought (2024 Mid-Term Budget and Economic Review)</w:t>
      </w:r>
      <w:r w:rsidR="00443D80">
        <w:rPr>
          <w:rFonts w:ascii="Tahoma" w:hAnsi="Tahoma" w:cs="Tahoma"/>
          <w:kern w:val="0"/>
          <w:sz w:val="24"/>
          <w:szCs w:val="24"/>
          <w:lang w:eastAsia="en-ZW"/>
        </w:rPr>
        <w:t>.</w:t>
      </w:r>
    </w:p>
    <w:p w14:paraId="465930B5" w14:textId="77777777" w:rsidR="00760CF6" w:rsidRDefault="00760CF6" w:rsidP="00760CF6">
      <w:pPr>
        <w:pStyle w:val="Caption"/>
      </w:pPr>
    </w:p>
    <w:p w14:paraId="728A5960" w14:textId="2DF1F237" w:rsidR="00760CF6" w:rsidRDefault="00760CF6" w:rsidP="00760CF6">
      <w:pPr>
        <w:pStyle w:val="Caption"/>
      </w:pPr>
      <w:bookmarkStart w:id="19" w:name="_Toc175829855"/>
      <w:r>
        <w:lastRenderedPageBreak/>
        <w:t xml:space="preserve">Figure </w:t>
      </w:r>
      <w:r>
        <w:fldChar w:fldCharType="begin"/>
      </w:r>
      <w:r>
        <w:instrText xml:space="preserve"> SEQ Figure \* ARABIC </w:instrText>
      </w:r>
      <w:r>
        <w:fldChar w:fldCharType="separate"/>
      </w:r>
      <w:r w:rsidR="007C0301">
        <w:rPr>
          <w:noProof/>
        </w:rPr>
        <w:t>1</w:t>
      </w:r>
      <w:r>
        <w:fldChar w:fldCharType="end"/>
      </w:r>
      <w:r>
        <w:t xml:space="preserve">: </w:t>
      </w:r>
      <w:r w:rsidRPr="00863A17">
        <w:rPr>
          <w:lang w:val="en-US"/>
        </w:rPr>
        <w:t>Zimbabwe Economic Growth Prospects</w:t>
      </w:r>
      <w:bookmarkEnd w:id="19"/>
    </w:p>
    <w:p w14:paraId="67A6D38D" w14:textId="7A97556A" w:rsidR="00CC5C99" w:rsidRDefault="00A270E8" w:rsidP="0076540F">
      <w:pPr>
        <w:spacing w:after="0"/>
        <w:rPr>
          <w:noProof/>
        </w:rPr>
      </w:pPr>
      <w:r>
        <w:rPr>
          <w:noProof/>
        </w:rPr>
        <w:drawing>
          <wp:inline distT="0" distB="0" distL="0" distR="0" wp14:anchorId="5463AB79" wp14:editId="04CB887E">
            <wp:extent cx="5553075" cy="25812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581275"/>
                    </a:xfrm>
                    <a:prstGeom prst="rect">
                      <a:avLst/>
                    </a:prstGeom>
                    <a:noFill/>
                  </pic:spPr>
                </pic:pic>
              </a:graphicData>
            </a:graphic>
          </wp:inline>
        </w:drawing>
      </w:r>
    </w:p>
    <w:p w14:paraId="060EBB9E" w14:textId="77777777" w:rsidR="0076540F" w:rsidRDefault="0076540F">
      <w:pPr>
        <w:rPr>
          <w:rFonts w:ascii="Tahoma" w:hAnsi="Tahoma" w:cs="Tahoma"/>
          <w:i/>
          <w:sz w:val="24"/>
          <w:szCs w:val="24"/>
        </w:rPr>
      </w:pPr>
      <w:r w:rsidRPr="00863A17">
        <w:rPr>
          <w:rFonts w:ascii="Tahoma" w:hAnsi="Tahoma" w:cs="Tahoma"/>
          <w:i/>
          <w:sz w:val="24"/>
          <w:szCs w:val="24"/>
          <w:lang w:val="en-US"/>
        </w:rPr>
        <w:t xml:space="preserve">Source: </w:t>
      </w:r>
      <w:r w:rsidR="00DF01A6">
        <w:rPr>
          <w:rFonts w:ascii="Tahoma" w:hAnsi="Tahoma" w:cs="Tahoma"/>
          <w:i/>
          <w:sz w:val="24"/>
          <w:szCs w:val="24"/>
          <w:lang w:val="en-US"/>
        </w:rPr>
        <w:t>MoFED&amp;IP</w:t>
      </w:r>
      <w:r w:rsidR="00F03F6C">
        <w:rPr>
          <w:rFonts w:ascii="Tahoma" w:hAnsi="Tahoma" w:cs="Tahoma"/>
          <w:i/>
          <w:sz w:val="24"/>
          <w:szCs w:val="24"/>
          <w:lang w:val="en-US"/>
        </w:rPr>
        <w:t xml:space="preserve"> (2024)</w:t>
      </w:r>
    </w:p>
    <w:p w14:paraId="7E404561" w14:textId="7C07F175" w:rsidR="0076325F" w:rsidRPr="000F316D" w:rsidRDefault="0076325F" w:rsidP="0076325F">
      <w:pPr>
        <w:ind w:left="720" w:hanging="720"/>
        <w:jc w:val="both"/>
        <w:rPr>
          <w:rFonts w:ascii="Tahoma" w:hAnsi="Tahoma" w:cs="Tahoma"/>
          <w:sz w:val="24"/>
          <w:szCs w:val="24"/>
        </w:rPr>
      </w:pPr>
      <w:r>
        <w:rPr>
          <w:rFonts w:ascii="Tahoma" w:hAnsi="Tahoma" w:cs="Tahoma"/>
          <w:iCs/>
          <w:sz w:val="24"/>
          <w:szCs w:val="24"/>
        </w:rPr>
        <w:t xml:space="preserve">3.2 </w:t>
      </w:r>
      <w:r>
        <w:rPr>
          <w:rFonts w:ascii="Tahoma" w:hAnsi="Tahoma" w:cs="Tahoma"/>
          <w:iCs/>
          <w:sz w:val="24"/>
          <w:szCs w:val="24"/>
        </w:rPr>
        <w:tab/>
      </w:r>
      <w:bookmarkStart w:id="20" w:name="_Hlk166603728"/>
      <w:r w:rsidR="00F8761B">
        <w:rPr>
          <w:rFonts w:ascii="Tahoma" w:hAnsi="Tahoma" w:cs="Tahoma"/>
          <w:iCs/>
          <w:sz w:val="24"/>
          <w:szCs w:val="24"/>
        </w:rPr>
        <w:t xml:space="preserve">The downward review </w:t>
      </w:r>
      <w:r w:rsidR="004160F1">
        <w:rPr>
          <w:rFonts w:ascii="Tahoma" w:hAnsi="Tahoma" w:cs="Tahoma"/>
          <w:iCs/>
          <w:sz w:val="24"/>
          <w:szCs w:val="24"/>
        </w:rPr>
        <w:t>is also attributed to</w:t>
      </w:r>
      <w:r w:rsidR="00F8761B">
        <w:rPr>
          <w:rFonts w:ascii="Tahoma" w:hAnsi="Tahoma" w:cs="Tahoma"/>
          <w:iCs/>
          <w:sz w:val="24"/>
          <w:szCs w:val="24"/>
        </w:rPr>
        <w:t xml:space="preserve"> low international commodity prices (including softening demand of mineral commodities especially by China, the major consumer) and depressed global economic activity.</w:t>
      </w:r>
    </w:p>
    <w:p w14:paraId="02B2A828" w14:textId="77777777" w:rsidR="00EF37FE" w:rsidRPr="00086539" w:rsidRDefault="00B1678A" w:rsidP="009F5CE5">
      <w:pPr>
        <w:pStyle w:val="Heading1"/>
        <w:spacing w:before="0" w:after="240" w:line="240" w:lineRule="auto"/>
        <w:rPr>
          <w:rFonts w:cs="Tahoma"/>
          <w:bCs/>
          <w:color w:val="000000"/>
          <w:szCs w:val="24"/>
          <w:lang w:val="en-US"/>
        </w:rPr>
      </w:pPr>
      <w:bookmarkStart w:id="21" w:name="_Toc166607894"/>
      <w:bookmarkStart w:id="22" w:name="_Toc175829612"/>
      <w:bookmarkEnd w:id="20"/>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1"/>
      <w:bookmarkEnd w:id="22"/>
      <w:r w:rsidR="00EF37FE" w:rsidRPr="00086539">
        <w:rPr>
          <w:rFonts w:cs="Tahoma"/>
          <w:bCs/>
          <w:color w:val="000000"/>
          <w:szCs w:val="24"/>
          <w:lang w:val="en-US"/>
        </w:rPr>
        <w:t xml:space="preserve"> </w:t>
      </w:r>
    </w:p>
    <w:p w14:paraId="1AE9BB35" w14:textId="2F3DF190" w:rsidR="00897CB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8663C5">
        <w:rPr>
          <w:rFonts w:ascii="Tahoma" w:hAnsi="Tahoma" w:cs="Tahoma"/>
          <w:sz w:val="24"/>
          <w:szCs w:val="24"/>
          <w:lang w:val="en-US"/>
        </w:rPr>
        <w:t>According to the 2024 Mid-Term Budget and Economic Review,</w:t>
      </w:r>
      <w:r w:rsidR="00897CB3">
        <w:rPr>
          <w:rFonts w:ascii="Tahoma" w:hAnsi="Tahoma" w:cs="Tahoma"/>
          <w:sz w:val="24"/>
          <w:szCs w:val="24"/>
          <w:lang w:val="en-US"/>
        </w:rPr>
        <w:t xml:space="preserve"> </w:t>
      </w:r>
      <w:r w:rsidR="004160F1" w:rsidRPr="004160F1">
        <w:rPr>
          <w:rFonts w:ascii="Tahoma" w:hAnsi="Tahoma" w:cs="Tahoma"/>
          <w:sz w:val="24"/>
          <w:szCs w:val="24"/>
        </w:rPr>
        <w:t xml:space="preserve">the country recorded a current account surplus of US$19.2 million in the first half of 2024 compared to a deficit of US$13.8 million recorded during the same period in 2023. The surplus is mainly attributed to an improvement of foreign currency receipts which increased by 9.5% to US$6.2 billion during the first half of 2024 up from US$ 5.6 billion recorded in 2023. Foreign currency receipts were largely driven by the growth in export receipts, mainly from gold, agriculture commodities and manufactured products, as well as diaspora remittances. However, by year end, the current account surplus is projected to narrow to US$44.5 million in 2024, relative to a surplus of US$133.9 million registered in 2023. </w:t>
      </w:r>
    </w:p>
    <w:p w14:paraId="13001B32" w14:textId="77777777" w:rsidR="00EF37FE" w:rsidRPr="00086539" w:rsidRDefault="00B1678A" w:rsidP="009F5CE5">
      <w:pPr>
        <w:pStyle w:val="Heading1"/>
        <w:spacing w:before="0" w:after="240" w:line="240" w:lineRule="auto"/>
        <w:rPr>
          <w:rFonts w:cs="Tahoma"/>
          <w:bCs/>
          <w:color w:val="000000"/>
          <w:szCs w:val="24"/>
          <w:lang w:val="en-US"/>
        </w:rPr>
      </w:pPr>
      <w:bookmarkStart w:id="23" w:name="_Toc166607895"/>
      <w:bookmarkStart w:id="24" w:name="_Toc175829613"/>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3"/>
      <w:bookmarkEnd w:id="24"/>
      <w:r w:rsidR="00EF37FE" w:rsidRPr="00086539">
        <w:rPr>
          <w:rFonts w:cs="Tahoma"/>
          <w:bCs/>
          <w:color w:val="000000"/>
          <w:szCs w:val="24"/>
          <w:lang w:val="en-US"/>
        </w:rPr>
        <w:t xml:space="preserve"> </w:t>
      </w:r>
    </w:p>
    <w:p w14:paraId="0620189F" w14:textId="77777777" w:rsidR="00EF25BB" w:rsidRPr="00863A17" w:rsidRDefault="00B1678A" w:rsidP="003C1D2F">
      <w:pPr>
        <w:pStyle w:val="Heading2"/>
        <w:spacing w:before="0" w:after="240" w:line="240" w:lineRule="auto"/>
        <w:rPr>
          <w:rFonts w:cs="Tahoma"/>
          <w:b/>
          <w:color w:val="000000"/>
          <w:szCs w:val="24"/>
          <w:lang w:val="en-US"/>
        </w:rPr>
      </w:pPr>
      <w:bookmarkStart w:id="25" w:name="_Toc166607896"/>
      <w:bookmarkStart w:id="26" w:name="_Toc175829614"/>
      <w:r w:rsidRPr="00863A17">
        <w:rPr>
          <w:rFonts w:cs="Tahoma"/>
          <w:b/>
          <w:color w:val="000000"/>
          <w:szCs w:val="24"/>
          <w:lang w:val="en-US"/>
        </w:rPr>
        <w:t>5.1</w:t>
      </w:r>
      <w:r w:rsidRPr="00863A17">
        <w:rPr>
          <w:rFonts w:cs="Tahoma"/>
          <w:b/>
          <w:color w:val="000000"/>
          <w:szCs w:val="24"/>
          <w:lang w:val="en-US"/>
        </w:rPr>
        <w:tab/>
      </w:r>
      <w:r w:rsidR="00EF25BB" w:rsidRPr="00863A17">
        <w:rPr>
          <w:rFonts w:cs="Tahoma"/>
          <w:b/>
          <w:color w:val="000000"/>
          <w:szCs w:val="24"/>
          <w:lang w:val="en-US"/>
        </w:rPr>
        <w:t>Zimbabwean Dollar Exchange Rate Developments</w:t>
      </w:r>
      <w:bookmarkEnd w:id="25"/>
      <w:bookmarkEnd w:id="26"/>
      <w:r w:rsidR="00EF25BB" w:rsidRPr="00863A17">
        <w:rPr>
          <w:rFonts w:cs="Tahoma"/>
          <w:b/>
          <w:color w:val="000000"/>
          <w:szCs w:val="24"/>
          <w:lang w:val="en-US"/>
        </w:rPr>
        <w:t xml:space="preserve"> </w:t>
      </w:r>
    </w:p>
    <w:p w14:paraId="185D3BDE" w14:textId="69834B44" w:rsidR="00E36CF6" w:rsidRPr="00863A17" w:rsidRDefault="00B1678A" w:rsidP="00945E19">
      <w:pPr>
        <w:ind w:left="720" w:hanging="720"/>
        <w:jc w:val="both"/>
        <w:rPr>
          <w:rFonts w:ascii="Tahoma" w:hAnsi="Tahoma" w:cs="Tahoma"/>
          <w:sz w:val="24"/>
          <w:szCs w:val="24"/>
          <w:lang w:val="en-US"/>
        </w:rPr>
      </w:pPr>
      <w:r w:rsidRPr="00863A17">
        <w:rPr>
          <w:rFonts w:ascii="Tahoma" w:hAnsi="Tahoma" w:cs="Tahoma"/>
          <w:sz w:val="24"/>
          <w:szCs w:val="24"/>
          <w:lang w:val="en-US"/>
        </w:rPr>
        <w:t>5.1.1</w:t>
      </w:r>
      <w:r w:rsidRPr="00863A17">
        <w:rPr>
          <w:rFonts w:ascii="Tahoma" w:hAnsi="Tahoma" w:cs="Tahoma"/>
          <w:sz w:val="24"/>
          <w:szCs w:val="24"/>
          <w:lang w:val="en-US"/>
        </w:rPr>
        <w:tab/>
      </w:r>
      <w:r w:rsidR="00026A42">
        <w:rPr>
          <w:rFonts w:ascii="Tahoma" w:hAnsi="Tahoma" w:cs="Tahoma"/>
          <w:sz w:val="24"/>
          <w:szCs w:val="24"/>
          <w:lang w:val="en-US"/>
        </w:rPr>
        <w:t xml:space="preserve">The </w:t>
      </w:r>
      <w:r w:rsidR="00E664AA">
        <w:rPr>
          <w:rFonts w:ascii="Tahoma" w:hAnsi="Tahoma" w:cs="Tahoma"/>
          <w:sz w:val="24"/>
          <w:szCs w:val="24"/>
          <w:lang w:val="en-US"/>
        </w:rPr>
        <w:t>Z</w:t>
      </w:r>
      <w:r w:rsidR="004160F1">
        <w:rPr>
          <w:rFonts w:ascii="Tahoma" w:hAnsi="Tahoma" w:cs="Tahoma"/>
          <w:sz w:val="24"/>
          <w:szCs w:val="24"/>
          <w:lang w:val="en-US"/>
        </w:rPr>
        <w:t xml:space="preserve">imbabwean </w:t>
      </w:r>
      <w:r w:rsidR="00D8418D">
        <w:rPr>
          <w:rFonts w:ascii="Tahoma" w:hAnsi="Tahoma" w:cs="Tahoma"/>
          <w:sz w:val="24"/>
          <w:szCs w:val="24"/>
          <w:lang w:val="en-US"/>
        </w:rPr>
        <w:t>Gold (ZiG)</w:t>
      </w:r>
      <w:r w:rsidR="00647FF8">
        <w:rPr>
          <w:rFonts w:ascii="Tahoma" w:hAnsi="Tahoma" w:cs="Tahoma"/>
          <w:sz w:val="24"/>
          <w:szCs w:val="24"/>
          <w:lang w:val="en-US"/>
        </w:rPr>
        <w:t xml:space="preserve"> depreciated against all major currencies as shown in Table 3.</w:t>
      </w:r>
      <w:r w:rsidR="00421D20">
        <w:rPr>
          <w:rFonts w:ascii="Tahoma" w:hAnsi="Tahoma" w:cs="Tahoma"/>
          <w:sz w:val="24"/>
          <w:szCs w:val="24"/>
          <w:lang w:val="en-US"/>
        </w:rPr>
        <w:t xml:space="preserve"> On a </w:t>
      </w:r>
      <w:r w:rsidR="00D8418D">
        <w:rPr>
          <w:rFonts w:ascii="Tahoma" w:hAnsi="Tahoma" w:cs="Tahoma"/>
          <w:sz w:val="24"/>
          <w:szCs w:val="24"/>
          <w:lang w:val="en-US"/>
        </w:rPr>
        <w:t>MoM</w:t>
      </w:r>
      <w:r w:rsidR="00E664AA">
        <w:rPr>
          <w:rFonts w:ascii="Tahoma" w:hAnsi="Tahoma" w:cs="Tahoma"/>
          <w:sz w:val="24"/>
          <w:szCs w:val="24"/>
          <w:lang w:val="en-US"/>
        </w:rPr>
        <w:t xml:space="preserve"> basis, the Z</w:t>
      </w:r>
      <w:r w:rsidR="00D8418D">
        <w:rPr>
          <w:rFonts w:ascii="Tahoma" w:hAnsi="Tahoma" w:cs="Tahoma"/>
          <w:sz w:val="24"/>
          <w:szCs w:val="24"/>
          <w:lang w:val="en-US"/>
        </w:rPr>
        <w:t>iG</w:t>
      </w:r>
      <w:r w:rsidR="00E664AA">
        <w:rPr>
          <w:rFonts w:ascii="Tahoma" w:hAnsi="Tahoma" w:cs="Tahoma"/>
          <w:sz w:val="24"/>
          <w:szCs w:val="24"/>
          <w:lang w:val="en-US"/>
        </w:rPr>
        <w:t xml:space="preserve"> lost by 0.6%, 2.26%, 1.83% and 1.59</w:t>
      </w:r>
      <w:r w:rsidR="00421D20">
        <w:rPr>
          <w:rFonts w:ascii="Tahoma" w:hAnsi="Tahoma" w:cs="Tahoma"/>
          <w:sz w:val="24"/>
          <w:szCs w:val="24"/>
          <w:lang w:val="en-US"/>
        </w:rPr>
        <w:t>% against the USD, GBP, EUR and ZAR</w:t>
      </w:r>
      <w:r w:rsidR="00D8418D">
        <w:rPr>
          <w:rFonts w:ascii="Tahoma" w:hAnsi="Tahoma" w:cs="Tahoma"/>
          <w:sz w:val="24"/>
          <w:szCs w:val="24"/>
          <w:lang w:val="en-US"/>
        </w:rPr>
        <w:t xml:space="preserve">, </w:t>
      </w:r>
      <w:r w:rsidR="00421D20">
        <w:rPr>
          <w:rFonts w:ascii="Tahoma" w:hAnsi="Tahoma" w:cs="Tahoma"/>
          <w:sz w:val="24"/>
          <w:szCs w:val="24"/>
          <w:lang w:val="en-US"/>
        </w:rPr>
        <w:t>respectively.</w:t>
      </w:r>
      <w:r w:rsidR="00E664AA">
        <w:rPr>
          <w:rFonts w:ascii="Tahoma" w:hAnsi="Tahoma" w:cs="Tahoma"/>
          <w:sz w:val="24"/>
          <w:szCs w:val="24"/>
          <w:lang w:val="en-US"/>
        </w:rPr>
        <w:t xml:space="preserve"> The Z</w:t>
      </w:r>
      <w:r w:rsidR="00D8418D">
        <w:rPr>
          <w:rFonts w:ascii="Tahoma" w:hAnsi="Tahoma" w:cs="Tahoma"/>
          <w:sz w:val="24"/>
          <w:szCs w:val="24"/>
          <w:lang w:val="en-US"/>
        </w:rPr>
        <w:t>i</w:t>
      </w:r>
      <w:r w:rsidR="0064604B">
        <w:rPr>
          <w:rFonts w:ascii="Tahoma" w:hAnsi="Tahoma" w:cs="Tahoma"/>
          <w:sz w:val="24"/>
          <w:szCs w:val="24"/>
          <w:lang w:val="en-US"/>
        </w:rPr>
        <w:t>G also lost value against the USD, GBP, E</w:t>
      </w:r>
      <w:r w:rsidR="00E664AA">
        <w:rPr>
          <w:rFonts w:ascii="Tahoma" w:hAnsi="Tahoma" w:cs="Tahoma"/>
          <w:sz w:val="24"/>
          <w:szCs w:val="24"/>
          <w:lang w:val="en-US"/>
        </w:rPr>
        <w:t xml:space="preserve">UR and ZAR both on </w:t>
      </w:r>
      <w:r w:rsidR="00D8418D">
        <w:rPr>
          <w:rFonts w:ascii="Tahoma" w:hAnsi="Tahoma" w:cs="Tahoma"/>
          <w:sz w:val="24"/>
          <w:szCs w:val="24"/>
          <w:lang w:val="en-US"/>
        </w:rPr>
        <w:t>YtD</w:t>
      </w:r>
      <w:r w:rsidR="00E664AA">
        <w:rPr>
          <w:rFonts w:ascii="Tahoma" w:hAnsi="Tahoma" w:cs="Tahoma"/>
          <w:sz w:val="24"/>
          <w:szCs w:val="24"/>
          <w:lang w:val="en-US"/>
        </w:rPr>
        <w:t xml:space="preserve"> and </w:t>
      </w:r>
      <w:r w:rsidR="00D8418D">
        <w:rPr>
          <w:rFonts w:ascii="Tahoma" w:hAnsi="Tahoma" w:cs="Tahoma"/>
          <w:sz w:val="24"/>
          <w:szCs w:val="24"/>
          <w:lang w:val="en-US"/>
        </w:rPr>
        <w:t>YoY</w:t>
      </w:r>
      <w:r w:rsidR="006D4D2B">
        <w:rPr>
          <w:rFonts w:ascii="Tahoma" w:hAnsi="Tahoma" w:cs="Tahoma"/>
          <w:sz w:val="24"/>
          <w:szCs w:val="24"/>
          <w:lang w:val="en-US"/>
        </w:rPr>
        <w:t xml:space="preserve"> basis (see Table 3).</w:t>
      </w:r>
    </w:p>
    <w:p w14:paraId="4BCE7EA7" w14:textId="6CEB6CFB" w:rsidR="009F4C6F" w:rsidRPr="00E664AA" w:rsidRDefault="003C1D2F" w:rsidP="00E664AA">
      <w:pPr>
        <w:pStyle w:val="ListofTables"/>
        <w:rPr>
          <w:lang w:val="en-US"/>
        </w:rPr>
      </w:pPr>
      <w:bookmarkStart w:id="27" w:name="_Toc164072364"/>
      <w:bookmarkStart w:id="28" w:name="_Toc166658891"/>
      <w:bookmarkStart w:id="29" w:name="_Toc175829404"/>
      <w:r w:rsidRPr="00863A17">
        <w:lastRenderedPageBreak/>
        <w:t xml:space="preserve">Table </w:t>
      </w:r>
      <w:r>
        <w:fldChar w:fldCharType="begin"/>
      </w:r>
      <w:r>
        <w:instrText xml:space="preserve"> SEQ Table \* ARABIC </w:instrText>
      </w:r>
      <w:r>
        <w:fldChar w:fldCharType="separate"/>
      </w:r>
      <w:r w:rsidR="00D30418">
        <w:rPr>
          <w:noProof/>
        </w:rPr>
        <w:t>3</w:t>
      </w:r>
      <w:r>
        <w:rPr>
          <w:noProof/>
        </w:rPr>
        <w:fldChar w:fldCharType="end"/>
      </w:r>
      <w:r w:rsidRPr="00863A17">
        <w:t xml:space="preserve">: </w:t>
      </w:r>
      <w:r w:rsidR="00531A3E">
        <w:rPr>
          <w:lang w:val="en-US"/>
        </w:rPr>
        <w:t>Z</w:t>
      </w:r>
      <w:r w:rsidR="00D8418D">
        <w:rPr>
          <w:lang w:val="en-US"/>
        </w:rPr>
        <w:t>i</w:t>
      </w:r>
      <w:r w:rsidR="00514497">
        <w:rPr>
          <w:lang w:val="en-US"/>
        </w:rPr>
        <w:t>G</w:t>
      </w:r>
      <w:r w:rsidRPr="00863A17">
        <w:rPr>
          <w:lang w:val="en-US"/>
        </w:rPr>
        <w:t xml:space="preserve"> Exchange Rate Movements – </w:t>
      </w:r>
      <w:r w:rsidR="00F471BC" w:rsidRPr="00863A17">
        <w:rPr>
          <w:lang w:val="en-US"/>
        </w:rPr>
        <w:t>Month</w:t>
      </w:r>
      <w:r w:rsidRPr="00863A17">
        <w:rPr>
          <w:lang w:val="en-US"/>
        </w:rPr>
        <w:t xml:space="preserve"> Ending </w:t>
      </w:r>
      <w:r w:rsidR="00F008A4">
        <w:rPr>
          <w:lang w:val="en-US"/>
        </w:rPr>
        <w:t>31</w:t>
      </w:r>
      <w:r w:rsidRPr="00863A17">
        <w:rPr>
          <w:lang w:val="en-US"/>
        </w:rPr>
        <w:t xml:space="preserve"> </w:t>
      </w:r>
      <w:r w:rsidR="00F008A4">
        <w:rPr>
          <w:lang w:val="en-US"/>
        </w:rPr>
        <w:t>July</w:t>
      </w:r>
      <w:r w:rsidRPr="00863A17">
        <w:rPr>
          <w:lang w:val="en-US"/>
        </w:rPr>
        <w:t xml:space="preserve"> 202</w:t>
      </w:r>
      <w:r w:rsidR="00F471BC" w:rsidRPr="00863A17">
        <w:rPr>
          <w:lang w:val="en-US"/>
        </w:rPr>
        <w:t>4</w:t>
      </w:r>
      <w:bookmarkEnd w:id="27"/>
      <w:bookmarkEnd w:id="28"/>
      <w:bookmarkEnd w:id="29"/>
    </w:p>
    <w:p w14:paraId="4BDD9FB0" w14:textId="2FD65BBC" w:rsidR="00E664AA" w:rsidRPr="00863A17" w:rsidRDefault="00A270E8" w:rsidP="00C5355A">
      <w:pPr>
        <w:spacing w:after="0"/>
        <w:rPr>
          <w:rFonts w:ascii="Tahoma" w:hAnsi="Tahoma" w:cs="Tahoma"/>
          <w:sz w:val="24"/>
          <w:szCs w:val="24"/>
          <w:lang w:val="en-US"/>
        </w:rPr>
      </w:pPr>
      <w:r w:rsidRPr="00E664AA">
        <w:rPr>
          <w:rFonts w:ascii="Tahoma" w:hAnsi="Tahoma" w:cs="Tahoma"/>
          <w:noProof/>
          <w:sz w:val="24"/>
          <w:szCs w:val="24"/>
          <w:lang w:eastAsia="en-ZW"/>
        </w:rPr>
        <w:drawing>
          <wp:inline distT="0" distB="0" distL="0" distR="0" wp14:anchorId="6EF04499" wp14:editId="3851A93D">
            <wp:extent cx="5734050" cy="1266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a:noFill/>
                    </a:ln>
                  </pic:spPr>
                </pic:pic>
              </a:graphicData>
            </a:graphic>
          </wp:inline>
        </w:drawing>
      </w:r>
    </w:p>
    <w:p w14:paraId="104406AC" w14:textId="77777777" w:rsidR="00184FA3" w:rsidRPr="00863A17" w:rsidRDefault="00184FA3">
      <w:pPr>
        <w:rPr>
          <w:rFonts w:ascii="Tahoma" w:hAnsi="Tahoma" w:cs="Tahoma"/>
          <w:sz w:val="24"/>
          <w:szCs w:val="24"/>
          <w:lang w:val="en-US"/>
        </w:rPr>
      </w:pPr>
      <w:r w:rsidRPr="00863A17">
        <w:rPr>
          <w:rFonts w:ascii="Tahoma" w:hAnsi="Tahoma" w:cs="Tahoma"/>
          <w:i/>
          <w:sz w:val="24"/>
          <w:szCs w:val="24"/>
          <w:lang w:val="en-US"/>
        </w:rPr>
        <w:t>Source</w:t>
      </w:r>
      <w:r w:rsidR="00B1678A" w:rsidRPr="00863A17">
        <w:rPr>
          <w:rFonts w:ascii="Tahoma" w:hAnsi="Tahoma" w:cs="Tahoma"/>
          <w:i/>
          <w:sz w:val="24"/>
          <w:szCs w:val="24"/>
          <w:lang w:val="en-US"/>
        </w:rPr>
        <w:t>: Reserve Bank of Zimbabwe (</w:t>
      </w:r>
      <w:r w:rsidR="0062024E" w:rsidRPr="00863A17">
        <w:rPr>
          <w:rFonts w:ascii="Tahoma" w:hAnsi="Tahoma" w:cs="Tahoma"/>
          <w:i/>
          <w:sz w:val="24"/>
          <w:szCs w:val="24"/>
          <w:lang w:val="en-US"/>
        </w:rPr>
        <w:t>202</w:t>
      </w:r>
      <w:r w:rsidR="008B2E08" w:rsidRPr="00863A17">
        <w:rPr>
          <w:rFonts w:ascii="Tahoma" w:hAnsi="Tahoma" w:cs="Tahoma"/>
          <w:i/>
          <w:sz w:val="24"/>
          <w:szCs w:val="24"/>
          <w:lang w:val="en-US"/>
        </w:rPr>
        <w:t>4</w:t>
      </w:r>
      <w:r w:rsidR="00B1678A" w:rsidRPr="00863A17">
        <w:rPr>
          <w:rFonts w:ascii="Tahoma" w:hAnsi="Tahoma" w:cs="Tahoma"/>
          <w:i/>
          <w:sz w:val="24"/>
          <w:szCs w:val="24"/>
          <w:lang w:val="en-US"/>
        </w:rPr>
        <w:t>)</w:t>
      </w:r>
      <w:r w:rsidR="0062024E" w:rsidRPr="00863A17">
        <w:rPr>
          <w:rFonts w:ascii="Tahoma" w:hAnsi="Tahoma" w:cs="Tahoma"/>
          <w:i/>
          <w:sz w:val="24"/>
          <w:szCs w:val="24"/>
          <w:lang w:val="en-US"/>
        </w:rPr>
        <w:t xml:space="preserve"> </w:t>
      </w:r>
    </w:p>
    <w:p w14:paraId="1CC09EE5" w14:textId="77777777" w:rsidR="00C65CC6" w:rsidRPr="00863A17" w:rsidRDefault="004C7E36" w:rsidP="003C1D2F">
      <w:pPr>
        <w:pStyle w:val="Heading2"/>
        <w:spacing w:before="0" w:after="240" w:line="240" w:lineRule="auto"/>
        <w:rPr>
          <w:rFonts w:cs="Tahoma"/>
          <w:b/>
          <w:color w:val="000000"/>
          <w:szCs w:val="24"/>
          <w:lang w:val="en-US"/>
        </w:rPr>
      </w:pPr>
      <w:bookmarkStart w:id="30" w:name="_Toc166607897"/>
      <w:bookmarkStart w:id="31" w:name="_Toc175829615"/>
      <w:r w:rsidRPr="00863A17">
        <w:rPr>
          <w:rFonts w:cs="Tahoma"/>
          <w:b/>
          <w:color w:val="000000"/>
          <w:szCs w:val="24"/>
          <w:lang w:val="en-US"/>
        </w:rPr>
        <w:t>5.2</w:t>
      </w:r>
      <w:r w:rsidRPr="00863A17">
        <w:rPr>
          <w:rFonts w:cs="Tahoma"/>
          <w:b/>
          <w:color w:val="000000"/>
          <w:szCs w:val="24"/>
          <w:lang w:val="en-US"/>
        </w:rPr>
        <w:tab/>
      </w:r>
      <w:r w:rsidR="00EF25BB" w:rsidRPr="00863A17">
        <w:rPr>
          <w:rFonts w:cs="Tahoma"/>
          <w:b/>
          <w:color w:val="000000"/>
          <w:szCs w:val="24"/>
          <w:lang w:val="en-US"/>
        </w:rPr>
        <w:t>Cross Rate Developments</w:t>
      </w:r>
      <w:bookmarkEnd w:id="30"/>
      <w:bookmarkEnd w:id="31"/>
      <w:r w:rsidR="00EF25BB" w:rsidRPr="00863A17">
        <w:rPr>
          <w:rFonts w:cs="Tahoma"/>
          <w:b/>
          <w:color w:val="000000"/>
          <w:szCs w:val="24"/>
          <w:lang w:val="en-US"/>
        </w:rPr>
        <w:t xml:space="preserve"> </w:t>
      </w:r>
    </w:p>
    <w:p w14:paraId="2986DF6F" w14:textId="55956D96" w:rsidR="00D8418D"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5.2.1</w:t>
      </w:r>
      <w:r w:rsidRPr="00863A17">
        <w:rPr>
          <w:rFonts w:ascii="Tahoma" w:hAnsi="Tahoma" w:cs="Tahoma"/>
          <w:sz w:val="24"/>
          <w:szCs w:val="24"/>
          <w:lang w:val="en-US"/>
        </w:rPr>
        <w:tab/>
      </w:r>
      <w:r w:rsidR="00E25542" w:rsidRPr="002E6010">
        <w:rPr>
          <w:rFonts w:ascii="Tahoma" w:hAnsi="Tahoma" w:cs="Tahoma"/>
          <w:sz w:val="24"/>
          <w:szCs w:val="24"/>
          <w:lang w:val="en-US"/>
        </w:rPr>
        <w:t xml:space="preserve">On </w:t>
      </w:r>
      <w:r w:rsidR="005645F7" w:rsidRPr="002E6010">
        <w:rPr>
          <w:rFonts w:ascii="Tahoma" w:hAnsi="Tahoma" w:cs="Tahoma"/>
          <w:sz w:val="24"/>
          <w:szCs w:val="24"/>
          <w:lang w:val="en-US"/>
        </w:rPr>
        <w:t>MoM</w:t>
      </w:r>
      <w:r w:rsidR="00E25542" w:rsidRPr="002E6010">
        <w:rPr>
          <w:rFonts w:ascii="Tahoma" w:hAnsi="Tahoma" w:cs="Tahoma"/>
          <w:sz w:val="24"/>
          <w:szCs w:val="24"/>
          <w:lang w:val="en-US"/>
        </w:rPr>
        <w:t xml:space="preserve"> basis</w:t>
      </w:r>
      <w:r w:rsidR="00EF25BB" w:rsidRPr="002E6010">
        <w:rPr>
          <w:rFonts w:ascii="Tahoma" w:hAnsi="Tahoma" w:cs="Tahoma"/>
          <w:sz w:val="24"/>
          <w:szCs w:val="24"/>
          <w:lang w:val="en-US"/>
        </w:rPr>
        <w:t>, the USD</w:t>
      </w:r>
      <w:r w:rsidR="00623F3A">
        <w:rPr>
          <w:rFonts w:ascii="Tahoma" w:hAnsi="Tahoma" w:cs="Tahoma"/>
          <w:sz w:val="24"/>
          <w:szCs w:val="24"/>
          <w:lang w:val="en-US"/>
        </w:rPr>
        <w:t xml:space="preserve"> lost against the GBP, </w:t>
      </w:r>
      <w:r w:rsidR="00253FAC">
        <w:rPr>
          <w:rFonts w:ascii="Tahoma" w:hAnsi="Tahoma" w:cs="Tahoma"/>
          <w:sz w:val="24"/>
          <w:szCs w:val="24"/>
          <w:lang w:val="en-US"/>
        </w:rPr>
        <w:t>EUR</w:t>
      </w:r>
      <w:r w:rsidR="00623F3A">
        <w:rPr>
          <w:rFonts w:ascii="Tahoma" w:hAnsi="Tahoma" w:cs="Tahoma"/>
          <w:sz w:val="24"/>
          <w:szCs w:val="24"/>
          <w:lang w:val="en-US"/>
        </w:rPr>
        <w:t xml:space="preserve"> and ZAR by 1.62</w:t>
      </w:r>
      <w:r w:rsidR="00253FAC">
        <w:rPr>
          <w:rFonts w:ascii="Tahoma" w:hAnsi="Tahoma" w:cs="Tahoma"/>
          <w:sz w:val="24"/>
          <w:szCs w:val="24"/>
          <w:lang w:val="en-US"/>
        </w:rPr>
        <w:t>%</w:t>
      </w:r>
      <w:r w:rsidR="00623F3A">
        <w:rPr>
          <w:rFonts w:ascii="Tahoma" w:hAnsi="Tahoma" w:cs="Tahoma"/>
          <w:sz w:val="24"/>
          <w:szCs w:val="24"/>
          <w:lang w:val="en-US"/>
        </w:rPr>
        <w:t>, 1.21% and 0.98</w:t>
      </w:r>
      <w:r w:rsidR="00253FAC">
        <w:rPr>
          <w:rFonts w:ascii="Tahoma" w:hAnsi="Tahoma" w:cs="Tahoma"/>
          <w:sz w:val="24"/>
          <w:szCs w:val="24"/>
          <w:lang w:val="en-US"/>
        </w:rPr>
        <w:t>% respectively, and the USD</w:t>
      </w:r>
      <w:r w:rsidR="00623F3A">
        <w:rPr>
          <w:rFonts w:ascii="Tahoma" w:hAnsi="Tahoma" w:cs="Tahoma"/>
          <w:sz w:val="24"/>
          <w:szCs w:val="24"/>
          <w:lang w:val="en-US"/>
        </w:rPr>
        <w:t xml:space="preserve"> also depreciated against the GBP, EUR and ZAR on a </w:t>
      </w:r>
      <w:r w:rsidR="00D8418D">
        <w:rPr>
          <w:rFonts w:ascii="Tahoma" w:hAnsi="Tahoma" w:cs="Tahoma"/>
          <w:sz w:val="24"/>
          <w:szCs w:val="24"/>
          <w:lang w:val="en-US"/>
        </w:rPr>
        <w:t>YtD</w:t>
      </w:r>
      <w:r w:rsidR="00623F3A">
        <w:rPr>
          <w:rFonts w:ascii="Tahoma" w:hAnsi="Tahoma" w:cs="Tahoma"/>
          <w:sz w:val="24"/>
          <w:szCs w:val="24"/>
          <w:lang w:val="en-US"/>
        </w:rPr>
        <w:t xml:space="preserve"> basis</w:t>
      </w:r>
      <w:r w:rsidR="00253FAC">
        <w:rPr>
          <w:rFonts w:ascii="Tahoma" w:hAnsi="Tahoma" w:cs="Tahoma"/>
          <w:sz w:val="24"/>
          <w:szCs w:val="24"/>
          <w:lang w:val="en-US"/>
        </w:rPr>
        <w:t xml:space="preserve">. </w:t>
      </w:r>
      <w:r w:rsidR="00623F3A">
        <w:rPr>
          <w:rFonts w:ascii="Tahoma" w:hAnsi="Tahoma" w:cs="Tahoma"/>
          <w:sz w:val="24"/>
          <w:szCs w:val="24"/>
          <w:lang w:val="en-US"/>
        </w:rPr>
        <w:t xml:space="preserve">However, on a YoY basis, the USD </w:t>
      </w:r>
      <w:r w:rsidR="00253FAC">
        <w:rPr>
          <w:rFonts w:ascii="Tahoma" w:hAnsi="Tahoma" w:cs="Tahoma"/>
          <w:sz w:val="24"/>
          <w:szCs w:val="24"/>
          <w:lang w:val="en-US"/>
        </w:rPr>
        <w:t xml:space="preserve">gained </w:t>
      </w:r>
      <w:r w:rsidR="00623F3A">
        <w:rPr>
          <w:rFonts w:ascii="Tahoma" w:hAnsi="Tahoma" w:cs="Tahoma"/>
          <w:sz w:val="24"/>
          <w:szCs w:val="24"/>
          <w:lang w:val="en-US"/>
        </w:rPr>
        <w:t>against the GBP, EUR and ZAR by 0.06%, 1.72% and 3.69%</w:t>
      </w:r>
      <w:r w:rsidR="00D8418D">
        <w:rPr>
          <w:rFonts w:ascii="Tahoma" w:hAnsi="Tahoma" w:cs="Tahoma"/>
          <w:sz w:val="24"/>
          <w:szCs w:val="24"/>
          <w:lang w:val="en-US"/>
        </w:rPr>
        <w:t xml:space="preserve">, </w:t>
      </w:r>
      <w:r w:rsidR="00623F3A">
        <w:rPr>
          <w:rFonts w:ascii="Tahoma" w:hAnsi="Tahoma" w:cs="Tahoma"/>
          <w:sz w:val="24"/>
          <w:szCs w:val="24"/>
          <w:lang w:val="en-US"/>
        </w:rPr>
        <w:t>respectively (see Table 4)</w:t>
      </w:r>
      <w:r w:rsidR="00D8418D">
        <w:rPr>
          <w:rFonts w:ascii="Tahoma" w:hAnsi="Tahoma" w:cs="Tahoma"/>
          <w:sz w:val="24"/>
          <w:szCs w:val="24"/>
          <w:lang w:val="en-US"/>
        </w:rPr>
        <w:t xml:space="preserve">. </w:t>
      </w:r>
    </w:p>
    <w:p w14:paraId="249C89B1" w14:textId="609A05D5" w:rsidR="00C65CC6" w:rsidRDefault="00D8418D" w:rsidP="004C7E36">
      <w:pPr>
        <w:ind w:left="720" w:hanging="720"/>
        <w:jc w:val="both"/>
        <w:rPr>
          <w:rFonts w:ascii="Tahoma" w:hAnsi="Tahoma" w:cs="Tahoma"/>
          <w:sz w:val="24"/>
          <w:szCs w:val="24"/>
          <w:lang w:val="en-US"/>
        </w:rPr>
      </w:pPr>
      <w:r>
        <w:rPr>
          <w:rFonts w:ascii="Tahoma" w:hAnsi="Tahoma" w:cs="Tahoma"/>
          <w:sz w:val="24"/>
          <w:szCs w:val="24"/>
          <w:lang w:val="en-US"/>
        </w:rPr>
        <w:t>5.2.2</w:t>
      </w:r>
      <w:r>
        <w:rPr>
          <w:rFonts w:ascii="Tahoma" w:hAnsi="Tahoma" w:cs="Tahoma"/>
          <w:sz w:val="24"/>
          <w:szCs w:val="24"/>
          <w:lang w:val="en-US"/>
        </w:rPr>
        <w:tab/>
      </w:r>
      <w:r w:rsidR="00670F3B">
        <w:rPr>
          <w:rFonts w:ascii="Tahoma" w:hAnsi="Tahoma" w:cs="Tahoma"/>
          <w:sz w:val="24"/>
          <w:szCs w:val="24"/>
          <w:lang w:val="en-US"/>
        </w:rPr>
        <w:t xml:space="preserve">The trend inhibited by </w:t>
      </w:r>
      <w:r w:rsidR="00623F3A">
        <w:rPr>
          <w:rFonts w:ascii="Tahoma" w:hAnsi="Tahoma" w:cs="Tahoma"/>
          <w:sz w:val="24"/>
          <w:szCs w:val="24"/>
          <w:lang w:val="en-US"/>
        </w:rPr>
        <w:t>the USD is mainly attributed to the upcoming USA 2024 elections which tends to weaken the USD. Youness (2022), stated that with the increase in political tensions, convulsive rhetoric and negative political events such as the resignation of the government or political disputes, deteriorates exchange rate, meaning exchange rate depends mainly on the political atmosphere.</w:t>
      </w:r>
    </w:p>
    <w:p w14:paraId="245AFE41" w14:textId="77777777" w:rsidR="00E664AA" w:rsidRPr="00E664AA" w:rsidRDefault="003C1D2F" w:rsidP="00E664AA">
      <w:pPr>
        <w:pStyle w:val="ListofTables"/>
        <w:rPr>
          <w:lang w:val="en-US"/>
        </w:rPr>
      </w:pPr>
      <w:bookmarkStart w:id="32" w:name="_Toc164072365"/>
      <w:bookmarkStart w:id="33" w:name="_Toc166658892"/>
      <w:bookmarkStart w:id="34" w:name="_Toc175829405"/>
      <w:r w:rsidRPr="00863A17">
        <w:t xml:space="preserve">Table </w:t>
      </w:r>
      <w:r>
        <w:fldChar w:fldCharType="begin"/>
      </w:r>
      <w:r>
        <w:instrText xml:space="preserve"> SEQ Table \* ARABIC </w:instrText>
      </w:r>
      <w:r>
        <w:fldChar w:fldCharType="separate"/>
      </w:r>
      <w:r w:rsidR="00D30418">
        <w:rPr>
          <w:noProof/>
        </w:rPr>
        <w:t>4</w:t>
      </w:r>
      <w:r>
        <w:rPr>
          <w:noProof/>
        </w:rPr>
        <w:fldChar w:fldCharType="end"/>
      </w:r>
      <w:r w:rsidRPr="00863A17">
        <w:t xml:space="preserve">: </w:t>
      </w:r>
      <w:r w:rsidRPr="00863A17">
        <w:rPr>
          <w:lang w:val="en-US"/>
        </w:rPr>
        <w:t xml:space="preserve">USD Exchange Rate Movements – </w:t>
      </w:r>
      <w:r w:rsidR="00642C66" w:rsidRPr="00863A17">
        <w:rPr>
          <w:lang w:val="en-US"/>
        </w:rPr>
        <w:t>Month</w:t>
      </w:r>
      <w:r w:rsidRPr="00863A17">
        <w:rPr>
          <w:lang w:val="en-US"/>
        </w:rPr>
        <w:t xml:space="preserve"> Ended </w:t>
      </w:r>
      <w:r w:rsidR="008663C5">
        <w:rPr>
          <w:lang w:val="en-US"/>
        </w:rPr>
        <w:t>31 July</w:t>
      </w:r>
      <w:r w:rsidRPr="00863A17">
        <w:rPr>
          <w:lang w:val="en-US"/>
        </w:rPr>
        <w:t xml:space="preserve"> 202</w:t>
      </w:r>
      <w:r w:rsidR="00642C66" w:rsidRPr="00863A17">
        <w:rPr>
          <w:lang w:val="en-US"/>
        </w:rPr>
        <w:t>4</w:t>
      </w:r>
      <w:bookmarkEnd w:id="32"/>
      <w:bookmarkEnd w:id="33"/>
      <w:bookmarkEnd w:id="34"/>
    </w:p>
    <w:p w14:paraId="51D8CADF" w14:textId="109CE206" w:rsidR="00E664AA" w:rsidRPr="00863A17" w:rsidRDefault="00A270E8" w:rsidP="00CB6A80">
      <w:pPr>
        <w:spacing w:after="0"/>
        <w:rPr>
          <w:rFonts w:ascii="Tahoma" w:hAnsi="Tahoma" w:cs="Tahoma"/>
          <w:sz w:val="24"/>
          <w:szCs w:val="24"/>
          <w:lang w:val="en-US"/>
        </w:rPr>
      </w:pPr>
      <w:r w:rsidRPr="00E664AA">
        <w:rPr>
          <w:rFonts w:ascii="Tahoma" w:hAnsi="Tahoma" w:cs="Tahoma"/>
          <w:noProof/>
          <w:sz w:val="24"/>
          <w:szCs w:val="24"/>
          <w:lang w:eastAsia="en-ZW"/>
        </w:rPr>
        <w:drawing>
          <wp:inline distT="0" distB="0" distL="0" distR="0" wp14:anchorId="128483D1" wp14:editId="2C31E14C">
            <wp:extent cx="5734050" cy="1295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14:paraId="04EB9CE4" w14:textId="77777777" w:rsidR="00184FA3" w:rsidRPr="00863A17"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5DEE7C11" w14:textId="77777777" w:rsidR="00184FA3" w:rsidRPr="00A64F64" w:rsidRDefault="004C7E36" w:rsidP="003C1D2F">
      <w:pPr>
        <w:pStyle w:val="Heading1"/>
        <w:spacing w:before="0" w:after="240" w:line="240" w:lineRule="auto"/>
        <w:rPr>
          <w:rFonts w:cs="Tahoma"/>
          <w:bCs/>
          <w:color w:val="000000"/>
          <w:szCs w:val="24"/>
          <w:lang w:val="en-US"/>
        </w:rPr>
      </w:pPr>
      <w:bookmarkStart w:id="35" w:name="_Toc166607898"/>
      <w:bookmarkStart w:id="36" w:name="_Toc175829616"/>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35"/>
      <w:bookmarkEnd w:id="36"/>
      <w:r w:rsidR="00184FA3" w:rsidRPr="00A64F64">
        <w:rPr>
          <w:rFonts w:cs="Tahoma"/>
          <w:bCs/>
          <w:color w:val="000000"/>
          <w:szCs w:val="24"/>
          <w:lang w:val="en-US"/>
        </w:rPr>
        <w:t xml:space="preserve"> </w:t>
      </w:r>
    </w:p>
    <w:p w14:paraId="211A7C95" w14:textId="1217FE71" w:rsidR="00FC71BF" w:rsidRDefault="004C7E36" w:rsidP="004C7E36">
      <w:pPr>
        <w:ind w:left="720" w:hanging="720"/>
        <w:jc w:val="both"/>
        <w:rPr>
          <w:rFonts w:ascii="Tahoma" w:hAnsi="Tahoma" w:cs="Tahoma"/>
          <w:sz w:val="24"/>
          <w:szCs w:val="24"/>
        </w:rPr>
      </w:pPr>
      <w:r w:rsidRPr="00863A17">
        <w:rPr>
          <w:rFonts w:ascii="Tahoma" w:hAnsi="Tahoma" w:cs="Tahoma"/>
          <w:sz w:val="24"/>
          <w:szCs w:val="24"/>
        </w:rPr>
        <w:t>6.1</w:t>
      </w:r>
      <w:r w:rsidRPr="00863A17">
        <w:rPr>
          <w:rFonts w:ascii="Tahoma" w:hAnsi="Tahoma" w:cs="Tahoma"/>
          <w:sz w:val="24"/>
          <w:szCs w:val="24"/>
        </w:rPr>
        <w:tab/>
      </w:r>
      <w:bookmarkStart w:id="37" w:name="_Hlk166606180"/>
      <w:r w:rsidR="00087E0F">
        <w:rPr>
          <w:rFonts w:ascii="Tahoma" w:hAnsi="Tahoma" w:cs="Tahoma"/>
          <w:sz w:val="24"/>
          <w:szCs w:val="24"/>
        </w:rPr>
        <w:t>In July 2024,</w:t>
      </w:r>
      <w:r w:rsidR="00C87EA9">
        <w:rPr>
          <w:rFonts w:ascii="Tahoma" w:hAnsi="Tahoma" w:cs="Tahoma"/>
          <w:sz w:val="24"/>
          <w:szCs w:val="24"/>
        </w:rPr>
        <w:t xml:space="preserve"> the economy continued </w:t>
      </w:r>
      <w:r w:rsidR="00D8418D">
        <w:rPr>
          <w:rFonts w:ascii="Tahoma" w:hAnsi="Tahoma" w:cs="Tahoma"/>
          <w:sz w:val="24"/>
          <w:szCs w:val="24"/>
        </w:rPr>
        <w:t>on a</w:t>
      </w:r>
      <w:r w:rsidR="00C87EA9">
        <w:rPr>
          <w:rFonts w:ascii="Tahoma" w:hAnsi="Tahoma" w:cs="Tahoma"/>
          <w:sz w:val="24"/>
          <w:szCs w:val="24"/>
        </w:rPr>
        <w:t xml:space="preserve"> deflation</w:t>
      </w:r>
      <w:r w:rsidR="00D8418D">
        <w:rPr>
          <w:rFonts w:ascii="Tahoma" w:hAnsi="Tahoma" w:cs="Tahoma"/>
          <w:sz w:val="24"/>
          <w:szCs w:val="24"/>
        </w:rPr>
        <w:t xml:space="preserve"> path</w:t>
      </w:r>
      <w:r w:rsidR="00B860C5" w:rsidRPr="00863A17">
        <w:rPr>
          <w:rFonts w:ascii="Tahoma" w:hAnsi="Tahoma" w:cs="Tahoma"/>
          <w:sz w:val="24"/>
          <w:szCs w:val="24"/>
        </w:rPr>
        <w:t xml:space="preserve">, </w:t>
      </w:r>
      <w:r w:rsidR="00D8418D">
        <w:rPr>
          <w:rFonts w:ascii="Tahoma" w:hAnsi="Tahoma" w:cs="Tahoma"/>
          <w:sz w:val="24"/>
          <w:szCs w:val="24"/>
        </w:rPr>
        <w:t>MoM</w:t>
      </w:r>
      <w:r w:rsidR="00B860C5" w:rsidRPr="00863A17">
        <w:rPr>
          <w:rFonts w:ascii="Tahoma" w:hAnsi="Tahoma" w:cs="Tahoma"/>
          <w:sz w:val="24"/>
          <w:szCs w:val="24"/>
        </w:rPr>
        <w:t xml:space="preserve"> inflation</w:t>
      </w:r>
      <w:r w:rsidR="00C87EA9">
        <w:rPr>
          <w:rFonts w:ascii="Tahoma" w:hAnsi="Tahoma" w:cs="Tahoma"/>
          <w:sz w:val="24"/>
          <w:szCs w:val="24"/>
        </w:rPr>
        <w:t xml:space="preserve"> </w:t>
      </w:r>
      <w:r w:rsidR="00B860C5" w:rsidRPr="00863A17">
        <w:rPr>
          <w:rFonts w:ascii="Tahoma" w:hAnsi="Tahoma" w:cs="Tahoma"/>
          <w:sz w:val="24"/>
          <w:szCs w:val="24"/>
        </w:rPr>
        <w:t xml:space="preserve">stood at </w:t>
      </w:r>
      <w:r w:rsidR="00C87EA9">
        <w:rPr>
          <w:rFonts w:ascii="Tahoma" w:hAnsi="Tahoma" w:cs="Tahoma"/>
          <w:sz w:val="24"/>
          <w:szCs w:val="24"/>
        </w:rPr>
        <w:t>-0</w:t>
      </w:r>
      <w:r w:rsidR="00B97DEF">
        <w:rPr>
          <w:rFonts w:ascii="Tahoma" w:hAnsi="Tahoma" w:cs="Tahoma"/>
          <w:sz w:val="24"/>
          <w:szCs w:val="24"/>
        </w:rPr>
        <w:t>.</w:t>
      </w:r>
      <w:r w:rsidR="00087E0F">
        <w:rPr>
          <w:rFonts w:ascii="Tahoma" w:hAnsi="Tahoma" w:cs="Tahoma"/>
          <w:sz w:val="24"/>
          <w:szCs w:val="24"/>
        </w:rPr>
        <w:t>1</w:t>
      </w:r>
      <w:r w:rsidR="00B860C5" w:rsidRPr="00863A17">
        <w:rPr>
          <w:rFonts w:ascii="Tahoma" w:hAnsi="Tahoma" w:cs="Tahoma"/>
          <w:sz w:val="24"/>
          <w:szCs w:val="24"/>
        </w:rPr>
        <w:t xml:space="preserve">% </w:t>
      </w:r>
      <w:r w:rsidR="00C87EA9">
        <w:rPr>
          <w:rFonts w:ascii="Tahoma" w:hAnsi="Tahoma" w:cs="Tahoma"/>
          <w:sz w:val="24"/>
          <w:szCs w:val="24"/>
        </w:rPr>
        <w:t>up</w:t>
      </w:r>
      <w:r w:rsidR="00CB6A80">
        <w:rPr>
          <w:rFonts w:ascii="Tahoma" w:hAnsi="Tahoma" w:cs="Tahoma"/>
          <w:sz w:val="24"/>
          <w:szCs w:val="24"/>
        </w:rPr>
        <w:t xml:space="preserve"> from </w:t>
      </w:r>
      <w:r w:rsidR="00087E0F">
        <w:rPr>
          <w:rFonts w:ascii="Tahoma" w:hAnsi="Tahoma" w:cs="Tahoma"/>
          <w:sz w:val="24"/>
          <w:szCs w:val="24"/>
        </w:rPr>
        <w:t>-0.2</w:t>
      </w:r>
      <w:r w:rsidR="009D2B26" w:rsidRPr="00863A17">
        <w:rPr>
          <w:rFonts w:ascii="Tahoma" w:hAnsi="Tahoma" w:cs="Tahoma"/>
          <w:sz w:val="24"/>
          <w:szCs w:val="24"/>
        </w:rPr>
        <w:t>%</w:t>
      </w:r>
      <w:r w:rsidR="00CB6A80">
        <w:rPr>
          <w:rFonts w:ascii="Tahoma" w:hAnsi="Tahoma" w:cs="Tahoma"/>
          <w:sz w:val="24"/>
          <w:szCs w:val="24"/>
        </w:rPr>
        <w:t xml:space="preserve"> recorded in </w:t>
      </w:r>
      <w:r w:rsidR="00087E0F">
        <w:rPr>
          <w:rFonts w:ascii="Tahoma" w:hAnsi="Tahoma" w:cs="Tahoma"/>
          <w:sz w:val="24"/>
          <w:szCs w:val="24"/>
        </w:rPr>
        <w:t>June</w:t>
      </w:r>
      <w:r w:rsidR="00C87EA9">
        <w:rPr>
          <w:rFonts w:ascii="Tahoma" w:hAnsi="Tahoma" w:cs="Tahoma"/>
          <w:sz w:val="24"/>
          <w:szCs w:val="24"/>
        </w:rPr>
        <w:t xml:space="preserve"> 2024</w:t>
      </w:r>
      <w:r w:rsidR="00670FF1" w:rsidRPr="00863A17">
        <w:rPr>
          <w:rFonts w:ascii="Tahoma" w:hAnsi="Tahoma" w:cs="Tahoma"/>
          <w:sz w:val="24"/>
          <w:szCs w:val="24"/>
        </w:rPr>
        <w:t xml:space="preserve">, see Figure </w:t>
      </w:r>
      <w:r w:rsidR="00760CF6">
        <w:rPr>
          <w:rFonts w:ascii="Tahoma" w:hAnsi="Tahoma" w:cs="Tahoma"/>
          <w:sz w:val="24"/>
          <w:szCs w:val="24"/>
        </w:rPr>
        <w:t>2</w:t>
      </w:r>
      <w:r w:rsidR="00670FF1" w:rsidRPr="00863A17">
        <w:rPr>
          <w:rFonts w:ascii="Tahoma" w:hAnsi="Tahoma" w:cs="Tahoma"/>
          <w:sz w:val="24"/>
          <w:szCs w:val="24"/>
        </w:rPr>
        <w:t xml:space="preserve">. </w:t>
      </w:r>
    </w:p>
    <w:p w14:paraId="1DDCC419" w14:textId="77777777" w:rsidR="00D8418D" w:rsidRDefault="00D8418D" w:rsidP="004C7E36">
      <w:pPr>
        <w:ind w:left="720" w:hanging="720"/>
        <w:jc w:val="both"/>
        <w:rPr>
          <w:rFonts w:ascii="Tahoma" w:hAnsi="Tahoma" w:cs="Tahoma"/>
          <w:sz w:val="24"/>
          <w:szCs w:val="24"/>
        </w:rPr>
      </w:pPr>
    </w:p>
    <w:p w14:paraId="418BD5DF" w14:textId="77777777" w:rsidR="00D8418D" w:rsidRDefault="00D8418D" w:rsidP="004C7E36">
      <w:pPr>
        <w:ind w:left="720" w:hanging="720"/>
        <w:jc w:val="both"/>
        <w:rPr>
          <w:rFonts w:ascii="Tahoma" w:hAnsi="Tahoma" w:cs="Tahoma"/>
          <w:sz w:val="24"/>
          <w:szCs w:val="24"/>
        </w:rPr>
      </w:pPr>
    </w:p>
    <w:p w14:paraId="300F2784" w14:textId="77777777" w:rsidR="00D8418D" w:rsidRDefault="00D8418D" w:rsidP="004C7E36">
      <w:pPr>
        <w:ind w:left="720" w:hanging="720"/>
        <w:jc w:val="both"/>
        <w:rPr>
          <w:rFonts w:ascii="Tahoma" w:hAnsi="Tahoma" w:cs="Tahoma"/>
          <w:sz w:val="24"/>
          <w:szCs w:val="24"/>
        </w:rPr>
      </w:pPr>
    </w:p>
    <w:p w14:paraId="657A4012" w14:textId="77777777" w:rsidR="00D8418D" w:rsidRDefault="00D8418D" w:rsidP="004C7E36">
      <w:pPr>
        <w:ind w:left="720" w:hanging="720"/>
        <w:jc w:val="both"/>
        <w:rPr>
          <w:rFonts w:ascii="Tahoma" w:hAnsi="Tahoma" w:cs="Tahoma"/>
          <w:sz w:val="24"/>
          <w:szCs w:val="24"/>
        </w:rPr>
      </w:pPr>
    </w:p>
    <w:p w14:paraId="42B7ECF8" w14:textId="77777777" w:rsidR="00D8418D" w:rsidRDefault="00D8418D" w:rsidP="004C7E36">
      <w:pPr>
        <w:ind w:left="720" w:hanging="720"/>
        <w:jc w:val="both"/>
        <w:rPr>
          <w:rFonts w:ascii="Tahoma" w:hAnsi="Tahoma" w:cs="Tahoma"/>
          <w:sz w:val="24"/>
          <w:szCs w:val="24"/>
        </w:rPr>
      </w:pPr>
    </w:p>
    <w:p w14:paraId="0F3C41F9" w14:textId="77777777" w:rsidR="00D8418D" w:rsidRPr="00863A17" w:rsidRDefault="00D8418D" w:rsidP="004C7E36">
      <w:pPr>
        <w:ind w:left="720" w:hanging="720"/>
        <w:jc w:val="both"/>
        <w:rPr>
          <w:rFonts w:ascii="Tahoma" w:hAnsi="Tahoma" w:cs="Tahoma"/>
          <w:sz w:val="24"/>
          <w:szCs w:val="24"/>
        </w:rPr>
      </w:pPr>
    </w:p>
    <w:bookmarkEnd w:id="37"/>
    <w:p w14:paraId="72699286" w14:textId="77777777" w:rsidR="00760CF6" w:rsidRDefault="00760CF6" w:rsidP="00760CF6">
      <w:pPr>
        <w:pStyle w:val="Caption"/>
      </w:pPr>
    </w:p>
    <w:p w14:paraId="7161E265" w14:textId="2152200A" w:rsidR="00760CF6" w:rsidRPr="00760CF6" w:rsidRDefault="00760CF6" w:rsidP="00760CF6">
      <w:pPr>
        <w:pStyle w:val="Caption"/>
        <w:rPr>
          <w:rFonts w:ascii="Tahoma" w:hAnsi="Tahoma" w:cs="Tahoma"/>
          <w:b/>
          <w:bCs/>
          <w:i w:val="0"/>
          <w:iCs w:val="0"/>
          <w:color w:val="000000" w:themeColor="text1"/>
          <w:sz w:val="24"/>
          <w:szCs w:val="24"/>
        </w:rPr>
      </w:pPr>
      <w:bookmarkStart w:id="38" w:name="_Toc175829856"/>
      <w:r w:rsidRPr="00760CF6">
        <w:rPr>
          <w:rFonts w:ascii="Tahoma" w:hAnsi="Tahoma" w:cs="Tahoma"/>
          <w:b/>
          <w:bCs/>
          <w:i w:val="0"/>
          <w:iCs w:val="0"/>
          <w:color w:val="000000" w:themeColor="text1"/>
          <w:sz w:val="24"/>
          <w:szCs w:val="24"/>
        </w:rPr>
        <w:lastRenderedPageBreak/>
        <w:t xml:space="preserve">Figure </w:t>
      </w:r>
      <w:r w:rsidRPr="00760CF6">
        <w:rPr>
          <w:rFonts w:ascii="Tahoma" w:hAnsi="Tahoma" w:cs="Tahoma"/>
          <w:b/>
          <w:bCs/>
          <w:i w:val="0"/>
          <w:iCs w:val="0"/>
          <w:color w:val="000000" w:themeColor="text1"/>
          <w:sz w:val="24"/>
          <w:szCs w:val="24"/>
        </w:rPr>
        <w:fldChar w:fldCharType="begin"/>
      </w:r>
      <w:r w:rsidRPr="00760CF6">
        <w:rPr>
          <w:rFonts w:ascii="Tahoma" w:hAnsi="Tahoma" w:cs="Tahoma"/>
          <w:b/>
          <w:bCs/>
          <w:i w:val="0"/>
          <w:iCs w:val="0"/>
          <w:color w:val="000000" w:themeColor="text1"/>
          <w:sz w:val="24"/>
          <w:szCs w:val="24"/>
        </w:rPr>
        <w:instrText xml:space="preserve"> SEQ Figure \* ARABIC </w:instrText>
      </w:r>
      <w:r w:rsidRPr="00760CF6">
        <w:rPr>
          <w:rFonts w:ascii="Tahoma" w:hAnsi="Tahoma" w:cs="Tahoma"/>
          <w:b/>
          <w:bCs/>
          <w:i w:val="0"/>
          <w:iCs w:val="0"/>
          <w:color w:val="000000" w:themeColor="text1"/>
          <w:sz w:val="24"/>
          <w:szCs w:val="24"/>
        </w:rPr>
        <w:fldChar w:fldCharType="separate"/>
      </w:r>
      <w:r w:rsidR="007C0301">
        <w:rPr>
          <w:rFonts w:ascii="Tahoma" w:hAnsi="Tahoma" w:cs="Tahoma"/>
          <w:b/>
          <w:bCs/>
          <w:i w:val="0"/>
          <w:iCs w:val="0"/>
          <w:noProof/>
          <w:color w:val="000000" w:themeColor="text1"/>
          <w:sz w:val="24"/>
          <w:szCs w:val="24"/>
        </w:rPr>
        <w:t>2</w:t>
      </w:r>
      <w:r w:rsidRPr="00760CF6">
        <w:rPr>
          <w:rFonts w:ascii="Tahoma" w:hAnsi="Tahoma" w:cs="Tahoma"/>
          <w:b/>
          <w:bCs/>
          <w:i w:val="0"/>
          <w:iCs w:val="0"/>
          <w:color w:val="000000" w:themeColor="text1"/>
          <w:sz w:val="24"/>
          <w:szCs w:val="24"/>
        </w:rPr>
        <w:fldChar w:fldCharType="end"/>
      </w:r>
      <w:r w:rsidRPr="00760CF6">
        <w:rPr>
          <w:rFonts w:ascii="Tahoma" w:hAnsi="Tahoma" w:cs="Tahoma"/>
          <w:b/>
          <w:bCs/>
          <w:i w:val="0"/>
          <w:iCs w:val="0"/>
          <w:color w:val="000000" w:themeColor="text1"/>
          <w:sz w:val="24"/>
          <w:szCs w:val="24"/>
        </w:rPr>
        <w:t xml:space="preserve">: </w:t>
      </w:r>
      <w:r w:rsidRPr="00760CF6">
        <w:rPr>
          <w:rFonts w:ascii="Tahoma" w:hAnsi="Tahoma" w:cs="Tahoma"/>
          <w:b/>
          <w:bCs/>
          <w:i w:val="0"/>
          <w:iCs w:val="0"/>
          <w:color w:val="000000" w:themeColor="text1"/>
          <w:sz w:val="24"/>
          <w:szCs w:val="24"/>
          <w:lang w:val="en-US"/>
        </w:rPr>
        <w:t>Month-on-Month Inflation Outturn</w:t>
      </w:r>
      <w:bookmarkEnd w:id="38"/>
    </w:p>
    <w:p w14:paraId="3B895899" w14:textId="7BE995CC" w:rsidR="00087E0F" w:rsidRPr="00863A17" w:rsidRDefault="00A270E8" w:rsidP="004C7E36">
      <w:pPr>
        <w:spacing w:after="0"/>
        <w:rPr>
          <w:rFonts w:ascii="Tahoma" w:hAnsi="Tahoma" w:cs="Tahoma"/>
          <w:sz w:val="24"/>
          <w:szCs w:val="24"/>
          <w:lang w:val="en-US"/>
        </w:rPr>
      </w:pPr>
      <w:r>
        <w:rPr>
          <w:rFonts w:ascii="Tahoma" w:hAnsi="Tahoma" w:cs="Tahoma"/>
          <w:noProof/>
          <w:sz w:val="24"/>
          <w:szCs w:val="24"/>
          <w:lang w:val="en-US"/>
        </w:rPr>
        <w:drawing>
          <wp:inline distT="0" distB="0" distL="0" distR="0" wp14:anchorId="0EB61CF9" wp14:editId="77BD36F4">
            <wp:extent cx="6047740" cy="2952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7740" cy="2952750"/>
                    </a:xfrm>
                    <a:prstGeom prst="rect">
                      <a:avLst/>
                    </a:prstGeom>
                    <a:noFill/>
                  </pic:spPr>
                </pic:pic>
              </a:graphicData>
            </a:graphic>
          </wp:inline>
        </w:drawing>
      </w:r>
    </w:p>
    <w:p w14:paraId="1F18C245" w14:textId="77777777" w:rsidR="00474E3B" w:rsidRPr="00863A17" w:rsidRDefault="004C7E36" w:rsidP="00760CF6">
      <w:pPr>
        <w:jc w:val="both"/>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13E19EFF" w14:textId="77777777" w:rsidR="00474E3B" w:rsidRPr="00863A17" w:rsidRDefault="004C7E36" w:rsidP="00760CF6">
      <w:pPr>
        <w:ind w:left="720" w:hanging="720"/>
        <w:jc w:val="both"/>
        <w:rPr>
          <w:rFonts w:ascii="Tahoma" w:hAnsi="Tahoma" w:cs="Tahoma"/>
          <w:sz w:val="24"/>
          <w:szCs w:val="24"/>
          <w:lang w:val="en-US"/>
        </w:rPr>
      </w:pPr>
      <w:r w:rsidRPr="00863A17">
        <w:rPr>
          <w:rFonts w:ascii="Tahoma" w:hAnsi="Tahoma" w:cs="Tahoma"/>
          <w:sz w:val="24"/>
          <w:szCs w:val="24"/>
          <w:lang w:val="en-US"/>
        </w:rPr>
        <w:t>6.</w:t>
      </w:r>
      <w:r w:rsidR="005833C4">
        <w:rPr>
          <w:rFonts w:ascii="Tahoma" w:hAnsi="Tahoma" w:cs="Tahoma"/>
          <w:sz w:val="24"/>
          <w:szCs w:val="24"/>
          <w:lang w:val="en-US"/>
        </w:rPr>
        <w:t>2</w:t>
      </w:r>
      <w:r w:rsidRPr="00863A17">
        <w:rPr>
          <w:rFonts w:ascii="Tahoma" w:hAnsi="Tahoma" w:cs="Tahoma"/>
          <w:sz w:val="24"/>
          <w:szCs w:val="24"/>
          <w:lang w:val="en-US"/>
        </w:rPr>
        <w:tab/>
      </w:r>
      <w:r w:rsidR="00474E3B" w:rsidRPr="00863A17">
        <w:rPr>
          <w:rFonts w:ascii="Tahoma" w:hAnsi="Tahoma" w:cs="Tahoma"/>
          <w:sz w:val="24"/>
          <w:szCs w:val="24"/>
          <w:lang w:val="en-US"/>
        </w:rPr>
        <w:t>Table</w:t>
      </w:r>
      <w:r w:rsidRPr="00863A17">
        <w:rPr>
          <w:rFonts w:ascii="Tahoma" w:hAnsi="Tahoma" w:cs="Tahoma"/>
          <w:sz w:val="24"/>
          <w:szCs w:val="24"/>
          <w:lang w:val="en-US"/>
        </w:rPr>
        <w:t xml:space="preserve"> 5</w:t>
      </w:r>
      <w:r w:rsidR="00CB6A80">
        <w:rPr>
          <w:rFonts w:ascii="Tahoma" w:hAnsi="Tahoma" w:cs="Tahoma"/>
          <w:sz w:val="24"/>
          <w:szCs w:val="24"/>
          <w:lang w:val="en-US"/>
        </w:rPr>
        <w:t xml:space="preserve"> </w:t>
      </w:r>
      <w:r w:rsidR="00F875D5">
        <w:rPr>
          <w:rFonts w:ascii="Tahoma" w:hAnsi="Tahoma" w:cs="Tahoma"/>
          <w:sz w:val="24"/>
          <w:szCs w:val="24"/>
          <w:lang w:val="en-US"/>
        </w:rPr>
        <w:t>depicts</w:t>
      </w:r>
      <w:r w:rsidR="00CB6A80">
        <w:rPr>
          <w:rFonts w:ascii="Tahoma" w:hAnsi="Tahoma" w:cs="Tahoma"/>
          <w:sz w:val="24"/>
          <w:szCs w:val="24"/>
          <w:lang w:val="en-US"/>
        </w:rPr>
        <w:t xml:space="preserve"> the drivers of inflation in </w:t>
      </w:r>
      <w:r w:rsidR="00F875D5">
        <w:rPr>
          <w:rFonts w:ascii="Tahoma" w:hAnsi="Tahoma" w:cs="Tahoma"/>
          <w:sz w:val="24"/>
          <w:szCs w:val="24"/>
          <w:lang w:val="en-US"/>
        </w:rPr>
        <w:t>July</w:t>
      </w:r>
      <w:r w:rsidR="00CB6A80">
        <w:rPr>
          <w:rFonts w:ascii="Tahoma" w:hAnsi="Tahoma" w:cs="Tahoma"/>
          <w:sz w:val="24"/>
          <w:szCs w:val="24"/>
          <w:lang w:val="en-US"/>
        </w:rPr>
        <w:t xml:space="preserve"> 2024.</w:t>
      </w:r>
      <w:r w:rsidR="00AD7826">
        <w:rPr>
          <w:rFonts w:ascii="Tahoma" w:hAnsi="Tahoma" w:cs="Tahoma"/>
          <w:sz w:val="24"/>
          <w:szCs w:val="24"/>
          <w:lang w:val="en-US"/>
        </w:rPr>
        <w:t xml:space="preserve"> </w:t>
      </w:r>
      <w:r w:rsidR="00C456DD">
        <w:rPr>
          <w:rFonts w:ascii="Tahoma" w:hAnsi="Tahoma" w:cs="Tahoma"/>
          <w:sz w:val="24"/>
          <w:szCs w:val="24"/>
          <w:lang w:val="en-US"/>
        </w:rPr>
        <w:t>The main contributor</w:t>
      </w:r>
      <w:r w:rsidR="00F875D5">
        <w:rPr>
          <w:rFonts w:ascii="Tahoma" w:hAnsi="Tahoma" w:cs="Tahoma"/>
          <w:sz w:val="24"/>
          <w:szCs w:val="24"/>
          <w:lang w:val="en-US"/>
        </w:rPr>
        <w:t>s</w:t>
      </w:r>
      <w:r w:rsidR="00C456DD">
        <w:rPr>
          <w:rFonts w:ascii="Tahoma" w:hAnsi="Tahoma" w:cs="Tahoma"/>
          <w:sz w:val="24"/>
          <w:szCs w:val="24"/>
          <w:lang w:val="en-US"/>
        </w:rPr>
        <w:t xml:space="preserve"> to inflation </w:t>
      </w:r>
      <w:r w:rsidR="00F875D5">
        <w:rPr>
          <w:rFonts w:ascii="Tahoma" w:hAnsi="Tahoma" w:cs="Tahoma"/>
          <w:sz w:val="24"/>
          <w:szCs w:val="24"/>
          <w:lang w:val="en-US"/>
        </w:rPr>
        <w:t>are food and non-alcoholic beverages and housing</w:t>
      </w:r>
      <w:r w:rsidR="00C456DD">
        <w:rPr>
          <w:rFonts w:ascii="Tahoma" w:hAnsi="Tahoma" w:cs="Tahoma"/>
          <w:sz w:val="24"/>
          <w:szCs w:val="24"/>
          <w:lang w:val="en-US"/>
        </w:rPr>
        <w:t>, water, electri</w:t>
      </w:r>
      <w:r w:rsidR="00F875D5">
        <w:rPr>
          <w:rFonts w:ascii="Tahoma" w:hAnsi="Tahoma" w:cs="Tahoma"/>
          <w:sz w:val="24"/>
          <w:szCs w:val="24"/>
          <w:lang w:val="en-US"/>
        </w:rPr>
        <w:t>city, gas and other fuels with</w:t>
      </w:r>
      <w:r w:rsidR="00C456DD">
        <w:rPr>
          <w:rFonts w:ascii="Tahoma" w:hAnsi="Tahoma" w:cs="Tahoma"/>
          <w:sz w:val="24"/>
          <w:szCs w:val="24"/>
          <w:lang w:val="en-US"/>
        </w:rPr>
        <w:t xml:space="preserve"> weight</w:t>
      </w:r>
      <w:r w:rsidR="00F875D5">
        <w:rPr>
          <w:rFonts w:ascii="Tahoma" w:hAnsi="Tahoma" w:cs="Tahoma"/>
          <w:sz w:val="24"/>
          <w:szCs w:val="24"/>
          <w:lang w:val="en-US"/>
        </w:rPr>
        <w:t>s of 31.3 and 27.62 respectively.</w:t>
      </w:r>
    </w:p>
    <w:p w14:paraId="519D4C84" w14:textId="77777777" w:rsidR="00364947" w:rsidRDefault="003C1D2F" w:rsidP="001C152E">
      <w:pPr>
        <w:pStyle w:val="ListofTables"/>
      </w:pPr>
      <w:bookmarkStart w:id="39" w:name="_Toc164072366"/>
      <w:bookmarkStart w:id="40" w:name="_Toc166658893"/>
      <w:bookmarkStart w:id="41" w:name="_Toc175829406"/>
      <w:r w:rsidRPr="00863A17">
        <w:t xml:space="preserve">Table </w:t>
      </w:r>
      <w:r>
        <w:fldChar w:fldCharType="begin"/>
      </w:r>
      <w:r>
        <w:instrText xml:space="preserve"> SEQ Table \* ARABIC </w:instrText>
      </w:r>
      <w:r>
        <w:fldChar w:fldCharType="separate"/>
      </w:r>
      <w:r w:rsidR="00D30418">
        <w:rPr>
          <w:noProof/>
        </w:rPr>
        <w:t>5</w:t>
      </w:r>
      <w:r>
        <w:rPr>
          <w:noProof/>
        </w:rPr>
        <w:fldChar w:fldCharType="end"/>
      </w:r>
      <w:r w:rsidRPr="00863A17">
        <w:t xml:space="preserve">: </w:t>
      </w:r>
      <w:r w:rsidR="0008600D">
        <w:t xml:space="preserve">Monthly </w:t>
      </w:r>
      <w:r w:rsidRPr="00863A17">
        <w:rPr>
          <w:lang w:val="en-US"/>
        </w:rPr>
        <w:t xml:space="preserve">Inflation </w:t>
      </w:r>
      <w:r w:rsidR="00F875D5">
        <w:rPr>
          <w:lang w:val="en-US"/>
        </w:rPr>
        <w:t>for July</w:t>
      </w:r>
      <w:r w:rsidRPr="00863A17">
        <w:rPr>
          <w:lang w:val="en-US"/>
        </w:rPr>
        <w:t xml:space="preserve"> 202</w:t>
      </w:r>
      <w:r w:rsidR="002525BF" w:rsidRPr="00863A17">
        <w:rPr>
          <w:lang w:val="en-US"/>
        </w:rPr>
        <w:t>4</w:t>
      </w:r>
      <w:bookmarkEnd w:id="39"/>
      <w:bookmarkEnd w:id="40"/>
      <w:bookmarkEnd w:id="41"/>
    </w:p>
    <w:p w14:paraId="1A8D406B" w14:textId="566B80F6" w:rsidR="001C152E" w:rsidRPr="00863A17" w:rsidRDefault="00A270E8" w:rsidP="004C7E36">
      <w:pPr>
        <w:spacing w:after="0"/>
        <w:rPr>
          <w:rFonts w:ascii="Tahoma" w:hAnsi="Tahoma" w:cs="Tahoma"/>
          <w:sz w:val="24"/>
          <w:szCs w:val="24"/>
          <w:lang w:val="en-US"/>
        </w:rPr>
      </w:pPr>
      <w:r w:rsidRPr="001C152E">
        <w:rPr>
          <w:rFonts w:ascii="Tahoma" w:hAnsi="Tahoma" w:cs="Tahoma"/>
          <w:noProof/>
          <w:sz w:val="24"/>
          <w:szCs w:val="24"/>
          <w:lang w:eastAsia="en-ZW"/>
        </w:rPr>
        <w:drawing>
          <wp:inline distT="0" distB="0" distL="0" distR="0" wp14:anchorId="00C1A180" wp14:editId="15A78379">
            <wp:extent cx="5734050" cy="25622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14:paraId="37ED01E4"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1A6E6A70"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42" w:name="_Toc166607899"/>
      <w:bookmarkStart w:id="43" w:name="_Toc175829617"/>
      <w:r w:rsidRPr="00A64F64">
        <w:rPr>
          <w:rFonts w:cs="Tahoma"/>
          <w:bCs/>
          <w:color w:val="000000"/>
          <w:szCs w:val="24"/>
          <w:lang w:val="en-US"/>
        </w:rPr>
        <w:t>Monetary Developments</w:t>
      </w:r>
      <w:bookmarkEnd w:id="42"/>
      <w:bookmarkEnd w:id="43"/>
      <w:r w:rsidRPr="00A64F64">
        <w:rPr>
          <w:rFonts w:cs="Tahoma"/>
          <w:bCs/>
          <w:color w:val="000000"/>
          <w:szCs w:val="24"/>
          <w:lang w:val="en-US"/>
        </w:rPr>
        <w:t xml:space="preserve"> </w:t>
      </w:r>
    </w:p>
    <w:p w14:paraId="18F5FFAA" w14:textId="77777777" w:rsidR="003D0C8C" w:rsidRPr="003D0C8C" w:rsidRDefault="003D0C8C" w:rsidP="003D0C8C">
      <w:pPr>
        <w:pStyle w:val="Heading2"/>
        <w:spacing w:before="0" w:after="240" w:line="240" w:lineRule="auto"/>
        <w:rPr>
          <w:rFonts w:cs="Tahoma"/>
          <w:b/>
          <w:color w:val="000000"/>
          <w:szCs w:val="24"/>
          <w:lang w:val="en-US"/>
        </w:rPr>
      </w:pPr>
      <w:bookmarkStart w:id="44" w:name="_Toc166607900"/>
      <w:bookmarkStart w:id="45" w:name="_Toc175829618"/>
      <w:r w:rsidRPr="003D0C8C">
        <w:rPr>
          <w:rFonts w:cs="Tahoma"/>
          <w:b/>
          <w:color w:val="000000"/>
          <w:szCs w:val="24"/>
          <w:lang w:val="en-US"/>
        </w:rPr>
        <w:t>7.1</w:t>
      </w:r>
      <w:r w:rsidRPr="003D0C8C">
        <w:rPr>
          <w:rFonts w:cs="Tahoma"/>
          <w:b/>
          <w:color w:val="000000"/>
          <w:szCs w:val="24"/>
          <w:lang w:val="en-US"/>
        </w:rPr>
        <w:tab/>
        <w:t>Money Supply</w:t>
      </w:r>
      <w:bookmarkEnd w:id="44"/>
      <w:r w:rsidR="00CF7A33">
        <w:rPr>
          <w:rFonts w:cs="Tahoma"/>
          <w:b/>
          <w:color w:val="000000"/>
          <w:szCs w:val="24"/>
          <w:lang w:val="en-US"/>
        </w:rPr>
        <w:t xml:space="preserve"> and Interest Rates</w:t>
      </w:r>
      <w:bookmarkEnd w:id="45"/>
    </w:p>
    <w:p w14:paraId="305DE058" w14:textId="1E56CF41" w:rsidR="000A50AA" w:rsidRDefault="004C7E36" w:rsidP="00CB6A80">
      <w:pPr>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r w:rsidR="00F57AA6">
        <w:rPr>
          <w:rFonts w:ascii="Tahoma" w:hAnsi="Tahoma" w:cs="Tahoma"/>
          <w:sz w:val="24"/>
          <w:szCs w:val="24"/>
          <w:lang w:val="en-US"/>
        </w:rPr>
        <w:t xml:space="preserve">According to the </w:t>
      </w:r>
      <w:r w:rsidR="006919FE">
        <w:rPr>
          <w:rFonts w:ascii="Tahoma" w:hAnsi="Tahoma" w:cs="Tahoma"/>
          <w:sz w:val="24"/>
          <w:szCs w:val="24"/>
          <w:lang w:val="en-US"/>
        </w:rPr>
        <w:t>RBZ (2024)</w:t>
      </w:r>
      <w:r w:rsidR="00C15011">
        <w:rPr>
          <w:rFonts w:ascii="Tahoma" w:hAnsi="Tahoma" w:cs="Tahoma"/>
          <w:sz w:val="24"/>
          <w:szCs w:val="24"/>
          <w:lang w:val="en-US"/>
        </w:rPr>
        <w:t>, broad money stock stood at ZW</w:t>
      </w:r>
      <w:r w:rsidR="00F57AA6">
        <w:rPr>
          <w:rFonts w:ascii="Tahoma" w:hAnsi="Tahoma" w:cs="Tahoma"/>
          <w:sz w:val="24"/>
          <w:szCs w:val="24"/>
          <w:lang w:val="en-US"/>
        </w:rPr>
        <w:t>G41 billion at the end of May 2024</w:t>
      </w:r>
      <w:r w:rsidR="004C5EBF">
        <w:rPr>
          <w:rFonts w:ascii="Tahoma" w:hAnsi="Tahoma" w:cs="Tahoma"/>
          <w:sz w:val="24"/>
          <w:szCs w:val="24"/>
          <w:lang w:val="en-US"/>
        </w:rPr>
        <w:t xml:space="preserve"> as shown in Figure </w:t>
      </w:r>
      <w:r w:rsidR="00760CF6">
        <w:rPr>
          <w:rFonts w:ascii="Tahoma" w:hAnsi="Tahoma" w:cs="Tahoma"/>
          <w:sz w:val="24"/>
          <w:szCs w:val="24"/>
          <w:lang w:val="en-US"/>
        </w:rPr>
        <w:t>3</w:t>
      </w:r>
      <w:r w:rsidR="00F57AA6">
        <w:rPr>
          <w:rFonts w:ascii="Tahoma" w:hAnsi="Tahoma" w:cs="Tahoma"/>
          <w:sz w:val="24"/>
          <w:szCs w:val="24"/>
          <w:lang w:val="en-US"/>
        </w:rPr>
        <w:t>. Broad money supply was made up of 80.4% foreign currency deposits and 19.6% local currency component.</w:t>
      </w:r>
      <w:r w:rsidR="004E5ABD">
        <w:rPr>
          <w:rFonts w:ascii="Tahoma" w:hAnsi="Tahoma" w:cs="Tahoma"/>
          <w:sz w:val="24"/>
          <w:szCs w:val="24"/>
          <w:lang w:val="en-US"/>
        </w:rPr>
        <w:t xml:space="preserve"> </w:t>
      </w:r>
      <w:r w:rsidR="00E12824">
        <w:rPr>
          <w:rFonts w:ascii="Tahoma" w:hAnsi="Tahoma" w:cs="Tahoma"/>
          <w:sz w:val="24"/>
          <w:szCs w:val="24"/>
          <w:lang w:val="en-US"/>
        </w:rPr>
        <w:t xml:space="preserve">Money </w:t>
      </w:r>
      <w:r w:rsidR="00E12824">
        <w:rPr>
          <w:rFonts w:ascii="Tahoma" w:hAnsi="Tahoma" w:cs="Tahoma"/>
          <w:sz w:val="24"/>
          <w:szCs w:val="24"/>
          <w:lang w:val="en-US"/>
        </w:rPr>
        <w:lastRenderedPageBreak/>
        <w:t>supply grew by 5.86% from ZWG38.75 billion in April 20224 to ZWG41.03 May 2024 in May 2024.</w:t>
      </w:r>
    </w:p>
    <w:p w14:paraId="7B90B8C9" w14:textId="0CF59868" w:rsidR="00760CF6" w:rsidRPr="00760CF6" w:rsidRDefault="007C0301" w:rsidP="007C0301">
      <w:pPr>
        <w:pStyle w:val="Caption"/>
        <w:rPr>
          <w:rFonts w:ascii="Tahoma" w:hAnsi="Tahoma" w:cs="Tahoma"/>
          <w:b/>
          <w:bCs/>
          <w:i w:val="0"/>
          <w:iCs w:val="0"/>
          <w:sz w:val="24"/>
          <w:szCs w:val="24"/>
        </w:rPr>
      </w:pPr>
      <w:bookmarkStart w:id="46" w:name="_Toc175829857"/>
      <w:r>
        <w:t xml:space="preserve">Figure </w:t>
      </w:r>
      <w:r>
        <w:fldChar w:fldCharType="begin"/>
      </w:r>
      <w:r>
        <w:instrText xml:space="preserve"> SEQ Figure \* ARABIC </w:instrText>
      </w:r>
      <w:r>
        <w:fldChar w:fldCharType="separate"/>
      </w:r>
      <w:r>
        <w:rPr>
          <w:noProof/>
        </w:rPr>
        <w:t>3</w:t>
      </w:r>
      <w:r>
        <w:fldChar w:fldCharType="end"/>
      </w:r>
      <w:r w:rsidRPr="00760CF6">
        <w:rPr>
          <w:rFonts w:ascii="Tahoma" w:hAnsi="Tahoma" w:cs="Tahoma"/>
          <w:b/>
          <w:bCs/>
          <w:i w:val="0"/>
          <w:iCs w:val="0"/>
          <w:sz w:val="24"/>
          <w:szCs w:val="24"/>
        </w:rPr>
        <w:t>: Broad Money (M3) Supply</w:t>
      </w:r>
      <w:bookmarkEnd w:id="46"/>
    </w:p>
    <w:p w14:paraId="3820467A" w14:textId="058FCD13" w:rsidR="000A50AA" w:rsidRDefault="00A270E8" w:rsidP="000E0275">
      <w:pPr>
        <w:spacing w:after="0"/>
        <w:ind w:left="720" w:hanging="720"/>
        <w:jc w:val="both"/>
        <w:rPr>
          <w:noProof/>
          <w:lang w:eastAsia="en-ZW"/>
        </w:rPr>
      </w:pPr>
      <w:r w:rsidRPr="0027033E">
        <w:rPr>
          <w:noProof/>
          <w:lang w:eastAsia="en-ZW"/>
        </w:rPr>
        <w:drawing>
          <wp:inline distT="0" distB="0" distL="0" distR="0" wp14:anchorId="1F5D644C" wp14:editId="7FE9418A">
            <wp:extent cx="5732145" cy="2543175"/>
            <wp:effectExtent l="0" t="0" r="1905" b="9525"/>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3C885E" w14:textId="77777777"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(2024)</w:t>
      </w:r>
    </w:p>
    <w:p w14:paraId="32485404" w14:textId="77777777" w:rsidR="00C36C70" w:rsidRPr="00C36C70" w:rsidRDefault="00C36C70" w:rsidP="00C36C70">
      <w:pPr>
        <w:spacing w:after="0"/>
        <w:ind w:left="720" w:hanging="720"/>
        <w:jc w:val="both"/>
        <w:rPr>
          <w:rFonts w:ascii="Tahoma" w:hAnsi="Tahoma" w:cs="Tahoma"/>
          <w:sz w:val="24"/>
          <w:szCs w:val="24"/>
          <w:lang w:val="en-US"/>
        </w:rPr>
      </w:pPr>
    </w:p>
    <w:p w14:paraId="1BCBFD70" w14:textId="71EA508C" w:rsidR="00E65FAE" w:rsidRPr="00CB6A80" w:rsidRDefault="00866209" w:rsidP="00CB6A80">
      <w:pPr>
        <w:ind w:left="720" w:hanging="720"/>
        <w:jc w:val="both"/>
        <w:rPr>
          <w:rFonts w:ascii="Tahoma" w:eastAsia="Times New Roman" w:hAnsi="Tahoma" w:cs="Tahoma"/>
          <w:kern w:val="0"/>
          <w:sz w:val="24"/>
          <w:szCs w:val="24"/>
          <w:lang w:eastAsia="en-ZW"/>
        </w:rPr>
      </w:pPr>
      <w:r>
        <w:rPr>
          <w:rFonts w:ascii="Tahoma" w:hAnsi="Tahoma" w:cs="Tahoma"/>
          <w:sz w:val="24"/>
          <w:szCs w:val="24"/>
          <w:lang w:val="en-US"/>
        </w:rPr>
        <w:t>7.1.2</w:t>
      </w:r>
      <w:r>
        <w:rPr>
          <w:rFonts w:ascii="Tahoma" w:hAnsi="Tahoma" w:cs="Tahoma"/>
          <w:sz w:val="24"/>
          <w:szCs w:val="24"/>
          <w:lang w:val="en-US"/>
        </w:rPr>
        <w:tab/>
      </w:r>
      <w:bookmarkStart w:id="47" w:name="_Hlk166606487"/>
      <w:r>
        <w:rPr>
          <w:rFonts w:ascii="Tahoma" w:hAnsi="Tahoma" w:cs="Tahoma"/>
          <w:sz w:val="24"/>
          <w:szCs w:val="24"/>
          <w:lang w:val="en-US"/>
        </w:rPr>
        <w:t xml:space="preserve">According to the RBZ (2024), as of 26 July 2024, the average commercial bank deposit rates for </w:t>
      </w:r>
      <w:r w:rsidR="000E0275">
        <w:rPr>
          <w:rFonts w:ascii="Tahoma" w:hAnsi="Tahoma" w:cs="Tahoma"/>
          <w:sz w:val="24"/>
          <w:szCs w:val="24"/>
          <w:lang w:val="en-US"/>
        </w:rPr>
        <w:t>ZiG</w:t>
      </w:r>
      <w:r>
        <w:rPr>
          <w:rFonts w:ascii="Tahoma" w:hAnsi="Tahoma" w:cs="Tahoma"/>
          <w:sz w:val="24"/>
          <w:szCs w:val="24"/>
          <w:lang w:val="en-US"/>
        </w:rPr>
        <w:t xml:space="preserve"> range from 3.75% to 3.88% while for </w:t>
      </w:r>
      <w:r w:rsidR="000E0275">
        <w:rPr>
          <w:rFonts w:ascii="Tahoma" w:hAnsi="Tahoma" w:cs="Tahoma"/>
          <w:sz w:val="24"/>
          <w:szCs w:val="24"/>
          <w:lang w:val="en-US"/>
        </w:rPr>
        <w:t>USD</w:t>
      </w:r>
      <w:r>
        <w:rPr>
          <w:rFonts w:ascii="Tahoma" w:hAnsi="Tahoma" w:cs="Tahoma"/>
          <w:sz w:val="24"/>
          <w:szCs w:val="24"/>
          <w:lang w:val="en-US"/>
        </w:rPr>
        <w:t xml:space="preserve"> range from 1.53% to 1.86%.</w:t>
      </w:r>
      <w:r w:rsidR="0044325B">
        <w:rPr>
          <w:rFonts w:ascii="Tahoma" w:hAnsi="Tahoma" w:cs="Tahoma"/>
          <w:sz w:val="24"/>
          <w:szCs w:val="24"/>
          <w:lang w:val="en-US"/>
        </w:rPr>
        <w:t xml:space="preserve"> Commercial bank weighted lending rate (</w:t>
      </w:r>
      <w:r w:rsidR="000E0275">
        <w:rPr>
          <w:rFonts w:ascii="Tahoma" w:hAnsi="Tahoma" w:cs="Tahoma"/>
          <w:sz w:val="24"/>
          <w:szCs w:val="24"/>
          <w:lang w:val="en-US"/>
        </w:rPr>
        <w:t>ZiG</w:t>
      </w:r>
      <w:r w:rsidR="0044325B">
        <w:rPr>
          <w:rFonts w:ascii="Tahoma" w:hAnsi="Tahoma" w:cs="Tahoma"/>
          <w:sz w:val="24"/>
          <w:szCs w:val="24"/>
          <w:lang w:val="en-US"/>
        </w:rPr>
        <w:t>) for individuals range</w:t>
      </w:r>
      <w:r w:rsidR="000E0275">
        <w:rPr>
          <w:rFonts w:ascii="Tahoma" w:hAnsi="Tahoma" w:cs="Tahoma"/>
          <w:sz w:val="24"/>
          <w:szCs w:val="24"/>
          <w:lang w:val="en-US"/>
        </w:rPr>
        <w:t>d</w:t>
      </w:r>
      <w:r w:rsidR="0044325B">
        <w:rPr>
          <w:rFonts w:ascii="Tahoma" w:hAnsi="Tahoma" w:cs="Tahoma"/>
          <w:sz w:val="24"/>
          <w:szCs w:val="24"/>
          <w:lang w:val="en-US"/>
        </w:rPr>
        <w:t xml:space="preserve"> from 24.69% to 30.62% and for corporates from 24.44% to 32.21% while </w:t>
      </w:r>
      <w:r w:rsidR="000E0275">
        <w:rPr>
          <w:rFonts w:ascii="Tahoma" w:hAnsi="Tahoma" w:cs="Tahoma"/>
          <w:sz w:val="24"/>
          <w:szCs w:val="24"/>
          <w:lang w:val="en-US"/>
        </w:rPr>
        <w:t>USD</w:t>
      </w:r>
      <w:r w:rsidR="0044325B">
        <w:rPr>
          <w:rFonts w:ascii="Tahoma" w:hAnsi="Tahoma" w:cs="Tahoma"/>
          <w:sz w:val="24"/>
          <w:szCs w:val="24"/>
          <w:lang w:val="en-US"/>
        </w:rPr>
        <w:t xml:space="preserve"> rates for individuals range</w:t>
      </w:r>
      <w:r w:rsidR="000E0275">
        <w:rPr>
          <w:rFonts w:ascii="Tahoma" w:hAnsi="Tahoma" w:cs="Tahoma"/>
          <w:sz w:val="24"/>
          <w:szCs w:val="24"/>
          <w:lang w:val="en-US"/>
        </w:rPr>
        <w:t>d</w:t>
      </w:r>
      <w:r w:rsidR="0044325B">
        <w:rPr>
          <w:rFonts w:ascii="Tahoma" w:hAnsi="Tahoma" w:cs="Tahoma"/>
          <w:sz w:val="24"/>
          <w:szCs w:val="24"/>
          <w:lang w:val="en-US"/>
        </w:rPr>
        <w:t xml:space="preserve"> between 11.03% and 15.19% and for corporates range</w:t>
      </w:r>
      <w:r w:rsidR="000E0275">
        <w:rPr>
          <w:rFonts w:ascii="Tahoma" w:hAnsi="Tahoma" w:cs="Tahoma"/>
          <w:sz w:val="24"/>
          <w:szCs w:val="24"/>
          <w:lang w:val="en-US"/>
        </w:rPr>
        <w:t>d</w:t>
      </w:r>
      <w:r w:rsidR="0044325B">
        <w:rPr>
          <w:rFonts w:ascii="Tahoma" w:hAnsi="Tahoma" w:cs="Tahoma"/>
          <w:sz w:val="24"/>
          <w:szCs w:val="24"/>
          <w:lang w:val="en-US"/>
        </w:rPr>
        <w:t xml:space="preserve"> from 9.59% to 15.42%.</w:t>
      </w:r>
    </w:p>
    <w:bookmarkEnd w:id="47"/>
    <w:p w14:paraId="7BC67F4F" w14:textId="77777777" w:rsidR="00946E24" w:rsidRPr="00863A17" w:rsidRDefault="00CD54F7" w:rsidP="00CF7A33">
      <w:pPr>
        <w:spacing w:after="0" w:line="240" w:lineRule="auto"/>
        <w:rPr>
          <w:rFonts w:ascii="Tahoma" w:hAnsi="Tahoma" w:cs="Tahoma"/>
          <w:sz w:val="24"/>
          <w:szCs w:val="24"/>
        </w:rPr>
      </w:pPr>
      <w:r w:rsidRPr="00863A17">
        <w:rPr>
          <w:rFonts w:ascii="Tahoma" w:hAnsi="Tahoma" w:cs="Tahoma"/>
          <w:sz w:val="24"/>
          <w:szCs w:val="24"/>
        </w:rPr>
        <w:t xml:space="preserve"> </w:t>
      </w:r>
    </w:p>
    <w:p w14:paraId="090F00CC" w14:textId="77777777" w:rsidR="00184FA3" w:rsidRPr="00A64F64" w:rsidRDefault="00F67469" w:rsidP="00022BFE">
      <w:pPr>
        <w:pStyle w:val="Heading1"/>
        <w:spacing w:before="0" w:after="240" w:line="240" w:lineRule="auto"/>
        <w:rPr>
          <w:rFonts w:cs="Tahoma"/>
          <w:bCs/>
          <w:color w:val="000000"/>
          <w:szCs w:val="24"/>
          <w:lang w:val="en-US"/>
        </w:rPr>
      </w:pPr>
      <w:bookmarkStart w:id="48" w:name="_Toc166607902"/>
      <w:bookmarkStart w:id="49" w:name="_Toc175829619"/>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48"/>
      <w:bookmarkEnd w:id="49"/>
      <w:r w:rsidR="00184FA3" w:rsidRPr="00A64F64">
        <w:rPr>
          <w:rFonts w:cs="Tahoma"/>
          <w:bCs/>
          <w:color w:val="000000"/>
          <w:szCs w:val="24"/>
          <w:lang w:val="en-US"/>
        </w:rPr>
        <w:t xml:space="preserve"> </w:t>
      </w:r>
    </w:p>
    <w:p w14:paraId="1F9E58C5" w14:textId="77777777" w:rsidR="00184FA3" w:rsidRPr="00863A17" w:rsidRDefault="00F67469" w:rsidP="003C1D2F">
      <w:pPr>
        <w:pStyle w:val="Heading2"/>
        <w:spacing w:before="0" w:after="240" w:line="240" w:lineRule="auto"/>
        <w:rPr>
          <w:rFonts w:cs="Tahoma"/>
          <w:b/>
          <w:color w:val="000000"/>
          <w:szCs w:val="24"/>
          <w:lang w:val="en-US"/>
        </w:rPr>
      </w:pPr>
      <w:bookmarkStart w:id="50" w:name="_Toc166607903"/>
      <w:bookmarkStart w:id="51" w:name="_Toc175829620"/>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50"/>
      <w:bookmarkEnd w:id="51"/>
      <w:r w:rsidR="00184FA3" w:rsidRPr="00863A17">
        <w:rPr>
          <w:rFonts w:cs="Tahoma"/>
          <w:b/>
          <w:color w:val="000000"/>
          <w:szCs w:val="24"/>
          <w:lang w:val="en-US"/>
        </w:rPr>
        <w:t xml:space="preserve"> </w:t>
      </w:r>
    </w:p>
    <w:p w14:paraId="18C03C0F" w14:textId="6090DCB4"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w:t>
      </w:r>
      <w:r w:rsidR="000E0275">
        <w:rPr>
          <w:rFonts w:ascii="Tahoma" w:hAnsi="Tahoma" w:cs="Tahoma"/>
          <w:sz w:val="24"/>
          <w:szCs w:val="24"/>
          <w:lang w:val="en-US"/>
        </w:rPr>
        <w:t>1</w:t>
      </w:r>
      <w:r w:rsidRPr="00863A17">
        <w:rPr>
          <w:rFonts w:ascii="Tahoma" w:hAnsi="Tahoma" w:cs="Tahoma"/>
          <w:sz w:val="24"/>
          <w:szCs w:val="24"/>
          <w:lang w:val="en-US"/>
        </w:rPr>
        <w:tab/>
      </w:r>
      <w:r w:rsidR="00320F64">
        <w:rPr>
          <w:rFonts w:ascii="Tahoma" w:hAnsi="Tahoma" w:cs="Tahoma"/>
          <w:sz w:val="24"/>
          <w:szCs w:val="24"/>
          <w:lang w:val="en-US"/>
        </w:rPr>
        <w:t xml:space="preserve">During the </w:t>
      </w:r>
      <w:r w:rsidR="00E24E7D">
        <w:rPr>
          <w:rFonts w:ascii="Tahoma" w:hAnsi="Tahoma" w:cs="Tahoma"/>
          <w:sz w:val="24"/>
          <w:szCs w:val="24"/>
          <w:lang w:val="en-US"/>
        </w:rPr>
        <w:t>month</w:t>
      </w:r>
      <w:r w:rsidR="00320F64">
        <w:rPr>
          <w:rFonts w:ascii="Tahoma" w:hAnsi="Tahoma" w:cs="Tahoma"/>
          <w:sz w:val="24"/>
          <w:szCs w:val="24"/>
          <w:lang w:val="en-US"/>
        </w:rPr>
        <w:t xml:space="preserve"> under review,</w:t>
      </w:r>
      <w:r w:rsidR="00DA5ADC" w:rsidRPr="00863A17">
        <w:rPr>
          <w:rFonts w:ascii="Tahoma" w:hAnsi="Tahoma" w:cs="Tahoma"/>
          <w:sz w:val="24"/>
          <w:szCs w:val="24"/>
          <w:lang w:val="en-US"/>
        </w:rPr>
        <w:t xml:space="preserve"> the Zimbabwe Stock Exchange recoded a </w:t>
      </w:r>
      <w:r w:rsidR="00104DFE">
        <w:rPr>
          <w:rFonts w:ascii="Tahoma" w:hAnsi="Tahoma" w:cs="Tahoma"/>
          <w:sz w:val="24"/>
          <w:szCs w:val="24"/>
          <w:lang w:val="en-US"/>
        </w:rPr>
        <w:t>bullish</w:t>
      </w:r>
      <w:r w:rsidR="00DA5ADC" w:rsidRPr="00863A17">
        <w:rPr>
          <w:rFonts w:ascii="Tahoma" w:hAnsi="Tahoma" w:cs="Tahoma"/>
          <w:sz w:val="24"/>
          <w:szCs w:val="24"/>
          <w:lang w:val="en-US"/>
        </w:rPr>
        <w:t xml:space="preserve"> trend</w:t>
      </w:r>
      <w:r w:rsidR="00EE2480" w:rsidRPr="00863A17">
        <w:rPr>
          <w:rFonts w:ascii="Tahoma" w:hAnsi="Tahoma" w:cs="Tahoma"/>
          <w:sz w:val="24"/>
          <w:szCs w:val="24"/>
        </w:rPr>
        <w:t>.</w:t>
      </w:r>
      <w:r w:rsidR="00320F64">
        <w:rPr>
          <w:rFonts w:ascii="Tahoma" w:hAnsi="Tahoma" w:cs="Tahoma"/>
          <w:sz w:val="24"/>
          <w:szCs w:val="24"/>
        </w:rPr>
        <w:t xml:space="preserve"> On </w:t>
      </w:r>
      <w:r w:rsidR="000E0275">
        <w:rPr>
          <w:rFonts w:ascii="Tahoma" w:hAnsi="Tahoma" w:cs="Tahoma"/>
          <w:sz w:val="24"/>
          <w:szCs w:val="24"/>
        </w:rPr>
        <w:t>a</w:t>
      </w:r>
      <w:r w:rsidR="00320F64">
        <w:rPr>
          <w:rFonts w:ascii="Tahoma" w:hAnsi="Tahoma" w:cs="Tahoma"/>
          <w:sz w:val="24"/>
          <w:szCs w:val="24"/>
        </w:rPr>
        <w:t xml:space="preserve"> </w:t>
      </w:r>
      <w:r w:rsidR="000E0275">
        <w:rPr>
          <w:rFonts w:ascii="Tahoma" w:hAnsi="Tahoma" w:cs="Tahoma"/>
          <w:sz w:val="24"/>
          <w:szCs w:val="24"/>
        </w:rPr>
        <w:t>MoM</w:t>
      </w:r>
      <w:r w:rsidR="00320F64">
        <w:rPr>
          <w:rFonts w:ascii="Tahoma" w:hAnsi="Tahoma" w:cs="Tahoma"/>
          <w:sz w:val="24"/>
          <w:szCs w:val="24"/>
        </w:rPr>
        <w:t xml:space="preserve"> basis,</w:t>
      </w:r>
      <w:r w:rsidR="00E24E7D">
        <w:rPr>
          <w:rFonts w:ascii="Tahoma" w:hAnsi="Tahoma" w:cs="Tahoma"/>
          <w:sz w:val="24"/>
          <w:szCs w:val="24"/>
        </w:rPr>
        <w:t xml:space="preserve"> </w:t>
      </w:r>
      <w:r w:rsidR="000E0275">
        <w:rPr>
          <w:rFonts w:ascii="Tahoma" w:hAnsi="Tahoma" w:cs="Tahoma"/>
          <w:sz w:val="24"/>
          <w:szCs w:val="24"/>
        </w:rPr>
        <w:t>A</w:t>
      </w:r>
      <w:r w:rsidR="00DA5ADC" w:rsidRPr="00863A17">
        <w:rPr>
          <w:rFonts w:ascii="Tahoma" w:hAnsi="Tahoma" w:cs="Tahoma"/>
          <w:sz w:val="24"/>
          <w:szCs w:val="24"/>
        </w:rPr>
        <w:t>ll</w:t>
      </w:r>
      <w:r w:rsidR="00424F97">
        <w:rPr>
          <w:rFonts w:ascii="Tahoma" w:hAnsi="Tahoma" w:cs="Tahoma"/>
          <w:sz w:val="24"/>
          <w:szCs w:val="24"/>
        </w:rPr>
        <w:t>-</w:t>
      </w:r>
      <w:r w:rsidR="000E0275">
        <w:rPr>
          <w:rFonts w:ascii="Tahoma" w:hAnsi="Tahoma" w:cs="Tahoma"/>
          <w:sz w:val="24"/>
          <w:szCs w:val="24"/>
        </w:rPr>
        <w:t>S</w:t>
      </w:r>
      <w:r w:rsidR="00362187" w:rsidRPr="00863A17">
        <w:rPr>
          <w:rFonts w:ascii="Tahoma" w:hAnsi="Tahoma" w:cs="Tahoma"/>
          <w:sz w:val="24"/>
          <w:szCs w:val="24"/>
        </w:rPr>
        <w:t xml:space="preserve">hare </w:t>
      </w:r>
      <w:r w:rsidR="000E0275">
        <w:rPr>
          <w:rFonts w:ascii="Tahoma" w:hAnsi="Tahoma" w:cs="Tahoma"/>
          <w:sz w:val="24"/>
          <w:szCs w:val="24"/>
        </w:rPr>
        <w:t>I</w:t>
      </w:r>
      <w:r w:rsidR="00362187" w:rsidRPr="00863A17">
        <w:rPr>
          <w:rFonts w:ascii="Tahoma" w:hAnsi="Tahoma" w:cs="Tahoma"/>
          <w:sz w:val="24"/>
          <w:szCs w:val="24"/>
        </w:rPr>
        <w:t xml:space="preserve">ndex </w:t>
      </w:r>
      <w:r w:rsidR="00424F97">
        <w:rPr>
          <w:rFonts w:ascii="Tahoma" w:hAnsi="Tahoma" w:cs="Tahoma"/>
          <w:sz w:val="24"/>
          <w:szCs w:val="24"/>
        </w:rPr>
        <w:t>gained</w:t>
      </w:r>
      <w:r w:rsidR="00362187" w:rsidRPr="00863A17">
        <w:rPr>
          <w:rFonts w:ascii="Tahoma" w:hAnsi="Tahoma" w:cs="Tahoma"/>
          <w:sz w:val="24"/>
          <w:szCs w:val="24"/>
        </w:rPr>
        <w:t xml:space="preserve"> by </w:t>
      </w:r>
      <w:r w:rsidR="00E24E7D">
        <w:rPr>
          <w:rFonts w:ascii="Tahoma" w:hAnsi="Tahoma" w:cs="Tahoma"/>
          <w:sz w:val="24"/>
          <w:szCs w:val="24"/>
        </w:rPr>
        <w:t>92.95</w:t>
      </w:r>
      <w:r w:rsidR="00362187" w:rsidRPr="00863A17">
        <w:rPr>
          <w:rFonts w:ascii="Tahoma" w:hAnsi="Tahoma" w:cs="Tahoma"/>
          <w:sz w:val="24"/>
          <w:szCs w:val="24"/>
        </w:rPr>
        <w:t>%,</w:t>
      </w:r>
      <w:r w:rsidR="00E24E7D">
        <w:rPr>
          <w:rFonts w:ascii="Tahoma" w:hAnsi="Tahoma" w:cs="Tahoma"/>
          <w:sz w:val="24"/>
          <w:szCs w:val="24"/>
        </w:rPr>
        <w:t xml:space="preserve"> Top 10 </w:t>
      </w:r>
      <w:r w:rsidR="000E0275">
        <w:rPr>
          <w:rFonts w:ascii="Tahoma" w:hAnsi="Tahoma" w:cs="Tahoma"/>
          <w:sz w:val="24"/>
          <w:szCs w:val="24"/>
        </w:rPr>
        <w:t>I</w:t>
      </w:r>
      <w:r w:rsidR="00E24E7D">
        <w:rPr>
          <w:rFonts w:ascii="Tahoma" w:hAnsi="Tahoma" w:cs="Tahoma"/>
          <w:sz w:val="24"/>
          <w:szCs w:val="24"/>
        </w:rPr>
        <w:t>ndex gained 53.65%,</w:t>
      </w:r>
      <w:r w:rsidR="00424F97">
        <w:rPr>
          <w:rFonts w:ascii="Tahoma" w:hAnsi="Tahoma" w:cs="Tahoma"/>
          <w:sz w:val="24"/>
          <w:szCs w:val="24"/>
        </w:rPr>
        <w:t xml:space="preserve"> marke</w:t>
      </w:r>
      <w:r w:rsidR="00E24E7D">
        <w:rPr>
          <w:rFonts w:ascii="Tahoma" w:hAnsi="Tahoma" w:cs="Tahoma"/>
          <w:sz w:val="24"/>
          <w:szCs w:val="24"/>
        </w:rPr>
        <w:t>t capitalization gained by 57.34</w:t>
      </w:r>
      <w:r w:rsidR="00424F97">
        <w:rPr>
          <w:rFonts w:ascii="Tahoma" w:hAnsi="Tahoma" w:cs="Tahoma"/>
          <w:sz w:val="24"/>
          <w:szCs w:val="24"/>
        </w:rPr>
        <w:t>%</w:t>
      </w:r>
      <w:r w:rsidR="0048248B">
        <w:rPr>
          <w:rFonts w:ascii="Tahoma" w:hAnsi="Tahoma" w:cs="Tahoma"/>
          <w:sz w:val="24"/>
          <w:szCs w:val="24"/>
        </w:rPr>
        <w:t xml:space="preserve"> </w:t>
      </w:r>
      <w:r w:rsidR="00E24E7D">
        <w:rPr>
          <w:rFonts w:ascii="Tahoma" w:hAnsi="Tahoma" w:cs="Tahoma"/>
          <w:sz w:val="24"/>
          <w:szCs w:val="24"/>
        </w:rPr>
        <w:t xml:space="preserve">while </w:t>
      </w:r>
      <w:r w:rsidR="00886CD0">
        <w:rPr>
          <w:rFonts w:ascii="Tahoma" w:hAnsi="Tahoma" w:cs="Tahoma"/>
          <w:sz w:val="24"/>
          <w:szCs w:val="24"/>
        </w:rPr>
        <w:t>V</w:t>
      </w:r>
      <w:r w:rsidR="00E24E7D">
        <w:rPr>
          <w:rFonts w:ascii="Tahoma" w:hAnsi="Tahoma" w:cs="Tahoma"/>
          <w:sz w:val="24"/>
          <w:szCs w:val="24"/>
        </w:rPr>
        <w:t xml:space="preserve">alue </w:t>
      </w:r>
      <w:r w:rsidR="00886CD0">
        <w:rPr>
          <w:rFonts w:ascii="Tahoma" w:hAnsi="Tahoma" w:cs="Tahoma"/>
          <w:sz w:val="24"/>
          <w:szCs w:val="24"/>
        </w:rPr>
        <w:t>T</w:t>
      </w:r>
      <w:r w:rsidR="00E24E7D">
        <w:rPr>
          <w:rFonts w:ascii="Tahoma" w:hAnsi="Tahoma" w:cs="Tahoma"/>
          <w:sz w:val="24"/>
          <w:szCs w:val="24"/>
        </w:rPr>
        <w:t>raded lost by 7.97%</w:t>
      </w:r>
      <w:r w:rsidR="005F5AF8">
        <w:rPr>
          <w:rFonts w:ascii="Tahoma" w:hAnsi="Tahoma" w:cs="Tahoma"/>
          <w:sz w:val="24"/>
          <w:szCs w:val="24"/>
        </w:rPr>
        <w:t xml:space="preserve"> as shown in Table 6.</w:t>
      </w:r>
    </w:p>
    <w:p w14:paraId="21CCD1A9" w14:textId="345B40AF"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w:t>
      </w:r>
      <w:r w:rsidR="000E0275">
        <w:rPr>
          <w:rFonts w:ascii="Tahoma" w:hAnsi="Tahoma" w:cs="Tahoma"/>
          <w:sz w:val="24"/>
          <w:szCs w:val="24"/>
        </w:rPr>
        <w:t>2</w:t>
      </w:r>
      <w:r w:rsidRPr="00863A17">
        <w:rPr>
          <w:rFonts w:ascii="Tahoma" w:hAnsi="Tahoma" w:cs="Tahoma"/>
          <w:sz w:val="24"/>
          <w:szCs w:val="24"/>
        </w:rPr>
        <w:tab/>
      </w:r>
      <w:r w:rsidR="00FA2E40">
        <w:rPr>
          <w:rFonts w:ascii="Tahoma" w:hAnsi="Tahoma" w:cs="Tahoma"/>
          <w:sz w:val="24"/>
          <w:szCs w:val="24"/>
        </w:rPr>
        <w:t xml:space="preserve">On a YtD </w:t>
      </w:r>
      <w:r w:rsidR="00886CD0">
        <w:rPr>
          <w:rFonts w:ascii="Tahoma" w:hAnsi="Tahoma" w:cs="Tahoma"/>
          <w:sz w:val="24"/>
          <w:szCs w:val="24"/>
        </w:rPr>
        <w:t>T</w:t>
      </w:r>
      <w:r w:rsidR="00FA2E40">
        <w:rPr>
          <w:rFonts w:ascii="Tahoma" w:hAnsi="Tahoma" w:cs="Tahoma"/>
          <w:sz w:val="24"/>
          <w:szCs w:val="24"/>
        </w:rPr>
        <w:t xml:space="preserve">op 10 </w:t>
      </w:r>
      <w:r w:rsidR="00886CD0">
        <w:rPr>
          <w:rFonts w:ascii="Tahoma" w:hAnsi="Tahoma" w:cs="Tahoma"/>
          <w:sz w:val="24"/>
          <w:szCs w:val="24"/>
        </w:rPr>
        <w:t>I</w:t>
      </w:r>
      <w:r w:rsidR="00FA2E40">
        <w:rPr>
          <w:rFonts w:ascii="Tahoma" w:hAnsi="Tahoma" w:cs="Tahoma"/>
          <w:sz w:val="24"/>
          <w:szCs w:val="24"/>
        </w:rPr>
        <w:t xml:space="preserve">ndex and market capitalization gained by 117.76% and 254.29% respectively while </w:t>
      </w:r>
      <w:r w:rsidR="000E0275">
        <w:rPr>
          <w:rFonts w:ascii="Tahoma" w:hAnsi="Tahoma" w:cs="Tahoma"/>
          <w:sz w:val="24"/>
          <w:szCs w:val="24"/>
        </w:rPr>
        <w:t>A</w:t>
      </w:r>
      <w:r w:rsidR="00FA2E40">
        <w:rPr>
          <w:rFonts w:ascii="Tahoma" w:hAnsi="Tahoma" w:cs="Tahoma"/>
          <w:sz w:val="24"/>
          <w:szCs w:val="24"/>
        </w:rPr>
        <w:t>ll-</w:t>
      </w:r>
      <w:r w:rsidR="000E0275">
        <w:rPr>
          <w:rFonts w:ascii="Tahoma" w:hAnsi="Tahoma" w:cs="Tahoma"/>
          <w:sz w:val="24"/>
          <w:szCs w:val="24"/>
        </w:rPr>
        <w:t>S</w:t>
      </w:r>
      <w:r w:rsidR="00FA2E40">
        <w:rPr>
          <w:rFonts w:ascii="Tahoma" w:hAnsi="Tahoma" w:cs="Tahoma"/>
          <w:sz w:val="24"/>
          <w:szCs w:val="24"/>
        </w:rPr>
        <w:t xml:space="preserve">hare </w:t>
      </w:r>
      <w:r w:rsidR="000E0275">
        <w:rPr>
          <w:rFonts w:ascii="Tahoma" w:hAnsi="Tahoma" w:cs="Tahoma"/>
          <w:sz w:val="24"/>
          <w:szCs w:val="24"/>
        </w:rPr>
        <w:t>I</w:t>
      </w:r>
      <w:r w:rsidR="00FA2E40">
        <w:rPr>
          <w:rFonts w:ascii="Tahoma" w:hAnsi="Tahoma" w:cs="Tahoma"/>
          <w:sz w:val="24"/>
          <w:szCs w:val="24"/>
        </w:rPr>
        <w:t>ndex lost by 7.66% and value traded lost 15.95%. All-</w:t>
      </w:r>
      <w:r w:rsidR="000E0275">
        <w:rPr>
          <w:rFonts w:ascii="Tahoma" w:hAnsi="Tahoma" w:cs="Tahoma"/>
          <w:sz w:val="24"/>
          <w:szCs w:val="24"/>
        </w:rPr>
        <w:t>S</w:t>
      </w:r>
      <w:r w:rsidR="00FA2E40">
        <w:rPr>
          <w:rFonts w:ascii="Tahoma" w:hAnsi="Tahoma" w:cs="Tahoma"/>
          <w:sz w:val="24"/>
          <w:szCs w:val="24"/>
        </w:rPr>
        <w:t xml:space="preserve">hare </w:t>
      </w:r>
      <w:r w:rsidR="000E0275">
        <w:rPr>
          <w:rFonts w:ascii="Tahoma" w:hAnsi="Tahoma" w:cs="Tahoma"/>
          <w:sz w:val="24"/>
          <w:szCs w:val="24"/>
        </w:rPr>
        <w:t>I</w:t>
      </w:r>
      <w:r w:rsidR="00FA2E40">
        <w:rPr>
          <w:rFonts w:ascii="Tahoma" w:hAnsi="Tahoma" w:cs="Tahoma"/>
          <w:sz w:val="24"/>
          <w:szCs w:val="24"/>
        </w:rPr>
        <w:t xml:space="preserve">ndex, </w:t>
      </w:r>
      <w:r w:rsidR="000E0275">
        <w:rPr>
          <w:rFonts w:ascii="Tahoma" w:hAnsi="Tahoma" w:cs="Tahoma"/>
          <w:sz w:val="24"/>
          <w:szCs w:val="24"/>
        </w:rPr>
        <w:t>T</w:t>
      </w:r>
      <w:r w:rsidR="00FA2E40">
        <w:rPr>
          <w:rFonts w:ascii="Tahoma" w:hAnsi="Tahoma" w:cs="Tahoma"/>
          <w:sz w:val="24"/>
          <w:szCs w:val="24"/>
        </w:rPr>
        <w:t xml:space="preserve">op 10 </w:t>
      </w:r>
      <w:r w:rsidR="000E0275">
        <w:rPr>
          <w:rFonts w:ascii="Tahoma" w:hAnsi="Tahoma" w:cs="Tahoma"/>
          <w:sz w:val="24"/>
          <w:szCs w:val="24"/>
        </w:rPr>
        <w:t>I</w:t>
      </w:r>
      <w:r w:rsidR="00FA2E40">
        <w:rPr>
          <w:rFonts w:ascii="Tahoma" w:hAnsi="Tahoma" w:cs="Tahoma"/>
          <w:sz w:val="24"/>
          <w:szCs w:val="24"/>
        </w:rPr>
        <w:t xml:space="preserve">ndex, </w:t>
      </w:r>
      <w:r w:rsidR="00886CD0">
        <w:rPr>
          <w:rFonts w:ascii="Tahoma" w:hAnsi="Tahoma" w:cs="Tahoma"/>
          <w:sz w:val="24"/>
          <w:szCs w:val="24"/>
        </w:rPr>
        <w:t>Value Traded</w:t>
      </w:r>
      <w:r w:rsidR="000E0275">
        <w:rPr>
          <w:rFonts w:ascii="Tahoma" w:hAnsi="Tahoma" w:cs="Tahoma"/>
          <w:sz w:val="24"/>
          <w:szCs w:val="24"/>
        </w:rPr>
        <w:t>,</w:t>
      </w:r>
      <w:r w:rsidR="00FA2E40">
        <w:rPr>
          <w:rFonts w:ascii="Tahoma" w:hAnsi="Tahoma" w:cs="Tahoma"/>
          <w:sz w:val="24"/>
          <w:szCs w:val="24"/>
        </w:rPr>
        <w:t xml:space="preserve"> and m</w:t>
      </w:r>
      <w:r w:rsidR="00083ABE">
        <w:rPr>
          <w:rFonts w:ascii="Tahoma" w:hAnsi="Tahoma" w:cs="Tahoma"/>
          <w:sz w:val="24"/>
          <w:szCs w:val="24"/>
        </w:rPr>
        <w:t xml:space="preserve">arket </w:t>
      </w:r>
      <w:r w:rsidR="003D7E2A">
        <w:rPr>
          <w:rFonts w:ascii="Tahoma" w:hAnsi="Tahoma" w:cs="Tahoma"/>
          <w:sz w:val="24"/>
          <w:szCs w:val="24"/>
        </w:rPr>
        <w:t>c</w:t>
      </w:r>
      <w:r w:rsidR="00083ABE">
        <w:rPr>
          <w:rFonts w:ascii="Tahoma" w:hAnsi="Tahoma" w:cs="Tahoma"/>
          <w:sz w:val="24"/>
          <w:szCs w:val="24"/>
        </w:rPr>
        <w:t xml:space="preserve">apitalisation gained </w:t>
      </w:r>
      <w:r w:rsidR="00FA2E40">
        <w:rPr>
          <w:rFonts w:ascii="Tahoma" w:hAnsi="Tahoma" w:cs="Tahoma"/>
          <w:sz w:val="24"/>
          <w:szCs w:val="24"/>
        </w:rPr>
        <w:t>on a YoY basis.</w:t>
      </w:r>
      <w:r w:rsidR="000E0275">
        <w:rPr>
          <w:rFonts w:ascii="Tahoma" w:hAnsi="Tahoma" w:cs="Tahoma"/>
          <w:sz w:val="24"/>
          <w:szCs w:val="24"/>
        </w:rPr>
        <w:t xml:space="preserve"> </w:t>
      </w:r>
    </w:p>
    <w:p w14:paraId="4993FB70" w14:textId="77777777" w:rsidR="004D4E48" w:rsidRDefault="00595E97" w:rsidP="00E24E7D">
      <w:pPr>
        <w:pStyle w:val="ListofTables"/>
      </w:pPr>
      <w:bookmarkStart w:id="52" w:name="_Toc164072367"/>
      <w:bookmarkStart w:id="53" w:name="_Toc166658894"/>
      <w:bookmarkStart w:id="54" w:name="_Toc175829407"/>
      <w:r w:rsidRPr="0031015F">
        <w:lastRenderedPageBreak/>
        <w:t xml:space="preserve">Table </w:t>
      </w:r>
      <w:r>
        <w:fldChar w:fldCharType="begin"/>
      </w:r>
      <w:r>
        <w:instrText xml:space="preserve"> SEQ Table \* ARABIC </w:instrText>
      </w:r>
      <w:r>
        <w:fldChar w:fldCharType="separate"/>
      </w:r>
      <w:r w:rsidR="00D30418" w:rsidRPr="0031015F">
        <w:rPr>
          <w:noProof/>
        </w:rPr>
        <w:t>6</w:t>
      </w:r>
      <w:r>
        <w:rPr>
          <w:noProof/>
        </w:rPr>
        <w:fldChar w:fldCharType="end"/>
      </w:r>
      <w:r w:rsidRPr="0031015F">
        <w:t xml:space="preserve">: Zimbabwe Stock </w:t>
      </w:r>
      <w:r w:rsidR="00D30418" w:rsidRPr="0031015F">
        <w:t xml:space="preserve">Exchange </w:t>
      </w:r>
      <w:r w:rsidRPr="0031015F">
        <w:t>Movements</w:t>
      </w:r>
      <w:bookmarkEnd w:id="52"/>
      <w:bookmarkEnd w:id="53"/>
      <w:bookmarkEnd w:id="54"/>
    </w:p>
    <w:p w14:paraId="4D21D69F" w14:textId="5E0BC1CF" w:rsidR="00E24E7D" w:rsidRDefault="00A270E8" w:rsidP="00427CDA">
      <w:pPr>
        <w:spacing w:after="0"/>
        <w:ind w:left="720" w:hanging="720"/>
        <w:jc w:val="both"/>
        <w:rPr>
          <w:rFonts w:ascii="Tahoma" w:hAnsi="Tahoma" w:cs="Tahoma"/>
          <w:sz w:val="24"/>
          <w:szCs w:val="24"/>
        </w:rPr>
      </w:pPr>
      <w:r w:rsidRPr="00E24E7D">
        <w:rPr>
          <w:rFonts w:ascii="Tahoma" w:hAnsi="Tahoma" w:cs="Tahoma"/>
          <w:noProof/>
          <w:sz w:val="24"/>
          <w:szCs w:val="24"/>
          <w:lang w:eastAsia="en-ZW"/>
        </w:rPr>
        <w:drawing>
          <wp:inline distT="0" distB="0" distL="0" distR="0" wp14:anchorId="5CDD854F" wp14:editId="042D6F19">
            <wp:extent cx="5734050" cy="103822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p>
    <w:p w14:paraId="263370EC"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1E7FDB70" w14:textId="77777777" w:rsidR="00184FA3" w:rsidRPr="00863A17" w:rsidRDefault="00F67469" w:rsidP="003C1D2F">
      <w:pPr>
        <w:pStyle w:val="Heading2"/>
        <w:spacing w:before="0" w:after="240" w:line="240" w:lineRule="auto"/>
        <w:rPr>
          <w:rFonts w:cs="Tahoma"/>
          <w:b/>
          <w:color w:val="000000"/>
          <w:szCs w:val="24"/>
          <w:lang w:val="en-US"/>
        </w:rPr>
      </w:pPr>
      <w:bookmarkStart w:id="55" w:name="_Toc166607904"/>
      <w:bookmarkStart w:id="56" w:name="_Toc175829621"/>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55"/>
      <w:bookmarkEnd w:id="56"/>
      <w:r w:rsidR="00184FA3" w:rsidRPr="00863A17">
        <w:rPr>
          <w:rFonts w:cs="Tahoma"/>
          <w:b/>
          <w:color w:val="000000"/>
          <w:szCs w:val="24"/>
          <w:lang w:val="en-US"/>
        </w:rPr>
        <w:t xml:space="preserve"> </w:t>
      </w:r>
    </w:p>
    <w:p w14:paraId="2A121907" w14:textId="062D962C"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r w:rsidR="005F5AF8">
        <w:rPr>
          <w:rFonts w:ascii="Tahoma" w:hAnsi="Tahoma" w:cs="Tahoma"/>
          <w:sz w:val="24"/>
          <w:szCs w:val="24"/>
          <w:lang w:val="en-US"/>
        </w:rPr>
        <w:t>T</w:t>
      </w:r>
      <w:r w:rsidR="00427CDA">
        <w:rPr>
          <w:rFonts w:ascii="Tahoma" w:hAnsi="Tahoma" w:cs="Tahoma"/>
          <w:sz w:val="24"/>
          <w:szCs w:val="24"/>
          <w:lang w:val="en-US"/>
        </w:rPr>
        <w:t xml:space="preserve">he Victoria Falls Stock Exchange recorded a </w:t>
      </w:r>
      <w:r w:rsidR="005F5AF8">
        <w:rPr>
          <w:rFonts w:ascii="Tahoma" w:hAnsi="Tahoma" w:cs="Tahoma"/>
          <w:sz w:val="24"/>
          <w:szCs w:val="24"/>
          <w:lang w:val="en-US"/>
        </w:rPr>
        <w:t>bullish</w:t>
      </w:r>
      <w:r w:rsidR="00427CDA">
        <w:rPr>
          <w:rFonts w:ascii="Tahoma" w:hAnsi="Tahoma" w:cs="Tahoma"/>
          <w:sz w:val="24"/>
          <w:szCs w:val="24"/>
          <w:lang w:val="en-US"/>
        </w:rPr>
        <w:t xml:space="preserve"> trend</w:t>
      </w:r>
      <w:r w:rsidR="00ED6A04">
        <w:rPr>
          <w:rFonts w:ascii="Tahoma" w:hAnsi="Tahoma" w:cs="Tahoma"/>
          <w:sz w:val="24"/>
          <w:szCs w:val="24"/>
          <w:lang w:val="en-US"/>
        </w:rPr>
        <w:t xml:space="preserve"> in July</w:t>
      </w:r>
      <w:r w:rsidR="005F5AF8">
        <w:rPr>
          <w:rFonts w:ascii="Tahoma" w:hAnsi="Tahoma" w:cs="Tahoma"/>
          <w:sz w:val="24"/>
          <w:szCs w:val="24"/>
          <w:lang w:val="en-US"/>
        </w:rPr>
        <w:t xml:space="preserve"> 2024</w:t>
      </w:r>
      <w:r w:rsidR="00427CDA">
        <w:rPr>
          <w:rFonts w:ascii="Tahoma" w:hAnsi="Tahoma" w:cs="Tahoma"/>
          <w:sz w:val="24"/>
          <w:szCs w:val="24"/>
          <w:lang w:val="en-US"/>
        </w:rPr>
        <w:t xml:space="preserve">. On MoM basis, the </w:t>
      </w:r>
      <w:r w:rsidR="00886CD0">
        <w:rPr>
          <w:rFonts w:ascii="Tahoma" w:hAnsi="Tahoma" w:cs="Tahoma"/>
          <w:sz w:val="24"/>
          <w:szCs w:val="24"/>
          <w:lang w:val="en-US"/>
        </w:rPr>
        <w:t>All-Share Index</w:t>
      </w:r>
      <w:r w:rsidR="00ED6A04">
        <w:rPr>
          <w:rFonts w:ascii="Tahoma" w:hAnsi="Tahoma" w:cs="Tahoma"/>
          <w:sz w:val="24"/>
          <w:szCs w:val="24"/>
          <w:lang w:val="en-US"/>
        </w:rPr>
        <w:t xml:space="preserve">, </w:t>
      </w:r>
      <w:r w:rsidR="00886CD0">
        <w:rPr>
          <w:rFonts w:ascii="Tahoma" w:hAnsi="Tahoma" w:cs="Tahoma"/>
          <w:sz w:val="24"/>
          <w:szCs w:val="24"/>
          <w:lang w:val="en-US"/>
        </w:rPr>
        <w:t xml:space="preserve">Value Traded </w:t>
      </w:r>
      <w:r w:rsidR="00ED6A04">
        <w:rPr>
          <w:rFonts w:ascii="Tahoma" w:hAnsi="Tahoma" w:cs="Tahoma"/>
          <w:sz w:val="24"/>
          <w:szCs w:val="24"/>
          <w:lang w:val="en-US"/>
        </w:rPr>
        <w:t xml:space="preserve">and </w:t>
      </w:r>
      <w:r w:rsidR="009A28B6">
        <w:rPr>
          <w:rFonts w:ascii="Tahoma" w:hAnsi="Tahoma" w:cs="Tahoma"/>
          <w:sz w:val="24"/>
          <w:szCs w:val="24"/>
          <w:lang w:val="en-US"/>
        </w:rPr>
        <w:t>m</w:t>
      </w:r>
      <w:r w:rsidR="00ED6A04">
        <w:rPr>
          <w:rFonts w:ascii="Tahoma" w:hAnsi="Tahoma" w:cs="Tahoma"/>
          <w:sz w:val="24"/>
          <w:szCs w:val="24"/>
          <w:lang w:val="en-US"/>
        </w:rPr>
        <w:t xml:space="preserve">arket </w:t>
      </w:r>
      <w:r w:rsidR="009A28B6">
        <w:rPr>
          <w:rFonts w:ascii="Tahoma" w:hAnsi="Tahoma" w:cs="Tahoma"/>
          <w:sz w:val="24"/>
          <w:szCs w:val="24"/>
          <w:lang w:val="en-US"/>
        </w:rPr>
        <w:t>capitalization</w:t>
      </w:r>
      <w:r w:rsidR="00ED6A04">
        <w:rPr>
          <w:rFonts w:ascii="Tahoma" w:hAnsi="Tahoma" w:cs="Tahoma"/>
          <w:sz w:val="24"/>
          <w:szCs w:val="24"/>
          <w:lang w:val="en-US"/>
        </w:rPr>
        <w:t xml:space="preserve"> gained by 2.25%, 317.07% and 3.21% respectively. </w:t>
      </w:r>
      <w:r w:rsidR="00886CD0">
        <w:rPr>
          <w:rFonts w:ascii="Tahoma" w:hAnsi="Tahoma" w:cs="Tahoma"/>
          <w:sz w:val="24"/>
          <w:szCs w:val="24"/>
          <w:lang w:val="en-US"/>
        </w:rPr>
        <w:t>M</w:t>
      </w:r>
      <w:r w:rsidR="007D5EB6">
        <w:rPr>
          <w:rFonts w:ascii="Tahoma" w:hAnsi="Tahoma" w:cs="Tahoma"/>
          <w:sz w:val="24"/>
          <w:szCs w:val="24"/>
          <w:lang w:val="en-US"/>
        </w:rPr>
        <w:t xml:space="preserve">arket </w:t>
      </w:r>
      <w:r w:rsidR="009A28B6">
        <w:rPr>
          <w:rFonts w:ascii="Tahoma" w:hAnsi="Tahoma" w:cs="Tahoma"/>
          <w:sz w:val="24"/>
          <w:szCs w:val="24"/>
          <w:lang w:val="en-US"/>
        </w:rPr>
        <w:t>capitalization</w:t>
      </w:r>
      <w:r w:rsidR="007D5EB6">
        <w:rPr>
          <w:rFonts w:ascii="Tahoma" w:hAnsi="Tahoma" w:cs="Tahoma"/>
          <w:sz w:val="24"/>
          <w:szCs w:val="24"/>
          <w:lang w:val="en-US"/>
        </w:rPr>
        <w:t xml:space="preserve"> </w:t>
      </w:r>
      <w:r w:rsidR="00886CD0">
        <w:rPr>
          <w:rFonts w:ascii="Tahoma" w:hAnsi="Tahoma" w:cs="Tahoma"/>
          <w:sz w:val="24"/>
          <w:szCs w:val="24"/>
          <w:lang w:val="en-US"/>
        </w:rPr>
        <w:t xml:space="preserve">increased by 3.21% </w:t>
      </w:r>
      <w:r w:rsidR="009A28B6">
        <w:rPr>
          <w:rFonts w:ascii="Tahoma" w:hAnsi="Tahoma" w:cs="Tahoma"/>
          <w:sz w:val="24"/>
          <w:szCs w:val="24"/>
          <w:lang w:val="en-US"/>
        </w:rPr>
        <w:t>in July 2024</w:t>
      </w:r>
      <w:r w:rsidR="007D5EB6">
        <w:rPr>
          <w:rFonts w:ascii="Tahoma" w:hAnsi="Tahoma" w:cs="Tahoma"/>
          <w:sz w:val="24"/>
          <w:szCs w:val="24"/>
          <w:lang w:val="en-US"/>
        </w:rPr>
        <w:t xml:space="preserve"> </w:t>
      </w:r>
      <w:r w:rsidR="00886CD0">
        <w:rPr>
          <w:rFonts w:ascii="Tahoma" w:hAnsi="Tahoma" w:cs="Tahoma"/>
          <w:sz w:val="24"/>
          <w:szCs w:val="24"/>
          <w:lang w:val="en-US"/>
        </w:rPr>
        <w:t>to reach</w:t>
      </w:r>
      <w:r w:rsidR="007D5EB6">
        <w:rPr>
          <w:rFonts w:ascii="Tahoma" w:hAnsi="Tahoma" w:cs="Tahoma"/>
          <w:sz w:val="24"/>
          <w:szCs w:val="24"/>
          <w:lang w:val="en-US"/>
        </w:rPr>
        <w:t xml:space="preserve"> USD1007.22 millio</w:t>
      </w:r>
      <w:r w:rsidR="009A28B6">
        <w:rPr>
          <w:rFonts w:ascii="Tahoma" w:hAnsi="Tahoma" w:cs="Tahoma"/>
          <w:sz w:val="24"/>
          <w:szCs w:val="24"/>
          <w:lang w:val="en-US"/>
        </w:rPr>
        <w:t xml:space="preserve">n </w:t>
      </w:r>
      <w:r w:rsidR="00C50076">
        <w:rPr>
          <w:rFonts w:ascii="Tahoma" w:hAnsi="Tahoma" w:cs="Tahoma"/>
          <w:sz w:val="24"/>
          <w:szCs w:val="24"/>
          <w:lang w:val="en-US"/>
        </w:rPr>
        <w:t>up</w:t>
      </w:r>
      <w:r w:rsidR="007D5EB6">
        <w:rPr>
          <w:rFonts w:ascii="Tahoma" w:hAnsi="Tahoma" w:cs="Tahoma"/>
          <w:sz w:val="24"/>
          <w:szCs w:val="24"/>
          <w:lang w:val="en-US"/>
        </w:rPr>
        <w:t xml:space="preserve"> from USD975.87 million</w:t>
      </w:r>
      <w:r w:rsidR="00410952">
        <w:rPr>
          <w:rFonts w:ascii="Tahoma" w:hAnsi="Tahoma" w:cs="Tahoma"/>
          <w:sz w:val="24"/>
          <w:szCs w:val="24"/>
          <w:lang w:val="en-US"/>
        </w:rPr>
        <w:t xml:space="preserve"> (see Table 7)</w:t>
      </w:r>
      <w:r w:rsidR="00886CD0">
        <w:rPr>
          <w:rFonts w:ascii="Tahoma" w:hAnsi="Tahoma" w:cs="Tahoma"/>
          <w:sz w:val="24"/>
          <w:szCs w:val="24"/>
          <w:lang w:val="en-US"/>
        </w:rPr>
        <w:t xml:space="preserve">. </w:t>
      </w:r>
    </w:p>
    <w:p w14:paraId="1356E402" w14:textId="717A3DC8"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w:t>
      </w:r>
      <w:r w:rsidR="00886CD0">
        <w:rPr>
          <w:rFonts w:ascii="Tahoma" w:hAnsi="Tahoma" w:cs="Tahoma"/>
          <w:sz w:val="24"/>
          <w:szCs w:val="24"/>
          <w:lang w:val="en-US"/>
        </w:rPr>
        <w:t>2</w:t>
      </w:r>
      <w:r w:rsidR="00F67469" w:rsidRPr="00863A17">
        <w:rPr>
          <w:rFonts w:ascii="Tahoma" w:hAnsi="Tahoma" w:cs="Tahoma"/>
          <w:sz w:val="24"/>
          <w:szCs w:val="24"/>
          <w:lang w:val="en-US"/>
        </w:rPr>
        <w:tab/>
      </w:r>
      <w:r w:rsidR="00427CDA">
        <w:rPr>
          <w:rFonts w:ascii="Tahoma" w:hAnsi="Tahoma" w:cs="Tahoma"/>
          <w:sz w:val="24"/>
          <w:szCs w:val="24"/>
          <w:lang w:val="en-US"/>
        </w:rPr>
        <w:t>On a Y</w:t>
      </w:r>
      <w:r w:rsidR="00AC77F7">
        <w:rPr>
          <w:rFonts w:ascii="Tahoma" w:hAnsi="Tahoma" w:cs="Tahoma"/>
          <w:sz w:val="24"/>
          <w:szCs w:val="24"/>
          <w:lang w:val="en-US"/>
        </w:rPr>
        <w:t>tD</w:t>
      </w:r>
      <w:r w:rsidR="00427CDA">
        <w:rPr>
          <w:rFonts w:ascii="Tahoma" w:hAnsi="Tahoma" w:cs="Tahoma"/>
          <w:sz w:val="24"/>
          <w:szCs w:val="24"/>
          <w:lang w:val="en-US"/>
        </w:rPr>
        <w:t xml:space="preserve"> basis, the </w:t>
      </w:r>
      <w:r w:rsidR="00886CD0">
        <w:rPr>
          <w:rFonts w:ascii="Tahoma" w:hAnsi="Tahoma" w:cs="Tahoma"/>
          <w:sz w:val="24"/>
          <w:szCs w:val="24"/>
          <w:lang w:val="en-US"/>
        </w:rPr>
        <w:t xml:space="preserve">All-Share Index </w:t>
      </w:r>
      <w:r w:rsidR="009A28B6">
        <w:rPr>
          <w:rFonts w:ascii="Tahoma" w:hAnsi="Tahoma" w:cs="Tahoma"/>
          <w:sz w:val="24"/>
          <w:szCs w:val="24"/>
          <w:lang w:val="en-US"/>
        </w:rPr>
        <w:t>and market capitalization gained 2.42</w:t>
      </w:r>
      <w:r w:rsidR="00106B15">
        <w:rPr>
          <w:rFonts w:ascii="Tahoma" w:hAnsi="Tahoma" w:cs="Tahoma"/>
          <w:sz w:val="24"/>
          <w:szCs w:val="24"/>
          <w:lang w:val="en-US"/>
        </w:rPr>
        <w:t xml:space="preserve">% </w:t>
      </w:r>
      <w:r w:rsidR="009A28B6">
        <w:rPr>
          <w:rFonts w:ascii="Tahoma" w:hAnsi="Tahoma" w:cs="Tahoma"/>
          <w:sz w:val="24"/>
          <w:szCs w:val="24"/>
          <w:lang w:val="en-US"/>
        </w:rPr>
        <w:t xml:space="preserve">and 3.02% respectively, </w:t>
      </w:r>
      <w:r w:rsidR="00106B15">
        <w:rPr>
          <w:rFonts w:ascii="Tahoma" w:hAnsi="Tahoma" w:cs="Tahoma"/>
          <w:sz w:val="24"/>
          <w:szCs w:val="24"/>
          <w:lang w:val="en-US"/>
        </w:rPr>
        <w:t>while</w:t>
      </w:r>
      <w:r w:rsidR="009A28B6">
        <w:rPr>
          <w:rFonts w:ascii="Tahoma" w:hAnsi="Tahoma" w:cs="Tahoma"/>
          <w:sz w:val="24"/>
          <w:szCs w:val="24"/>
          <w:lang w:val="en-US"/>
        </w:rPr>
        <w:t xml:space="preserve"> </w:t>
      </w:r>
      <w:r w:rsidR="00886CD0">
        <w:rPr>
          <w:rFonts w:ascii="Tahoma" w:hAnsi="Tahoma" w:cs="Tahoma"/>
          <w:sz w:val="24"/>
          <w:szCs w:val="24"/>
          <w:lang w:val="en-US"/>
        </w:rPr>
        <w:t xml:space="preserve">Value Traded </w:t>
      </w:r>
      <w:r w:rsidR="009A28B6">
        <w:rPr>
          <w:rFonts w:ascii="Tahoma" w:hAnsi="Tahoma" w:cs="Tahoma"/>
          <w:sz w:val="24"/>
          <w:szCs w:val="24"/>
          <w:lang w:val="en-US"/>
        </w:rPr>
        <w:t>lost by 11.36% and 0.19%</w:t>
      </w:r>
      <w:r w:rsidR="00106B15">
        <w:rPr>
          <w:rFonts w:ascii="Tahoma" w:hAnsi="Tahoma" w:cs="Tahoma"/>
          <w:sz w:val="24"/>
          <w:szCs w:val="24"/>
          <w:lang w:val="en-US"/>
        </w:rPr>
        <w:t>.</w:t>
      </w:r>
      <w:r w:rsidR="00AC77F7">
        <w:rPr>
          <w:rFonts w:ascii="Tahoma" w:hAnsi="Tahoma" w:cs="Tahoma"/>
          <w:sz w:val="24"/>
          <w:szCs w:val="24"/>
          <w:lang w:val="en-US"/>
        </w:rPr>
        <w:t xml:space="preserve"> </w:t>
      </w:r>
      <w:r w:rsidR="009A28B6">
        <w:rPr>
          <w:rFonts w:ascii="Tahoma" w:hAnsi="Tahoma" w:cs="Tahoma"/>
          <w:sz w:val="24"/>
          <w:szCs w:val="24"/>
          <w:lang w:val="en-US"/>
        </w:rPr>
        <w:t>All-</w:t>
      </w:r>
      <w:r w:rsidR="00886CD0">
        <w:rPr>
          <w:rFonts w:ascii="Tahoma" w:hAnsi="Tahoma" w:cs="Tahoma"/>
          <w:sz w:val="24"/>
          <w:szCs w:val="24"/>
          <w:lang w:val="en-US"/>
        </w:rPr>
        <w:t>S</w:t>
      </w:r>
      <w:r w:rsidR="009A28B6">
        <w:rPr>
          <w:rFonts w:ascii="Tahoma" w:hAnsi="Tahoma" w:cs="Tahoma"/>
          <w:sz w:val="24"/>
          <w:szCs w:val="24"/>
          <w:lang w:val="en-US"/>
        </w:rPr>
        <w:t xml:space="preserve">hare </w:t>
      </w:r>
      <w:r w:rsidR="00886CD0">
        <w:rPr>
          <w:rFonts w:ascii="Tahoma" w:hAnsi="Tahoma" w:cs="Tahoma"/>
          <w:sz w:val="24"/>
          <w:szCs w:val="24"/>
          <w:lang w:val="en-US"/>
        </w:rPr>
        <w:t>I</w:t>
      </w:r>
      <w:r w:rsidR="009A28B6">
        <w:rPr>
          <w:rFonts w:ascii="Tahoma" w:hAnsi="Tahoma" w:cs="Tahoma"/>
          <w:sz w:val="24"/>
          <w:szCs w:val="24"/>
          <w:lang w:val="en-US"/>
        </w:rPr>
        <w:t xml:space="preserve">ndex, </w:t>
      </w:r>
      <w:r w:rsidR="00886CD0">
        <w:rPr>
          <w:rFonts w:ascii="Tahoma" w:hAnsi="Tahoma" w:cs="Tahoma"/>
          <w:sz w:val="24"/>
          <w:szCs w:val="24"/>
          <w:lang w:val="en-US"/>
        </w:rPr>
        <w:t xml:space="preserve">Value Traded </w:t>
      </w:r>
      <w:r w:rsidR="009A28B6">
        <w:rPr>
          <w:rFonts w:ascii="Tahoma" w:hAnsi="Tahoma" w:cs="Tahoma"/>
          <w:sz w:val="24"/>
          <w:szCs w:val="24"/>
          <w:lang w:val="en-US"/>
        </w:rPr>
        <w:t xml:space="preserve">and market capitalization gained by 53.71%, 440.29% and 11.58% </w:t>
      </w:r>
      <w:r w:rsidR="00106B15">
        <w:rPr>
          <w:rFonts w:ascii="Tahoma" w:hAnsi="Tahoma" w:cs="Tahoma"/>
          <w:sz w:val="24"/>
          <w:szCs w:val="24"/>
          <w:lang w:val="en-US"/>
        </w:rPr>
        <w:t>respectively, on a YoY basis</w:t>
      </w:r>
      <w:r w:rsidR="009A28B6">
        <w:rPr>
          <w:rFonts w:ascii="Tahoma" w:hAnsi="Tahoma" w:cs="Tahoma"/>
          <w:sz w:val="24"/>
          <w:szCs w:val="24"/>
          <w:lang w:val="en-US"/>
        </w:rPr>
        <w:t>.</w:t>
      </w:r>
    </w:p>
    <w:p w14:paraId="0775D8A0" w14:textId="77777777" w:rsidR="00E57C56" w:rsidRDefault="00D30418" w:rsidP="00246949">
      <w:pPr>
        <w:pStyle w:val="ListofTables"/>
      </w:pPr>
      <w:bookmarkStart w:id="57" w:name="_Toc164072368"/>
      <w:bookmarkStart w:id="58" w:name="_Toc166658895"/>
      <w:bookmarkStart w:id="59" w:name="_Toc175829408"/>
      <w:r w:rsidRPr="0031015F">
        <w:t xml:space="preserve">Table </w:t>
      </w:r>
      <w:r>
        <w:fldChar w:fldCharType="begin"/>
      </w:r>
      <w:r>
        <w:instrText xml:space="preserve"> SEQ Table \* ARABIC </w:instrText>
      </w:r>
      <w:r>
        <w:fldChar w:fldCharType="separate"/>
      </w:r>
      <w:r w:rsidRPr="0031015F">
        <w:rPr>
          <w:noProof/>
        </w:rPr>
        <w:t>7</w:t>
      </w:r>
      <w:r>
        <w:rPr>
          <w:noProof/>
        </w:rPr>
        <w:fldChar w:fldCharType="end"/>
      </w:r>
      <w:r w:rsidRPr="0031015F">
        <w:t>: Victoria Falls Stock Exchange Movements</w:t>
      </w:r>
      <w:bookmarkEnd w:id="57"/>
      <w:bookmarkEnd w:id="58"/>
      <w:bookmarkEnd w:id="59"/>
    </w:p>
    <w:p w14:paraId="4F0438EF" w14:textId="1CFB6D51" w:rsidR="00AB0841" w:rsidRPr="00863A17" w:rsidRDefault="00A270E8" w:rsidP="00FF0FB8">
      <w:pPr>
        <w:spacing w:after="0"/>
        <w:rPr>
          <w:rFonts w:ascii="Tahoma" w:hAnsi="Tahoma" w:cs="Tahoma"/>
          <w:sz w:val="24"/>
          <w:szCs w:val="24"/>
          <w:lang w:val="en-US"/>
        </w:rPr>
      </w:pPr>
      <w:r w:rsidRPr="00246949">
        <w:rPr>
          <w:rFonts w:ascii="Tahoma" w:hAnsi="Tahoma" w:cs="Tahoma"/>
          <w:noProof/>
          <w:sz w:val="24"/>
          <w:szCs w:val="24"/>
          <w:lang w:eastAsia="en-ZW"/>
        </w:rPr>
        <w:drawing>
          <wp:inline distT="0" distB="0" distL="0" distR="0" wp14:anchorId="39501AE7" wp14:editId="7F1D2AAF">
            <wp:extent cx="5724525" cy="9620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7008F540"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22B57C95" w14:textId="77777777" w:rsidR="007E26B5" w:rsidRPr="007E26B5" w:rsidRDefault="007E26B5">
      <w:pPr>
        <w:rPr>
          <w:rFonts w:ascii="Tahoma" w:hAnsi="Tahoma" w:cs="Tahoma"/>
          <w:iCs/>
          <w:sz w:val="24"/>
          <w:szCs w:val="24"/>
          <w:lang w:val="en-US"/>
        </w:rPr>
      </w:pPr>
    </w:p>
    <w:p w14:paraId="27791C00" w14:textId="77777777" w:rsidR="00EF3AD6" w:rsidRPr="00A64F64" w:rsidRDefault="00FC703F" w:rsidP="004B15EE">
      <w:pPr>
        <w:pStyle w:val="Heading1"/>
        <w:spacing w:before="0" w:after="240" w:line="240" w:lineRule="auto"/>
        <w:rPr>
          <w:rFonts w:cs="Tahoma"/>
          <w:bCs/>
          <w:color w:val="000000"/>
          <w:szCs w:val="24"/>
          <w:lang w:val="en-US"/>
        </w:rPr>
      </w:pPr>
      <w:bookmarkStart w:id="60" w:name="_Toc166607905"/>
      <w:bookmarkStart w:id="61" w:name="_Toc175829622"/>
      <w:r w:rsidRPr="00A64F64">
        <w:rPr>
          <w:rFonts w:cs="Tahoma"/>
          <w:bCs/>
          <w:color w:val="000000"/>
          <w:szCs w:val="24"/>
          <w:lang w:val="en-US"/>
        </w:rPr>
        <w:t>9.0</w:t>
      </w:r>
      <w:r w:rsidRPr="00A64F64">
        <w:rPr>
          <w:rFonts w:cs="Tahoma"/>
          <w:bCs/>
          <w:color w:val="000000"/>
          <w:szCs w:val="24"/>
          <w:lang w:val="en-US"/>
        </w:rPr>
        <w:tab/>
        <w:t>Recommendations</w:t>
      </w:r>
      <w:bookmarkEnd w:id="60"/>
      <w:bookmarkEnd w:id="61"/>
      <w:r w:rsidRPr="00A64F64">
        <w:rPr>
          <w:rFonts w:cs="Tahoma"/>
          <w:bCs/>
          <w:color w:val="000000"/>
          <w:szCs w:val="24"/>
          <w:lang w:val="en-US"/>
        </w:rPr>
        <w:t xml:space="preserve"> </w:t>
      </w:r>
    </w:p>
    <w:p w14:paraId="6C33E47E" w14:textId="77777777" w:rsidR="00FC703F" w:rsidRPr="00863A17" w:rsidRDefault="00EC6C43" w:rsidP="00FC703F">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 xml:space="preserve">The following recommendations are being proposed: </w:t>
      </w:r>
    </w:p>
    <w:p w14:paraId="33DC952E" w14:textId="1939E043" w:rsidR="00626EF8" w:rsidRPr="00760CF6" w:rsidRDefault="0066487F" w:rsidP="009D2C94">
      <w:pPr>
        <w:spacing w:line="276" w:lineRule="auto"/>
        <w:ind w:left="720" w:hanging="720"/>
        <w:jc w:val="both"/>
        <w:rPr>
          <w:rFonts w:ascii="Tahoma" w:hAnsi="Tahoma" w:cs="Tahoma"/>
          <w:sz w:val="24"/>
          <w:szCs w:val="24"/>
          <w:lang w:val="en-US"/>
        </w:rPr>
      </w:pPr>
      <w:r w:rsidRPr="00760CF6">
        <w:rPr>
          <w:rFonts w:ascii="Tahoma" w:hAnsi="Tahoma" w:cs="Tahoma"/>
          <w:sz w:val="24"/>
          <w:szCs w:val="24"/>
          <w:lang w:val="en-US"/>
        </w:rPr>
        <w:t>9.1.</w:t>
      </w:r>
      <w:r w:rsidR="00595E97" w:rsidRPr="00760CF6">
        <w:rPr>
          <w:rFonts w:ascii="Tahoma" w:hAnsi="Tahoma" w:cs="Tahoma"/>
          <w:sz w:val="24"/>
          <w:szCs w:val="24"/>
          <w:lang w:val="en-US"/>
        </w:rPr>
        <w:t>1</w:t>
      </w:r>
      <w:r w:rsidRPr="00760CF6">
        <w:rPr>
          <w:rFonts w:ascii="Tahoma" w:hAnsi="Tahoma" w:cs="Tahoma"/>
          <w:sz w:val="24"/>
          <w:szCs w:val="24"/>
          <w:lang w:val="en-US"/>
        </w:rPr>
        <w:tab/>
      </w:r>
      <w:r w:rsidR="00626EF8" w:rsidRPr="00760CF6">
        <w:rPr>
          <w:rFonts w:ascii="Tahoma" w:hAnsi="Tahoma" w:cs="Tahoma"/>
          <w:b/>
          <w:bCs/>
          <w:sz w:val="24"/>
          <w:szCs w:val="24"/>
          <w:lang w:val="en-US"/>
        </w:rPr>
        <w:t>Mitigation of El Niño Effects</w:t>
      </w:r>
      <w:r w:rsidR="00626EF8" w:rsidRPr="00760CF6">
        <w:rPr>
          <w:rFonts w:ascii="Tahoma" w:hAnsi="Tahoma" w:cs="Tahoma"/>
          <w:sz w:val="24"/>
          <w:szCs w:val="24"/>
          <w:lang w:val="en-US"/>
        </w:rPr>
        <w:t xml:space="preserve">: The projected economic slowdown in 2024, partly attributed to the El Niño-induced drought, underscores the need for proactive measures. </w:t>
      </w:r>
      <w:r w:rsidR="00760CF6">
        <w:rPr>
          <w:rFonts w:ascii="Tahoma" w:hAnsi="Tahoma" w:cs="Tahoma"/>
          <w:sz w:val="24"/>
          <w:szCs w:val="24"/>
          <w:lang w:val="en-US"/>
        </w:rPr>
        <w:t>The country</w:t>
      </w:r>
      <w:r w:rsidR="00626EF8" w:rsidRPr="00760CF6">
        <w:rPr>
          <w:rFonts w:ascii="Tahoma" w:hAnsi="Tahoma" w:cs="Tahoma"/>
          <w:sz w:val="24"/>
          <w:szCs w:val="24"/>
          <w:lang w:val="en-US"/>
        </w:rPr>
        <w:t xml:space="preserve"> should enhance its climate resilience by investing in drought-resistant crops, improving irrigation infrastructure, and adopting climate-smart agricultural practices. Government support for smallholder farmers through subsidies and training programs can also help mitigate the impact on food security and economic growth.</w:t>
      </w:r>
    </w:p>
    <w:p w14:paraId="3053DD9A" w14:textId="4D0827B0" w:rsidR="00626EF8" w:rsidRPr="00760CF6" w:rsidRDefault="00760CF6" w:rsidP="009D2C94">
      <w:pPr>
        <w:spacing w:line="276" w:lineRule="auto"/>
        <w:ind w:left="720" w:hanging="720"/>
        <w:jc w:val="both"/>
        <w:rPr>
          <w:rFonts w:ascii="Tahoma" w:hAnsi="Tahoma" w:cs="Tahoma"/>
          <w:sz w:val="24"/>
          <w:szCs w:val="24"/>
          <w:lang w:val="en-US"/>
        </w:rPr>
      </w:pPr>
      <w:r w:rsidRPr="00760CF6">
        <w:rPr>
          <w:rFonts w:ascii="Tahoma" w:hAnsi="Tahoma" w:cs="Tahoma"/>
          <w:sz w:val="24"/>
          <w:szCs w:val="24"/>
          <w:lang w:val="en-US"/>
        </w:rPr>
        <w:t>9.1.2</w:t>
      </w:r>
      <w:r w:rsidRPr="00760CF6">
        <w:rPr>
          <w:rFonts w:ascii="Tahoma" w:hAnsi="Tahoma" w:cs="Tahoma"/>
          <w:sz w:val="24"/>
          <w:szCs w:val="24"/>
          <w:lang w:val="en-US"/>
        </w:rPr>
        <w:tab/>
      </w:r>
      <w:r w:rsidR="00626EF8" w:rsidRPr="00760CF6">
        <w:rPr>
          <w:rFonts w:ascii="Tahoma" w:hAnsi="Tahoma" w:cs="Tahoma"/>
          <w:b/>
          <w:bCs/>
          <w:sz w:val="24"/>
          <w:szCs w:val="24"/>
          <w:lang w:val="en-US"/>
        </w:rPr>
        <w:t>Diversification of Exports</w:t>
      </w:r>
      <w:r w:rsidR="00626EF8" w:rsidRPr="00760CF6">
        <w:rPr>
          <w:rFonts w:ascii="Tahoma" w:hAnsi="Tahoma" w:cs="Tahoma"/>
          <w:sz w:val="24"/>
          <w:szCs w:val="24"/>
          <w:lang w:val="en-US"/>
        </w:rPr>
        <w:t xml:space="preserve">: </w:t>
      </w:r>
      <w:r>
        <w:rPr>
          <w:rFonts w:ascii="Tahoma" w:hAnsi="Tahoma" w:cs="Tahoma"/>
          <w:sz w:val="24"/>
          <w:szCs w:val="24"/>
          <w:lang w:val="en-US"/>
        </w:rPr>
        <w:t>The country</w:t>
      </w:r>
      <w:r w:rsidR="00626EF8" w:rsidRPr="00760CF6">
        <w:rPr>
          <w:rFonts w:ascii="Tahoma" w:hAnsi="Tahoma" w:cs="Tahoma"/>
          <w:sz w:val="24"/>
          <w:szCs w:val="24"/>
          <w:lang w:val="en-US"/>
        </w:rPr>
        <w:t xml:space="preserve">’s reliance on commodity exports, particularly minerals and agriculture, makes the economy vulnerable to global price fluctuations. To cushion against low international commodity prices, the country should focus on diversifying its export base. This could involve </w:t>
      </w:r>
      <w:r w:rsidR="00626EF8" w:rsidRPr="00760CF6">
        <w:rPr>
          <w:rFonts w:ascii="Tahoma" w:hAnsi="Tahoma" w:cs="Tahoma"/>
          <w:sz w:val="24"/>
          <w:szCs w:val="24"/>
          <w:lang w:val="en-US"/>
        </w:rPr>
        <w:lastRenderedPageBreak/>
        <w:t>promoting value addition and processing industries, particularly in agriculture, minerals, and manufacturing, to increase export earnings and reduce dependence on raw commodity exports.</w:t>
      </w:r>
    </w:p>
    <w:p w14:paraId="1C693942" w14:textId="12DBE920" w:rsidR="00626EF8" w:rsidRPr="00760CF6" w:rsidRDefault="00760CF6" w:rsidP="009D2C94">
      <w:pPr>
        <w:spacing w:line="276" w:lineRule="auto"/>
        <w:ind w:left="720" w:hanging="720"/>
        <w:jc w:val="both"/>
        <w:rPr>
          <w:rFonts w:ascii="Tahoma" w:hAnsi="Tahoma" w:cs="Tahoma"/>
          <w:sz w:val="24"/>
          <w:szCs w:val="24"/>
          <w:lang w:val="en-US"/>
        </w:rPr>
      </w:pPr>
      <w:r>
        <w:rPr>
          <w:rFonts w:ascii="Tahoma" w:hAnsi="Tahoma" w:cs="Tahoma"/>
          <w:sz w:val="24"/>
          <w:szCs w:val="24"/>
          <w:lang w:val="en-US"/>
        </w:rPr>
        <w:t>9.1.3</w:t>
      </w:r>
      <w:r>
        <w:rPr>
          <w:rFonts w:ascii="Tahoma" w:hAnsi="Tahoma" w:cs="Tahoma"/>
          <w:sz w:val="24"/>
          <w:szCs w:val="24"/>
          <w:lang w:val="en-US"/>
        </w:rPr>
        <w:tab/>
      </w:r>
      <w:r w:rsidR="00626EF8" w:rsidRPr="00760CF6">
        <w:rPr>
          <w:rFonts w:ascii="Tahoma" w:hAnsi="Tahoma" w:cs="Tahoma"/>
          <w:b/>
          <w:bCs/>
          <w:sz w:val="24"/>
          <w:szCs w:val="24"/>
          <w:lang w:val="en-US"/>
        </w:rPr>
        <w:t>Managing Inflation and Exchange Rate Stability</w:t>
      </w:r>
      <w:r w:rsidR="00626EF8" w:rsidRPr="00760CF6">
        <w:rPr>
          <w:rFonts w:ascii="Tahoma" w:hAnsi="Tahoma" w:cs="Tahoma"/>
          <w:sz w:val="24"/>
          <w:szCs w:val="24"/>
          <w:lang w:val="en-US"/>
        </w:rPr>
        <w:t xml:space="preserve">: The economy’s ongoing deflationary trend requires careful management to avoid deflationary pressures that could hinder growth. </w:t>
      </w:r>
      <w:r>
        <w:rPr>
          <w:rFonts w:ascii="Tahoma" w:hAnsi="Tahoma" w:cs="Tahoma"/>
          <w:sz w:val="24"/>
          <w:szCs w:val="24"/>
          <w:lang w:val="en-US"/>
        </w:rPr>
        <w:t>The RBZ</w:t>
      </w:r>
      <w:r w:rsidR="00626EF8" w:rsidRPr="00760CF6">
        <w:rPr>
          <w:rFonts w:ascii="Tahoma" w:hAnsi="Tahoma" w:cs="Tahoma"/>
          <w:sz w:val="24"/>
          <w:szCs w:val="24"/>
          <w:lang w:val="en-US"/>
        </w:rPr>
        <w:t xml:space="preserve"> should aim for price stability by maintaining a balanced approach to money supply and interest rate policies. Additionally, efforts to stabilize the ZiG through sound fiscal and monetary policies will be crucial in curbing currency depreciation and supporting economic stability.</w:t>
      </w:r>
    </w:p>
    <w:p w14:paraId="0BC66A6D" w14:textId="379644AB" w:rsidR="00626EF8" w:rsidRPr="00760CF6" w:rsidRDefault="00760CF6" w:rsidP="009D2C94">
      <w:pPr>
        <w:spacing w:line="276" w:lineRule="auto"/>
        <w:ind w:left="720" w:hanging="720"/>
        <w:jc w:val="both"/>
        <w:rPr>
          <w:rFonts w:ascii="Tahoma" w:hAnsi="Tahoma" w:cs="Tahoma"/>
          <w:sz w:val="24"/>
          <w:szCs w:val="24"/>
          <w:lang w:val="en-US"/>
        </w:rPr>
      </w:pPr>
      <w:r>
        <w:rPr>
          <w:rFonts w:ascii="Tahoma" w:hAnsi="Tahoma" w:cs="Tahoma"/>
          <w:sz w:val="24"/>
          <w:szCs w:val="24"/>
          <w:lang w:val="en-US"/>
        </w:rPr>
        <w:t>9.1.4</w:t>
      </w:r>
      <w:r>
        <w:rPr>
          <w:rFonts w:ascii="Tahoma" w:hAnsi="Tahoma" w:cs="Tahoma"/>
          <w:sz w:val="24"/>
          <w:szCs w:val="24"/>
          <w:lang w:val="en-US"/>
        </w:rPr>
        <w:tab/>
      </w:r>
      <w:r w:rsidR="00626EF8" w:rsidRPr="00760CF6">
        <w:rPr>
          <w:rFonts w:ascii="Tahoma" w:hAnsi="Tahoma" w:cs="Tahoma"/>
          <w:b/>
          <w:bCs/>
          <w:sz w:val="24"/>
          <w:szCs w:val="24"/>
          <w:lang w:val="en-US"/>
        </w:rPr>
        <w:t>Leveraging Diaspora Remittances</w:t>
      </w:r>
      <w:r w:rsidR="00626EF8" w:rsidRPr="00760CF6">
        <w:rPr>
          <w:rFonts w:ascii="Tahoma" w:hAnsi="Tahoma" w:cs="Tahoma"/>
          <w:sz w:val="24"/>
          <w:szCs w:val="24"/>
          <w:lang w:val="en-US"/>
        </w:rPr>
        <w:t>: Diaspora remittances are a key driver of foreign currency receipts and can be further leveraged for economic development. The government should create investment channels that encourage the diaspora community to invest in national projects, infrastructure, and business ventures. Policies to reduce remittance costs and streamline transfer processes can also maximize the impact of these inflows.</w:t>
      </w:r>
    </w:p>
    <w:p w14:paraId="55ED9C15" w14:textId="4A37D4B6" w:rsidR="00626EF8" w:rsidRPr="00760CF6" w:rsidRDefault="00760CF6" w:rsidP="009D2C94">
      <w:pPr>
        <w:spacing w:line="276" w:lineRule="auto"/>
        <w:ind w:left="720" w:hanging="720"/>
        <w:jc w:val="both"/>
        <w:rPr>
          <w:rFonts w:ascii="Tahoma" w:hAnsi="Tahoma" w:cs="Tahoma"/>
          <w:sz w:val="24"/>
          <w:szCs w:val="24"/>
          <w:lang w:val="en-US"/>
        </w:rPr>
      </w:pPr>
      <w:r>
        <w:rPr>
          <w:rFonts w:ascii="Tahoma" w:hAnsi="Tahoma" w:cs="Tahoma"/>
          <w:sz w:val="24"/>
          <w:szCs w:val="24"/>
          <w:lang w:val="en-US"/>
        </w:rPr>
        <w:t>9.1.5</w:t>
      </w:r>
      <w:r>
        <w:rPr>
          <w:rFonts w:ascii="Tahoma" w:hAnsi="Tahoma" w:cs="Tahoma"/>
          <w:sz w:val="24"/>
          <w:szCs w:val="24"/>
          <w:lang w:val="en-US"/>
        </w:rPr>
        <w:tab/>
      </w:r>
      <w:r w:rsidR="00626EF8" w:rsidRPr="00760CF6">
        <w:rPr>
          <w:rFonts w:ascii="Tahoma" w:hAnsi="Tahoma" w:cs="Tahoma"/>
          <w:b/>
          <w:bCs/>
          <w:sz w:val="24"/>
          <w:szCs w:val="24"/>
          <w:lang w:val="en-US"/>
        </w:rPr>
        <w:t>Capital Market Development</w:t>
      </w:r>
      <w:r w:rsidR="00626EF8" w:rsidRPr="00760CF6">
        <w:rPr>
          <w:rFonts w:ascii="Tahoma" w:hAnsi="Tahoma" w:cs="Tahoma"/>
          <w:sz w:val="24"/>
          <w:szCs w:val="24"/>
          <w:lang w:val="en-US"/>
        </w:rPr>
        <w:t>: The strong performance of the Zimbabwe Stock Exchange and the Victoria Falls Stock Exchange presents an opportunity to further deepen the capital markets. The government should promote the listing of more companies and provide incentives for foreign and local investors to participate in the market</w:t>
      </w:r>
      <w:r>
        <w:rPr>
          <w:rFonts w:ascii="Tahoma" w:hAnsi="Tahoma" w:cs="Tahoma"/>
          <w:sz w:val="24"/>
          <w:szCs w:val="24"/>
          <w:lang w:val="en-US"/>
        </w:rPr>
        <w:t>s</w:t>
      </w:r>
      <w:r w:rsidR="00626EF8" w:rsidRPr="00760CF6">
        <w:rPr>
          <w:rFonts w:ascii="Tahoma" w:hAnsi="Tahoma" w:cs="Tahoma"/>
          <w:sz w:val="24"/>
          <w:szCs w:val="24"/>
          <w:lang w:val="en-US"/>
        </w:rPr>
        <w:t>. Enhancing transparency, regulatory frameworks, and investor protection will also build confidence in the markets.</w:t>
      </w:r>
    </w:p>
    <w:p w14:paraId="1789AC38" w14:textId="15F68AA2" w:rsidR="00626EF8" w:rsidRPr="00760CF6" w:rsidRDefault="00760CF6" w:rsidP="009D2C94">
      <w:pPr>
        <w:spacing w:line="276" w:lineRule="auto"/>
        <w:ind w:left="720" w:hanging="720"/>
        <w:jc w:val="both"/>
        <w:rPr>
          <w:rFonts w:ascii="Tahoma" w:hAnsi="Tahoma" w:cs="Tahoma"/>
          <w:sz w:val="24"/>
          <w:szCs w:val="24"/>
          <w:lang w:val="en-US"/>
        </w:rPr>
      </w:pPr>
      <w:r>
        <w:rPr>
          <w:rFonts w:ascii="Tahoma" w:hAnsi="Tahoma" w:cs="Tahoma"/>
          <w:sz w:val="24"/>
          <w:szCs w:val="24"/>
          <w:lang w:val="en-US"/>
        </w:rPr>
        <w:t>9.1.6</w:t>
      </w:r>
      <w:r>
        <w:rPr>
          <w:rFonts w:ascii="Tahoma" w:hAnsi="Tahoma" w:cs="Tahoma"/>
          <w:sz w:val="24"/>
          <w:szCs w:val="24"/>
          <w:lang w:val="en-US"/>
        </w:rPr>
        <w:tab/>
      </w:r>
      <w:r w:rsidR="00626EF8" w:rsidRPr="00760CF6">
        <w:rPr>
          <w:rFonts w:ascii="Tahoma" w:hAnsi="Tahoma" w:cs="Tahoma"/>
          <w:b/>
          <w:bCs/>
          <w:sz w:val="24"/>
          <w:szCs w:val="24"/>
          <w:lang w:val="en-US"/>
        </w:rPr>
        <w:t>Strengthening Trade Relations</w:t>
      </w:r>
      <w:r w:rsidR="00626EF8" w:rsidRPr="00760CF6">
        <w:rPr>
          <w:rFonts w:ascii="Tahoma" w:hAnsi="Tahoma" w:cs="Tahoma"/>
          <w:sz w:val="24"/>
          <w:szCs w:val="24"/>
          <w:lang w:val="en-US"/>
        </w:rPr>
        <w:t xml:space="preserve">: </w:t>
      </w:r>
      <w:r>
        <w:rPr>
          <w:rFonts w:ascii="Tahoma" w:hAnsi="Tahoma" w:cs="Tahoma"/>
          <w:sz w:val="24"/>
          <w:szCs w:val="24"/>
          <w:lang w:val="en-US"/>
        </w:rPr>
        <w:t>The country</w:t>
      </w:r>
      <w:r w:rsidR="00626EF8" w:rsidRPr="00760CF6">
        <w:rPr>
          <w:rFonts w:ascii="Tahoma" w:hAnsi="Tahoma" w:cs="Tahoma"/>
          <w:sz w:val="24"/>
          <w:szCs w:val="24"/>
          <w:lang w:val="en-US"/>
        </w:rPr>
        <w:t xml:space="preserve"> should capitalize on regional and international trade opportunities by actively engaging in trade agreements that open up new markets for its goods and services. Strengthening relations with key trading partners, especially within the Southern African Development Community (SADC) and the African Continental Free Trade Area (AfCFTA), will help drive export growth and integration into global value chains.</w:t>
      </w:r>
    </w:p>
    <w:p w14:paraId="17A0AAFA" w14:textId="77777777" w:rsidR="00626EF8" w:rsidRPr="00626EF8" w:rsidRDefault="00626EF8" w:rsidP="00626EF8">
      <w:pPr>
        <w:pStyle w:val="ListParagraph"/>
        <w:ind w:hanging="720"/>
        <w:rPr>
          <w:rFonts w:ascii="Tahoma" w:hAnsi="Tahoma" w:cs="Tahoma"/>
          <w:kern w:val="0"/>
          <w:sz w:val="24"/>
          <w:szCs w:val="24"/>
          <w:lang w:val="en-GB" w:eastAsia="en-ZW"/>
        </w:rPr>
      </w:pPr>
    </w:p>
    <w:p w14:paraId="4BC05DDC" w14:textId="77777777" w:rsidR="0007507E" w:rsidRDefault="0007507E" w:rsidP="00626EF8">
      <w:pPr>
        <w:pStyle w:val="ListParagraph"/>
        <w:ind w:hanging="720"/>
        <w:jc w:val="both"/>
        <w:rPr>
          <w:rFonts w:ascii="Tahoma" w:hAnsi="Tahoma" w:cs="Tahoma"/>
          <w:sz w:val="24"/>
          <w:szCs w:val="24"/>
          <w:lang w:val="en-US"/>
        </w:rPr>
      </w:pPr>
    </w:p>
    <w:p w14:paraId="2DDD8D0D" w14:textId="77777777" w:rsidR="0007507E" w:rsidRDefault="0007507E" w:rsidP="003C7C0E">
      <w:pPr>
        <w:pStyle w:val="ListParagraph"/>
        <w:ind w:left="0"/>
        <w:jc w:val="both"/>
        <w:rPr>
          <w:rFonts w:ascii="Tahoma" w:hAnsi="Tahoma" w:cs="Tahoma"/>
          <w:sz w:val="24"/>
          <w:szCs w:val="24"/>
          <w:lang w:val="en-US"/>
        </w:rPr>
      </w:pPr>
    </w:p>
    <w:p w14:paraId="14BCE1E8" w14:textId="77777777" w:rsidR="00760CF6" w:rsidRDefault="00760CF6" w:rsidP="003C7C0E">
      <w:pPr>
        <w:pStyle w:val="ListParagraph"/>
        <w:ind w:left="0"/>
        <w:jc w:val="both"/>
        <w:rPr>
          <w:rFonts w:ascii="Tahoma" w:hAnsi="Tahoma" w:cs="Tahoma"/>
          <w:sz w:val="24"/>
          <w:szCs w:val="24"/>
          <w:lang w:val="en-US"/>
        </w:rPr>
      </w:pPr>
    </w:p>
    <w:p w14:paraId="635EE4B0" w14:textId="77777777" w:rsidR="00760CF6" w:rsidRDefault="00760CF6" w:rsidP="003C7C0E">
      <w:pPr>
        <w:pStyle w:val="ListParagraph"/>
        <w:ind w:left="0"/>
        <w:jc w:val="both"/>
        <w:rPr>
          <w:rFonts w:ascii="Tahoma" w:hAnsi="Tahoma" w:cs="Tahoma"/>
          <w:sz w:val="24"/>
          <w:szCs w:val="24"/>
          <w:lang w:val="en-US"/>
        </w:rPr>
      </w:pPr>
    </w:p>
    <w:p w14:paraId="0E0C34B7" w14:textId="77777777" w:rsidR="00760CF6" w:rsidRDefault="00760CF6" w:rsidP="003C7C0E">
      <w:pPr>
        <w:pStyle w:val="ListParagraph"/>
        <w:ind w:left="0"/>
        <w:jc w:val="both"/>
        <w:rPr>
          <w:rFonts w:ascii="Tahoma" w:hAnsi="Tahoma" w:cs="Tahoma"/>
          <w:sz w:val="24"/>
          <w:szCs w:val="24"/>
          <w:lang w:val="en-US"/>
        </w:rPr>
      </w:pPr>
    </w:p>
    <w:p w14:paraId="4C43F7D9" w14:textId="77777777" w:rsidR="00760CF6" w:rsidRDefault="00760CF6" w:rsidP="003C7C0E">
      <w:pPr>
        <w:pStyle w:val="ListParagraph"/>
        <w:ind w:left="0"/>
        <w:jc w:val="both"/>
        <w:rPr>
          <w:rFonts w:ascii="Tahoma" w:hAnsi="Tahoma" w:cs="Tahoma"/>
          <w:sz w:val="24"/>
          <w:szCs w:val="24"/>
          <w:lang w:val="en-US"/>
        </w:rPr>
      </w:pPr>
    </w:p>
    <w:p w14:paraId="48F78133" w14:textId="77777777" w:rsidR="00760CF6" w:rsidRDefault="00760CF6" w:rsidP="003C7C0E">
      <w:pPr>
        <w:pStyle w:val="ListParagraph"/>
        <w:ind w:left="0"/>
        <w:jc w:val="both"/>
        <w:rPr>
          <w:rFonts w:ascii="Tahoma" w:hAnsi="Tahoma" w:cs="Tahoma"/>
          <w:sz w:val="24"/>
          <w:szCs w:val="24"/>
          <w:lang w:val="en-US"/>
        </w:rPr>
      </w:pPr>
    </w:p>
    <w:p w14:paraId="2099D217" w14:textId="77777777" w:rsidR="00760CF6" w:rsidRDefault="00760CF6" w:rsidP="003C7C0E">
      <w:pPr>
        <w:pStyle w:val="ListParagraph"/>
        <w:ind w:left="0"/>
        <w:jc w:val="both"/>
        <w:rPr>
          <w:rFonts w:ascii="Tahoma" w:hAnsi="Tahoma" w:cs="Tahoma"/>
          <w:sz w:val="24"/>
          <w:szCs w:val="24"/>
          <w:lang w:val="en-US"/>
        </w:rPr>
      </w:pPr>
    </w:p>
    <w:p w14:paraId="5805BF5F" w14:textId="77777777" w:rsidR="00760CF6" w:rsidRDefault="00760CF6" w:rsidP="003C7C0E">
      <w:pPr>
        <w:pStyle w:val="ListParagraph"/>
        <w:ind w:left="0"/>
        <w:jc w:val="both"/>
        <w:rPr>
          <w:rFonts w:ascii="Tahoma" w:hAnsi="Tahoma" w:cs="Tahoma"/>
          <w:sz w:val="24"/>
          <w:szCs w:val="24"/>
          <w:lang w:val="en-US"/>
        </w:rPr>
      </w:pPr>
    </w:p>
    <w:p w14:paraId="000D3488" w14:textId="77777777" w:rsidR="00760CF6" w:rsidRDefault="00760CF6" w:rsidP="003C7C0E">
      <w:pPr>
        <w:pStyle w:val="ListParagraph"/>
        <w:ind w:left="0"/>
        <w:jc w:val="both"/>
        <w:rPr>
          <w:rFonts w:ascii="Tahoma" w:hAnsi="Tahoma" w:cs="Tahoma"/>
          <w:sz w:val="24"/>
          <w:szCs w:val="24"/>
          <w:lang w:val="en-US"/>
        </w:rPr>
      </w:pPr>
    </w:p>
    <w:p w14:paraId="22373D4F" w14:textId="77777777" w:rsidR="00760CF6" w:rsidRDefault="00760CF6" w:rsidP="003C7C0E">
      <w:pPr>
        <w:pStyle w:val="ListParagraph"/>
        <w:ind w:left="0"/>
        <w:jc w:val="both"/>
        <w:rPr>
          <w:rFonts w:ascii="Tahoma" w:hAnsi="Tahoma" w:cs="Tahoma"/>
          <w:sz w:val="24"/>
          <w:szCs w:val="24"/>
          <w:lang w:val="en-US"/>
        </w:rPr>
      </w:pPr>
    </w:p>
    <w:p w14:paraId="1260BAF6" w14:textId="77777777" w:rsidR="00760CF6" w:rsidRDefault="00760CF6" w:rsidP="003C7C0E">
      <w:pPr>
        <w:pStyle w:val="ListParagraph"/>
        <w:ind w:left="0"/>
        <w:jc w:val="both"/>
        <w:rPr>
          <w:rFonts w:ascii="Tahoma" w:hAnsi="Tahoma" w:cs="Tahoma"/>
          <w:sz w:val="24"/>
          <w:szCs w:val="24"/>
          <w:lang w:val="en-US"/>
        </w:rPr>
      </w:pPr>
    </w:p>
    <w:p w14:paraId="6A6D7DF7" w14:textId="77777777" w:rsidR="00760CF6" w:rsidRDefault="00760CF6" w:rsidP="003C7C0E">
      <w:pPr>
        <w:pStyle w:val="ListParagraph"/>
        <w:ind w:left="0"/>
        <w:jc w:val="both"/>
        <w:rPr>
          <w:rFonts w:ascii="Tahoma" w:hAnsi="Tahoma" w:cs="Tahoma"/>
          <w:sz w:val="24"/>
          <w:szCs w:val="24"/>
          <w:lang w:val="en-US"/>
        </w:rPr>
      </w:pPr>
    </w:p>
    <w:p w14:paraId="2778F42E" w14:textId="77777777" w:rsidR="002B637D" w:rsidRDefault="003C7C0E" w:rsidP="009D2C94">
      <w:pPr>
        <w:pStyle w:val="Heading1"/>
        <w:spacing w:after="240"/>
        <w:jc w:val="both"/>
      </w:pPr>
      <w:bookmarkStart w:id="62" w:name="_Toc175829623"/>
      <w:r>
        <w:t>10.0 References</w:t>
      </w:r>
      <w:bookmarkEnd w:id="62"/>
    </w:p>
    <w:p w14:paraId="663C54FC"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IMF. (2024). </w:t>
      </w:r>
      <w:r w:rsidRPr="00EE5E37">
        <w:rPr>
          <w:rFonts w:ascii="Tahoma" w:hAnsi="Tahoma" w:cs="Tahoma"/>
          <w:i/>
          <w:iCs/>
          <w:noProof/>
          <w:sz w:val="24"/>
          <w:szCs w:val="24"/>
        </w:rPr>
        <w:t>World Economic Outlook July 2024.</w:t>
      </w:r>
      <w:r w:rsidRPr="00EE5E37">
        <w:rPr>
          <w:rFonts w:ascii="Tahoma" w:hAnsi="Tahoma" w:cs="Tahoma"/>
          <w:noProof/>
          <w:sz w:val="24"/>
          <w:szCs w:val="24"/>
        </w:rPr>
        <w:t xml:space="preserve"> International Monetary Fund.</w:t>
      </w:r>
    </w:p>
    <w:p w14:paraId="3395444E"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MoFED&amp;IP. (2024). </w:t>
      </w:r>
      <w:r w:rsidRPr="00EE5E37">
        <w:rPr>
          <w:rFonts w:ascii="Tahoma" w:hAnsi="Tahoma" w:cs="Tahoma"/>
          <w:i/>
          <w:iCs/>
          <w:noProof/>
          <w:sz w:val="24"/>
          <w:szCs w:val="24"/>
        </w:rPr>
        <w:t>2024 Mid-Term Budget and Economic Review.</w:t>
      </w:r>
      <w:r w:rsidRPr="00EE5E37">
        <w:rPr>
          <w:rFonts w:ascii="Tahoma" w:hAnsi="Tahoma" w:cs="Tahoma"/>
          <w:noProof/>
          <w:sz w:val="24"/>
          <w:szCs w:val="24"/>
        </w:rPr>
        <w:t xml:space="preserve"> Ministry of Finance, Economic Development and Investment Promotion.</w:t>
      </w:r>
    </w:p>
    <w:p w14:paraId="006A2860"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RBZ. (2024). </w:t>
      </w:r>
      <w:r w:rsidRPr="00EE5E37">
        <w:rPr>
          <w:rFonts w:ascii="Tahoma" w:hAnsi="Tahoma" w:cs="Tahoma"/>
          <w:i/>
          <w:iCs/>
          <w:noProof/>
          <w:sz w:val="24"/>
          <w:szCs w:val="24"/>
        </w:rPr>
        <w:t>Exchange Rates</w:t>
      </w:r>
      <w:r w:rsidRPr="00EE5E37">
        <w:rPr>
          <w:rFonts w:ascii="Tahoma" w:hAnsi="Tahoma" w:cs="Tahoma"/>
          <w:noProof/>
          <w:sz w:val="24"/>
          <w:szCs w:val="24"/>
        </w:rPr>
        <w:t>. Retrieved from Reserve Bank of Zimbabwe: https://www.rbz.co.zw/index.php/research/markets/exchange-rates</w:t>
      </w:r>
    </w:p>
    <w:p w14:paraId="039B9BA8"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Reserve Bank of Zimbabwe. (2024). </w:t>
      </w:r>
      <w:r w:rsidRPr="00EE5E37">
        <w:rPr>
          <w:rFonts w:ascii="Tahoma" w:hAnsi="Tahoma" w:cs="Tahoma"/>
          <w:i/>
          <w:iCs/>
          <w:noProof/>
          <w:sz w:val="24"/>
          <w:szCs w:val="24"/>
        </w:rPr>
        <w:t>Publications</w:t>
      </w:r>
      <w:r w:rsidRPr="00EE5E37">
        <w:rPr>
          <w:rFonts w:ascii="Tahoma" w:hAnsi="Tahoma" w:cs="Tahoma"/>
          <w:noProof/>
          <w:sz w:val="24"/>
          <w:szCs w:val="24"/>
        </w:rPr>
        <w:t>. Retrieved from Reserve bank of Zimbabwe: https://www.rbz.co.zw/index.php/publications-notices/publications/weekly-economic-review</w:t>
      </w:r>
    </w:p>
    <w:p w14:paraId="03AF3907"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Trading Economics. (2024). </w:t>
      </w:r>
      <w:r w:rsidRPr="00EE5E37">
        <w:rPr>
          <w:rFonts w:ascii="Tahoma" w:hAnsi="Tahoma" w:cs="Tahoma"/>
          <w:i/>
          <w:iCs/>
          <w:noProof/>
          <w:sz w:val="24"/>
          <w:szCs w:val="24"/>
        </w:rPr>
        <w:t>Commodities</w:t>
      </w:r>
      <w:r w:rsidRPr="00EE5E37">
        <w:rPr>
          <w:rFonts w:ascii="Tahoma" w:hAnsi="Tahoma" w:cs="Tahoma"/>
          <w:noProof/>
          <w:sz w:val="24"/>
          <w:szCs w:val="24"/>
        </w:rPr>
        <w:t>. Retrieved from Trading Economics: https://tradingeconomics.com/commodity/crude-oil</w:t>
      </w:r>
    </w:p>
    <w:p w14:paraId="742B7AF8"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VFEX. (2024). </w:t>
      </w:r>
      <w:r w:rsidRPr="00EE5E37">
        <w:rPr>
          <w:rFonts w:ascii="Tahoma" w:hAnsi="Tahoma" w:cs="Tahoma"/>
          <w:i/>
          <w:iCs/>
          <w:noProof/>
          <w:sz w:val="24"/>
          <w:szCs w:val="24"/>
        </w:rPr>
        <w:t>Main Dashboard</w:t>
      </w:r>
      <w:r w:rsidRPr="00EE5E37">
        <w:rPr>
          <w:rFonts w:ascii="Tahoma" w:hAnsi="Tahoma" w:cs="Tahoma"/>
          <w:noProof/>
          <w:sz w:val="24"/>
          <w:szCs w:val="24"/>
        </w:rPr>
        <w:t>. Retrieved from Victoria Falls Stock Exchange: https://www.vfex.exchange/</w:t>
      </w:r>
    </w:p>
    <w:p w14:paraId="43196A37"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World Bank. (2024). </w:t>
      </w:r>
      <w:r w:rsidRPr="00EE5E37">
        <w:rPr>
          <w:rFonts w:ascii="Tahoma" w:hAnsi="Tahoma" w:cs="Tahoma"/>
          <w:i/>
          <w:iCs/>
          <w:noProof/>
          <w:sz w:val="24"/>
          <w:szCs w:val="24"/>
        </w:rPr>
        <w:t>Global Monthly Overview July 2024.</w:t>
      </w:r>
      <w:r w:rsidRPr="00EE5E37">
        <w:rPr>
          <w:rFonts w:ascii="Tahoma" w:hAnsi="Tahoma" w:cs="Tahoma"/>
          <w:noProof/>
          <w:sz w:val="24"/>
          <w:szCs w:val="24"/>
        </w:rPr>
        <w:t xml:space="preserve"> The World Bank Group.</w:t>
      </w:r>
    </w:p>
    <w:p w14:paraId="410C9A92"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World Economic Forum. (2014). </w:t>
      </w:r>
      <w:r w:rsidRPr="00EE5E37">
        <w:rPr>
          <w:rFonts w:ascii="Tahoma" w:hAnsi="Tahoma" w:cs="Tahoma"/>
          <w:i/>
          <w:iCs/>
          <w:noProof/>
          <w:sz w:val="24"/>
          <w:szCs w:val="24"/>
        </w:rPr>
        <w:t>Commodity Prices</w:t>
      </w:r>
      <w:r w:rsidRPr="00EE5E37">
        <w:rPr>
          <w:rFonts w:ascii="Tahoma" w:hAnsi="Tahoma" w:cs="Tahoma"/>
          <w:noProof/>
          <w:sz w:val="24"/>
          <w:szCs w:val="24"/>
        </w:rPr>
        <w:t>. Retrieved from World Economic Forum: https://www.weforum.org/agenda/2014/12/why-are-commodity-prices-falling/</w:t>
      </w:r>
    </w:p>
    <w:p w14:paraId="1B929DAC"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Youness, M. (2022). The Impact of Political Uncertainty on Currency Exchange Rate. </w:t>
      </w:r>
      <w:r w:rsidRPr="00EE5E37">
        <w:rPr>
          <w:rFonts w:ascii="Tahoma" w:hAnsi="Tahoma" w:cs="Tahoma"/>
          <w:i/>
          <w:iCs/>
          <w:noProof/>
          <w:sz w:val="24"/>
          <w:szCs w:val="24"/>
        </w:rPr>
        <w:t>Technium Social Science Journal. Vol 28 414-424</w:t>
      </w:r>
      <w:r w:rsidRPr="00EE5E37">
        <w:rPr>
          <w:rFonts w:ascii="Tahoma" w:hAnsi="Tahoma" w:cs="Tahoma"/>
          <w:noProof/>
          <w:sz w:val="24"/>
          <w:szCs w:val="24"/>
        </w:rPr>
        <w:t>.</w:t>
      </w:r>
    </w:p>
    <w:p w14:paraId="62B77FA9"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ZimStat. (2024). </w:t>
      </w:r>
      <w:r w:rsidRPr="00EE5E37">
        <w:rPr>
          <w:rFonts w:ascii="Tahoma" w:hAnsi="Tahoma" w:cs="Tahoma"/>
          <w:i/>
          <w:iCs/>
          <w:noProof/>
          <w:sz w:val="24"/>
          <w:szCs w:val="24"/>
        </w:rPr>
        <w:t>Inflation Rates</w:t>
      </w:r>
      <w:r w:rsidRPr="00EE5E37">
        <w:rPr>
          <w:rFonts w:ascii="Tahoma" w:hAnsi="Tahoma" w:cs="Tahoma"/>
          <w:noProof/>
          <w:sz w:val="24"/>
          <w:szCs w:val="24"/>
        </w:rPr>
        <w:t>. Retrieved from Zimbabwe Statistics Agency: https://www.zimstat.co.zw/</w:t>
      </w:r>
    </w:p>
    <w:p w14:paraId="34A96EBB" w14:textId="77777777" w:rsidR="00EE5E37" w:rsidRPr="00EE5E37" w:rsidRDefault="00EE5E37" w:rsidP="009D2C94">
      <w:pPr>
        <w:pStyle w:val="Bibliography"/>
        <w:ind w:left="720" w:hanging="720"/>
        <w:jc w:val="both"/>
        <w:rPr>
          <w:rFonts w:ascii="Tahoma" w:hAnsi="Tahoma" w:cs="Tahoma"/>
          <w:noProof/>
          <w:sz w:val="24"/>
          <w:szCs w:val="24"/>
        </w:rPr>
      </w:pPr>
      <w:r w:rsidRPr="00EE5E37">
        <w:rPr>
          <w:rFonts w:ascii="Tahoma" w:hAnsi="Tahoma" w:cs="Tahoma"/>
          <w:noProof/>
          <w:sz w:val="24"/>
          <w:szCs w:val="24"/>
        </w:rPr>
        <w:t xml:space="preserve">ZSE. (2024). </w:t>
      </w:r>
      <w:r w:rsidRPr="00EE5E37">
        <w:rPr>
          <w:rFonts w:ascii="Tahoma" w:hAnsi="Tahoma" w:cs="Tahoma"/>
          <w:i/>
          <w:iCs/>
          <w:noProof/>
          <w:sz w:val="24"/>
          <w:szCs w:val="24"/>
        </w:rPr>
        <w:t>Main Dashboard</w:t>
      </w:r>
      <w:r w:rsidRPr="00EE5E37">
        <w:rPr>
          <w:rFonts w:ascii="Tahoma" w:hAnsi="Tahoma" w:cs="Tahoma"/>
          <w:noProof/>
          <w:sz w:val="24"/>
          <w:szCs w:val="24"/>
        </w:rPr>
        <w:t>. Retrieved from Zimbabwe Stock Exchange: https://www.zse.co.zw/</w:t>
      </w:r>
    </w:p>
    <w:p w14:paraId="6309CAD5" w14:textId="77777777" w:rsidR="00EE5E37" w:rsidRDefault="00EE5E37" w:rsidP="00EE5E37"/>
    <w:p w14:paraId="09B7317D" w14:textId="77777777" w:rsidR="002B637D" w:rsidRDefault="002B637D" w:rsidP="006F66BD">
      <w:pPr>
        <w:pStyle w:val="Bibliography"/>
        <w:ind w:left="1440" w:hanging="720"/>
        <w:rPr>
          <w:rFonts w:ascii="Tahoma" w:hAnsi="Tahoma" w:cs="Tahoma"/>
          <w:noProof/>
          <w:sz w:val="24"/>
          <w:szCs w:val="24"/>
        </w:rPr>
      </w:pPr>
    </w:p>
    <w:p w14:paraId="53F22F4C" w14:textId="77777777" w:rsidR="00EF3AD6" w:rsidRPr="0008009F" w:rsidRDefault="0008009F" w:rsidP="00B54741">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sectPr w:rsidR="00EF3AD6" w:rsidRPr="0008009F" w:rsidSect="006D22C2">
      <w:head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0A63F" w14:textId="77777777" w:rsidR="005B5D31" w:rsidRDefault="005B5D31" w:rsidP="00654F03">
      <w:pPr>
        <w:spacing w:after="0" w:line="240" w:lineRule="auto"/>
      </w:pPr>
      <w:r>
        <w:separator/>
      </w:r>
    </w:p>
    <w:p w14:paraId="7B1684F1" w14:textId="77777777" w:rsidR="005B5D31" w:rsidRDefault="005B5D31"/>
    <w:p w14:paraId="29F70B63" w14:textId="77777777" w:rsidR="005B5D31" w:rsidRDefault="005B5D31" w:rsidP="00D751E8"/>
  </w:endnote>
  <w:endnote w:type="continuationSeparator" w:id="0">
    <w:p w14:paraId="17909172" w14:textId="77777777" w:rsidR="005B5D31" w:rsidRDefault="005B5D31" w:rsidP="00654F03">
      <w:pPr>
        <w:spacing w:after="0" w:line="240" w:lineRule="auto"/>
      </w:pPr>
      <w:r>
        <w:continuationSeparator/>
      </w:r>
    </w:p>
    <w:p w14:paraId="20288EEB" w14:textId="77777777" w:rsidR="005B5D31" w:rsidRDefault="005B5D31"/>
    <w:p w14:paraId="4EFF924E" w14:textId="77777777" w:rsidR="005B5D31" w:rsidRDefault="005B5D31"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966D0" w14:textId="77777777" w:rsidR="00DA2C89" w:rsidRDefault="00DA2C89" w:rsidP="00B357AC">
    <w:pPr>
      <w:pStyle w:val="Footer"/>
      <w:jc w:val="center"/>
    </w:pPr>
    <w:r>
      <w:t xml:space="preserve">Page | </w:t>
    </w:r>
    <w:r>
      <w:fldChar w:fldCharType="begin"/>
    </w:r>
    <w:r>
      <w:instrText xml:space="preserve"> PAGE   \* MERGEFORMAT </w:instrText>
    </w:r>
    <w:r>
      <w:fldChar w:fldCharType="separate"/>
    </w:r>
    <w:r w:rsidR="007E5259">
      <w:rPr>
        <w:noProof/>
      </w:rPr>
      <w:t>10</w:t>
    </w:r>
    <w:r>
      <w:rPr>
        <w:noProof/>
      </w:rPr>
      <w:fldChar w:fldCharType="end"/>
    </w:r>
    <w:r>
      <w:t xml:space="preserve"> </w:t>
    </w:r>
  </w:p>
  <w:p w14:paraId="2239F73B" w14:textId="77777777" w:rsidR="00DA2C89" w:rsidRDefault="00DA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1CCBE" w14:textId="77777777" w:rsidR="005B5D31" w:rsidRDefault="005B5D31" w:rsidP="00654F03">
      <w:pPr>
        <w:spacing w:after="0" w:line="240" w:lineRule="auto"/>
      </w:pPr>
      <w:r>
        <w:separator/>
      </w:r>
    </w:p>
    <w:p w14:paraId="55989A2C" w14:textId="77777777" w:rsidR="005B5D31" w:rsidRDefault="005B5D31"/>
    <w:p w14:paraId="5A5F5B48" w14:textId="77777777" w:rsidR="005B5D31" w:rsidRDefault="005B5D31" w:rsidP="00D751E8"/>
  </w:footnote>
  <w:footnote w:type="continuationSeparator" w:id="0">
    <w:p w14:paraId="357E8D02" w14:textId="77777777" w:rsidR="005B5D31" w:rsidRDefault="005B5D31" w:rsidP="00654F03">
      <w:pPr>
        <w:spacing w:after="0" w:line="240" w:lineRule="auto"/>
      </w:pPr>
      <w:r>
        <w:continuationSeparator/>
      </w:r>
    </w:p>
    <w:p w14:paraId="52F44F9B" w14:textId="77777777" w:rsidR="005B5D31" w:rsidRDefault="005B5D31"/>
    <w:p w14:paraId="019ECAE6" w14:textId="77777777" w:rsidR="005B5D31" w:rsidRDefault="005B5D31"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E4CDC" w14:textId="77777777" w:rsidR="00DA2C89" w:rsidRDefault="00DA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92871787">
    <w:abstractNumId w:val="4"/>
  </w:num>
  <w:num w:numId="2" w16cid:durableId="39523411">
    <w:abstractNumId w:val="5"/>
  </w:num>
  <w:num w:numId="3" w16cid:durableId="1824588592">
    <w:abstractNumId w:val="1"/>
  </w:num>
  <w:num w:numId="4" w16cid:durableId="2018339978">
    <w:abstractNumId w:val="2"/>
  </w:num>
  <w:num w:numId="5" w16cid:durableId="648166406">
    <w:abstractNumId w:val="3"/>
  </w:num>
  <w:num w:numId="6" w16cid:durableId="201637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1AB7"/>
    <w:rsid w:val="00003AB2"/>
    <w:rsid w:val="00004DDD"/>
    <w:rsid w:val="000063E5"/>
    <w:rsid w:val="00010C2D"/>
    <w:rsid w:val="000123EE"/>
    <w:rsid w:val="000129B7"/>
    <w:rsid w:val="00013442"/>
    <w:rsid w:val="0001510C"/>
    <w:rsid w:val="00022BFE"/>
    <w:rsid w:val="00026A42"/>
    <w:rsid w:val="0003098D"/>
    <w:rsid w:val="00030CEE"/>
    <w:rsid w:val="00031044"/>
    <w:rsid w:val="000312F5"/>
    <w:rsid w:val="000313AF"/>
    <w:rsid w:val="000317BB"/>
    <w:rsid w:val="00031E9A"/>
    <w:rsid w:val="0003407B"/>
    <w:rsid w:val="000346FD"/>
    <w:rsid w:val="0003672E"/>
    <w:rsid w:val="000376E5"/>
    <w:rsid w:val="0004125F"/>
    <w:rsid w:val="00041EA2"/>
    <w:rsid w:val="00043173"/>
    <w:rsid w:val="000469C1"/>
    <w:rsid w:val="00056BC8"/>
    <w:rsid w:val="00056C3C"/>
    <w:rsid w:val="00056CEF"/>
    <w:rsid w:val="0006371A"/>
    <w:rsid w:val="00064B59"/>
    <w:rsid w:val="00066B05"/>
    <w:rsid w:val="0007119B"/>
    <w:rsid w:val="000732CC"/>
    <w:rsid w:val="000735EE"/>
    <w:rsid w:val="00074C3E"/>
    <w:rsid w:val="0007507E"/>
    <w:rsid w:val="0008009F"/>
    <w:rsid w:val="00083ABE"/>
    <w:rsid w:val="0008600D"/>
    <w:rsid w:val="00086539"/>
    <w:rsid w:val="00086A1B"/>
    <w:rsid w:val="00087E0F"/>
    <w:rsid w:val="00090D37"/>
    <w:rsid w:val="00096221"/>
    <w:rsid w:val="000A2C99"/>
    <w:rsid w:val="000A50AA"/>
    <w:rsid w:val="000A5880"/>
    <w:rsid w:val="000B0C38"/>
    <w:rsid w:val="000B4023"/>
    <w:rsid w:val="000B622D"/>
    <w:rsid w:val="000B63CE"/>
    <w:rsid w:val="000B6AA5"/>
    <w:rsid w:val="000B790A"/>
    <w:rsid w:val="000C1657"/>
    <w:rsid w:val="000C29DA"/>
    <w:rsid w:val="000C2D96"/>
    <w:rsid w:val="000C447C"/>
    <w:rsid w:val="000D22EE"/>
    <w:rsid w:val="000D2543"/>
    <w:rsid w:val="000D4C34"/>
    <w:rsid w:val="000D5212"/>
    <w:rsid w:val="000E0195"/>
    <w:rsid w:val="000E0275"/>
    <w:rsid w:val="000E455D"/>
    <w:rsid w:val="000F316D"/>
    <w:rsid w:val="000F32A6"/>
    <w:rsid w:val="000F38C3"/>
    <w:rsid w:val="000F54F6"/>
    <w:rsid w:val="000F7929"/>
    <w:rsid w:val="000F7BEA"/>
    <w:rsid w:val="001016F9"/>
    <w:rsid w:val="00101BC7"/>
    <w:rsid w:val="00101D9E"/>
    <w:rsid w:val="001029E1"/>
    <w:rsid w:val="00103E4D"/>
    <w:rsid w:val="00104DFE"/>
    <w:rsid w:val="00106B15"/>
    <w:rsid w:val="00106B69"/>
    <w:rsid w:val="0011131C"/>
    <w:rsid w:val="00111B0D"/>
    <w:rsid w:val="0011335B"/>
    <w:rsid w:val="00115C8C"/>
    <w:rsid w:val="00117473"/>
    <w:rsid w:val="0012148A"/>
    <w:rsid w:val="001217A1"/>
    <w:rsid w:val="00132EAF"/>
    <w:rsid w:val="001354A1"/>
    <w:rsid w:val="00137BB3"/>
    <w:rsid w:val="00145C78"/>
    <w:rsid w:val="00146D0A"/>
    <w:rsid w:val="00146D2D"/>
    <w:rsid w:val="00150B6E"/>
    <w:rsid w:val="00152873"/>
    <w:rsid w:val="00160959"/>
    <w:rsid w:val="00161D6E"/>
    <w:rsid w:val="00165A7C"/>
    <w:rsid w:val="00170788"/>
    <w:rsid w:val="0017160E"/>
    <w:rsid w:val="00171A37"/>
    <w:rsid w:val="00172873"/>
    <w:rsid w:val="0017376E"/>
    <w:rsid w:val="00174CBF"/>
    <w:rsid w:val="00181085"/>
    <w:rsid w:val="001810AD"/>
    <w:rsid w:val="001840D4"/>
    <w:rsid w:val="00184FA3"/>
    <w:rsid w:val="0018530E"/>
    <w:rsid w:val="0018664B"/>
    <w:rsid w:val="00187582"/>
    <w:rsid w:val="00190FD1"/>
    <w:rsid w:val="00193B40"/>
    <w:rsid w:val="001946C3"/>
    <w:rsid w:val="001A0156"/>
    <w:rsid w:val="001A488A"/>
    <w:rsid w:val="001B3048"/>
    <w:rsid w:val="001B5A7B"/>
    <w:rsid w:val="001B5C7B"/>
    <w:rsid w:val="001C152E"/>
    <w:rsid w:val="001C160D"/>
    <w:rsid w:val="001C3F65"/>
    <w:rsid w:val="001C46C6"/>
    <w:rsid w:val="001C6200"/>
    <w:rsid w:val="001C6748"/>
    <w:rsid w:val="001E6283"/>
    <w:rsid w:val="001F1A94"/>
    <w:rsid w:val="001F2D81"/>
    <w:rsid w:val="002019B5"/>
    <w:rsid w:val="00206550"/>
    <w:rsid w:val="00211AC2"/>
    <w:rsid w:val="002120A6"/>
    <w:rsid w:val="00223152"/>
    <w:rsid w:val="00223F21"/>
    <w:rsid w:val="0023756F"/>
    <w:rsid w:val="00243665"/>
    <w:rsid w:val="00243C51"/>
    <w:rsid w:val="002448A6"/>
    <w:rsid w:val="00244E77"/>
    <w:rsid w:val="00245AD4"/>
    <w:rsid w:val="00246949"/>
    <w:rsid w:val="00247F83"/>
    <w:rsid w:val="002525BF"/>
    <w:rsid w:val="0025382A"/>
    <w:rsid w:val="00253FAC"/>
    <w:rsid w:val="00254DF0"/>
    <w:rsid w:val="0025517A"/>
    <w:rsid w:val="002555BE"/>
    <w:rsid w:val="002569B2"/>
    <w:rsid w:val="00265AEC"/>
    <w:rsid w:val="002668B7"/>
    <w:rsid w:val="00280519"/>
    <w:rsid w:val="00281635"/>
    <w:rsid w:val="00281EE3"/>
    <w:rsid w:val="00286562"/>
    <w:rsid w:val="00286DD4"/>
    <w:rsid w:val="00287F5F"/>
    <w:rsid w:val="00296FDF"/>
    <w:rsid w:val="002A3CAC"/>
    <w:rsid w:val="002B2FE8"/>
    <w:rsid w:val="002B6209"/>
    <w:rsid w:val="002B637D"/>
    <w:rsid w:val="002B7529"/>
    <w:rsid w:val="002B7F4B"/>
    <w:rsid w:val="002C46A0"/>
    <w:rsid w:val="002C6020"/>
    <w:rsid w:val="002D3BAB"/>
    <w:rsid w:val="002D42BB"/>
    <w:rsid w:val="002D4758"/>
    <w:rsid w:val="002D478F"/>
    <w:rsid w:val="002E1398"/>
    <w:rsid w:val="002E3ED2"/>
    <w:rsid w:val="002E6010"/>
    <w:rsid w:val="002F1AD6"/>
    <w:rsid w:val="002F3502"/>
    <w:rsid w:val="00300BB3"/>
    <w:rsid w:val="003015C7"/>
    <w:rsid w:val="00307F4A"/>
    <w:rsid w:val="0031015F"/>
    <w:rsid w:val="00313C3E"/>
    <w:rsid w:val="0031428C"/>
    <w:rsid w:val="00314D22"/>
    <w:rsid w:val="00320F64"/>
    <w:rsid w:val="00324047"/>
    <w:rsid w:val="00325ECA"/>
    <w:rsid w:val="003270C4"/>
    <w:rsid w:val="00331834"/>
    <w:rsid w:val="00332F5E"/>
    <w:rsid w:val="00335FD6"/>
    <w:rsid w:val="00352C0D"/>
    <w:rsid w:val="00354CAD"/>
    <w:rsid w:val="00360073"/>
    <w:rsid w:val="00362187"/>
    <w:rsid w:val="003642DC"/>
    <w:rsid w:val="00364947"/>
    <w:rsid w:val="003756E7"/>
    <w:rsid w:val="00377FEB"/>
    <w:rsid w:val="00382F7E"/>
    <w:rsid w:val="00385A53"/>
    <w:rsid w:val="00386A89"/>
    <w:rsid w:val="00392F38"/>
    <w:rsid w:val="003944CA"/>
    <w:rsid w:val="00395F28"/>
    <w:rsid w:val="003976F2"/>
    <w:rsid w:val="003A5E3C"/>
    <w:rsid w:val="003B500E"/>
    <w:rsid w:val="003C1D2F"/>
    <w:rsid w:val="003C31F7"/>
    <w:rsid w:val="003C3CA1"/>
    <w:rsid w:val="003C5DC8"/>
    <w:rsid w:val="003C7C0E"/>
    <w:rsid w:val="003D080C"/>
    <w:rsid w:val="003D0C8C"/>
    <w:rsid w:val="003D1B81"/>
    <w:rsid w:val="003D3E43"/>
    <w:rsid w:val="003D7035"/>
    <w:rsid w:val="003D7E2A"/>
    <w:rsid w:val="003E051C"/>
    <w:rsid w:val="003E089D"/>
    <w:rsid w:val="003E2138"/>
    <w:rsid w:val="003E301F"/>
    <w:rsid w:val="003F123A"/>
    <w:rsid w:val="003F1F46"/>
    <w:rsid w:val="0040072A"/>
    <w:rsid w:val="004052E4"/>
    <w:rsid w:val="00405F3C"/>
    <w:rsid w:val="00410952"/>
    <w:rsid w:val="0041581E"/>
    <w:rsid w:val="004160F1"/>
    <w:rsid w:val="00417DAD"/>
    <w:rsid w:val="00421D20"/>
    <w:rsid w:val="00424F97"/>
    <w:rsid w:val="00427C53"/>
    <w:rsid w:val="00427CDA"/>
    <w:rsid w:val="00430808"/>
    <w:rsid w:val="00431F13"/>
    <w:rsid w:val="00437E4E"/>
    <w:rsid w:val="00442387"/>
    <w:rsid w:val="0044325B"/>
    <w:rsid w:val="00443D80"/>
    <w:rsid w:val="00445ADE"/>
    <w:rsid w:val="00453CD8"/>
    <w:rsid w:val="004542F6"/>
    <w:rsid w:val="00455958"/>
    <w:rsid w:val="00455BB9"/>
    <w:rsid w:val="004563C8"/>
    <w:rsid w:val="00460D78"/>
    <w:rsid w:val="004624DA"/>
    <w:rsid w:val="00466CF2"/>
    <w:rsid w:val="00467E7F"/>
    <w:rsid w:val="0047159F"/>
    <w:rsid w:val="00471A68"/>
    <w:rsid w:val="00474E3B"/>
    <w:rsid w:val="004761DA"/>
    <w:rsid w:val="00476766"/>
    <w:rsid w:val="00477E68"/>
    <w:rsid w:val="0048248B"/>
    <w:rsid w:val="0048263C"/>
    <w:rsid w:val="0048527C"/>
    <w:rsid w:val="00485C5B"/>
    <w:rsid w:val="0049025F"/>
    <w:rsid w:val="00491236"/>
    <w:rsid w:val="004914BB"/>
    <w:rsid w:val="00492502"/>
    <w:rsid w:val="00494824"/>
    <w:rsid w:val="00495C20"/>
    <w:rsid w:val="00496A39"/>
    <w:rsid w:val="004A636E"/>
    <w:rsid w:val="004B15EE"/>
    <w:rsid w:val="004B3C36"/>
    <w:rsid w:val="004C5EBF"/>
    <w:rsid w:val="004C7E36"/>
    <w:rsid w:val="004D2836"/>
    <w:rsid w:val="004D32BD"/>
    <w:rsid w:val="004D4E48"/>
    <w:rsid w:val="004D577F"/>
    <w:rsid w:val="004E5ABD"/>
    <w:rsid w:val="004E5DF5"/>
    <w:rsid w:val="004E71C0"/>
    <w:rsid w:val="004F153F"/>
    <w:rsid w:val="004F4308"/>
    <w:rsid w:val="004F680D"/>
    <w:rsid w:val="00510A42"/>
    <w:rsid w:val="0051154E"/>
    <w:rsid w:val="005135DD"/>
    <w:rsid w:val="00514497"/>
    <w:rsid w:val="00515620"/>
    <w:rsid w:val="00516FE0"/>
    <w:rsid w:val="00525461"/>
    <w:rsid w:val="00530765"/>
    <w:rsid w:val="00530EE9"/>
    <w:rsid w:val="00531A3E"/>
    <w:rsid w:val="00535D08"/>
    <w:rsid w:val="00543B7F"/>
    <w:rsid w:val="00546CD8"/>
    <w:rsid w:val="00550A4C"/>
    <w:rsid w:val="00550C96"/>
    <w:rsid w:val="00555C23"/>
    <w:rsid w:val="00562318"/>
    <w:rsid w:val="005632D6"/>
    <w:rsid w:val="00563B95"/>
    <w:rsid w:val="005645F7"/>
    <w:rsid w:val="00564B53"/>
    <w:rsid w:val="005652FF"/>
    <w:rsid w:val="00567040"/>
    <w:rsid w:val="0056797E"/>
    <w:rsid w:val="005708CC"/>
    <w:rsid w:val="00572287"/>
    <w:rsid w:val="0057438A"/>
    <w:rsid w:val="0057611D"/>
    <w:rsid w:val="00577520"/>
    <w:rsid w:val="005833C4"/>
    <w:rsid w:val="00594BC4"/>
    <w:rsid w:val="00595E97"/>
    <w:rsid w:val="00596876"/>
    <w:rsid w:val="00597BF2"/>
    <w:rsid w:val="005A041F"/>
    <w:rsid w:val="005A05DE"/>
    <w:rsid w:val="005A1CCE"/>
    <w:rsid w:val="005A42D0"/>
    <w:rsid w:val="005A44FC"/>
    <w:rsid w:val="005A77BC"/>
    <w:rsid w:val="005A7E05"/>
    <w:rsid w:val="005B491C"/>
    <w:rsid w:val="005B5D31"/>
    <w:rsid w:val="005B67F0"/>
    <w:rsid w:val="005C07A4"/>
    <w:rsid w:val="005C14E0"/>
    <w:rsid w:val="005C2848"/>
    <w:rsid w:val="005C6375"/>
    <w:rsid w:val="005D1A74"/>
    <w:rsid w:val="005D76CA"/>
    <w:rsid w:val="005E45D1"/>
    <w:rsid w:val="005E7FCC"/>
    <w:rsid w:val="005F16B4"/>
    <w:rsid w:val="005F2050"/>
    <w:rsid w:val="005F30E0"/>
    <w:rsid w:val="005F45A5"/>
    <w:rsid w:val="005F4E8D"/>
    <w:rsid w:val="005F5AF8"/>
    <w:rsid w:val="005F76C6"/>
    <w:rsid w:val="00601473"/>
    <w:rsid w:val="00601F9E"/>
    <w:rsid w:val="006046B2"/>
    <w:rsid w:val="00610CF9"/>
    <w:rsid w:val="00615F4C"/>
    <w:rsid w:val="0062024E"/>
    <w:rsid w:val="00621AD9"/>
    <w:rsid w:val="00623F3A"/>
    <w:rsid w:val="00624B94"/>
    <w:rsid w:val="006258C5"/>
    <w:rsid w:val="006266B3"/>
    <w:rsid w:val="00626EF8"/>
    <w:rsid w:val="006271AB"/>
    <w:rsid w:val="0063529F"/>
    <w:rsid w:val="00636A68"/>
    <w:rsid w:val="00637AE0"/>
    <w:rsid w:val="00642C66"/>
    <w:rsid w:val="0064604B"/>
    <w:rsid w:val="00647E48"/>
    <w:rsid w:val="00647FF8"/>
    <w:rsid w:val="006503EF"/>
    <w:rsid w:val="00653B58"/>
    <w:rsid w:val="00654F03"/>
    <w:rsid w:val="00656EBE"/>
    <w:rsid w:val="0065787E"/>
    <w:rsid w:val="00660AE3"/>
    <w:rsid w:val="0066487F"/>
    <w:rsid w:val="00665449"/>
    <w:rsid w:val="0066679D"/>
    <w:rsid w:val="006671C9"/>
    <w:rsid w:val="00670A4D"/>
    <w:rsid w:val="00670F3B"/>
    <w:rsid w:val="00670FF1"/>
    <w:rsid w:val="00673D93"/>
    <w:rsid w:val="00675296"/>
    <w:rsid w:val="00682520"/>
    <w:rsid w:val="00684D03"/>
    <w:rsid w:val="0068792E"/>
    <w:rsid w:val="006919FE"/>
    <w:rsid w:val="00694B57"/>
    <w:rsid w:val="00697921"/>
    <w:rsid w:val="006A16E0"/>
    <w:rsid w:val="006A397F"/>
    <w:rsid w:val="006A3BF9"/>
    <w:rsid w:val="006A628E"/>
    <w:rsid w:val="006A6773"/>
    <w:rsid w:val="006B3019"/>
    <w:rsid w:val="006B3D94"/>
    <w:rsid w:val="006B5677"/>
    <w:rsid w:val="006B5C5F"/>
    <w:rsid w:val="006B6F31"/>
    <w:rsid w:val="006C744B"/>
    <w:rsid w:val="006D22C2"/>
    <w:rsid w:val="006D4D2B"/>
    <w:rsid w:val="006D57D8"/>
    <w:rsid w:val="006D7B79"/>
    <w:rsid w:val="006E4498"/>
    <w:rsid w:val="006E5CA8"/>
    <w:rsid w:val="006E5F38"/>
    <w:rsid w:val="006F1347"/>
    <w:rsid w:val="006F52AC"/>
    <w:rsid w:val="006F66BD"/>
    <w:rsid w:val="006F7725"/>
    <w:rsid w:val="00700AAA"/>
    <w:rsid w:val="00711F6D"/>
    <w:rsid w:val="0071392A"/>
    <w:rsid w:val="007141D0"/>
    <w:rsid w:val="00714516"/>
    <w:rsid w:val="00715890"/>
    <w:rsid w:val="007209A1"/>
    <w:rsid w:val="00721162"/>
    <w:rsid w:val="00721CC2"/>
    <w:rsid w:val="00723630"/>
    <w:rsid w:val="007245DF"/>
    <w:rsid w:val="0073192D"/>
    <w:rsid w:val="00731D17"/>
    <w:rsid w:val="00732393"/>
    <w:rsid w:val="00732CDB"/>
    <w:rsid w:val="0074450F"/>
    <w:rsid w:val="00746F8E"/>
    <w:rsid w:val="00747DDF"/>
    <w:rsid w:val="00750E65"/>
    <w:rsid w:val="0075339B"/>
    <w:rsid w:val="00760CF6"/>
    <w:rsid w:val="00761C54"/>
    <w:rsid w:val="007625FE"/>
    <w:rsid w:val="0076325F"/>
    <w:rsid w:val="00763A9E"/>
    <w:rsid w:val="0076540F"/>
    <w:rsid w:val="0077058D"/>
    <w:rsid w:val="007723FC"/>
    <w:rsid w:val="007746E2"/>
    <w:rsid w:val="0077695D"/>
    <w:rsid w:val="00781066"/>
    <w:rsid w:val="007825CA"/>
    <w:rsid w:val="007829BA"/>
    <w:rsid w:val="007841AD"/>
    <w:rsid w:val="00790899"/>
    <w:rsid w:val="00792B1A"/>
    <w:rsid w:val="00793F8C"/>
    <w:rsid w:val="00794057"/>
    <w:rsid w:val="00796FAC"/>
    <w:rsid w:val="007A3D03"/>
    <w:rsid w:val="007A3E1D"/>
    <w:rsid w:val="007B3539"/>
    <w:rsid w:val="007B3908"/>
    <w:rsid w:val="007B3F1B"/>
    <w:rsid w:val="007B43A5"/>
    <w:rsid w:val="007C0100"/>
    <w:rsid w:val="007C0301"/>
    <w:rsid w:val="007C0EE4"/>
    <w:rsid w:val="007C3AF3"/>
    <w:rsid w:val="007D2866"/>
    <w:rsid w:val="007D2FF3"/>
    <w:rsid w:val="007D5EB6"/>
    <w:rsid w:val="007E1E9C"/>
    <w:rsid w:val="007E26B5"/>
    <w:rsid w:val="007E39CC"/>
    <w:rsid w:val="007E5259"/>
    <w:rsid w:val="007E5DEF"/>
    <w:rsid w:val="007F2795"/>
    <w:rsid w:val="007F2AD2"/>
    <w:rsid w:val="007F4864"/>
    <w:rsid w:val="007F7CE4"/>
    <w:rsid w:val="008012AA"/>
    <w:rsid w:val="00804E08"/>
    <w:rsid w:val="00815F2D"/>
    <w:rsid w:val="008174D1"/>
    <w:rsid w:val="00817BA6"/>
    <w:rsid w:val="008237EF"/>
    <w:rsid w:val="00823AEF"/>
    <w:rsid w:val="00825361"/>
    <w:rsid w:val="008256D2"/>
    <w:rsid w:val="00826D84"/>
    <w:rsid w:val="00835057"/>
    <w:rsid w:val="00835B9A"/>
    <w:rsid w:val="008372AF"/>
    <w:rsid w:val="00840D04"/>
    <w:rsid w:val="008474B3"/>
    <w:rsid w:val="00851D39"/>
    <w:rsid w:val="008522A9"/>
    <w:rsid w:val="00853E84"/>
    <w:rsid w:val="00854002"/>
    <w:rsid w:val="0085444B"/>
    <w:rsid w:val="00857FD6"/>
    <w:rsid w:val="00860F23"/>
    <w:rsid w:val="00863A17"/>
    <w:rsid w:val="00866209"/>
    <w:rsid w:val="008663C5"/>
    <w:rsid w:val="00867523"/>
    <w:rsid w:val="00872EF1"/>
    <w:rsid w:val="008767BC"/>
    <w:rsid w:val="008865D2"/>
    <w:rsid w:val="00886CD0"/>
    <w:rsid w:val="008904B8"/>
    <w:rsid w:val="00891F8B"/>
    <w:rsid w:val="0089508C"/>
    <w:rsid w:val="00897CB3"/>
    <w:rsid w:val="008A3AD2"/>
    <w:rsid w:val="008A6BBF"/>
    <w:rsid w:val="008A7422"/>
    <w:rsid w:val="008B17C7"/>
    <w:rsid w:val="008B1AC1"/>
    <w:rsid w:val="008B2E08"/>
    <w:rsid w:val="008C157D"/>
    <w:rsid w:val="008C1656"/>
    <w:rsid w:val="008D0614"/>
    <w:rsid w:val="008E1069"/>
    <w:rsid w:val="008E12C7"/>
    <w:rsid w:val="008F1C4F"/>
    <w:rsid w:val="008F4843"/>
    <w:rsid w:val="0090162B"/>
    <w:rsid w:val="00902FBD"/>
    <w:rsid w:val="0090418A"/>
    <w:rsid w:val="00906D64"/>
    <w:rsid w:val="00913A1B"/>
    <w:rsid w:val="0091755A"/>
    <w:rsid w:val="009176AF"/>
    <w:rsid w:val="00920BA3"/>
    <w:rsid w:val="009241BD"/>
    <w:rsid w:val="009271BB"/>
    <w:rsid w:val="00930242"/>
    <w:rsid w:val="0093090F"/>
    <w:rsid w:val="009379B9"/>
    <w:rsid w:val="00943A82"/>
    <w:rsid w:val="0094561A"/>
    <w:rsid w:val="00945E19"/>
    <w:rsid w:val="00946E24"/>
    <w:rsid w:val="009555CB"/>
    <w:rsid w:val="00963BCE"/>
    <w:rsid w:val="009705F8"/>
    <w:rsid w:val="00972E0C"/>
    <w:rsid w:val="009744EB"/>
    <w:rsid w:val="00974680"/>
    <w:rsid w:val="00975533"/>
    <w:rsid w:val="009760E3"/>
    <w:rsid w:val="009766D1"/>
    <w:rsid w:val="00976EA8"/>
    <w:rsid w:val="00977371"/>
    <w:rsid w:val="00982CFF"/>
    <w:rsid w:val="00984949"/>
    <w:rsid w:val="00990B3E"/>
    <w:rsid w:val="0099115D"/>
    <w:rsid w:val="009916D5"/>
    <w:rsid w:val="00997574"/>
    <w:rsid w:val="009A1C8E"/>
    <w:rsid w:val="009A28B6"/>
    <w:rsid w:val="009B052B"/>
    <w:rsid w:val="009B2E51"/>
    <w:rsid w:val="009C0034"/>
    <w:rsid w:val="009C3F8A"/>
    <w:rsid w:val="009D2297"/>
    <w:rsid w:val="009D2B26"/>
    <w:rsid w:val="009D2C94"/>
    <w:rsid w:val="009D3EE9"/>
    <w:rsid w:val="009D4508"/>
    <w:rsid w:val="009D473A"/>
    <w:rsid w:val="009E0AFC"/>
    <w:rsid w:val="009E0D68"/>
    <w:rsid w:val="009E1523"/>
    <w:rsid w:val="009E206D"/>
    <w:rsid w:val="009E324E"/>
    <w:rsid w:val="009E4A5D"/>
    <w:rsid w:val="009E5E72"/>
    <w:rsid w:val="009E62AF"/>
    <w:rsid w:val="009F03CB"/>
    <w:rsid w:val="009F0698"/>
    <w:rsid w:val="009F1D0F"/>
    <w:rsid w:val="009F4C6F"/>
    <w:rsid w:val="009F5CE5"/>
    <w:rsid w:val="009F69E5"/>
    <w:rsid w:val="009F6F2D"/>
    <w:rsid w:val="009F7A4B"/>
    <w:rsid w:val="00A02DA1"/>
    <w:rsid w:val="00A03033"/>
    <w:rsid w:val="00A054C3"/>
    <w:rsid w:val="00A12048"/>
    <w:rsid w:val="00A123CC"/>
    <w:rsid w:val="00A15789"/>
    <w:rsid w:val="00A16BE8"/>
    <w:rsid w:val="00A21CB5"/>
    <w:rsid w:val="00A23DC9"/>
    <w:rsid w:val="00A270E8"/>
    <w:rsid w:val="00A31AE0"/>
    <w:rsid w:val="00A3277F"/>
    <w:rsid w:val="00A43157"/>
    <w:rsid w:val="00A4641E"/>
    <w:rsid w:val="00A51547"/>
    <w:rsid w:val="00A521E9"/>
    <w:rsid w:val="00A53F01"/>
    <w:rsid w:val="00A54384"/>
    <w:rsid w:val="00A571B2"/>
    <w:rsid w:val="00A5720C"/>
    <w:rsid w:val="00A5731E"/>
    <w:rsid w:val="00A57724"/>
    <w:rsid w:val="00A63272"/>
    <w:rsid w:val="00A64F64"/>
    <w:rsid w:val="00A6586D"/>
    <w:rsid w:val="00A65D00"/>
    <w:rsid w:val="00A74A5F"/>
    <w:rsid w:val="00A758E2"/>
    <w:rsid w:val="00A761D1"/>
    <w:rsid w:val="00A76C61"/>
    <w:rsid w:val="00A7764C"/>
    <w:rsid w:val="00A77B48"/>
    <w:rsid w:val="00A820F1"/>
    <w:rsid w:val="00A8286A"/>
    <w:rsid w:val="00A86549"/>
    <w:rsid w:val="00A90DAA"/>
    <w:rsid w:val="00A913CF"/>
    <w:rsid w:val="00A92C33"/>
    <w:rsid w:val="00A92D41"/>
    <w:rsid w:val="00A937B8"/>
    <w:rsid w:val="00AA0759"/>
    <w:rsid w:val="00AA284A"/>
    <w:rsid w:val="00AA3A3B"/>
    <w:rsid w:val="00AA4A6E"/>
    <w:rsid w:val="00AB0841"/>
    <w:rsid w:val="00AB0BD6"/>
    <w:rsid w:val="00AB4D3A"/>
    <w:rsid w:val="00AB665D"/>
    <w:rsid w:val="00AB7531"/>
    <w:rsid w:val="00AB7F32"/>
    <w:rsid w:val="00AC0D70"/>
    <w:rsid w:val="00AC3249"/>
    <w:rsid w:val="00AC3BAD"/>
    <w:rsid w:val="00AC4BB6"/>
    <w:rsid w:val="00AC57A9"/>
    <w:rsid w:val="00AC62CB"/>
    <w:rsid w:val="00AC77F7"/>
    <w:rsid w:val="00AD7826"/>
    <w:rsid w:val="00AE068D"/>
    <w:rsid w:val="00AE4A62"/>
    <w:rsid w:val="00AE4C1F"/>
    <w:rsid w:val="00AE4C4E"/>
    <w:rsid w:val="00AF211E"/>
    <w:rsid w:val="00AF44CA"/>
    <w:rsid w:val="00AF6FB2"/>
    <w:rsid w:val="00B00382"/>
    <w:rsid w:val="00B02A7C"/>
    <w:rsid w:val="00B1678A"/>
    <w:rsid w:val="00B17B93"/>
    <w:rsid w:val="00B20E1F"/>
    <w:rsid w:val="00B21A1F"/>
    <w:rsid w:val="00B268D1"/>
    <w:rsid w:val="00B30DA8"/>
    <w:rsid w:val="00B353E8"/>
    <w:rsid w:val="00B357AC"/>
    <w:rsid w:val="00B36FB5"/>
    <w:rsid w:val="00B37BF8"/>
    <w:rsid w:val="00B37DC1"/>
    <w:rsid w:val="00B42282"/>
    <w:rsid w:val="00B459DB"/>
    <w:rsid w:val="00B500DB"/>
    <w:rsid w:val="00B501A2"/>
    <w:rsid w:val="00B52354"/>
    <w:rsid w:val="00B52B54"/>
    <w:rsid w:val="00B533D2"/>
    <w:rsid w:val="00B54741"/>
    <w:rsid w:val="00B57B19"/>
    <w:rsid w:val="00B646B4"/>
    <w:rsid w:val="00B65977"/>
    <w:rsid w:val="00B66407"/>
    <w:rsid w:val="00B673FB"/>
    <w:rsid w:val="00B74727"/>
    <w:rsid w:val="00B80293"/>
    <w:rsid w:val="00B80637"/>
    <w:rsid w:val="00B80EA7"/>
    <w:rsid w:val="00B83700"/>
    <w:rsid w:val="00B860C5"/>
    <w:rsid w:val="00B90E60"/>
    <w:rsid w:val="00B90F27"/>
    <w:rsid w:val="00B91522"/>
    <w:rsid w:val="00B93EEE"/>
    <w:rsid w:val="00B968F0"/>
    <w:rsid w:val="00B97DEF"/>
    <w:rsid w:val="00BA281B"/>
    <w:rsid w:val="00BA3693"/>
    <w:rsid w:val="00BA580D"/>
    <w:rsid w:val="00BA6671"/>
    <w:rsid w:val="00BB097C"/>
    <w:rsid w:val="00BB6E27"/>
    <w:rsid w:val="00BC1F33"/>
    <w:rsid w:val="00BC5A90"/>
    <w:rsid w:val="00BC5E57"/>
    <w:rsid w:val="00BD45F4"/>
    <w:rsid w:val="00BE1203"/>
    <w:rsid w:val="00BE12FE"/>
    <w:rsid w:val="00BE1F73"/>
    <w:rsid w:val="00BE25EC"/>
    <w:rsid w:val="00BE4E14"/>
    <w:rsid w:val="00BE64E8"/>
    <w:rsid w:val="00BF02CC"/>
    <w:rsid w:val="00BF3E47"/>
    <w:rsid w:val="00BF7149"/>
    <w:rsid w:val="00C00CE3"/>
    <w:rsid w:val="00C03AF8"/>
    <w:rsid w:val="00C06295"/>
    <w:rsid w:val="00C07FC0"/>
    <w:rsid w:val="00C13C50"/>
    <w:rsid w:val="00C15011"/>
    <w:rsid w:val="00C15AC0"/>
    <w:rsid w:val="00C15C2B"/>
    <w:rsid w:val="00C25C31"/>
    <w:rsid w:val="00C262AF"/>
    <w:rsid w:val="00C26C2E"/>
    <w:rsid w:val="00C26D0C"/>
    <w:rsid w:val="00C3466F"/>
    <w:rsid w:val="00C35A81"/>
    <w:rsid w:val="00C36C70"/>
    <w:rsid w:val="00C37681"/>
    <w:rsid w:val="00C43994"/>
    <w:rsid w:val="00C4486D"/>
    <w:rsid w:val="00C456DD"/>
    <w:rsid w:val="00C473FA"/>
    <w:rsid w:val="00C50076"/>
    <w:rsid w:val="00C505A0"/>
    <w:rsid w:val="00C52811"/>
    <w:rsid w:val="00C52828"/>
    <w:rsid w:val="00C52C3C"/>
    <w:rsid w:val="00C52D80"/>
    <w:rsid w:val="00C5355A"/>
    <w:rsid w:val="00C539D8"/>
    <w:rsid w:val="00C53DD7"/>
    <w:rsid w:val="00C54991"/>
    <w:rsid w:val="00C56F60"/>
    <w:rsid w:val="00C629A1"/>
    <w:rsid w:val="00C6411B"/>
    <w:rsid w:val="00C65CC6"/>
    <w:rsid w:val="00C66097"/>
    <w:rsid w:val="00C67132"/>
    <w:rsid w:val="00C67198"/>
    <w:rsid w:val="00C675CD"/>
    <w:rsid w:val="00C73F3A"/>
    <w:rsid w:val="00C74887"/>
    <w:rsid w:val="00C75970"/>
    <w:rsid w:val="00C766D0"/>
    <w:rsid w:val="00C82267"/>
    <w:rsid w:val="00C840CA"/>
    <w:rsid w:val="00C87EA9"/>
    <w:rsid w:val="00C928EA"/>
    <w:rsid w:val="00C93843"/>
    <w:rsid w:val="00C94F65"/>
    <w:rsid w:val="00C95D38"/>
    <w:rsid w:val="00CA0358"/>
    <w:rsid w:val="00CA19E2"/>
    <w:rsid w:val="00CB0647"/>
    <w:rsid w:val="00CB6A80"/>
    <w:rsid w:val="00CB73B4"/>
    <w:rsid w:val="00CB78E8"/>
    <w:rsid w:val="00CC0A83"/>
    <w:rsid w:val="00CC1429"/>
    <w:rsid w:val="00CC34C5"/>
    <w:rsid w:val="00CC5C99"/>
    <w:rsid w:val="00CD41A9"/>
    <w:rsid w:val="00CD54F7"/>
    <w:rsid w:val="00CD7410"/>
    <w:rsid w:val="00CE68CE"/>
    <w:rsid w:val="00CF1F80"/>
    <w:rsid w:val="00CF53E2"/>
    <w:rsid w:val="00CF7A33"/>
    <w:rsid w:val="00D0095B"/>
    <w:rsid w:val="00D02F71"/>
    <w:rsid w:val="00D075FF"/>
    <w:rsid w:val="00D10063"/>
    <w:rsid w:val="00D23E29"/>
    <w:rsid w:val="00D24E19"/>
    <w:rsid w:val="00D250BF"/>
    <w:rsid w:val="00D2512D"/>
    <w:rsid w:val="00D275B9"/>
    <w:rsid w:val="00D30418"/>
    <w:rsid w:val="00D31BED"/>
    <w:rsid w:val="00D37A58"/>
    <w:rsid w:val="00D37B9E"/>
    <w:rsid w:val="00D4107C"/>
    <w:rsid w:val="00D41EFE"/>
    <w:rsid w:val="00D46304"/>
    <w:rsid w:val="00D46F37"/>
    <w:rsid w:val="00D478BF"/>
    <w:rsid w:val="00D51BD2"/>
    <w:rsid w:val="00D5422A"/>
    <w:rsid w:val="00D5747C"/>
    <w:rsid w:val="00D63077"/>
    <w:rsid w:val="00D64D53"/>
    <w:rsid w:val="00D66089"/>
    <w:rsid w:val="00D66735"/>
    <w:rsid w:val="00D67263"/>
    <w:rsid w:val="00D70A94"/>
    <w:rsid w:val="00D724A7"/>
    <w:rsid w:val="00D746AA"/>
    <w:rsid w:val="00D7503A"/>
    <w:rsid w:val="00D751E8"/>
    <w:rsid w:val="00D81672"/>
    <w:rsid w:val="00D8200D"/>
    <w:rsid w:val="00D8418D"/>
    <w:rsid w:val="00D849E0"/>
    <w:rsid w:val="00D861FB"/>
    <w:rsid w:val="00D91A7C"/>
    <w:rsid w:val="00D93647"/>
    <w:rsid w:val="00D93B0D"/>
    <w:rsid w:val="00D93E18"/>
    <w:rsid w:val="00D95FE1"/>
    <w:rsid w:val="00D9640B"/>
    <w:rsid w:val="00D97A60"/>
    <w:rsid w:val="00DA2C89"/>
    <w:rsid w:val="00DA33E4"/>
    <w:rsid w:val="00DA458A"/>
    <w:rsid w:val="00DA4812"/>
    <w:rsid w:val="00DA5ADC"/>
    <w:rsid w:val="00DA6063"/>
    <w:rsid w:val="00DB2373"/>
    <w:rsid w:val="00DB2E6D"/>
    <w:rsid w:val="00DB2E84"/>
    <w:rsid w:val="00DB40B1"/>
    <w:rsid w:val="00DB437E"/>
    <w:rsid w:val="00DB4775"/>
    <w:rsid w:val="00DB67ED"/>
    <w:rsid w:val="00DC04A4"/>
    <w:rsid w:val="00DC4765"/>
    <w:rsid w:val="00DC5CBE"/>
    <w:rsid w:val="00DC7E5C"/>
    <w:rsid w:val="00DC7FB3"/>
    <w:rsid w:val="00DD3406"/>
    <w:rsid w:val="00DE5B29"/>
    <w:rsid w:val="00DF01A6"/>
    <w:rsid w:val="00DF0399"/>
    <w:rsid w:val="00DF45B9"/>
    <w:rsid w:val="00DF46D7"/>
    <w:rsid w:val="00E0023D"/>
    <w:rsid w:val="00E0066C"/>
    <w:rsid w:val="00E01071"/>
    <w:rsid w:val="00E01DCE"/>
    <w:rsid w:val="00E05443"/>
    <w:rsid w:val="00E05AFB"/>
    <w:rsid w:val="00E100AD"/>
    <w:rsid w:val="00E103FD"/>
    <w:rsid w:val="00E12824"/>
    <w:rsid w:val="00E12C8C"/>
    <w:rsid w:val="00E148D0"/>
    <w:rsid w:val="00E1754A"/>
    <w:rsid w:val="00E176F5"/>
    <w:rsid w:val="00E220C4"/>
    <w:rsid w:val="00E22B52"/>
    <w:rsid w:val="00E24D4D"/>
    <w:rsid w:val="00E24E7D"/>
    <w:rsid w:val="00E25542"/>
    <w:rsid w:val="00E25CB0"/>
    <w:rsid w:val="00E25E5A"/>
    <w:rsid w:val="00E31148"/>
    <w:rsid w:val="00E32789"/>
    <w:rsid w:val="00E36073"/>
    <w:rsid w:val="00E36299"/>
    <w:rsid w:val="00E367E0"/>
    <w:rsid w:val="00E36CF6"/>
    <w:rsid w:val="00E4218B"/>
    <w:rsid w:val="00E44341"/>
    <w:rsid w:val="00E53413"/>
    <w:rsid w:val="00E5407F"/>
    <w:rsid w:val="00E54A43"/>
    <w:rsid w:val="00E57953"/>
    <w:rsid w:val="00E57C56"/>
    <w:rsid w:val="00E62FD6"/>
    <w:rsid w:val="00E63C0D"/>
    <w:rsid w:val="00E65332"/>
    <w:rsid w:val="00E65B67"/>
    <w:rsid w:val="00E65FAE"/>
    <w:rsid w:val="00E65FDE"/>
    <w:rsid w:val="00E664AA"/>
    <w:rsid w:val="00E70553"/>
    <w:rsid w:val="00E709C2"/>
    <w:rsid w:val="00E71E67"/>
    <w:rsid w:val="00E724A6"/>
    <w:rsid w:val="00E7419F"/>
    <w:rsid w:val="00E76009"/>
    <w:rsid w:val="00E76846"/>
    <w:rsid w:val="00E80DFA"/>
    <w:rsid w:val="00E821BC"/>
    <w:rsid w:val="00E861B5"/>
    <w:rsid w:val="00E90960"/>
    <w:rsid w:val="00E90F26"/>
    <w:rsid w:val="00E923FE"/>
    <w:rsid w:val="00E943B5"/>
    <w:rsid w:val="00EB1B60"/>
    <w:rsid w:val="00EB1E82"/>
    <w:rsid w:val="00EB3B35"/>
    <w:rsid w:val="00EC05CD"/>
    <w:rsid w:val="00EC074A"/>
    <w:rsid w:val="00EC6C43"/>
    <w:rsid w:val="00EC7280"/>
    <w:rsid w:val="00ED6A04"/>
    <w:rsid w:val="00EE2480"/>
    <w:rsid w:val="00EE339B"/>
    <w:rsid w:val="00EE5E37"/>
    <w:rsid w:val="00EE6387"/>
    <w:rsid w:val="00EF0A5F"/>
    <w:rsid w:val="00EF15A0"/>
    <w:rsid w:val="00EF25BB"/>
    <w:rsid w:val="00EF37FE"/>
    <w:rsid w:val="00EF38D0"/>
    <w:rsid w:val="00EF3AD6"/>
    <w:rsid w:val="00EF65A0"/>
    <w:rsid w:val="00F008A4"/>
    <w:rsid w:val="00F00CB6"/>
    <w:rsid w:val="00F03170"/>
    <w:rsid w:val="00F03F6C"/>
    <w:rsid w:val="00F06BF0"/>
    <w:rsid w:val="00F226F3"/>
    <w:rsid w:val="00F22A6E"/>
    <w:rsid w:val="00F27F0F"/>
    <w:rsid w:val="00F335FD"/>
    <w:rsid w:val="00F340C5"/>
    <w:rsid w:val="00F46929"/>
    <w:rsid w:val="00F471BC"/>
    <w:rsid w:val="00F50599"/>
    <w:rsid w:val="00F50A35"/>
    <w:rsid w:val="00F5173C"/>
    <w:rsid w:val="00F51CA1"/>
    <w:rsid w:val="00F5266F"/>
    <w:rsid w:val="00F5598A"/>
    <w:rsid w:val="00F570D8"/>
    <w:rsid w:val="00F57AA6"/>
    <w:rsid w:val="00F57D6B"/>
    <w:rsid w:val="00F6081E"/>
    <w:rsid w:val="00F6183C"/>
    <w:rsid w:val="00F6371C"/>
    <w:rsid w:val="00F64E19"/>
    <w:rsid w:val="00F65CAE"/>
    <w:rsid w:val="00F67469"/>
    <w:rsid w:val="00F71C25"/>
    <w:rsid w:val="00F80F39"/>
    <w:rsid w:val="00F80F54"/>
    <w:rsid w:val="00F84DF8"/>
    <w:rsid w:val="00F84FC8"/>
    <w:rsid w:val="00F863CE"/>
    <w:rsid w:val="00F875D5"/>
    <w:rsid w:val="00F8761B"/>
    <w:rsid w:val="00F905F1"/>
    <w:rsid w:val="00F9212A"/>
    <w:rsid w:val="00F94586"/>
    <w:rsid w:val="00F94945"/>
    <w:rsid w:val="00F95202"/>
    <w:rsid w:val="00FA2E40"/>
    <w:rsid w:val="00FA366A"/>
    <w:rsid w:val="00FA3C4E"/>
    <w:rsid w:val="00FA7297"/>
    <w:rsid w:val="00FB01E1"/>
    <w:rsid w:val="00FC1C6C"/>
    <w:rsid w:val="00FC4690"/>
    <w:rsid w:val="00FC703F"/>
    <w:rsid w:val="00FC71BF"/>
    <w:rsid w:val="00FC73A2"/>
    <w:rsid w:val="00FC7C5C"/>
    <w:rsid w:val="00FD5EE2"/>
    <w:rsid w:val="00FD7F0C"/>
    <w:rsid w:val="00FE31EE"/>
    <w:rsid w:val="00FE4782"/>
    <w:rsid w:val="00FE6C9F"/>
    <w:rsid w:val="00FF0FB8"/>
    <w:rsid w:val="00FF16B2"/>
    <w:rsid w:val="00FF2011"/>
    <w:rsid w:val="00FF25A3"/>
    <w:rsid w:val="00FF51C6"/>
    <w:rsid w:val="00FF783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B6362"/>
  <w15:chartTrackingRefBased/>
  <w15:docId w15:val="{698DBE55-7C0D-4A2E-8E00-81E329CE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22"/>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table" w:styleId="GridTable4-Accent1">
    <w:name w:val="Grid Table 4 Accent 1"/>
    <w:basedOn w:val="TableNormal"/>
    <w:uiPriority w:val="49"/>
    <w:rsid w:val="00A270E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626EF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conomics\Desktop\Monthly%20Economic%20Bulletin\MEB%20Databa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'[MEB Database.xlsx]M3'!$B$63</c:f>
              <c:strCache>
                <c:ptCount val="1"/>
                <c:pt idx="0">
                  <c:v>Money Supply (ZWG billion)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5.4097331583552045E-2"/>
                  <c:y val="-5.09259259259259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105-4C66-83BE-0CE7F1CE449C}"/>
                </c:ext>
              </c:extLst>
            </c:dLbl>
            <c:dLbl>
              <c:idx val="1"/>
              <c:layout>
                <c:manualLayout>
                  <c:x val="-4.5763998250218721E-2"/>
                  <c:y val="-5.555555555555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105-4C66-83BE-0CE7F1CE449C}"/>
                </c:ext>
              </c:extLst>
            </c:dLbl>
            <c:dLbl>
              <c:idx val="2"/>
              <c:layout>
                <c:manualLayout>
                  <c:x val="-4.5763998250218721E-2"/>
                  <c:y val="-4.16666666666666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05-4C66-83BE-0CE7F1CE449C}"/>
                </c:ext>
              </c:extLst>
            </c:dLbl>
            <c:dLbl>
              <c:idx val="3"/>
              <c:layout>
                <c:manualLayout>
                  <c:x val="-4.5763998250218721E-2"/>
                  <c:y val="-5.55555555555556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105-4C66-83BE-0CE7F1CE449C}"/>
                </c:ext>
              </c:extLst>
            </c:dLbl>
            <c:dLbl>
              <c:idx val="4"/>
              <c:layout>
                <c:manualLayout>
                  <c:x val="-4.5763998250218721E-2"/>
                  <c:y val="-5.55555555555554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105-4C66-83BE-0CE7F1CE449C}"/>
                </c:ext>
              </c:extLst>
            </c:dLbl>
            <c:dLbl>
              <c:idx val="5"/>
              <c:layout>
                <c:manualLayout>
                  <c:x val="-4.85417760279966E-2"/>
                  <c:y val="-5.55555555555557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105-4C66-83BE-0CE7F1CE449C}"/>
                </c:ext>
              </c:extLst>
            </c:dLbl>
            <c:dLbl>
              <c:idx val="6"/>
              <c:layout>
                <c:manualLayout>
                  <c:x val="-6.8763998250218727E-2"/>
                  <c:y val="-5.55555555555554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105-4C66-83BE-0CE7F1CE449C}"/>
                </c:ext>
              </c:extLst>
            </c:dLbl>
            <c:dLbl>
              <c:idx val="7"/>
              <c:layout>
                <c:manualLayout>
                  <c:x val="-6.8763998250218825E-2"/>
                  <c:y val="-6.9444444444444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105-4C66-83BE-0CE7F1CE449C}"/>
                </c:ext>
              </c:extLst>
            </c:dLbl>
            <c:dLbl>
              <c:idx val="8"/>
              <c:layout>
                <c:manualLayout>
                  <c:x val="-7.7097331583552059E-2"/>
                  <c:y val="-6.48148148148148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05-4C66-83BE-0CE7F1CE449C}"/>
                </c:ext>
              </c:extLst>
            </c:dLbl>
            <c:dLbl>
              <c:idx val="9"/>
              <c:layout>
                <c:manualLayout>
                  <c:x val="-7.7097331583552156E-2"/>
                  <c:y val="-4.62962962962962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105-4C66-83BE-0CE7F1CE449C}"/>
                </c:ext>
              </c:extLst>
            </c:dLbl>
            <c:dLbl>
              <c:idx val="10"/>
              <c:layout>
                <c:manualLayout>
                  <c:x val="-3.3337270341207453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105-4C66-83BE-0CE7F1CE44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'[MEB Database.xlsx]M3'!$A$64:$A$74</c:f>
              <c:numCache>
                <c:formatCode>mmm\-yy</c:formatCode>
                <c:ptCount val="11"/>
                <c:pt idx="0">
                  <c:v>45108</c:v>
                </c:pt>
                <c:pt idx="1">
                  <c:v>45139</c:v>
                </c:pt>
                <c:pt idx="2">
                  <c:v>45170</c:v>
                </c:pt>
                <c:pt idx="3">
                  <c:v>45200</c:v>
                </c:pt>
                <c:pt idx="4">
                  <c:v>45231</c:v>
                </c:pt>
                <c:pt idx="5">
                  <c:v>45261</c:v>
                </c:pt>
                <c:pt idx="6">
                  <c:v>45292</c:v>
                </c:pt>
                <c:pt idx="7">
                  <c:v>45323</c:v>
                </c:pt>
                <c:pt idx="8">
                  <c:v>45352</c:v>
                </c:pt>
                <c:pt idx="9">
                  <c:v>45383</c:v>
                </c:pt>
                <c:pt idx="10">
                  <c:v>45413</c:v>
                </c:pt>
              </c:numCache>
            </c:numRef>
          </c:cat>
          <c:val>
            <c:numRef>
              <c:f>'[MEB Database.xlsx]M3'!$B$64:$B$74</c:f>
              <c:numCache>
                <c:formatCode>0.00</c:formatCode>
                <c:ptCount val="11"/>
                <c:pt idx="0">
                  <c:v>5.2040357235104215</c:v>
                </c:pt>
                <c:pt idx="1">
                  <c:v>5.3674511176543609</c:v>
                </c:pt>
                <c:pt idx="2">
                  <c:v>6.2888373194608667</c:v>
                </c:pt>
                <c:pt idx="3">
                  <c:v>6.7195451182647528</c:v>
                </c:pt>
                <c:pt idx="4">
                  <c:v>7.0548722424027428</c:v>
                </c:pt>
                <c:pt idx="5">
                  <c:v>7.5678620313518392</c:v>
                </c:pt>
                <c:pt idx="6">
                  <c:v>11.70597379254581</c:v>
                </c:pt>
                <c:pt idx="7">
                  <c:v>16.25351049147401</c:v>
                </c:pt>
                <c:pt idx="8">
                  <c:v>23.680680724987575</c:v>
                </c:pt>
                <c:pt idx="9">
                  <c:v>38.75479</c:v>
                </c:pt>
                <c:pt idx="10">
                  <c:v>41.027610000000003</c:v>
                </c:pt>
              </c:numCache>
            </c:numRef>
          </c:val>
          <c:smooth val="0"/>
          <c:extLst>
            <c:ext xmlns:c16="http://schemas.microsoft.com/office/drawing/2014/chart" uri="{C3380CC4-5D6E-409C-BE32-E72D297353CC}">
              <c16:uniqueId val="{0000000B-9105-4C66-83BE-0CE7F1CE449C}"/>
            </c:ext>
          </c:extLst>
        </c:ser>
        <c:dLbls>
          <c:dLblPos val="ctr"/>
          <c:showLegendKey val="0"/>
          <c:showVal val="1"/>
          <c:showCatName val="0"/>
          <c:showSerName val="0"/>
          <c:showPercent val="0"/>
          <c:showBubbleSize val="0"/>
        </c:dLbls>
        <c:marker val="1"/>
        <c:smooth val="0"/>
        <c:axId val="1319224575"/>
        <c:axId val="1319236639"/>
      </c:lineChart>
      <c:dateAx>
        <c:axId val="1319224575"/>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19236639"/>
        <c:crosses val="autoZero"/>
        <c:auto val="1"/>
        <c:lblOffset val="100"/>
        <c:baseTimeUnit val="months"/>
      </c:dateAx>
      <c:valAx>
        <c:axId val="1319236639"/>
        <c:scaling>
          <c:orientation val="minMax"/>
        </c:scaling>
        <c:delete val="0"/>
        <c:axPos val="l"/>
        <c:minorGridlines>
          <c:spPr>
            <a:ln>
              <a:solidFill>
                <a:schemeClr val="tx1">
                  <a:lumMod val="5000"/>
                  <a:lumOff val="95000"/>
                </a:schemeClr>
              </a:solidFill>
            </a:ln>
            <a:effectLst/>
          </c:spPr>
        </c:minorGridlines>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224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1</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2</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3</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4</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5</b:RefOrder>
  </b:Source>
  <b:Source>
    <b:Tag>MoF24</b:Tag>
    <b:SourceType>Report</b:SourceType>
    <b:Guid>{0CEDD526-5F39-47E5-ADFA-C625BCED1F97}</b:Guid>
    <b:Title>2024 Mid-Term Budget and Economic Review</b:Title>
    <b:Year>2024</b:Year>
    <b:Publisher>Ministry of Finance, Economic Development and Investment Promotion</b:Publisher>
    <b:Author>
      <b:Author>
        <b:Corporate>MoFED&amp;IP</b:Corporate>
      </b:Author>
    </b:Author>
    <b:RefOrder>6</b:RefOrder>
  </b:Source>
  <b:Source>
    <b:Tag>IMF24</b:Tag>
    <b:SourceType>Report</b:SourceType>
    <b:Guid>{ED6BBCBE-41A6-483F-BF53-2C846A9C7A4A}</b:Guid>
    <b:Author>
      <b:Author>
        <b:Corporate>IMF</b:Corporate>
      </b:Author>
    </b:Author>
    <b:Title>World Economic Outlook July 2024</b:Title>
    <b:Year>2024</b:Year>
    <b:Publisher>International Monetary Fund</b:Publisher>
    <b:RefOrder>7</b:RefOrder>
  </b:Source>
  <b:Source>
    <b:Tag>Wor24</b:Tag>
    <b:SourceType>Report</b:SourceType>
    <b:Guid>{31D096DE-674A-4BCB-A181-4369EC8F8EE0}</b:Guid>
    <b:Author>
      <b:Author>
        <b:Corporate>World Bank</b:Corporate>
      </b:Author>
    </b:Author>
    <b:Title>Global Monthly Overview July 2024</b:Title>
    <b:Year>2024</b:Year>
    <b:Publisher>The World Bank Group</b:Publisher>
    <b:RefOrder>8</b:RefOrder>
  </b:Source>
  <b:Source>
    <b:Tag>Wor14</b:Tag>
    <b:SourceType>InternetSite</b:SourceType>
    <b:Guid>{CAC33EF7-53A3-44E2-AF38-8EB60EA85971}</b:Guid>
    <b:Title>Commodity Prices</b:Title>
    <b:Year>2014</b:Year>
    <b:Author>
      <b:Author>
        <b:Corporate>World Economic Forum</b:Corporate>
      </b:Author>
    </b:Author>
    <b:InternetSiteTitle>World Economic Forum</b:InternetSiteTitle>
    <b:URL>https://www.weforum.org/agenda/2014/12/why-are-commodity-prices-falling/</b:URL>
    <b:RefOrder>9</b:RefOrder>
  </b:Source>
  <b:Source>
    <b:Tag>You22</b:Tag>
    <b:SourceType>JournalArticle</b:SourceType>
    <b:Guid>{525C4E91-32A4-4BB5-A741-D0C62993AD0D}</b:Guid>
    <b:Author>
      <b:Author>
        <b:Corporate>Youness, M</b:Corporate>
      </b:Author>
    </b:Author>
    <b:Title>The Impact of Political Uncertainty on Currency Exchange Rate</b:Title>
    <b:Year>2022</b:Year>
    <b:Publisher>ResearchGate</b:Publisher>
    <b:JournalName>Technium Social Science Journal. Vol 28  414-424</b:JournalName>
    <b:RefOrder>10</b:RefOrder>
  </b:Source>
  <b:Source>
    <b:Tag>Res24</b:Tag>
    <b:SourceType>InternetSite</b:SourceType>
    <b:Guid>{E2E0C8AF-4626-4BC4-A6AF-01D94447EDBA}</b:Guid>
    <b:Author>
      <b:Author>
        <b:Corporate>Reserve Bank of Zimbabwe</b:Corporate>
      </b:Author>
    </b:Author>
    <b:Title>Publications</b:Title>
    <b:InternetSiteTitle>Reserve bank of Zimbabwe</b:InternetSiteTitle>
    <b:Year>2024</b:Year>
    <b:URL>https://www.rbz.co.zw/index.php/publications-notices/publications/weekly-economic-review</b:URL>
    <b:RefOrder>11</b:RefOrder>
  </b:Source>
</b:Sources>
</file>

<file path=customXml/itemProps1.xml><?xml version="1.0" encoding="utf-8"?>
<ds:datastoreItem xmlns:ds="http://schemas.openxmlformats.org/officeDocument/2006/customXml" ds:itemID="{3D90D051-59A2-4AB1-8C9A-4B27568B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15</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19615</CharactersWithSpaces>
  <SharedDoc>false</SharedDoc>
  <HLinks>
    <vt:vector size="180" baseType="variant">
      <vt:variant>
        <vt:i4>1114167</vt:i4>
      </vt:variant>
      <vt:variant>
        <vt:i4>182</vt:i4>
      </vt:variant>
      <vt:variant>
        <vt:i4>0</vt:i4>
      </vt:variant>
      <vt:variant>
        <vt:i4>5</vt:i4>
      </vt:variant>
      <vt:variant>
        <vt:lpwstr/>
      </vt:variant>
      <vt:variant>
        <vt:lpwstr>_Toc175223108</vt:lpwstr>
      </vt:variant>
      <vt:variant>
        <vt:i4>1114167</vt:i4>
      </vt:variant>
      <vt:variant>
        <vt:i4>176</vt:i4>
      </vt:variant>
      <vt:variant>
        <vt:i4>0</vt:i4>
      </vt:variant>
      <vt:variant>
        <vt:i4>5</vt:i4>
      </vt:variant>
      <vt:variant>
        <vt:lpwstr/>
      </vt:variant>
      <vt:variant>
        <vt:lpwstr>_Toc175223107</vt:lpwstr>
      </vt:variant>
      <vt:variant>
        <vt:i4>1114167</vt:i4>
      </vt:variant>
      <vt:variant>
        <vt:i4>170</vt:i4>
      </vt:variant>
      <vt:variant>
        <vt:i4>0</vt:i4>
      </vt:variant>
      <vt:variant>
        <vt:i4>5</vt:i4>
      </vt:variant>
      <vt:variant>
        <vt:lpwstr/>
      </vt:variant>
      <vt:variant>
        <vt:lpwstr>_Toc175223106</vt:lpwstr>
      </vt:variant>
      <vt:variant>
        <vt:i4>1114167</vt:i4>
      </vt:variant>
      <vt:variant>
        <vt:i4>164</vt:i4>
      </vt:variant>
      <vt:variant>
        <vt:i4>0</vt:i4>
      </vt:variant>
      <vt:variant>
        <vt:i4>5</vt:i4>
      </vt:variant>
      <vt:variant>
        <vt:lpwstr/>
      </vt:variant>
      <vt:variant>
        <vt:lpwstr>_Toc175223105</vt:lpwstr>
      </vt:variant>
      <vt:variant>
        <vt:i4>1114167</vt:i4>
      </vt:variant>
      <vt:variant>
        <vt:i4>158</vt:i4>
      </vt:variant>
      <vt:variant>
        <vt:i4>0</vt:i4>
      </vt:variant>
      <vt:variant>
        <vt:i4>5</vt:i4>
      </vt:variant>
      <vt:variant>
        <vt:lpwstr/>
      </vt:variant>
      <vt:variant>
        <vt:lpwstr>_Toc175223104</vt:lpwstr>
      </vt:variant>
      <vt:variant>
        <vt:i4>2031665</vt:i4>
      </vt:variant>
      <vt:variant>
        <vt:i4>149</vt:i4>
      </vt:variant>
      <vt:variant>
        <vt:i4>0</vt:i4>
      </vt:variant>
      <vt:variant>
        <vt:i4>5</vt:i4>
      </vt:variant>
      <vt:variant>
        <vt:lpwstr/>
      </vt:variant>
      <vt:variant>
        <vt:lpwstr>_Toc171944521</vt:lpwstr>
      </vt:variant>
      <vt:variant>
        <vt:i4>2031665</vt:i4>
      </vt:variant>
      <vt:variant>
        <vt:i4>143</vt:i4>
      </vt:variant>
      <vt:variant>
        <vt:i4>0</vt:i4>
      </vt:variant>
      <vt:variant>
        <vt:i4>5</vt:i4>
      </vt:variant>
      <vt:variant>
        <vt:lpwstr/>
      </vt:variant>
      <vt:variant>
        <vt:lpwstr>_Toc171944520</vt:lpwstr>
      </vt:variant>
      <vt:variant>
        <vt:i4>1835057</vt:i4>
      </vt:variant>
      <vt:variant>
        <vt:i4>137</vt:i4>
      </vt:variant>
      <vt:variant>
        <vt:i4>0</vt:i4>
      </vt:variant>
      <vt:variant>
        <vt:i4>5</vt:i4>
      </vt:variant>
      <vt:variant>
        <vt:lpwstr/>
      </vt:variant>
      <vt:variant>
        <vt:lpwstr>_Toc171944519</vt:lpwstr>
      </vt:variant>
      <vt:variant>
        <vt:i4>1835057</vt:i4>
      </vt:variant>
      <vt:variant>
        <vt:i4>131</vt:i4>
      </vt:variant>
      <vt:variant>
        <vt:i4>0</vt:i4>
      </vt:variant>
      <vt:variant>
        <vt:i4>5</vt:i4>
      </vt:variant>
      <vt:variant>
        <vt:lpwstr/>
      </vt:variant>
      <vt:variant>
        <vt:lpwstr>_Toc171944518</vt:lpwstr>
      </vt:variant>
      <vt:variant>
        <vt:i4>1835057</vt:i4>
      </vt:variant>
      <vt:variant>
        <vt:i4>125</vt:i4>
      </vt:variant>
      <vt:variant>
        <vt:i4>0</vt:i4>
      </vt:variant>
      <vt:variant>
        <vt:i4>5</vt:i4>
      </vt:variant>
      <vt:variant>
        <vt:lpwstr/>
      </vt:variant>
      <vt:variant>
        <vt:lpwstr>_Toc171944517</vt:lpwstr>
      </vt:variant>
      <vt:variant>
        <vt:i4>1835057</vt:i4>
      </vt:variant>
      <vt:variant>
        <vt:i4>119</vt:i4>
      </vt:variant>
      <vt:variant>
        <vt:i4>0</vt:i4>
      </vt:variant>
      <vt:variant>
        <vt:i4>5</vt:i4>
      </vt:variant>
      <vt:variant>
        <vt:lpwstr/>
      </vt:variant>
      <vt:variant>
        <vt:lpwstr>_Toc171944516</vt:lpwstr>
      </vt:variant>
      <vt:variant>
        <vt:i4>1835057</vt:i4>
      </vt:variant>
      <vt:variant>
        <vt:i4>113</vt:i4>
      </vt:variant>
      <vt:variant>
        <vt:i4>0</vt:i4>
      </vt:variant>
      <vt:variant>
        <vt:i4>5</vt:i4>
      </vt:variant>
      <vt:variant>
        <vt:lpwstr/>
      </vt:variant>
      <vt:variant>
        <vt:lpwstr>_Toc171944515</vt:lpwstr>
      </vt:variant>
      <vt:variant>
        <vt:i4>1441844</vt:i4>
      </vt:variant>
      <vt:variant>
        <vt:i4>104</vt:i4>
      </vt:variant>
      <vt:variant>
        <vt:i4>0</vt:i4>
      </vt:variant>
      <vt:variant>
        <vt:i4>5</vt:i4>
      </vt:variant>
      <vt:variant>
        <vt:lpwstr/>
      </vt:variant>
      <vt:variant>
        <vt:lpwstr>_Toc171946097</vt:lpwstr>
      </vt:variant>
      <vt:variant>
        <vt:i4>1441844</vt:i4>
      </vt:variant>
      <vt:variant>
        <vt:i4>98</vt:i4>
      </vt:variant>
      <vt:variant>
        <vt:i4>0</vt:i4>
      </vt:variant>
      <vt:variant>
        <vt:i4>5</vt:i4>
      </vt:variant>
      <vt:variant>
        <vt:lpwstr/>
      </vt:variant>
      <vt:variant>
        <vt:lpwstr>_Toc171946096</vt:lpwstr>
      </vt:variant>
      <vt:variant>
        <vt:i4>1441844</vt:i4>
      </vt:variant>
      <vt:variant>
        <vt:i4>92</vt:i4>
      </vt:variant>
      <vt:variant>
        <vt:i4>0</vt:i4>
      </vt:variant>
      <vt:variant>
        <vt:i4>5</vt:i4>
      </vt:variant>
      <vt:variant>
        <vt:lpwstr/>
      </vt:variant>
      <vt:variant>
        <vt:lpwstr>_Toc171946095</vt:lpwstr>
      </vt:variant>
      <vt:variant>
        <vt:i4>1441844</vt:i4>
      </vt:variant>
      <vt:variant>
        <vt:i4>86</vt:i4>
      </vt:variant>
      <vt:variant>
        <vt:i4>0</vt:i4>
      </vt:variant>
      <vt:variant>
        <vt:i4>5</vt:i4>
      </vt:variant>
      <vt:variant>
        <vt:lpwstr/>
      </vt:variant>
      <vt:variant>
        <vt:lpwstr>_Toc171946094</vt:lpwstr>
      </vt:variant>
      <vt:variant>
        <vt:i4>1441844</vt:i4>
      </vt:variant>
      <vt:variant>
        <vt:i4>80</vt:i4>
      </vt:variant>
      <vt:variant>
        <vt:i4>0</vt:i4>
      </vt:variant>
      <vt:variant>
        <vt:i4>5</vt:i4>
      </vt:variant>
      <vt:variant>
        <vt:lpwstr/>
      </vt:variant>
      <vt:variant>
        <vt:lpwstr>_Toc171946093</vt:lpwstr>
      </vt:variant>
      <vt:variant>
        <vt:i4>1441844</vt:i4>
      </vt:variant>
      <vt:variant>
        <vt:i4>74</vt:i4>
      </vt:variant>
      <vt:variant>
        <vt:i4>0</vt:i4>
      </vt:variant>
      <vt:variant>
        <vt:i4>5</vt:i4>
      </vt:variant>
      <vt:variant>
        <vt:lpwstr/>
      </vt:variant>
      <vt:variant>
        <vt:lpwstr>_Toc171946092</vt:lpwstr>
      </vt:variant>
      <vt:variant>
        <vt:i4>1441844</vt:i4>
      </vt:variant>
      <vt:variant>
        <vt:i4>68</vt:i4>
      </vt:variant>
      <vt:variant>
        <vt:i4>0</vt:i4>
      </vt:variant>
      <vt:variant>
        <vt:i4>5</vt:i4>
      </vt:variant>
      <vt:variant>
        <vt:lpwstr/>
      </vt:variant>
      <vt:variant>
        <vt:lpwstr>_Toc171946091</vt:lpwstr>
      </vt:variant>
      <vt:variant>
        <vt:i4>1441844</vt:i4>
      </vt:variant>
      <vt:variant>
        <vt:i4>62</vt:i4>
      </vt:variant>
      <vt:variant>
        <vt:i4>0</vt:i4>
      </vt:variant>
      <vt:variant>
        <vt:i4>5</vt:i4>
      </vt:variant>
      <vt:variant>
        <vt:lpwstr/>
      </vt:variant>
      <vt:variant>
        <vt:lpwstr>_Toc171946090</vt:lpwstr>
      </vt:variant>
      <vt:variant>
        <vt:i4>1507380</vt:i4>
      </vt:variant>
      <vt:variant>
        <vt:i4>56</vt:i4>
      </vt:variant>
      <vt:variant>
        <vt:i4>0</vt:i4>
      </vt:variant>
      <vt:variant>
        <vt:i4>5</vt:i4>
      </vt:variant>
      <vt:variant>
        <vt:lpwstr/>
      </vt:variant>
      <vt:variant>
        <vt:lpwstr>_Toc171946089</vt:lpwstr>
      </vt:variant>
      <vt:variant>
        <vt:i4>1507380</vt:i4>
      </vt:variant>
      <vt:variant>
        <vt:i4>50</vt:i4>
      </vt:variant>
      <vt:variant>
        <vt:i4>0</vt:i4>
      </vt:variant>
      <vt:variant>
        <vt:i4>5</vt:i4>
      </vt:variant>
      <vt:variant>
        <vt:lpwstr/>
      </vt:variant>
      <vt:variant>
        <vt:lpwstr>_Toc171946088</vt:lpwstr>
      </vt:variant>
      <vt:variant>
        <vt:i4>1507380</vt:i4>
      </vt:variant>
      <vt:variant>
        <vt:i4>44</vt:i4>
      </vt:variant>
      <vt:variant>
        <vt:i4>0</vt:i4>
      </vt:variant>
      <vt:variant>
        <vt:i4>5</vt:i4>
      </vt:variant>
      <vt:variant>
        <vt:lpwstr/>
      </vt:variant>
      <vt:variant>
        <vt:lpwstr>_Toc171946087</vt:lpwstr>
      </vt:variant>
      <vt:variant>
        <vt:i4>1507380</vt:i4>
      </vt:variant>
      <vt:variant>
        <vt:i4>38</vt:i4>
      </vt:variant>
      <vt:variant>
        <vt:i4>0</vt:i4>
      </vt:variant>
      <vt:variant>
        <vt:i4>5</vt:i4>
      </vt:variant>
      <vt:variant>
        <vt:lpwstr/>
      </vt:variant>
      <vt:variant>
        <vt:lpwstr>_Toc171946086</vt:lpwstr>
      </vt:variant>
      <vt:variant>
        <vt:i4>1507380</vt:i4>
      </vt:variant>
      <vt:variant>
        <vt:i4>32</vt:i4>
      </vt:variant>
      <vt:variant>
        <vt:i4>0</vt:i4>
      </vt:variant>
      <vt:variant>
        <vt:i4>5</vt:i4>
      </vt:variant>
      <vt:variant>
        <vt:lpwstr/>
      </vt:variant>
      <vt:variant>
        <vt:lpwstr>_Toc171946085</vt:lpwstr>
      </vt:variant>
      <vt:variant>
        <vt:i4>1507380</vt:i4>
      </vt:variant>
      <vt:variant>
        <vt:i4>26</vt:i4>
      </vt:variant>
      <vt:variant>
        <vt:i4>0</vt:i4>
      </vt:variant>
      <vt:variant>
        <vt:i4>5</vt:i4>
      </vt:variant>
      <vt:variant>
        <vt:lpwstr/>
      </vt:variant>
      <vt:variant>
        <vt:lpwstr>_Toc171946084</vt:lpwstr>
      </vt:variant>
      <vt:variant>
        <vt:i4>1507380</vt:i4>
      </vt:variant>
      <vt:variant>
        <vt:i4>20</vt:i4>
      </vt:variant>
      <vt:variant>
        <vt:i4>0</vt:i4>
      </vt:variant>
      <vt:variant>
        <vt:i4>5</vt:i4>
      </vt:variant>
      <vt:variant>
        <vt:lpwstr/>
      </vt:variant>
      <vt:variant>
        <vt:lpwstr>_Toc171946083</vt:lpwstr>
      </vt:variant>
      <vt:variant>
        <vt:i4>1507380</vt:i4>
      </vt:variant>
      <vt:variant>
        <vt:i4>14</vt:i4>
      </vt:variant>
      <vt:variant>
        <vt:i4>0</vt:i4>
      </vt:variant>
      <vt:variant>
        <vt:i4>5</vt:i4>
      </vt:variant>
      <vt:variant>
        <vt:lpwstr/>
      </vt:variant>
      <vt:variant>
        <vt:lpwstr>_Toc171946082</vt:lpwstr>
      </vt:variant>
      <vt:variant>
        <vt:i4>1507380</vt:i4>
      </vt:variant>
      <vt:variant>
        <vt:i4>8</vt:i4>
      </vt:variant>
      <vt:variant>
        <vt:i4>0</vt:i4>
      </vt:variant>
      <vt:variant>
        <vt:i4>5</vt:i4>
      </vt:variant>
      <vt:variant>
        <vt:lpwstr/>
      </vt:variant>
      <vt:variant>
        <vt:lpwstr>_Toc171946081</vt:lpwstr>
      </vt:variant>
      <vt:variant>
        <vt:i4>1507380</vt:i4>
      </vt:variant>
      <vt:variant>
        <vt:i4>2</vt:i4>
      </vt:variant>
      <vt:variant>
        <vt:i4>0</vt:i4>
      </vt:variant>
      <vt:variant>
        <vt:i4>5</vt:i4>
      </vt:variant>
      <vt:variant>
        <vt:lpwstr/>
      </vt:variant>
      <vt:variant>
        <vt:lpwstr>_Toc171946080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6</cp:revision>
  <dcterms:created xsi:type="dcterms:W3CDTF">2024-08-27T10:39:00Z</dcterms:created>
  <dcterms:modified xsi:type="dcterms:W3CDTF">2024-08-29T12:33:00Z</dcterms:modified>
</cp:coreProperties>
</file>