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F8D86"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47955021"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462FE4F8" w14:textId="193BC304" w:rsidR="00B357AC" w:rsidRPr="00863A17" w:rsidRDefault="004C4484"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lang w:val="en-US"/>
        </w:rPr>
      </w:pPr>
      <w:r w:rsidRPr="00863A17">
        <w:rPr>
          <w:rFonts w:ascii="Tahoma" w:hAnsi="Tahoma" w:cs="Tahoma"/>
          <w:noProof/>
          <w:sz w:val="24"/>
          <w:szCs w:val="24"/>
          <w:lang w:eastAsia="en-ZW"/>
        </w:rPr>
        <w:drawing>
          <wp:inline distT="0" distB="0" distL="0" distR="0" wp14:anchorId="30012C84" wp14:editId="37F0500D">
            <wp:extent cx="3133725" cy="1895475"/>
            <wp:effectExtent l="0" t="0" r="0"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895475"/>
                    </a:xfrm>
                    <a:prstGeom prst="rect">
                      <a:avLst/>
                    </a:prstGeom>
                    <a:noFill/>
                    <a:ln>
                      <a:noFill/>
                    </a:ln>
                  </pic:spPr>
                </pic:pic>
              </a:graphicData>
            </a:graphic>
          </wp:inline>
        </w:drawing>
      </w:r>
    </w:p>
    <w:p w14:paraId="366FD5E9"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lang w:val="en-US"/>
        </w:rPr>
      </w:pPr>
    </w:p>
    <w:p w14:paraId="7B6E20FC"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r w:rsidRPr="007E39CC">
        <w:rPr>
          <w:rFonts w:ascii="Tahoma" w:hAnsi="Tahoma" w:cs="Tahoma"/>
          <w:b/>
          <w:sz w:val="32"/>
          <w:szCs w:val="32"/>
          <w:lang w:val="en-US"/>
        </w:rPr>
        <w:t>NATIONAL ECONOMIC CONSULTATIVE FORUM</w:t>
      </w:r>
    </w:p>
    <w:p w14:paraId="4AF45F7A"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1BFFB5F2"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3BF3CA99" w14:textId="77777777" w:rsidR="00B357AC" w:rsidRPr="007E39CC" w:rsidRDefault="00DB67ED"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r w:rsidRPr="007E39CC">
        <w:rPr>
          <w:rFonts w:ascii="Tahoma" w:hAnsi="Tahoma" w:cs="Tahoma"/>
          <w:b/>
          <w:sz w:val="32"/>
          <w:szCs w:val="32"/>
          <w:lang w:val="en-US"/>
        </w:rPr>
        <w:t>MONTHLY</w:t>
      </w:r>
      <w:r w:rsidR="00B357AC" w:rsidRPr="007E39CC">
        <w:rPr>
          <w:rFonts w:ascii="Tahoma" w:hAnsi="Tahoma" w:cs="Tahoma"/>
          <w:b/>
          <w:sz w:val="32"/>
          <w:szCs w:val="32"/>
          <w:lang w:val="en-US"/>
        </w:rPr>
        <w:t xml:space="preserve"> ECONOMIC BULLETIN </w:t>
      </w:r>
    </w:p>
    <w:p w14:paraId="12B02694"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0AC4AAD3"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35DA16D4" w14:textId="77777777" w:rsidR="00B357AC" w:rsidRPr="007E39CC" w:rsidRDefault="005A05DE"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r>
        <w:rPr>
          <w:rFonts w:ascii="Tahoma" w:hAnsi="Tahoma" w:cs="Tahoma"/>
          <w:b/>
          <w:sz w:val="32"/>
          <w:szCs w:val="32"/>
          <w:lang w:val="en-US"/>
        </w:rPr>
        <w:t>JUNE</w:t>
      </w:r>
      <w:r w:rsidR="00B357AC" w:rsidRPr="007E39CC">
        <w:rPr>
          <w:rFonts w:ascii="Tahoma" w:hAnsi="Tahoma" w:cs="Tahoma"/>
          <w:b/>
          <w:sz w:val="32"/>
          <w:szCs w:val="32"/>
          <w:lang w:val="en-US"/>
        </w:rPr>
        <w:t xml:space="preserve"> 202</w:t>
      </w:r>
      <w:r w:rsidR="00DB67ED" w:rsidRPr="007E39CC">
        <w:rPr>
          <w:rFonts w:ascii="Tahoma" w:hAnsi="Tahoma" w:cs="Tahoma"/>
          <w:b/>
          <w:sz w:val="32"/>
          <w:szCs w:val="32"/>
          <w:lang w:val="en-US"/>
        </w:rPr>
        <w:t>4</w:t>
      </w:r>
    </w:p>
    <w:p w14:paraId="0AAA8302"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32"/>
          <w:szCs w:val="32"/>
          <w:lang w:val="en-US"/>
        </w:rPr>
      </w:pPr>
    </w:p>
    <w:p w14:paraId="4A709BD9"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5D17AF8B"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70B64DEC"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1CD83C31" w14:textId="77777777" w:rsidR="00B357AC" w:rsidRPr="00863A17" w:rsidRDefault="00B357AC" w:rsidP="00B357AC">
      <w:pPr>
        <w:rPr>
          <w:rFonts w:ascii="Tahoma" w:hAnsi="Tahoma" w:cs="Tahoma"/>
          <w:sz w:val="24"/>
          <w:szCs w:val="24"/>
          <w:lang w:val="en-US"/>
        </w:rPr>
        <w:sectPr w:rsidR="00B357AC" w:rsidRPr="00863A17" w:rsidSect="006D22C2">
          <w:footerReference w:type="default" r:id="rId9"/>
          <w:pgSz w:w="11906" w:h="16838"/>
          <w:pgMar w:top="1440" w:right="1440" w:bottom="1440" w:left="1440" w:header="708" w:footer="708" w:gutter="0"/>
          <w:cols w:space="708"/>
          <w:titlePg/>
          <w:docGrid w:linePitch="360"/>
        </w:sectPr>
      </w:pPr>
    </w:p>
    <w:p w14:paraId="2E89D52E" w14:textId="77777777" w:rsidR="007E39CC" w:rsidRPr="00A92D41" w:rsidRDefault="007E39CC" w:rsidP="007E39CC">
      <w:pPr>
        <w:pStyle w:val="Heading1"/>
        <w:spacing w:before="0" w:after="240"/>
        <w:rPr>
          <w:rFonts w:cs="Tahoma"/>
          <w:bCs/>
          <w:color w:val="000000"/>
          <w:szCs w:val="24"/>
          <w:lang w:val="en-US"/>
        </w:rPr>
      </w:pPr>
      <w:bookmarkStart w:id="0" w:name="_Toc166607888"/>
      <w:bookmarkStart w:id="1" w:name="_Toc171946080"/>
      <w:r w:rsidRPr="00A92D41">
        <w:rPr>
          <w:rFonts w:cs="Tahoma"/>
          <w:bCs/>
          <w:color w:val="000000"/>
          <w:szCs w:val="24"/>
          <w:lang w:val="en-US"/>
        </w:rPr>
        <w:lastRenderedPageBreak/>
        <w:t>Executive Summary</w:t>
      </w:r>
      <w:bookmarkEnd w:id="0"/>
      <w:bookmarkEnd w:id="1"/>
      <w:r w:rsidRPr="00A92D41">
        <w:rPr>
          <w:rFonts w:cs="Tahoma"/>
          <w:bCs/>
          <w:color w:val="000000"/>
          <w:szCs w:val="24"/>
          <w:lang w:val="en-US"/>
        </w:rPr>
        <w:t xml:space="preserve"> </w:t>
      </w:r>
    </w:p>
    <w:p w14:paraId="78C41415" w14:textId="72524309" w:rsidR="007E39CC" w:rsidRPr="00DC5CBE" w:rsidRDefault="007E39CC" w:rsidP="007E39CC">
      <w:pPr>
        <w:jc w:val="both"/>
        <w:rPr>
          <w:rFonts w:ascii="Tahoma" w:hAnsi="Tahoma" w:cs="Tahoma"/>
          <w:sz w:val="24"/>
          <w:szCs w:val="24"/>
          <w:lang w:val="en-US"/>
        </w:rPr>
      </w:pPr>
      <w:r w:rsidRPr="00DC5CBE">
        <w:rPr>
          <w:rFonts w:ascii="Tahoma" w:hAnsi="Tahoma" w:cs="Tahoma"/>
          <w:sz w:val="24"/>
          <w:szCs w:val="24"/>
          <w:lang w:val="en-US"/>
        </w:rPr>
        <w:t xml:space="preserve">This bulletin focuses on economic developments for the </w:t>
      </w:r>
      <w:r>
        <w:rPr>
          <w:rFonts w:ascii="Tahoma" w:hAnsi="Tahoma" w:cs="Tahoma"/>
          <w:sz w:val="24"/>
          <w:szCs w:val="24"/>
          <w:lang w:val="en-US"/>
        </w:rPr>
        <w:t>month</w:t>
      </w:r>
      <w:r w:rsidRPr="00DC5CBE">
        <w:rPr>
          <w:rFonts w:ascii="Tahoma" w:hAnsi="Tahoma" w:cs="Tahoma"/>
          <w:sz w:val="24"/>
          <w:szCs w:val="24"/>
          <w:lang w:val="en-US"/>
        </w:rPr>
        <w:t xml:space="preserve"> ending </w:t>
      </w:r>
      <w:r w:rsidR="0073364A">
        <w:rPr>
          <w:rFonts w:ascii="Tahoma" w:hAnsi="Tahoma" w:cs="Tahoma"/>
          <w:sz w:val="24"/>
          <w:szCs w:val="24"/>
          <w:lang w:val="en-US"/>
        </w:rPr>
        <w:t xml:space="preserve">29 June </w:t>
      </w:r>
      <w:r w:rsidRPr="00DC5CBE">
        <w:rPr>
          <w:rFonts w:ascii="Tahoma" w:hAnsi="Tahoma" w:cs="Tahoma"/>
          <w:sz w:val="24"/>
          <w:szCs w:val="24"/>
          <w:lang w:val="en-US"/>
        </w:rPr>
        <w:t>202</w:t>
      </w:r>
      <w:r>
        <w:rPr>
          <w:rFonts w:ascii="Tahoma" w:hAnsi="Tahoma" w:cs="Tahoma"/>
          <w:sz w:val="24"/>
          <w:szCs w:val="24"/>
          <w:lang w:val="en-US"/>
        </w:rPr>
        <w:t>4</w:t>
      </w:r>
      <w:r w:rsidRPr="00DC5CBE">
        <w:rPr>
          <w:rFonts w:ascii="Tahoma" w:hAnsi="Tahoma" w:cs="Tahoma"/>
          <w:sz w:val="24"/>
          <w:szCs w:val="24"/>
          <w:lang w:val="en-US"/>
        </w:rPr>
        <w:t xml:space="preserve"> that </w:t>
      </w:r>
      <w:r w:rsidR="0073364A" w:rsidRPr="00DC5CBE">
        <w:rPr>
          <w:rFonts w:ascii="Tahoma" w:hAnsi="Tahoma" w:cs="Tahoma"/>
          <w:sz w:val="24"/>
          <w:szCs w:val="24"/>
          <w:lang w:val="en-US"/>
        </w:rPr>
        <w:t>include</w:t>
      </w:r>
      <w:r w:rsidRPr="00DC5CBE">
        <w:rPr>
          <w:rFonts w:ascii="Tahoma" w:hAnsi="Tahoma" w:cs="Tahoma"/>
          <w:sz w:val="24"/>
          <w:szCs w:val="24"/>
          <w:lang w:val="en-US"/>
        </w:rPr>
        <w:t xml:space="preserve"> Zimbabwe Gross Domestic Product (GDP) growth updates, merchandise trade developments, exchange rate developments, inflation developments, monetary developments and stock market developments as well as world economic developments and international commodity prices. </w:t>
      </w:r>
    </w:p>
    <w:p w14:paraId="20DAE969" w14:textId="58E29439" w:rsidR="0073364A" w:rsidRDefault="007E39CC" w:rsidP="007E39CC">
      <w:pPr>
        <w:jc w:val="both"/>
        <w:rPr>
          <w:rFonts w:ascii="Tahoma" w:hAnsi="Tahoma" w:cs="Tahoma"/>
          <w:sz w:val="24"/>
          <w:szCs w:val="24"/>
          <w:lang w:val="en-US"/>
        </w:rPr>
      </w:pPr>
      <w:r w:rsidRPr="00863A17">
        <w:rPr>
          <w:rFonts w:ascii="Tahoma" w:hAnsi="Tahoma" w:cs="Tahoma"/>
          <w:sz w:val="24"/>
          <w:szCs w:val="24"/>
          <w:lang w:val="en-US"/>
        </w:rPr>
        <w:t xml:space="preserve">The </w:t>
      </w:r>
      <w:r>
        <w:rPr>
          <w:rFonts w:ascii="Tahoma" w:hAnsi="Tahoma" w:cs="Tahoma"/>
          <w:sz w:val="24"/>
          <w:szCs w:val="24"/>
          <w:lang w:val="en-US"/>
        </w:rPr>
        <w:t>g</w:t>
      </w:r>
      <w:r w:rsidRPr="00863A17">
        <w:rPr>
          <w:rFonts w:ascii="Tahoma" w:hAnsi="Tahoma" w:cs="Tahoma"/>
          <w:sz w:val="24"/>
          <w:szCs w:val="24"/>
          <w:lang w:val="en-US"/>
        </w:rPr>
        <w:t xml:space="preserve">lobal economic growth is projected </w:t>
      </w:r>
      <w:r w:rsidR="00AA0759">
        <w:rPr>
          <w:rFonts w:ascii="Tahoma" w:hAnsi="Tahoma" w:cs="Tahoma"/>
          <w:sz w:val="24"/>
          <w:szCs w:val="24"/>
          <w:lang w:val="en-US"/>
        </w:rPr>
        <w:t xml:space="preserve">to </w:t>
      </w:r>
      <w:r w:rsidR="00010C2D">
        <w:rPr>
          <w:rFonts w:ascii="Tahoma" w:hAnsi="Tahoma" w:cs="Tahoma"/>
          <w:sz w:val="24"/>
          <w:szCs w:val="24"/>
          <w:lang w:val="en-US"/>
        </w:rPr>
        <w:t xml:space="preserve">hold steady at 2.6% in 2024 despite flaring geopolitical tensions before edging up to 2.7% in 2025 and 2026 alongside modest expansions of trade and investments (World Bank Group, June 2024 Global Economic Prospects). Global inflation estimated to fall to 3.5% in 2024, before easing further to 2.9% </w:t>
      </w:r>
      <w:r w:rsidR="0073364A">
        <w:rPr>
          <w:rFonts w:ascii="Tahoma" w:hAnsi="Tahoma" w:cs="Tahoma"/>
          <w:sz w:val="24"/>
          <w:szCs w:val="24"/>
          <w:lang w:val="en-US"/>
        </w:rPr>
        <w:t xml:space="preserve">and 2.8% </w:t>
      </w:r>
      <w:r w:rsidR="00010C2D">
        <w:rPr>
          <w:rFonts w:ascii="Tahoma" w:hAnsi="Tahoma" w:cs="Tahoma"/>
          <w:sz w:val="24"/>
          <w:szCs w:val="24"/>
          <w:lang w:val="en-US"/>
        </w:rPr>
        <w:t>in 2025 and 2026</w:t>
      </w:r>
      <w:r w:rsidR="0073364A">
        <w:rPr>
          <w:rFonts w:ascii="Tahoma" w:hAnsi="Tahoma" w:cs="Tahoma"/>
          <w:sz w:val="24"/>
          <w:szCs w:val="24"/>
          <w:lang w:val="en-US"/>
        </w:rPr>
        <w:t>, respectively</w:t>
      </w:r>
      <w:r w:rsidR="00010C2D">
        <w:rPr>
          <w:rFonts w:ascii="Tahoma" w:hAnsi="Tahoma" w:cs="Tahoma"/>
          <w:sz w:val="24"/>
          <w:szCs w:val="24"/>
          <w:lang w:val="en-US"/>
        </w:rPr>
        <w:t xml:space="preserve">. </w:t>
      </w:r>
    </w:p>
    <w:p w14:paraId="154369AF" w14:textId="59AEC57B" w:rsidR="00CB78E8" w:rsidRDefault="00010C2D" w:rsidP="007E39CC">
      <w:pPr>
        <w:jc w:val="both"/>
        <w:rPr>
          <w:rFonts w:ascii="Tahoma" w:hAnsi="Tahoma" w:cs="Tahoma"/>
          <w:sz w:val="24"/>
          <w:szCs w:val="24"/>
          <w:lang w:val="en-US"/>
        </w:rPr>
      </w:pPr>
      <w:r>
        <w:rPr>
          <w:rFonts w:ascii="Tahoma" w:hAnsi="Tahoma" w:cs="Tahoma"/>
          <w:sz w:val="24"/>
          <w:szCs w:val="24"/>
          <w:lang w:val="en-US"/>
        </w:rPr>
        <w:t>Regarding</w:t>
      </w:r>
      <w:r w:rsidR="00A7764C" w:rsidRPr="00863A17">
        <w:rPr>
          <w:rFonts w:ascii="Tahoma" w:hAnsi="Tahoma" w:cs="Tahoma"/>
          <w:sz w:val="24"/>
          <w:szCs w:val="24"/>
          <w:lang w:val="en-US"/>
        </w:rPr>
        <w:t xml:space="preserve"> commodity prices</w:t>
      </w:r>
      <w:r>
        <w:rPr>
          <w:rFonts w:ascii="Tahoma" w:hAnsi="Tahoma" w:cs="Tahoma"/>
          <w:sz w:val="24"/>
          <w:szCs w:val="24"/>
          <w:lang w:val="en-US"/>
        </w:rPr>
        <w:t>, crude oil and natural gas prices gained by 4.8% and 0.54% respectively while prices of aluminum, copper, nickel, gold, cotton, soyabeans, corn and wheat fell on a m-o-m basis.</w:t>
      </w:r>
    </w:p>
    <w:p w14:paraId="563A2262" w14:textId="4DC286C7" w:rsidR="00CB78E8" w:rsidRPr="00990B3E" w:rsidRDefault="00E148D0" w:rsidP="007E39CC">
      <w:pPr>
        <w:jc w:val="both"/>
        <w:rPr>
          <w:rFonts w:ascii="Tahoma" w:hAnsi="Tahoma" w:cs="Tahoma"/>
          <w:sz w:val="24"/>
          <w:szCs w:val="24"/>
        </w:rPr>
      </w:pPr>
      <w:r>
        <w:rPr>
          <w:rFonts w:ascii="Tahoma" w:hAnsi="Tahoma" w:cs="Tahoma"/>
          <w:sz w:val="24"/>
          <w:szCs w:val="24"/>
        </w:rPr>
        <w:t>According to the World Bank Group, June 2024 Global Economic Prospects, economic growth in Zimbabwe is projected to reach 3.3% in 2024</w:t>
      </w:r>
      <w:r w:rsidR="0073364A">
        <w:rPr>
          <w:rFonts w:ascii="Tahoma" w:hAnsi="Tahoma" w:cs="Tahoma"/>
          <w:sz w:val="24"/>
          <w:szCs w:val="24"/>
        </w:rPr>
        <w:t xml:space="preserve"> before picking up to</w:t>
      </w:r>
      <w:r>
        <w:rPr>
          <w:rFonts w:ascii="Tahoma" w:hAnsi="Tahoma" w:cs="Tahoma"/>
          <w:sz w:val="24"/>
          <w:szCs w:val="24"/>
        </w:rPr>
        <w:t xml:space="preserve"> 3.6% </w:t>
      </w:r>
      <w:r w:rsidR="0073364A">
        <w:rPr>
          <w:rFonts w:ascii="Tahoma" w:hAnsi="Tahoma" w:cs="Tahoma"/>
          <w:sz w:val="24"/>
          <w:szCs w:val="24"/>
        </w:rPr>
        <w:t xml:space="preserve">in </w:t>
      </w:r>
      <w:r>
        <w:rPr>
          <w:rFonts w:ascii="Tahoma" w:hAnsi="Tahoma" w:cs="Tahoma"/>
          <w:sz w:val="24"/>
          <w:szCs w:val="24"/>
        </w:rPr>
        <w:t xml:space="preserve">2025 and </w:t>
      </w:r>
      <w:r w:rsidR="0073364A">
        <w:rPr>
          <w:rFonts w:ascii="Tahoma" w:hAnsi="Tahoma" w:cs="Tahoma"/>
          <w:sz w:val="24"/>
          <w:szCs w:val="24"/>
        </w:rPr>
        <w:t xml:space="preserve">slightly slowing down to </w:t>
      </w:r>
      <w:r>
        <w:rPr>
          <w:rFonts w:ascii="Tahoma" w:hAnsi="Tahoma" w:cs="Tahoma"/>
          <w:sz w:val="24"/>
          <w:szCs w:val="24"/>
        </w:rPr>
        <w:t xml:space="preserve">3.5% in 2026.  </w:t>
      </w:r>
      <w:r w:rsidR="0073364A">
        <w:rPr>
          <w:rFonts w:ascii="Tahoma" w:hAnsi="Tahoma" w:cs="Tahoma"/>
          <w:sz w:val="24"/>
          <w:szCs w:val="24"/>
        </w:rPr>
        <w:t xml:space="preserve">There projections are higher than the estimates of </w:t>
      </w:r>
      <w:r>
        <w:rPr>
          <w:rFonts w:ascii="Tahoma" w:hAnsi="Tahoma" w:cs="Tahoma"/>
          <w:sz w:val="24"/>
          <w:szCs w:val="24"/>
        </w:rPr>
        <w:t xml:space="preserve">IMF </w:t>
      </w:r>
      <w:r w:rsidR="0073364A">
        <w:rPr>
          <w:rFonts w:ascii="Tahoma" w:hAnsi="Tahoma" w:cs="Tahoma"/>
          <w:sz w:val="24"/>
          <w:szCs w:val="24"/>
        </w:rPr>
        <w:t>in</w:t>
      </w:r>
      <w:r>
        <w:rPr>
          <w:rFonts w:ascii="Tahoma" w:hAnsi="Tahoma" w:cs="Tahoma"/>
          <w:sz w:val="24"/>
          <w:szCs w:val="24"/>
        </w:rPr>
        <w:t xml:space="preserve"> its April 2024 WEO report.</w:t>
      </w:r>
    </w:p>
    <w:p w14:paraId="0F45F234" w14:textId="2291D6A2" w:rsidR="007E39CC" w:rsidRDefault="0073364A" w:rsidP="005F16B4">
      <w:pPr>
        <w:spacing w:after="0" w:line="240" w:lineRule="auto"/>
        <w:jc w:val="both"/>
        <w:rPr>
          <w:rFonts w:ascii="Tahoma" w:hAnsi="Tahoma" w:cs="Tahoma"/>
          <w:sz w:val="24"/>
          <w:szCs w:val="24"/>
          <w:lang w:val="en-US"/>
        </w:rPr>
      </w:pPr>
      <w:r>
        <w:rPr>
          <w:rFonts w:ascii="Tahoma" w:hAnsi="Tahoma" w:cs="Tahoma"/>
          <w:sz w:val="24"/>
          <w:szCs w:val="24"/>
          <w:lang w:val="en-US"/>
        </w:rPr>
        <w:t>Regarding</w:t>
      </w:r>
      <w:r w:rsidR="00E148D0">
        <w:rPr>
          <w:rFonts w:ascii="Tahoma" w:hAnsi="Tahoma" w:cs="Tahoma"/>
          <w:sz w:val="24"/>
          <w:szCs w:val="24"/>
          <w:lang w:val="en-US"/>
        </w:rPr>
        <w:t xml:space="preserve"> foreign exchange market, the</w:t>
      </w:r>
      <w:r w:rsidR="007E39CC" w:rsidRPr="00863A17">
        <w:rPr>
          <w:rFonts w:ascii="Tahoma" w:hAnsi="Tahoma" w:cs="Tahoma"/>
          <w:sz w:val="24"/>
          <w:szCs w:val="24"/>
          <w:lang w:val="en-US"/>
        </w:rPr>
        <w:t xml:space="preserve"> </w:t>
      </w:r>
      <w:r w:rsidR="00715890">
        <w:rPr>
          <w:rFonts w:ascii="Tahoma" w:hAnsi="Tahoma" w:cs="Tahoma"/>
          <w:sz w:val="24"/>
          <w:szCs w:val="24"/>
          <w:lang w:val="en-US"/>
        </w:rPr>
        <w:t>ZiG</w:t>
      </w:r>
      <w:r w:rsidR="007E39CC" w:rsidRPr="00863A17">
        <w:rPr>
          <w:rFonts w:ascii="Tahoma" w:hAnsi="Tahoma" w:cs="Tahoma"/>
          <w:sz w:val="24"/>
          <w:szCs w:val="24"/>
          <w:lang w:val="en-US"/>
        </w:rPr>
        <w:t xml:space="preserve"> depreciated against all major currencies</w:t>
      </w:r>
      <w:r w:rsidR="00E148D0">
        <w:rPr>
          <w:rFonts w:ascii="Tahoma" w:hAnsi="Tahoma" w:cs="Tahoma"/>
          <w:sz w:val="24"/>
          <w:szCs w:val="24"/>
          <w:lang w:val="en-US"/>
        </w:rPr>
        <w:t xml:space="preserve"> (USD, GBP, EUR and ZAR)</w:t>
      </w:r>
      <w:r w:rsidR="007E39CC" w:rsidRPr="00863A17">
        <w:rPr>
          <w:rFonts w:ascii="Tahoma" w:hAnsi="Tahoma" w:cs="Tahoma"/>
          <w:sz w:val="24"/>
          <w:szCs w:val="24"/>
          <w:lang w:val="en-US"/>
        </w:rPr>
        <w:t xml:space="preserve"> during the period under review.</w:t>
      </w:r>
      <w:r w:rsidR="00E148D0">
        <w:rPr>
          <w:rFonts w:ascii="Tahoma" w:hAnsi="Tahoma" w:cs="Tahoma"/>
          <w:sz w:val="24"/>
          <w:szCs w:val="24"/>
          <w:lang w:val="en-US"/>
        </w:rPr>
        <w:t xml:space="preserve"> </w:t>
      </w:r>
      <w:r>
        <w:rPr>
          <w:rFonts w:ascii="Tahoma" w:hAnsi="Tahoma" w:cs="Tahoma"/>
          <w:sz w:val="24"/>
          <w:szCs w:val="24"/>
          <w:lang w:val="en-US"/>
        </w:rPr>
        <w:t>On the other hand, t</w:t>
      </w:r>
      <w:r w:rsidR="00E148D0">
        <w:rPr>
          <w:rFonts w:ascii="Tahoma" w:hAnsi="Tahoma" w:cs="Tahoma"/>
          <w:sz w:val="24"/>
          <w:szCs w:val="24"/>
          <w:lang w:val="en-US"/>
        </w:rPr>
        <w:t>he USD gained against GBP and the EUR by 0.73% and 1.21% respectively, albeit depreciating by 1.62% against the ZAR.</w:t>
      </w:r>
    </w:p>
    <w:p w14:paraId="09697E40" w14:textId="77777777" w:rsidR="005F16B4" w:rsidRDefault="005F16B4" w:rsidP="005F16B4">
      <w:pPr>
        <w:spacing w:after="0" w:line="240" w:lineRule="auto"/>
        <w:jc w:val="both"/>
        <w:rPr>
          <w:rFonts w:ascii="Tahoma" w:hAnsi="Tahoma" w:cs="Tahoma"/>
          <w:sz w:val="24"/>
          <w:szCs w:val="24"/>
          <w:lang w:val="en-US"/>
        </w:rPr>
      </w:pPr>
    </w:p>
    <w:p w14:paraId="2F1D0A0F" w14:textId="77777777" w:rsidR="007E39CC" w:rsidRDefault="00C06295" w:rsidP="00244E77">
      <w:pPr>
        <w:spacing w:after="0" w:line="240" w:lineRule="auto"/>
        <w:jc w:val="both"/>
        <w:rPr>
          <w:rFonts w:ascii="Tahoma" w:hAnsi="Tahoma" w:cs="Tahoma"/>
          <w:sz w:val="24"/>
          <w:szCs w:val="24"/>
        </w:rPr>
      </w:pPr>
      <w:r w:rsidRPr="00C06295">
        <w:rPr>
          <w:rFonts w:ascii="Tahoma" w:hAnsi="Tahoma" w:cs="Tahoma"/>
          <w:sz w:val="24"/>
          <w:szCs w:val="24"/>
        </w:rPr>
        <w:t>During the month under review,</w:t>
      </w:r>
      <w:r w:rsidR="00A123CC">
        <w:rPr>
          <w:rFonts w:ascii="Tahoma" w:hAnsi="Tahoma" w:cs="Tahoma"/>
          <w:sz w:val="24"/>
          <w:szCs w:val="24"/>
        </w:rPr>
        <w:t xml:space="preserve"> the economy continued to record a deflation, m-o-m inflation stood at -0.2% up from -0.6 recorded in May 2024.</w:t>
      </w:r>
      <w:r w:rsidR="00B80637">
        <w:rPr>
          <w:rFonts w:ascii="Tahoma" w:hAnsi="Tahoma" w:cs="Tahoma"/>
          <w:sz w:val="24"/>
          <w:szCs w:val="24"/>
        </w:rPr>
        <w:t xml:space="preserve"> The main contributors to inflation being housing, water, electricity, gas and other fuels, and food and non-alcoholic beverages.</w:t>
      </w:r>
      <w:r w:rsidRPr="00C06295">
        <w:rPr>
          <w:rFonts w:ascii="Tahoma" w:hAnsi="Tahoma" w:cs="Tahoma"/>
          <w:sz w:val="24"/>
          <w:szCs w:val="24"/>
        </w:rPr>
        <w:t xml:space="preserve"> </w:t>
      </w:r>
    </w:p>
    <w:p w14:paraId="0817ACC2" w14:textId="77777777" w:rsidR="00244E77" w:rsidRPr="00863A17" w:rsidRDefault="00244E77" w:rsidP="00244E77">
      <w:pPr>
        <w:spacing w:after="0" w:line="240" w:lineRule="auto"/>
        <w:jc w:val="both"/>
        <w:rPr>
          <w:rFonts w:ascii="Tahoma" w:hAnsi="Tahoma" w:cs="Tahoma"/>
          <w:sz w:val="24"/>
          <w:szCs w:val="24"/>
        </w:rPr>
      </w:pPr>
    </w:p>
    <w:p w14:paraId="0F4B30A6" w14:textId="4FE3C8A9" w:rsidR="007E39CC" w:rsidRDefault="007E39CC" w:rsidP="007E39CC">
      <w:pPr>
        <w:jc w:val="both"/>
        <w:rPr>
          <w:rFonts w:ascii="Tahoma" w:hAnsi="Tahoma" w:cs="Tahoma"/>
          <w:sz w:val="24"/>
          <w:szCs w:val="24"/>
        </w:rPr>
      </w:pPr>
      <w:r>
        <w:rPr>
          <w:rFonts w:ascii="Tahoma" w:hAnsi="Tahoma" w:cs="Tahoma"/>
          <w:sz w:val="24"/>
          <w:szCs w:val="24"/>
        </w:rPr>
        <w:t>Meanwhile, during the reporting period data on</w:t>
      </w:r>
      <w:r w:rsidR="00D8200D">
        <w:rPr>
          <w:rFonts w:ascii="Tahoma" w:hAnsi="Tahoma" w:cs="Tahoma"/>
          <w:sz w:val="24"/>
          <w:szCs w:val="24"/>
        </w:rPr>
        <w:t xml:space="preserve"> merchandise, trade</w:t>
      </w:r>
      <w:r>
        <w:rPr>
          <w:rFonts w:ascii="Tahoma" w:hAnsi="Tahoma" w:cs="Tahoma"/>
          <w:sz w:val="24"/>
          <w:szCs w:val="24"/>
        </w:rPr>
        <w:t xml:space="preserve"> broad money supply (M3)</w:t>
      </w:r>
      <w:r w:rsidR="00D8200D">
        <w:rPr>
          <w:rFonts w:ascii="Tahoma" w:hAnsi="Tahoma" w:cs="Tahoma"/>
          <w:sz w:val="24"/>
          <w:szCs w:val="24"/>
        </w:rPr>
        <w:t xml:space="preserve"> and interest rates for June 2024</w:t>
      </w:r>
      <w:r>
        <w:rPr>
          <w:rFonts w:ascii="Tahoma" w:hAnsi="Tahoma" w:cs="Tahoma"/>
          <w:sz w:val="24"/>
          <w:szCs w:val="24"/>
        </w:rPr>
        <w:t xml:space="preserve"> had not been published</w:t>
      </w:r>
      <w:r w:rsidR="00D8200D">
        <w:rPr>
          <w:rFonts w:ascii="Tahoma" w:hAnsi="Tahoma" w:cs="Tahoma"/>
          <w:sz w:val="24"/>
          <w:szCs w:val="24"/>
        </w:rPr>
        <w:t xml:space="preserve"> by Zimbabwe </w:t>
      </w:r>
      <w:r w:rsidR="0073364A">
        <w:rPr>
          <w:rFonts w:ascii="Tahoma" w:hAnsi="Tahoma" w:cs="Tahoma"/>
          <w:sz w:val="24"/>
          <w:szCs w:val="24"/>
        </w:rPr>
        <w:t xml:space="preserve">National </w:t>
      </w:r>
      <w:r w:rsidR="00D8200D">
        <w:rPr>
          <w:rFonts w:ascii="Tahoma" w:hAnsi="Tahoma" w:cs="Tahoma"/>
          <w:sz w:val="24"/>
          <w:szCs w:val="24"/>
        </w:rPr>
        <w:t>Stat</w:t>
      </w:r>
      <w:r w:rsidR="0073364A">
        <w:rPr>
          <w:rFonts w:ascii="Tahoma" w:hAnsi="Tahoma" w:cs="Tahoma"/>
          <w:sz w:val="24"/>
          <w:szCs w:val="24"/>
        </w:rPr>
        <w:t>istics</w:t>
      </w:r>
      <w:r w:rsidR="00D8200D">
        <w:rPr>
          <w:rFonts w:ascii="Tahoma" w:hAnsi="Tahoma" w:cs="Tahoma"/>
          <w:sz w:val="24"/>
          <w:szCs w:val="24"/>
        </w:rPr>
        <w:t xml:space="preserve"> Agency (ZimStat) and the Reserve Bank of Zimbabwe (RBZ)</w:t>
      </w:r>
      <w:r>
        <w:rPr>
          <w:rFonts w:ascii="Tahoma" w:hAnsi="Tahoma" w:cs="Tahoma"/>
          <w:sz w:val="24"/>
          <w:szCs w:val="24"/>
        </w:rPr>
        <w:t>,</w:t>
      </w:r>
      <w:r w:rsidR="00D8200D">
        <w:rPr>
          <w:rFonts w:ascii="Tahoma" w:hAnsi="Tahoma" w:cs="Tahoma"/>
          <w:sz w:val="24"/>
          <w:szCs w:val="24"/>
        </w:rPr>
        <w:t xml:space="preserve"> thus this</w:t>
      </w:r>
      <w:r>
        <w:rPr>
          <w:rFonts w:ascii="Tahoma" w:hAnsi="Tahoma" w:cs="Tahoma"/>
          <w:sz w:val="24"/>
          <w:szCs w:val="24"/>
        </w:rPr>
        <w:t xml:space="preserve"> analysis </w:t>
      </w:r>
      <w:r w:rsidR="00D8200D">
        <w:rPr>
          <w:rFonts w:ascii="Tahoma" w:hAnsi="Tahoma" w:cs="Tahoma"/>
          <w:sz w:val="24"/>
          <w:szCs w:val="24"/>
        </w:rPr>
        <w:t>remain unchanged from the April 2024 Economic bulletin.</w:t>
      </w:r>
    </w:p>
    <w:p w14:paraId="5295FD30" w14:textId="7095E3FE" w:rsidR="007E39CC" w:rsidRPr="00863A17" w:rsidRDefault="00BE25EC" w:rsidP="00085B08">
      <w:pPr>
        <w:jc w:val="both"/>
        <w:rPr>
          <w:rFonts w:ascii="Tahoma" w:hAnsi="Tahoma" w:cs="Tahoma"/>
          <w:sz w:val="24"/>
          <w:szCs w:val="24"/>
          <w:lang w:val="en-US"/>
        </w:rPr>
        <w:sectPr w:rsidR="007E39CC" w:rsidRPr="00863A17" w:rsidSect="006D22C2">
          <w:pgSz w:w="11906" w:h="16838"/>
          <w:pgMar w:top="1440" w:right="1440" w:bottom="1440" w:left="1440" w:header="708" w:footer="708" w:gutter="0"/>
          <w:pgNumType w:fmt="lowerRoman" w:start="1"/>
          <w:cols w:space="708"/>
          <w:docGrid w:linePitch="360"/>
        </w:sectPr>
      </w:pPr>
      <w:r>
        <w:rPr>
          <w:rFonts w:ascii="Tahoma" w:hAnsi="Tahoma" w:cs="Tahoma"/>
          <w:sz w:val="24"/>
          <w:szCs w:val="24"/>
          <w:lang w:val="en-US"/>
        </w:rPr>
        <w:t>Concerning the</w:t>
      </w:r>
      <w:r w:rsidR="007E39CC" w:rsidRPr="00863A17">
        <w:rPr>
          <w:rFonts w:ascii="Tahoma" w:hAnsi="Tahoma" w:cs="Tahoma"/>
          <w:sz w:val="24"/>
          <w:szCs w:val="24"/>
          <w:lang w:val="en-US"/>
        </w:rPr>
        <w:t xml:space="preserve"> stock market, </w:t>
      </w:r>
      <w:r>
        <w:rPr>
          <w:rFonts w:ascii="Tahoma" w:hAnsi="Tahoma" w:cs="Tahoma"/>
          <w:sz w:val="24"/>
          <w:szCs w:val="24"/>
          <w:lang w:val="en-US"/>
        </w:rPr>
        <w:t xml:space="preserve">during June 2024 </w:t>
      </w:r>
      <w:r w:rsidR="00A65D00">
        <w:rPr>
          <w:rFonts w:ascii="Tahoma" w:hAnsi="Tahoma" w:cs="Tahoma"/>
          <w:sz w:val="24"/>
          <w:szCs w:val="24"/>
          <w:lang w:val="en-US"/>
        </w:rPr>
        <w:t xml:space="preserve">both </w:t>
      </w:r>
      <w:r w:rsidR="007E39CC" w:rsidRPr="00863A17">
        <w:rPr>
          <w:rFonts w:ascii="Tahoma" w:hAnsi="Tahoma" w:cs="Tahoma"/>
          <w:sz w:val="24"/>
          <w:szCs w:val="24"/>
          <w:lang w:val="en-US"/>
        </w:rPr>
        <w:t>the Zimbabwe Stock Exchange</w:t>
      </w:r>
      <w:r w:rsidR="00C00CE3">
        <w:rPr>
          <w:rFonts w:ascii="Tahoma" w:hAnsi="Tahoma" w:cs="Tahoma"/>
          <w:sz w:val="24"/>
          <w:szCs w:val="24"/>
          <w:lang w:val="en-US"/>
        </w:rPr>
        <w:t xml:space="preserve"> (ZSE)</w:t>
      </w:r>
      <w:r w:rsidR="00A65D00">
        <w:rPr>
          <w:rFonts w:ascii="Tahoma" w:hAnsi="Tahoma" w:cs="Tahoma"/>
          <w:sz w:val="24"/>
          <w:szCs w:val="24"/>
          <w:lang w:val="en-US"/>
        </w:rPr>
        <w:t xml:space="preserve"> and </w:t>
      </w:r>
      <w:r w:rsidR="00A65D00" w:rsidRPr="00863A17">
        <w:rPr>
          <w:rFonts w:ascii="Tahoma" w:hAnsi="Tahoma" w:cs="Tahoma"/>
          <w:sz w:val="24"/>
          <w:szCs w:val="24"/>
          <w:lang w:val="en-US"/>
        </w:rPr>
        <w:t>Victoria Falls Stock Exchange</w:t>
      </w:r>
      <w:r w:rsidR="00C00CE3">
        <w:rPr>
          <w:rFonts w:ascii="Tahoma" w:hAnsi="Tahoma" w:cs="Tahoma"/>
          <w:sz w:val="24"/>
          <w:szCs w:val="24"/>
          <w:lang w:val="en-US"/>
        </w:rPr>
        <w:t xml:space="preserve"> (VFEX)</w:t>
      </w:r>
      <w:r w:rsidR="00A65D00" w:rsidRPr="00863A17">
        <w:rPr>
          <w:rFonts w:ascii="Tahoma" w:hAnsi="Tahoma" w:cs="Tahoma"/>
          <w:sz w:val="24"/>
          <w:szCs w:val="24"/>
          <w:lang w:val="en-US"/>
        </w:rPr>
        <w:t xml:space="preserve"> </w:t>
      </w:r>
      <w:r w:rsidR="007E39CC" w:rsidRPr="00863A17">
        <w:rPr>
          <w:rFonts w:ascii="Tahoma" w:hAnsi="Tahoma" w:cs="Tahoma"/>
          <w:sz w:val="24"/>
          <w:szCs w:val="24"/>
          <w:lang w:val="en-US"/>
        </w:rPr>
        <w:t xml:space="preserve">recorded a </w:t>
      </w:r>
      <w:r>
        <w:rPr>
          <w:rFonts w:ascii="Tahoma" w:hAnsi="Tahoma" w:cs="Tahoma"/>
          <w:sz w:val="24"/>
          <w:szCs w:val="24"/>
          <w:lang w:val="en-US"/>
        </w:rPr>
        <w:t>bullish</w:t>
      </w:r>
      <w:r w:rsidR="007E39CC" w:rsidRPr="00863A17">
        <w:rPr>
          <w:rFonts w:ascii="Tahoma" w:hAnsi="Tahoma" w:cs="Tahoma"/>
          <w:sz w:val="24"/>
          <w:szCs w:val="24"/>
          <w:lang w:val="en-US"/>
        </w:rPr>
        <w:t xml:space="preserve"> trend</w:t>
      </w:r>
      <w:r>
        <w:rPr>
          <w:rFonts w:ascii="Tahoma" w:hAnsi="Tahoma" w:cs="Tahoma"/>
          <w:sz w:val="24"/>
          <w:szCs w:val="24"/>
          <w:lang w:val="en-US"/>
        </w:rPr>
        <w:t>.</w:t>
      </w:r>
      <w:r w:rsidR="007E39CC" w:rsidRPr="00863A17">
        <w:rPr>
          <w:rFonts w:ascii="Tahoma" w:hAnsi="Tahoma" w:cs="Tahoma"/>
          <w:sz w:val="24"/>
          <w:szCs w:val="24"/>
          <w:lang w:val="en-US"/>
        </w:rPr>
        <w:t xml:space="preserve"> </w:t>
      </w:r>
      <w:r w:rsidR="00675296">
        <w:rPr>
          <w:rFonts w:ascii="Tahoma" w:hAnsi="Tahoma" w:cs="Tahoma"/>
          <w:sz w:val="24"/>
          <w:szCs w:val="24"/>
          <w:lang w:val="en-US"/>
        </w:rPr>
        <w:t xml:space="preserve"> </w:t>
      </w:r>
      <w:r w:rsidR="00003AB2">
        <w:rPr>
          <w:rFonts w:ascii="Tahoma" w:hAnsi="Tahoma" w:cs="Tahoma"/>
          <w:sz w:val="24"/>
          <w:szCs w:val="24"/>
          <w:lang w:val="en-US"/>
        </w:rPr>
        <w:t>On ZSE, all</w:t>
      </w:r>
      <w:r w:rsidR="00675296">
        <w:rPr>
          <w:rFonts w:ascii="Tahoma" w:hAnsi="Tahoma" w:cs="Tahoma"/>
          <w:sz w:val="24"/>
          <w:szCs w:val="24"/>
          <w:lang w:val="en-US"/>
        </w:rPr>
        <w:t xml:space="preserve">-share index gained by 1.6%, top 10 index gained by 34.53%, value traded grew by 3380.24% and market capitalization grew by 31.24%. </w:t>
      </w:r>
      <w:r w:rsidR="0073364A">
        <w:rPr>
          <w:rFonts w:ascii="Tahoma" w:hAnsi="Tahoma" w:cs="Tahoma"/>
          <w:sz w:val="24"/>
          <w:szCs w:val="24"/>
          <w:lang w:val="en-US"/>
        </w:rPr>
        <w:t>Similarly, o</w:t>
      </w:r>
      <w:r w:rsidR="00675296">
        <w:rPr>
          <w:rFonts w:ascii="Tahoma" w:hAnsi="Tahoma" w:cs="Tahoma"/>
          <w:sz w:val="24"/>
          <w:szCs w:val="24"/>
          <w:lang w:val="en-US"/>
        </w:rPr>
        <w:t>n VFEX, all-share index gained by 5.57% and market capitalization grew by 8.38% while value traded lost by 85.64</w:t>
      </w:r>
      <w:r w:rsidR="00E4218B">
        <w:rPr>
          <w:rFonts w:ascii="Tahoma" w:hAnsi="Tahoma" w:cs="Tahoma"/>
          <w:sz w:val="24"/>
          <w:szCs w:val="24"/>
          <w:lang w:val="en-US"/>
        </w:rPr>
        <w:t>%.</w:t>
      </w:r>
    </w:p>
    <w:p w14:paraId="406BC687" w14:textId="77777777" w:rsidR="00D46F37" w:rsidRPr="00AF6FB2" w:rsidRDefault="00D46F37">
      <w:pPr>
        <w:pStyle w:val="TOCHeading"/>
      </w:pPr>
      <w:r w:rsidRPr="00AF6FB2">
        <w:lastRenderedPageBreak/>
        <w:t>Table of Contents</w:t>
      </w:r>
    </w:p>
    <w:p w14:paraId="01ABFCAB" w14:textId="77777777" w:rsidR="00C07FC0" w:rsidRPr="00C07FC0" w:rsidRDefault="00D46F37">
      <w:pPr>
        <w:pStyle w:val="TOC1"/>
        <w:tabs>
          <w:tab w:val="right" w:leader="dot" w:pos="9016"/>
        </w:tabs>
        <w:rPr>
          <w:rFonts w:ascii="Tahoma" w:eastAsia="Times New Roman" w:hAnsi="Tahoma" w:cs="Tahoma"/>
          <w:noProof/>
          <w:sz w:val="24"/>
          <w:szCs w:val="24"/>
          <w:lang w:eastAsia="en-ZW"/>
        </w:rPr>
      </w:pPr>
      <w:r>
        <w:fldChar w:fldCharType="begin"/>
      </w:r>
      <w:r>
        <w:instrText xml:space="preserve"> TOC \o "1-3" \h \z \u </w:instrText>
      </w:r>
      <w:r>
        <w:fldChar w:fldCharType="separate"/>
      </w:r>
      <w:hyperlink w:anchor="_Toc171946080" w:history="1">
        <w:r w:rsidR="00C07FC0" w:rsidRPr="00C07FC0">
          <w:rPr>
            <w:rStyle w:val="Hyperlink"/>
            <w:rFonts w:ascii="Tahoma" w:hAnsi="Tahoma" w:cs="Tahoma"/>
            <w:noProof/>
            <w:sz w:val="24"/>
            <w:szCs w:val="24"/>
            <w:lang w:val="en-US"/>
          </w:rPr>
          <w:t>Executive Summary</w:t>
        </w:r>
        <w:r w:rsidR="00C07FC0" w:rsidRPr="00C07FC0">
          <w:rPr>
            <w:rFonts w:ascii="Tahoma" w:hAnsi="Tahoma" w:cs="Tahoma"/>
            <w:noProof/>
            <w:webHidden/>
            <w:sz w:val="24"/>
            <w:szCs w:val="24"/>
          </w:rPr>
          <w:tab/>
        </w:r>
        <w:r w:rsidR="00C07FC0" w:rsidRPr="00C07FC0">
          <w:rPr>
            <w:rFonts w:ascii="Tahoma" w:hAnsi="Tahoma" w:cs="Tahoma"/>
            <w:noProof/>
            <w:webHidden/>
            <w:sz w:val="24"/>
            <w:szCs w:val="24"/>
          </w:rPr>
          <w:fldChar w:fldCharType="begin"/>
        </w:r>
        <w:r w:rsidR="00C07FC0" w:rsidRPr="00C07FC0">
          <w:rPr>
            <w:rFonts w:ascii="Tahoma" w:hAnsi="Tahoma" w:cs="Tahoma"/>
            <w:noProof/>
            <w:webHidden/>
            <w:sz w:val="24"/>
            <w:szCs w:val="24"/>
          </w:rPr>
          <w:instrText xml:space="preserve"> PAGEREF _Toc171946080 \h </w:instrText>
        </w:r>
        <w:r w:rsidR="00C07FC0" w:rsidRPr="00C07FC0">
          <w:rPr>
            <w:rFonts w:ascii="Tahoma" w:hAnsi="Tahoma" w:cs="Tahoma"/>
            <w:noProof/>
            <w:webHidden/>
            <w:sz w:val="24"/>
            <w:szCs w:val="24"/>
          </w:rPr>
        </w:r>
        <w:r w:rsidR="00C07FC0" w:rsidRPr="00C07FC0">
          <w:rPr>
            <w:rFonts w:ascii="Tahoma" w:hAnsi="Tahoma" w:cs="Tahoma"/>
            <w:noProof/>
            <w:webHidden/>
            <w:sz w:val="24"/>
            <w:szCs w:val="24"/>
          </w:rPr>
          <w:fldChar w:fldCharType="separate"/>
        </w:r>
        <w:r w:rsidR="00C07FC0" w:rsidRPr="00C07FC0">
          <w:rPr>
            <w:rFonts w:ascii="Tahoma" w:hAnsi="Tahoma" w:cs="Tahoma"/>
            <w:noProof/>
            <w:webHidden/>
            <w:sz w:val="24"/>
            <w:szCs w:val="24"/>
          </w:rPr>
          <w:t>i</w:t>
        </w:r>
        <w:r w:rsidR="00C07FC0" w:rsidRPr="00C07FC0">
          <w:rPr>
            <w:rFonts w:ascii="Tahoma" w:hAnsi="Tahoma" w:cs="Tahoma"/>
            <w:noProof/>
            <w:webHidden/>
            <w:sz w:val="24"/>
            <w:szCs w:val="24"/>
          </w:rPr>
          <w:fldChar w:fldCharType="end"/>
        </w:r>
      </w:hyperlink>
    </w:p>
    <w:p w14:paraId="3E08D482" w14:textId="77777777" w:rsidR="00C07FC0" w:rsidRPr="00C07FC0" w:rsidRDefault="00000000">
      <w:pPr>
        <w:pStyle w:val="TOC1"/>
        <w:tabs>
          <w:tab w:val="left" w:pos="660"/>
          <w:tab w:val="right" w:leader="dot" w:pos="9016"/>
        </w:tabs>
        <w:rPr>
          <w:rFonts w:ascii="Tahoma" w:eastAsia="Times New Roman" w:hAnsi="Tahoma" w:cs="Tahoma"/>
          <w:noProof/>
          <w:sz w:val="24"/>
          <w:szCs w:val="24"/>
          <w:lang w:eastAsia="en-ZW"/>
        </w:rPr>
      </w:pPr>
      <w:hyperlink w:anchor="_Toc171946081" w:history="1">
        <w:r w:rsidR="00C07FC0" w:rsidRPr="00C07FC0">
          <w:rPr>
            <w:rStyle w:val="Hyperlink"/>
            <w:rFonts w:ascii="Tahoma" w:hAnsi="Tahoma" w:cs="Tahoma"/>
            <w:noProof/>
            <w:sz w:val="24"/>
            <w:szCs w:val="24"/>
            <w:lang w:val="en-US"/>
          </w:rPr>
          <w:t>1.0</w:t>
        </w:r>
        <w:r w:rsidR="00C07FC0" w:rsidRPr="00C07FC0">
          <w:rPr>
            <w:rFonts w:ascii="Tahoma" w:eastAsia="Times New Roman" w:hAnsi="Tahoma" w:cs="Tahoma"/>
            <w:noProof/>
            <w:sz w:val="24"/>
            <w:szCs w:val="24"/>
            <w:lang w:eastAsia="en-ZW"/>
          </w:rPr>
          <w:tab/>
        </w:r>
        <w:r w:rsidR="00C07FC0" w:rsidRPr="00C07FC0">
          <w:rPr>
            <w:rStyle w:val="Hyperlink"/>
            <w:rFonts w:ascii="Tahoma" w:hAnsi="Tahoma" w:cs="Tahoma"/>
            <w:noProof/>
            <w:sz w:val="24"/>
            <w:szCs w:val="24"/>
            <w:lang w:val="en-US"/>
          </w:rPr>
          <w:t>World Economic Developments</w:t>
        </w:r>
        <w:r w:rsidR="00C07FC0" w:rsidRPr="00C07FC0">
          <w:rPr>
            <w:rFonts w:ascii="Tahoma" w:hAnsi="Tahoma" w:cs="Tahoma"/>
            <w:noProof/>
            <w:webHidden/>
            <w:sz w:val="24"/>
            <w:szCs w:val="24"/>
          </w:rPr>
          <w:tab/>
        </w:r>
        <w:r w:rsidR="00C07FC0" w:rsidRPr="00C07FC0">
          <w:rPr>
            <w:rFonts w:ascii="Tahoma" w:hAnsi="Tahoma" w:cs="Tahoma"/>
            <w:noProof/>
            <w:webHidden/>
            <w:sz w:val="24"/>
            <w:szCs w:val="24"/>
          </w:rPr>
          <w:fldChar w:fldCharType="begin"/>
        </w:r>
        <w:r w:rsidR="00C07FC0" w:rsidRPr="00C07FC0">
          <w:rPr>
            <w:rFonts w:ascii="Tahoma" w:hAnsi="Tahoma" w:cs="Tahoma"/>
            <w:noProof/>
            <w:webHidden/>
            <w:sz w:val="24"/>
            <w:szCs w:val="24"/>
          </w:rPr>
          <w:instrText xml:space="preserve"> PAGEREF _Toc171946081 \h </w:instrText>
        </w:r>
        <w:r w:rsidR="00C07FC0" w:rsidRPr="00C07FC0">
          <w:rPr>
            <w:rFonts w:ascii="Tahoma" w:hAnsi="Tahoma" w:cs="Tahoma"/>
            <w:noProof/>
            <w:webHidden/>
            <w:sz w:val="24"/>
            <w:szCs w:val="24"/>
          </w:rPr>
        </w:r>
        <w:r w:rsidR="00C07FC0" w:rsidRPr="00C07FC0">
          <w:rPr>
            <w:rFonts w:ascii="Tahoma" w:hAnsi="Tahoma" w:cs="Tahoma"/>
            <w:noProof/>
            <w:webHidden/>
            <w:sz w:val="24"/>
            <w:szCs w:val="24"/>
          </w:rPr>
          <w:fldChar w:fldCharType="separate"/>
        </w:r>
        <w:r w:rsidR="00C07FC0" w:rsidRPr="00C07FC0">
          <w:rPr>
            <w:rFonts w:ascii="Tahoma" w:hAnsi="Tahoma" w:cs="Tahoma"/>
            <w:noProof/>
            <w:webHidden/>
            <w:sz w:val="24"/>
            <w:szCs w:val="24"/>
          </w:rPr>
          <w:t>1</w:t>
        </w:r>
        <w:r w:rsidR="00C07FC0" w:rsidRPr="00C07FC0">
          <w:rPr>
            <w:rFonts w:ascii="Tahoma" w:hAnsi="Tahoma" w:cs="Tahoma"/>
            <w:noProof/>
            <w:webHidden/>
            <w:sz w:val="24"/>
            <w:szCs w:val="24"/>
          </w:rPr>
          <w:fldChar w:fldCharType="end"/>
        </w:r>
      </w:hyperlink>
    </w:p>
    <w:p w14:paraId="73CD5565" w14:textId="77777777" w:rsidR="00C07FC0" w:rsidRPr="00C07FC0" w:rsidRDefault="00000000">
      <w:pPr>
        <w:pStyle w:val="TOC2"/>
        <w:rPr>
          <w:rFonts w:eastAsia="Times New Roman"/>
          <w:b w:val="0"/>
          <w:lang w:val="en-ZW" w:eastAsia="en-ZW"/>
        </w:rPr>
      </w:pPr>
      <w:hyperlink w:anchor="_Toc171946082" w:history="1">
        <w:r w:rsidR="00C07FC0" w:rsidRPr="00C07FC0">
          <w:rPr>
            <w:rStyle w:val="Hyperlink"/>
            <w:b w:val="0"/>
          </w:rPr>
          <w:t xml:space="preserve">1.1 </w:t>
        </w:r>
        <w:r w:rsidR="00C07FC0" w:rsidRPr="00C07FC0">
          <w:rPr>
            <w:rFonts w:eastAsia="Times New Roman"/>
            <w:b w:val="0"/>
            <w:lang w:val="en-ZW" w:eastAsia="en-ZW"/>
          </w:rPr>
          <w:tab/>
        </w:r>
        <w:r w:rsidR="00C07FC0" w:rsidRPr="00C07FC0">
          <w:rPr>
            <w:rStyle w:val="Hyperlink"/>
            <w:b w:val="0"/>
          </w:rPr>
          <w:t>World Output</w:t>
        </w:r>
        <w:r w:rsidR="00C07FC0" w:rsidRPr="00C07FC0">
          <w:rPr>
            <w:b w:val="0"/>
            <w:webHidden/>
          </w:rPr>
          <w:tab/>
        </w:r>
        <w:r w:rsidR="00C07FC0" w:rsidRPr="00C07FC0">
          <w:rPr>
            <w:b w:val="0"/>
            <w:webHidden/>
          </w:rPr>
          <w:fldChar w:fldCharType="begin"/>
        </w:r>
        <w:r w:rsidR="00C07FC0" w:rsidRPr="00C07FC0">
          <w:rPr>
            <w:b w:val="0"/>
            <w:webHidden/>
          </w:rPr>
          <w:instrText xml:space="preserve"> PAGEREF _Toc171946082 \h </w:instrText>
        </w:r>
        <w:r w:rsidR="00C07FC0" w:rsidRPr="00C07FC0">
          <w:rPr>
            <w:b w:val="0"/>
            <w:webHidden/>
          </w:rPr>
        </w:r>
        <w:r w:rsidR="00C07FC0" w:rsidRPr="00C07FC0">
          <w:rPr>
            <w:b w:val="0"/>
            <w:webHidden/>
          </w:rPr>
          <w:fldChar w:fldCharType="separate"/>
        </w:r>
        <w:r w:rsidR="00C07FC0" w:rsidRPr="00C07FC0">
          <w:rPr>
            <w:b w:val="0"/>
            <w:webHidden/>
          </w:rPr>
          <w:t>1</w:t>
        </w:r>
        <w:r w:rsidR="00C07FC0" w:rsidRPr="00C07FC0">
          <w:rPr>
            <w:b w:val="0"/>
            <w:webHidden/>
          </w:rPr>
          <w:fldChar w:fldCharType="end"/>
        </w:r>
      </w:hyperlink>
    </w:p>
    <w:p w14:paraId="2751F030" w14:textId="77777777" w:rsidR="00C07FC0" w:rsidRPr="00C07FC0" w:rsidRDefault="00000000">
      <w:pPr>
        <w:pStyle w:val="TOC2"/>
        <w:rPr>
          <w:rFonts w:eastAsia="Times New Roman"/>
          <w:b w:val="0"/>
          <w:lang w:val="en-ZW" w:eastAsia="en-ZW"/>
        </w:rPr>
      </w:pPr>
      <w:hyperlink w:anchor="_Toc171946083" w:history="1">
        <w:r w:rsidR="00C07FC0" w:rsidRPr="00C07FC0">
          <w:rPr>
            <w:rStyle w:val="Hyperlink"/>
            <w:b w:val="0"/>
          </w:rPr>
          <w:t>1.2</w:t>
        </w:r>
        <w:r w:rsidR="00C07FC0" w:rsidRPr="00C07FC0">
          <w:rPr>
            <w:rFonts w:eastAsia="Times New Roman"/>
            <w:b w:val="0"/>
            <w:lang w:val="en-ZW" w:eastAsia="en-ZW"/>
          </w:rPr>
          <w:tab/>
        </w:r>
        <w:r w:rsidR="00C07FC0" w:rsidRPr="00C07FC0">
          <w:rPr>
            <w:rStyle w:val="Hyperlink"/>
            <w:b w:val="0"/>
          </w:rPr>
          <w:t>Global Inflation Developments</w:t>
        </w:r>
        <w:r w:rsidR="00C07FC0" w:rsidRPr="00C07FC0">
          <w:rPr>
            <w:b w:val="0"/>
            <w:webHidden/>
          </w:rPr>
          <w:tab/>
        </w:r>
        <w:r w:rsidR="00C07FC0" w:rsidRPr="00C07FC0">
          <w:rPr>
            <w:b w:val="0"/>
            <w:webHidden/>
          </w:rPr>
          <w:fldChar w:fldCharType="begin"/>
        </w:r>
        <w:r w:rsidR="00C07FC0" w:rsidRPr="00C07FC0">
          <w:rPr>
            <w:b w:val="0"/>
            <w:webHidden/>
          </w:rPr>
          <w:instrText xml:space="preserve"> PAGEREF _Toc171946083 \h </w:instrText>
        </w:r>
        <w:r w:rsidR="00C07FC0" w:rsidRPr="00C07FC0">
          <w:rPr>
            <w:b w:val="0"/>
            <w:webHidden/>
          </w:rPr>
        </w:r>
        <w:r w:rsidR="00C07FC0" w:rsidRPr="00C07FC0">
          <w:rPr>
            <w:b w:val="0"/>
            <w:webHidden/>
          </w:rPr>
          <w:fldChar w:fldCharType="separate"/>
        </w:r>
        <w:r w:rsidR="00C07FC0" w:rsidRPr="00C07FC0">
          <w:rPr>
            <w:b w:val="0"/>
            <w:webHidden/>
          </w:rPr>
          <w:t>1</w:t>
        </w:r>
        <w:r w:rsidR="00C07FC0" w:rsidRPr="00C07FC0">
          <w:rPr>
            <w:b w:val="0"/>
            <w:webHidden/>
          </w:rPr>
          <w:fldChar w:fldCharType="end"/>
        </w:r>
      </w:hyperlink>
    </w:p>
    <w:p w14:paraId="0D783BE1" w14:textId="77777777" w:rsidR="00C07FC0" w:rsidRPr="00C07FC0" w:rsidRDefault="00000000">
      <w:pPr>
        <w:pStyle w:val="TOC2"/>
        <w:rPr>
          <w:rFonts w:eastAsia="Times New Roman"/>
          <w:b w:val="0"/>
          <w:lang w:val="en-ZW" w:eastAsia="en-ZW"/>
        </w:rPr>
      </w:pPr>
      <w:hyperlink w:anchor="_Toc171946084" w:history="1">
        <w:r w:rsidR="00C07FC0" w:rsidRPr="00C07FC0">
          <w:rPr>
            <w:rStyle w:val="Hyperlink"/>
            <w:b w:val="0"/>
          </w:rPr>
          <w:t>2.0</w:t>
        </w:r>
        <w:r w:rsidR="00C07FC0" w:rsidRPr="00C07FC0">
          <w:rPr>
            <w:rFonts w:eastAsia="Times New Roman"/>
            <w:b w:val="0"/>
            <w:lang w:val="en-ZW" w:eastAsia="en-ZW"/>
          </w:rPr>
          <w:tab/>
        </w:r>
        <w:r w:rsidR="00C07FC0" w:rsidRPr="00C07FC0">
          <w:rPr>
            <w:rStyle w:val="Hyperlink"/>
            <w:b w:val="0"/>
          </w:rPr>
          <w:t>International Commodity Prices</w:t>
        </w:r>
        <w:r w:rsidR="00C07FC0" w:rsidRPr="00C07FC0">
          <w:rPr>
            <w:b w:val="0"/>
            <w:webHidden/>
          </w:rPr>
          <w:tab/>
        </w:r>
        <w:r w:rsidR="00C07FC0" w:rsidRPr="00C07FC0">
          <w:rPr>
            <w:b w:val="0"/>
            <w:webHidden/>
          </w:rPr>
          <w:fldChar w:fldCharType="begin"/>
        </w:r>
        <w:r w:rsidR="00C07FC0" w:rsidRPr="00C07FC0">
          <w:rPr>
            <w:b w:val="0"/>
            <w:webHidden/>
          </w:rPr>
          <w:instrText xml:space="preserve"> PAGEREF _Toc171946084 \h </w:instrText>
        </w:r>
        <w:r w:rsidR="00C07FC0" w:rsidRPr="00C07FC0">
          <w:rPr>
            <w:b w:val="0"/>
            <w:webHidden/>
          </w:rPr>
        </w:r>
        <w:r w:rsidR="00C07FC0" w:rsidRPr="00C07FC0">
          <w:rPr>
            <w:b w:val="0"/>
            <w:webHidden/>
          </w:rPr>
          <w:fldChar w:fldCharType="separate"/>
        </w:r>
        <w:r w:rsidR="00C07FC0" w:rsidRPr="00C07FC0">
          <w:rPr>
            <w:b w:val="0"/>
            <w:webHidden/>
          </w:rPr>
          <w:t>2</w:t>
        </w:r>
        <w:r w:rsidR="00C07FC0" w:rsidRPr="00C07FC0">
          <w:rPr>
            <w:b w:val="0"/>
            <w:webHidden/>
          </w:rPr>
          <w:fldChar w:fldCharType="end"/>
        </w:r>
      </w:hyperlink>
    </w:p>
    <w:p w14:paraId="589DE36E" w14:textId="77777777" w:rsidR="00C07FC0" w:rsidRPr="00C07FC0" w:rsidRDefault="00000000">
      <w:pPr>
        <w:pStyle w:val="TOC1"/>
        <w:tabs>
          <w:tab w:val="left" w:pos="660"/>
          <w:tab w:val="right" w:leader="dot" w:pos="9016"/>
        </w:tabs>
        <w:rPr>
          <w:rFonts w:ascii="Tahoma" w:eastAsia="Times New Roman" w:hAnsi="Tahoma" w:cs="Tahoma"/>
          <w:noProof/>
          <w:sz w:val="24"/>
          <w:szCs w:val="24"/>
          <w:lang w:eastAsia="en-ZW"/>
        </w:rPr>
      </w:pPr>
      <w:hyperlink w:anchor="_Toc171946085" w:history="1">
        <w:r w:rsidR="00C07FC0" w:rsidRPr="00C07FC0">
          <w:rPr>
            <w:rStyle w:val="Hyperlink"/>
            <w:rFonts w:ascii="Tahoma" w:hAnsi="Tahoma" w:cs="Tahoma"/>
            <w:noProof/>
            <w:sz w:val="24"/>
            <w:szCs w:val="24"/>
            <w:lang w:val="en-US"/>
          </w:rPr>
          <w:t>3.0</w:t>
        </w:r>
        <w:r w:rsidR="00C07FC0" w:rsidRPr="00C07FC0">
          <w:rPr>
            <w:rFonts w:ascii="Tahoma" w:eastAsia="Times New Roman" w:hAnsi="Tahoma" w:cs="Tahoma"/>
            <w:noProof/>
            <w:sz w:val="24"/>
            <w:szCs w:val="24"/>
            <w:lang w:eastAsia="en-ZW"/>
          </w:rPr>
          <w:tab/>
        </w:r>
        <w:r w:rsidR="00C07FC0" w:rsidRPr="00C07FC0">
          <w:rPr>
            <w:rStyle w:val="Hyperlink"/>
            <w:rFonts w:ascii="Tahoma" w:hAnsi="Tahoma" w:cs="Tahoma"/>
            <w:noProof/>
            <w:sz w:val="24"/>
            <w:szCs w:val="24"/>
            <w:lang w:val="en-US"/>
          </w:rPr>
          <w:t>Zimbabwe GDP Growth Update</w:t>
        </w:r>
        <w:r w:rsidR="00C07FC0" w:rsidRPr="00C07FC0">
          <w:rPr>
            <w:rFonts w:ascii="Tahoma" w:hAnsi="Tahoma" w:cs="Tahoma"/>
            <w:noProof/>
            <w:webHidden/>
            <w:sz w:val="24"/>
            <w:szCs w:val="24"/>
          </w:rPr>
          <w:tab/>
        </w:r>
        <w:r w:rsidR="00C07FC0" w:rsidRPr="00C07FC0">
          <w:rPr>
            <w:rFonts w:ascii="Tahoma" w:hAnsi="Tahoma" w:cs="Tahoma"/>
            <w:noProof/>
            <w:webHidden/>
            <w:sz w:val="24"/>
            <w:szCs w:val="24"/>
          </w:rPr>
          <w:fldChar w:fldCharType="begin"/>
        </w:r>
        <w:r w:rsidR="00C07FC0" w:rsidRPr="00C07FC0">
          <w:rPr>
            <w:rFonts w:ascii="Tahoma" w:hAnsi="Tahoma" w:cs="Tahoma"/>
            <w:noProof/>
            <w:webHidden/>
            <w:sz w:val="24"/>
            <w:szCs w:val="24"/>
          </w:rPr>
          <w:instrText xml:space="preserve"> PAGEREF _Toc171946085 \h </w:instrText>
        </w:r>
        <w:r w:rsidR="00C07FC0" w:rsidRPr="00C07FC0">
          <w:rPr>
            <w:rFonts w:ascii="Tahoma" w:hAnsi="Tahoma" w:cs="Tahoma"/>
            <w:noProof/>
            <w:webHidden/>
            <w:sz w:val="24"/>
            <w:szCs w:val="24"/>
          </w:rPr>
        </w:r>
        <w:r w:rsidR="00C07FC0" w:rsidRPr="00C07FC0">
          <w:rPr>
            <w:rFonts w:ascii="Tahoma" w:hAnsi="Tahoma" w:cs="Tahoma"/>
            <w:noProof/>
            <w:webHidden/>
            <w:sz w:val="24"/>
            <w:szCs w:val="24"/>
          </w:rPr>
          <w:fldChar w:fldCharType="separate"/>
        </w:r>
        <w:r w:rsidR="00C07FC0" w:rsidRPr="00C07FC0">
          <w:rPr>
            <w:rFonts w:ascii="Tahoma" w:hAnsi="Tahoma" w:cs="Tahoma"/>
            <w:noProof/>
            <w:webHidden/>
            <w:sz w:val="24"/>
            <w:szCs w:val="24"/>
          </w:rPr>
          <w:t>3</w:t>
        </w:r>
        <w:r w:rsidR="00C07FC0" w:rsidRPr="00C07FC0">
          <w:rPr>
            <w:rFonts w:ascii="Tahoma" w:hAnsi="Tahoma" w:cs="Tahoma"/>
            <w:noProof/>
            <w:webHidden/>
            <w:sz w:val="24"/>
            <w:szCs w:val="24"/>
          </w:rPr>
          <w:fldChar w:fldCharType="end"/>
        </w:r>
      </w:hyperlink>
    </w:p>
    <w:p w14:paraId="3C2AD1BF" w14:textId="77777777" w:rsidR="00C07FC0" w:rsidRPr="00C07FC0" w:rsidRDefault="00000000">
      <w:pPr>
        <w:pStyle w:val="TOC1"/>
        <w:tabs>
          <w:tab w:val="left" w:pos="660"/>
          <w:tab w:val="right" w:leader="dot" w:pos="9016"/>
        </w:tabs>
        <w:rPr>
          <w:rFonts w:ascii="Tahoma" w:eastAsia="Times New Roman" w:hAnsi="Tahoma" w:cs="Tahoma"/>
          <w:noProof/>
          <w:sz w:val="24"/>
          <w:szCs w:val="24"/>
          <w:lang w:eastAsia="en-ZW"/>
        </w:rPr>
      </w:pPr>
      <w:hyperlink w:anchor="_Toc171946086" w:history="1">
        <w:r w:rsidR="00C07FC0" w:rsidRPr="00C07FC0">
          <w:rPr>
            <w:rStyle w:val="Hyperlink"/>
            <w:rFonts w:ascii="Tahoma" w:hAnsi="Tahoma" w:cs="Tahoma"/>
            <w:noProof/>
            <w:sz w:val="24"/>
            <w:szCs w:val="24"/>
            <w:lang w:val="en-US"/>
          </w:rPr>
          <w:t>4.0</w:t>
        </w:r>
        <w:r w:rsidR="00C07FC0" w:rsidRPr="00C07FC0">
          <w:rPr>
            <w:rFonts w:ascii="Tahoma" w:eastAsia="Times New Roman" w:hAnsi="Tahoma" w:cs="Tahoma"/>
            <w:noProof/>
            <w:sz w:val="24"/>
            <w:szCs w:val="24"/>
            <w:lang w:eastAsia="en-ZW"/>
          </w:rPr>
          <w:tab/>
        </w:r>
        <w:r w:rsidR="00C07FC0" w:rsidRPr="00C07FC0">
          <w:rPr>
            <w:rStyle w:val="Hyperlink"/>
            <w:rFonts w:ascii="Tahoma" w:hAnsi="Tahoma" w:cs="Tahoma"/>
            <w:noProof/>
            <w:sz w:val="24"/>
            <w:szCs w:val="24"/>
            <w:lang w:val="en-US"/>
          </w:rPr>
          <w:t>Merchandise Trade Developments</w:t>
        </w:r>
        <w:r w:rsidR="00C07FC0" w:rsidRPr="00C07FC0">
          <w:rPr>
            <w:rFonts w:ascii="Tahoma" w:hAnsi="Tahoma" w:cs="Tahoma"/>
            <w:noProof/>
            <w:webHidden/>
            <w:sz w:val="24"/>
            <w:szCs w:val="24"/>
          </w:rPr>
          <w:tab/>
        </w:r>
        <w:r w:rsidR="00C07FC0" w:rsidRPr="00C07FC0">
          <w:rPr>
            <w:rFonts w:ascii="Tahoma" w:hAnsi="Tahoma" w:cs="Tahoma"/>
            <w:noProof/>
            <w:webHidden/>
            <w:sz w:val="24"/>
            <w:szCs w:val="24"/>
          </w:rPr>
          <w:fldChar w:fldCharType="begin"/>
        </w:r>
        <w:r w:rsidR="00C07FC0" w:rsidRPr="00C07FC0">
          <w:rPr>
            <w:rFonts w:ascii="Tahoma" w:hAnsi="Tahoma" w:cs="Tahoma"/>
            <w:noProof/>
            <w:webHidden/>
            <w:sz w:val="24"/>
            <w:szCs w:val="24"/>
          </w:rPr>
          <w:instrText xml:space="preserve"> PAGEREF _Toc171946086 \h </w:instrText>
        </w:r>
        <w:r w:rsidR="00C07FC0" w:rsidRPr="00C07FC0">
          <w:rPr>
            <w:rFonts w:ascii="Tahoma" w:hAnsi="Tahoma" w:cs="Tahoma"/>
            <w:noProof/>
            <w:webHidden/>
            <w:sz w:val="24"/>
            <w:szCs w:val="24"/>
          </w:rPr>
        </w:r>
        <w:r w:rsidR="00C07FC0" w:rsidRPr="00C07FC0">
          <w:rPr>
            <w:rFonts w:ascii="Tahoma" w:hAnsi="Tahoma" w:cs="Tahoma"/>
            <w:noProof/>
            <w:webHidden/>
            <w:sz w:val="24"/>
            <w:szCs w:val="24"/>
          </w:rPr>
          <w:fldChar w:fldCharType="separate"/>
        </w:r>
        <w:r w:rsidR="00C07FC0" w:rsidRPr="00C07FC0">
          <w:rPr>
            <w:rFonts w:ascii="Tahoma" w:hAnsi="Tahoma" w:cs="Tahoma"/>
            <w:noProof/>
            <w:webHidden/>
            <w:sz w:val="24"/>
            <w:szCs w:val="24"/>
          </w:rPr>
          <w:t>4</w:t>
        </w:r>
        <w:r w:rsidR="00C07FC0" w:rsidRPr="00C07FC0">
          <w:rPr>
            <w:rFonts w:ascii="Tahoma" w:hAnsi="Tahoma" w:cs="Tahoma"/>
            <w:noProof/>
            <w:webHidden/>
            <w:sz w:val="24"/>
            <w:szCs w:val="24"/>
          </w:rPr>
          <w:fldChar w:fldCharType="end"/>
        </w:r>
      </w:hyperlink>
    </w:p>
    <w:p w14:paraId="51BD5D9C" w14:textId="77777777" w:rsidR="00C07FC0" w:rsidRPr="00C07FC0" w:rsidRDefault="00000000">
      <w:pPr>
        <w:pStyle w:val="TOC1"/>
        <w:tabs>
          <w:tab w:val="left" w:pos="660"/>
          <w:tab w:val="right" w:leader="dot" w:pos="9016"/>
        </w:tabs>
        <w:rPr>
          <w:rFonts w:ascii="Tahoma" w:eastAsia="Times New Roman" w:hAnsi="Tahoma" w:cs="Tahoma"/>
          <w:noProof/>
          <w:sz w:val="24"/>
          <w:szCs w:val="24"/>
          <w:lang w:eastAsia="en-ZW"/>
        </w:rPr>
      </w:pPr>
      <w:hyperlink w:anchor="_Toc171946087" w:history="1">
        <w:r w:rsidR="00C07FC0" w:rsidRPr="00C07FC0">
          <w:rPr>
            <w:rStyle w:val="Hyperlink"/>
            <w:rFonts w:ascii="Tahoma" w:hAnsi="Tahoma" w:cs="Tahoma"/>
            <w:noProof/>
            <w:sz w:val="24"/>
            <w:szCs w:val="24"/>
            <w:lang w:val="en-US"/>
          </w:rPr>
          <w:t>5.0</w:t>
        </w:r>
        <w:r w:rsidR="00C07FC0" w:rsidRPr="00C07FC0">
          <w:rPr>
            <w:rFonts w:ascii="Tahoma" w:eastAsia="Times New Roman" w:hAnsi="Tahoma" w:cs="Tahoma"/>
            <w:noProof/>
            <w:sz w:val="24"/>
            <w:szCs w:val="24"/>
            <w:lang w:eastAsia="en-ZW"/>
          </w:rPr>
          <w:tab/>
        </w:r>
        <w:r w:rsidR="00C07FC0" w:rsidRPr="00C07FC0">
          <w:rPr>
            <w:rStyle w:val="Hyperlink"/>
            <w:rFonts w:ascii="Tahoma" w:hAnsi="Tahoma" w:cs="Tahoma"/>
            <w:noProof/>
            <w:sz w:val="24"/>
            <w:szCs w:val="24"/>
            <w:lang w:val="en-US"/>
          </w:rPr>
          <w:t>Exchange Rate Developments</w:t>
        </w:r>
        <w:r w:rsidR="00C07FC0" w:rsidRPr="00C07FC0">
          <w:rPr>
            <w:rFonts w:ascii="Tahoma" w:hAnsi="Tahoma" w:cs="Tahoma"/>
            <w:noProof/>
            <w:webHidden/>
            <w:sz w:val="24"/>
            <w:szCs w:val="24"/>
          </w:rPr>
          <w:tab/>
        </w:r>
        <w:r w:rsidR="00C07FC0" w:rsidRPr="00C07FC0">
          <w:rPr>
            <w:rFonts w:ascii="Tahoma" w:hAnsi="Tahoma" w:cs="Tahoma"/>
            <w:noProof/>
            <w:webHidden/>
            <w:sz w:val="24"/>
            <w:szCs w:val="24"/>
          </w:rPr>
          <w:fldChar w:fldCharType="begin"/>
        </w:r>
        <w:r w:rsidR="00C07FC0" w:rsidRPr="00C07FC0">
          <w:rPr>
            <w:rFonts w:ascii="Tahoma" w:hAnsi="Tahoma" w:cs="Tahoma"/>
            <w:noProof/>
            <w:webHidden/>
            <w:sz w:val="24"/>
            <w:szCs w:val="24"/>
          </w:rPr>
          <w:instrText xml:space="preserve"> PAGEREF _Toc171946087 \h </w:instrText>
        </w:r>
        <w:r w:rsidR="00C07FC0" w:rsidRPr="00C07FC0">
          <w:rPr>
            <w:rFonts w:ascii="Tahoma" w:hAnsi="Tahoma" w:cs="Tahoma"/>
            <w:noProof/>
            <w:webHidden/>
            <w:sz w:val="24"/>
            <w:szCs w:val="24"/>
          </w:rPr>
        </w:r>
        <w:r w:rsidR="00C07FC0" w:rsidRPr="00C07FC0">
          <w:rPr>
            <w:rFonts w:ascii="Tahoma" w:hAnsi="Tahoma" w:cs="Tahoma"/>
            <w:noProof/>
            <w:webHidden/>
            <w:sz w:val="24"/>
            <w:szCs w:val="24"/>
          </w:rPr>
          <w:fldChar w:fldCharType="separate"/>
        </w:r>
        <w:r w:rsidR="00C07FC0" w:rsidRPr="00C07FC0">
          <w:rPr>
            <w:rFonts w:ascii="Tahoma" w:hAnsi="Tahoma" w:cs="Tahoma"/>
            <w:noProof/>
            <w:webHidden/>
            <w:sz w:val="24"/>
            <w:szCs w:val="24"/>
          </w:rPr>
          <w:t>4</w:t>
        </w:r>
        <w:r w:rsidR="00C07FC0" w:rsidRPr="00C07FC0">
          <w:rPr>
            <w:rFonts w:ascii="Tahoma" w:hAnsi="Tahoma" w:cs="Tahoma"/>
            <w:noProof/>
            <w:webHidden/>
            <w:sz w:val="24"/>
            <w:szCs w:val="24"/>
          </w:rPr>
          <w:fldChar w:fldCharType="end"/>
        </w:r>
      </w:hyperlink>
    </w:p>
    <w:p w14:paraId="68BCFF9D" w14:textId="77777777" w:rsidR="00C07FC0" w:rsidRPr="00C07FC0" w:rsidRDefault="00000000">
      <w:pPr>
        <w:pStyle w:val="TOC2"/>
        <w:rPr>
          <w:rFonts w:eastAsia="Times New Roman"/>
          <w:b w:val="0"/>
          <w:lang w:val="en-ZW" w:eastAsia="en-ZW"/>
        </w:rPr>
      </w:pPr>
      <w:hyperlink w:anchor="_Toc171946088" w:history="1">
        <w:r w:rsidR="00C07FC0" w:rsidRPr="00C07FC0">
          <w:rPr>
            <w:rStyle w:val="Hyperlink"/>
            <w:b w:val="0"/>
          </w:rPr>
          <w:t>5.1</w:t>
        </w:r>
        <w:r w:rsidR="00C07FC0" w:rsidRPr="00C07FC0">
          <w:rPr>
            <w:rFonts w:eastAsia="Times New Roman"/>
            <w:b w:val="0"/>
            <w:lang w:val="en-ZW" w:eastAsia="en-ZW"/>
          </w:rPr>
          <w:tab/>
        </w:r>
        <w:r w:rsidR="00C07FC0" w:rsidRPr="00C07FC0">
          <w:rPr>
            <w:rStyle w:val="Hyperlink"/>
            <w:b w:val="0"/>
          </w:rPr>
          <w:t>Zimbabwean Dollar Exchange Rate Developments</w:t>
        </w:r>
        <w:r w:rsidR="00C07FC0" w:rsidRPr="00C07FC0">
          <w:rPr>
            <w:b w:val="0"/>
            <w:webHidden/>
          </w:rPr>
          <w:tab/>
        </w:r>
        <w:r w:rsidR="00C07FC0" w:rsidRPr="00C07FC0">
          <w:rPr>
            <w:b w:val="0"/>
            <w:webHidden/>
          </w:rPr>
          <w:fldChar w:fldCharType="begin"/>
        </w:r>
        <w:r w:rsidR="00C07FC0" w:rsidRPr="00C07FC0">
          <w:rPr>
            <w:b w:val="0"/>
            <w:webHidden/>
          </w:rPr>
          <w:instrText xml:space="preserve"> PAGEREF _Toc171946088 \h </w:instrText>
        </w:r>
        <w:r w:rsidR="00C07FC0" w:rsidRPr="00C07FC0">
          <w:rPr>
            <w:b w:val="0"/>
            <w:webHidden/>
          </w:rPr>
        </w:r>
        <w:r w:rsidR="00C07FC0" w:rsidRPr="00C07FC0">
          <w:rPr>
            <w:b w:val="0"/>
            <w:webHidden/>
          </w:rPr>
          <w:fldChar w:fldCharType="separate"/>
        </w:r>
        <w:r w:rsidR="00C07FC0" w:rsidRPr="00C07FC0">
          <w:rPr>
            <w:b w:val="0"/>
            <w:webHidden/>
          </w:rPr>
          <w:t>4</w:t>
        </w:r>
        <w:r w:rsidR="00C07FC0" w:rsidRPr="00C07FC0">
          <w:rPr>
            <w:b w:val="0"/>
            <w:webHidden/>
          </w:rPr>
          <w:fldChar w:fldCharType="end"/>
        </w:r>
      </w:hyperlink>
    </w:p>
    <w:p w14:paraId="35A710FD" w14:textId="77777777" w:rsidR="00C07FC0" w:rsidRPr="00C07FC0" w:rsidRDefault="00000000">
      <w:pPr>
        <w:pStyle w:val="TOC2"/>
        <w:rPr>
          <w:rFonts w:eastAsia="Times New Roman"/>
          <w:b w:val="0"/>
          <w:lang w:val="en-ZW" w:eastAsia="en-ZW"/>
        </w:rPr>
      </w:pPr>
      <w:hyperlink w:anchor="_Toc171946089" w:history="1">
        <w:r w:rsidR="00C07FC0" w:rsidRPr="00C07FC0">
          <w:rPr>
            <w:rStyle w:val="Hyperlink"/>
            <w:b w:val="0"/>
          </w:rPr>
          <w:t>5.2</w:t>
        </w:r>
        <w:r w:rsidR="00C07FC0" w:rsidRPr="00C07FC0">
          <w:rPr>
            <w:rFonts w:eastAsia="Times New Roman"/>
            <w:b w:val="0"/>
            <w:lang w:val="en-ZW" w:eastAsia="en-ZW"/>
          </w:rPr>
          <w:tab/>
        </w:r>
        <w:r w:rsidR="00C07FC0" w:rsidRPr="00C07FC0">
          <w:rPr>
            <w:rStyle w:val="Hyperlink"/>
            <w:b w:val="0"/>
          </w:rPr>
          <w:t>Cross Rate Developments</w:t>
        </w:r>
        <w:r w:rsidR="00C07FC0" w:rsidRPr="00C07FC0">
          <w:rPr>
            <w:b w:val="0"/>
            <w:webHidden/>
          </w:rPr>
          <w:tab/>
        </w:r>
        <w:r w:rsidR="00C07FC0" w:rsidRPr="00C07FC0">
          <w:rPr>
            <w:b w:val="0"/>
            <w:webHidden/>
          </w:rPr>
          <w:fldChar w:fldCharType="begin"/>
        </w:r>
        <w:r w:rsidR="00C07FC0" w:rsidRPr="00C07FC0">
          <w:rPr>
            <w:b w:val="0"/>
            <w:webHidden/>
          </w:rPr>
          <w:instrText xml:space="preserve"> PAGEREF _Toc171946089 \h </w:instrText>
        </w:r>
        <w:r w:rsidR="00C07FC0" w:rsidRPr="00C07FC0">
          <w:rPr>
            <w:b w:val="0"/>
            <w:webHidden/>
          </w:rPr>
        </w:r>
        <w:r w:rsidR="00C07FC0" w:rsidRPr="00C07FC0">
          <w:rPr>
            <w:b w:val="0"/>
            <w:webHidden/>
          </w:rPr>
          <w:fldChar w:fldCharType="separate"/>
        </w:r>
        <w:r w:rsidR="00C07FC0" w:rsidRPr="00C07FC0">
          <w:rPr>
            <w:b w:val="0"/>
            <w:webHidden/>
          </w:rPr>
          <w:t>4</w:t>
        </w:r>
        <w:r w:rsidR="00C07FC0" w:rsidRPr="00C07FC0">
          <w:rPr>
            <w:b w:val="0"/>
            <w:webHidden/>
          </w:rPr>
          <w:fldChar w:fldCharType="end"/>
        </w:r>
      </w:hyperlink>
    </w:p>
    <w:p w14:paraId="6543836A" w14:textId="77777777" w:rsidR="00C07FC0" w:rsidRPr="00C07FC0" w:rsidRDefault="00000000">
      <w:pPr>
        <w:pStyle w:val="TOC1"/>
        <w:tabs>
          <w:tab w:val="left" w:pos="660"/>
          <w:tab w:val="right" w:leader="dot" w:pos="9016"/>
        </w:tabs>
        <w:rPr>
          <w:rFonts w:ascii="Tahoma" w:eastAsia="Times New Roman" w:hAnsi="Tahoma" w:cs="Tahoma"/>
          <w:noProof/>
          <w:sz w:val="24"/>
          <w:szCs w:val="24"/>
          <w:lang w:eastAsia="en-ZW"/>
        </w:rPr>
      </w:pPr>
      <w:hyperlink w:anchor="_Toc171946090" w:history="1">
        <w:r w:rsidR="00C07FC0" w:rsidRPr="00C07FC0">
          <w:rPr>
            <w:rStyle w:val="Hyperlink"/>
            <w:rFonts w:ascii="Tahoma" w:hAnsi="Tahoma" w:cs="Tahoma"/>
            <w:noProof/>
            <w:sz w:val="24"/>
            <w:szCs w:val="24"/>
            <w:lang w:val="en-US"/>
          </w:rPr>
          <w:t>6.0</w:t>
        </w:r>
        <w:r w:rsidR="00C07FC0" w:rsidRPr="00C07FC0">
          <w:rPr>
            <w:rFonts w:ascii="Tahoma" w:eastAsia="Times New Roman" w:hAnsi="Tahoma" w:cs="Tahoma"/>
            <w:noProof/>
            <w:sz w:val="24"/>
            <w:szCs w:val="24"/>
            <w:lang w:eastAsia="en-ZW"/>
          </w:rPr>
          <w:tab/>
        </w:r>
        <w:r w:rsidR="00C07FC0" w:rsidRPr="00C07FC0">
          <w:rPr>
            <w:rStyle w:val="Hyperlink"/>
            <w:rFonts w:ascii="Tahoma" w:hAnsi="Tahoma" w:cs="Tahoma"/>
            <w:noProof/>
            <w:sz w:val="24"/>
            <w:szCs w:val="24"/>
            <w:lang w:val="en-US"/>
          </w:rPr>
          <w:t>Inflation Developments</w:t>
        </w:r>
        <w:r w:rsidR="00C07FC0" w:rsidRPr="00C07FC0">
          <w:rPr>
            <w:rFonts w:ascii="Tahoma" w:hAnsi="Tahoma" w:cs="Tahoma"/>
            <w:noProof/>
            <w:webHidden/>
            <w:sz w:val="24"/>
            <w:szCs w:val="24"/>
          </w:rPr>
          <w:tab/>
        </w:r>
        <w:r w:rsidR="00C07FC0" w:rsidRPr="00C07FC0">
          <w:rPr>
            <w:rFonts w:ascii="Tahoma" w:hAnsi="Tahoma" w:cs="Tahoma"/>
            <w:noProof/>
            <w:webHidden/>
            <w:sz w:val="24"/>
            <w:szCs w:val="24"/>
          </w:rPr>
          <w:fldChar w:fldCharType="begin"/>
        </w:r>
        <w:r w:rsidR="00C07FC0" w:rsidRPr="00C07FC0">
          <w:rPr>
            <w:rFonts w:ascii="Tahoma" w:hAnsi="Tahoma" w:cs="Tahoma"/>
            <w:noProof/>
            <w:webHidden/>
            <w:sz w:val="24"/>
            <w:szCs w:val="24"/>
          </w:rPr>
          <w:instrText xml:space="preserve"> PAGEREF _Toc171946090 \h </w:instrText>
        </w:r>
        <w:r w:rsidR="00C07FC0" w:rsidRPr="00C07FC0">
          <w:rPr>
            <w:rFonts w:ascii="Tahoma" w:hAnsi="Tahoma" w:cs="Tahoma"/>
            <w:noProof/>
            <w:webHidden/>
            <w:sz w:val="24"/>
            <w:szCs w:val="24"/>
          </w:rPr>
        </w:r>
        <w:r w:rsidR="00C07FC0" w:rsidRPr="00C07FC0">
          <w:rPr>
            <w:rFonts w:ascii="Tahoma" w:hAnsi="Tahoma" w:cs="Tahoma"/>
            <w:noProof/>
            <w:webHidden/>
            <w:sz w:val="24"/>
            <w:szCs w:val="24"/>
          </w:rPr>
          <w:fldChar w:fldCharType="separate"/>
        </w:r>
        <w:r w:rsidR="00C07FC0" w:rsidRPr="00C07FC0">
          <w:rPr>
            <w:rFonts w:ascii="Tahoma" w:hAnsi="Tahoma" w:cs="Tahoma"/>
            <w:noProof/>
            <w:webHidden/>
            <w:sz w:val="24"/>
            <w:szCs w:val="24"/>
          </w:rPr>
          <w:t>5</w:t>
        </w:r>
        <w:r w:rsidR="00C07FC0" w:rsidRPr="00C07FC0">
          <w:rPr>
            <w:rFonts w:ascii="Tahoma" w:hAnsi="Tahoma" w:cs="Tahoma"/>
            <w:noProof/>
            <w:webHidden/>
            <w:sz w:val="24"/>
            <w:szCs w:val="24"/>
          </w:rPr>
          <w:fldChar w:fldCharType="end"/>
        </w:r>
      </w:hyperlink>
    </w:p>
    <w:p w14:paraId="6A155A9D" w14:textId="77777777" w:rsidR="00C07FC0" w:rsidRPr="00C07FC0" w:rsidRDefault="00000000">
      <w:pPr>
        <w:pStyle w:val="TOC1"/>
        <w:tabs>
          <w:tab w:val="left" w:pos="660"/>
          <w:tab w:val="right" w:leader="dot" w:pos="9016"/>
        </w:tabs>
        <w:rPr>
          <w:rFonts w:ascii="Tahoma" w:eastAsia="Times New Roman" w:hAnsi="Tahoma" w:cs="Tahoma"/>
          <w:noProof/>
          <w:sz w:val="24"/>
          <w:szCs w:val="24"/>
          <w:lang w:eastAsia="en-ZW"/>
        </w:rPr>
      </w:pPr>
      <w:hyperlink w:anchor="_Toc171946091" w:history="1">
        <w:r w:rsidR="00C07FC0" w:rsidRPr="00C07FC0">
          <w:rPr>
            <w:rStyle w:val="Hyperlink"/>
            <w:rFonts w:ascii="Tahoma" w:hAnsi="Tahoma" w:cs="Tahoma"/>
            <w:noProof/>
            <w:sz w:val="24"/>
            <w:szCs w:val="24"/>
            <w:lang w:val="en-US"/>
          </w:rPr>
          <w:t>7.0</w:t>
        </w:r>
        <w:r w:rsidR="00C07FC0" w:rsidRPr="00C07FC0">
          <w:rPr>
            <w:rFonts w:ascii="Tahoma" w:eastAsia="Times New Roman" w:hAnsi="Tahoma" w:cs="Tahoma"/>
            <w:noProof/>
            <w:sz w:val="24"/>
            <w:szCs w:val="24"/>
            <w:lang w:eastAsia="en-ZW"/>
          </w:rPr>
          <w:tab/>
        </w:r>
        <w:r w:rsidR="00C07FC0" w:rsidRPr="00C07FC0">
          <w:rPr>
            <w:rStyle w:val="Hyperlink"/>
            <w:rFonts w:ascii="Tahoma" w:hAnsi="Tahoma" w:cs="Tahoma"/>
            <w:noProof/>
            <w:sz w:val="24"/>
            <w:szCs w:val="24"/>
            <w:lang w:val="en-US"/>
          </w:rPr>
          <w:t>Monetary Developments</w:t>
        </w:r>
        <w:r w:rsidR="00C07FC0" w:rsidRPr="00C07FC0">
          <w:rPr>
            <w:rFonts w:ascii="Tahoma" w:hAnsi="Tahoma" w:cs="Tahoma"/>
            <w:noProof/>
            <w:webHidden/>
            <w:sz w:val="24"/>
            <w:szCs w:val="24"/>
          </w:rPr>
          <w:tab/>
        </w:r>
        <w:r w:rsidR="00C07FC0" w:rsidRPr="00C07FC0">
          <w:rPr>
            <w:rFonts w:ascii="Tahoma" w:hAnsi="Tahoma" w:cs="Tahoma"/>
            <w:noProof/>
            <w:webHidden/>
            <w:sz w:val="24"/>
            <w:szCs w:val="24"/>
          </w:rPr>
          <w:fldChar w:fldCharType="begin"/>
        </w:r>
        <w:r w:rsidR="00C07FC0" w:rsidRPr="00C07FC0">
          <w:rPr>
            <w:rFonts w:ascii="Tahoma" w:hAnsi="Tahoma" w:cs="Tahoma"/>
            <w:noProof/>
            <w:webHidden/>
            <w:sz w:val="24"/>
            <w:szCs w:val="24"/>
          </w:rPr>
          <w:instrText xml:space="preserve"> PAGEREF _Toc171946091 \h </w:instrText>
        </w:r>
        <w:r w:rsidR="00C07FC0" w:rsidRPr="00C07FC0">
          <w:rPr>
            <w:rFonts w:ascii="Tahoma" w:hAnsi="Tahoma" w:cs="Tahoma"/>
            <w:noProof/>
            <w:webHidden/>
            <w:sz w:val="24"/>
            <w:szCs w:val="24"/>
          </w:rPr>
        </w:r>
        <w:r w:rsidR="00C07FC0" w:rsidRPr="00C07FC0">
          <w:rPr>
            <w:rFonts w:ascii="Tahoma" w:hAnsi="Tahoma" w:cs="Tahoma"/>
            <w:noProof/>
            <w:webHidden/>
            <w:sz w:val="24"/>
            <w:szCs w:val="24"/>
          </w:rPr>
          <w:fldChar w:fldCharType="separate"/>
        </w:r>
        <w:r w:rsidR="00C07FC0" w:rsidRPr="00C07FC0">
          <w:rPr>
            <w:rFonts w:ascii="Tahoma" w:hAnsi="Tahoma" w:cs="Tahoma"/>
            <w:noProof/>
            <w:webHidden/>
            <w:sz w:val="24"/>
            <w:szCs w:val="24"/>
          </w:rPr>
          <w:t>6</w:t>
        </w:r>
        <w:r w:rsidR="00C07FC0" w:rsidRPr="00C07FC0">
          <w:rPr>
            <w:rFonts w:ascii="Tahoma" w:hAnsi="Tahoma" w:cs="Tahoma"/>
            <w:noProof/>
            <w:webHidden/>
            <w:sz w:val="24"/>
            <w:szCs w:val="24"/>
          </w:rPr>
          <w:fldChar w:fldCharType="end"/>
        </w:r>
      </w:hyperlink>
    </w:p>
    <w:p w14:paraId="50422275" w14:textId="77777777" w:rsidR="00C07FC0" w:rsidRPr="00C07FC0" w:rsidRDefault="00000000">
      <w:pPr>
        <w:pStyle w:val="TOC2"/>
        <w:rPr>
          <w:rFonts w:eastAsia="Times New Roman"/>
          <w:b w:val="0"/>
          <w:lang w:val="en-ZW" w:eastAsia="en-ZW"/>
        </w:rPr>
      </w:pPr>
      <w:hyperlink w:anchor="_Toc171946092" w:history="1">
        <w:r w:rsidR="00C07FC0" w:rsidRPr="00C07FC0">
          <w:rPr>
            <w:rStyle w:val="Hyperlink"/>
            <w:b w:val="0"/>
          </w:rPr>
          <w:t>7.1</w:t>
        </w:r>
        <w:r w:rsidR="00C07FC0" w:rsidRPr="00C07FC0">
          <w:rPr>
            <w:rFonts w:eastAsia="Times New Roman"/>
            <w:b w:val="0"/>
            <w:lang w:val="en-ZW" w:eastAsia="en-ZW"/>
          </w:rPr>
          <w:tab/>
        </w:r>
        <w:r w:rsidR="00C07FC0" w:rsidRPr="00C07FC0">
          <w:rPr>
            <w:rStyle w:val="Hyperlink"/>
            <w:b w:val="0"/>
          </w:rPr>
          <w:t>Money Supply and Interest Rates</w:t>
        </w:r>
        <w:r w:rsidR="00C07FC0" w:rsidRPr="00C07FC0">
          <w:rPr>
            <w:b w:val="0"/>
            <w:webHidden/>
          </w:rPr>
          <w:tab/>
        </w:r>
        <w:r w:rsidR="00C07FC0" w:rsidRPr="00C07FC0">
          <w:rPr>
            <w:b w:val="0"/>
            <w:webHidden/>
          </w:rPr>
          <w:fldChar w:fldCharType="begin"/>
        </w:r>
        <w:r w:rsidR="00C07FC0" w:rsidRPr="00C07FC0">
          <w:rPr>
            <w:b w:val="0"/>
            <w:webHidden/>
          </w:rPr>
          <w:instrText xml:space="preserve"> PAGEREF _Toc171946092 \h </w:instrText>
        </w:r>
        <w:r w:rsidR="00C07FC0" w:rsidRPr="00C07FC0">
          <w:rPr>
            <w:b w:val="0"/>
            <w:webHidden/>
          </w:rPr>
        </w:r>
        <w:r w:rsidR="00C07FC0" w:rsidRPr="00C07FC0">
          <w:rPr>
            <w:b w:val="0"/>
            <w:webHidden/>
          </w:rPr>
          <w:fldChar w:fldCharType="separate"/>
        </w:r>
        <w:r w:rsidR="00C07FC0" w:rsidRPr="00C07FC0">
          <w:rPr>
            <w:b w:val="0"/>
            <w:webHidden/>
          </w:rPr>
          <w:t>6</w:t>
        </w:r>
        <w:r w:rsidR="00C07FC0" w:rsidRPr="00C07FC0">
          <w:rPr>
            <w:b w:val="0"/>
            <w:webHidden/>
          </w:rPr>
          <w:fldChar w:fldCharType="end"/>
        </w:r>
      </w:hyperlink>
    </w:p>
    <w:p w14:paraId="1430D226" w14:textId="77777777" w:rsidR="00C07FC0" w:rsidRPr="00C07FC0" w:rsidRDefault="00000000">
      <w:pPr>
        <w:pStyle w:val="TOC1"/>
        <w:tabs>
          <w:tab w:val="left" w:pos="660"/>
          <w:tab w:val="right" w:leader="dot" w:pos="9016"/>
        </w:tabs>
        <w:rPr>
          <w:rFonts w:ascii="Tahoma" w:eastAsia="Times New Roman" w:hAnsi="Tahoma" w:cs="Tahoma"/>
          <w:noProof/>
          <w:sz w:val="24"/>
          <w:szCs w:val="24"/>
          <w:lang w:eastAsia="en-ZW"/>
        </w:rPr>
      </w:pPr>
      <w:hyperlink w:anchor="_Toc171946093" w:history="1">
        <w:r w:rsidR="00C07FC0" w:rsidRPr="00C07FC0">
          <w:rPr>
            <w:rStyle w:val="Hyperlink"/>
            <w:rFonts w:ascii="Tahoma" w:hAnsi="Tahoma" w:cs="Tahoma"/>
            <w:noProof/>
            <w:sz w:val="24"/>
            <w:szCs w:val="24"/>
            <w:lang w:val="en-US"/>
          </w:rPr>
          <w:t>8.0</w:t>
        </w:r>
        <w:r w:rsidR="00C07FC0" w:rsidRPr="00C07FC0">
          <w:rPr>
            <w:rFonts w:ascii="Tahoma" w:eastAsia="Times New Roman" w:hAnsi="Tahoma" w:cs="Tahoma"/>
            <w:noProof/>
            <w:sz w:val="24"/>
            <w:szCs w:val="24"/>
            <w:lang w:eastAsia="en-ZW"/>
          </w:rPr>
          <w:tab/>
        </w:r>
        <w:r w:rsidR="00C07FC0" w:rsidRPr="00C07FC0">
          <w:rPr>
            <w:rStyle w:val="Hyperlink"/>
            <w:rFonts w:ascii="Tahoma" w:hAnsi="Tahoma" w:cs="Tahoma"/>
            <w:noProof/>
            <w:sz w:val="24"/>
            <w:szCs w:val="24"/>
            <w:lang w:val="en-US"/>
          </w:rPr>
          <w:t>Stock Market Developments</w:t>
        </w:r>
        <w:r w:rsidR="00C07FC0" w:rsidRPr="00C07FC0">
          <w:rPr>
            <w:rFonts w:ascii="Tahoma" w:hAnsi="Tahoma" w:cs="Tahoma"/>
            <w:noProof/>
            <w:webHidden/>
            <w:sz w:val="24"/>
            <w:szCs w:val="24"/>
          </w:rPr>
          <w:tab/>
        </w:r>
        <w:r w:rsidR="00C07FC0" w:rsidRPr="00C07FC0">
          <w:rPr>
            <w:rFonts w:ascii="Tahoma" w:hAnsi="Tahoma" w:cs="Tahoma"/>
            <w:noProof/>
            <w:webHidden/>
            <w:sz w:val="24"/>
            <w:szCs w:val="24"/>
          </w:rPr>
          <w:fldChar w:fldCharType="begin"/>
        </w:r>
        <w:r w:rsidR="00C07FC0" w:rsidRPr="00C07FC0">
          <w:rPr>
            <w:rFonts w:ascii="Tahoma" w:hAnsi="Tahoma" w:cs="Tahoma"/>
            <w:noProof/>
            <w:webHidden/>
            <w:sz w:val="24"/>
            <w:szCs w:val="24"/>
          </w:rPr>
          <w:instrText xml:space="preserve"> PAGEREF _Toc171946093 \h </w:instrText>
        </w:r>
        <w:r w:rsidR="00C07FC0" w:rsidRPr="00C07FC0">
          <w:rPr>
            <w:rFonts w:ascii="Tahoma" w:hAnsi="Tahoma" w:cs="Tahoma"/>
            <w:noProof/>
            <w:webHidden/>
            <w:sz w:val="24"/>
            <w:szCs w:val="24"/>
          </w:rPr>
        </w:r>
        <w:r w:rsidR="00C07FC0" w:rsidRPr="00C07FC0">
          <w:rPr>
            <w:rFonts w:ascii="Tahoma" w:hAnsi="Tahoma" w:cs="Tahoma"/>
            <w:noProof/>
            <w:webHidden/>
            <w:sz w:val="24"/>
            <w:szCs w:val="24"/>
          </w:rPr>
          <w:fldChar w:fldCharType="separate"/>
        </w:r>
        <w:r w:rsidR="00C07FC0" w:rsidRPr="00C07FC0">
          <w:rPr>
            <w:rFonts w:ascii="Tahoma" w:hAnsi="Tahoma" w:cs="Tahoma"/>
            <w:noProof/>
            <w:webHidden/>
            <w:sz w:val="24"/>
            <w:szCs w:val="24"/>
          </w:rPr>
          <w:t>6</w:t>
        </w:r>
        <w:r w:rsidR="00C07FC0" w:rsidRPr="00C07FC0">
          <w:rPr>
            <w:rFonts w:ascii="Tahoma" w:hAnsi="Tahoma" w:cs="Tahoma"/>
            <w:noProof/>
            <w:webHidden/>
            <w:sz w:val="24"/>
            <w:szCs w:val="24"/>
          </w:rPr>
          <w:fldChar w:fldCharType="end"/>
        </w:r>
      </w:hyperlink>
    </w:p>
    <w:p w14:paraId="2FFAC802" w14:textId="77777777" w:rsidR="00C07FC0" w:rsidRPr="00C07FC0" w:rsidRDefault="00000000">
      <w:pPr>
        <w:pStyle w:val="TOC2"/>
        <w:rPr>
          <w:rFonts w:eastAsia="Times New Roman"/>
          <w:b w:val="0"/>
          <w:lang w:val="en-ZW" w:eastAsia="en-ZW"/>
        </w:rPr>
      </w:pPr>
      <w:hyperlink w:anchor="_Toc171946094" w:history="1">
        <w:r w:rsidR="00C07FC0" w:rsidRPr="00C07FC0">
          <w:rPr>
            <w:rStyle w:val="Hyperlink"/>
            <w:b w:val="0"/>
          </w:rPr>
          <w:t>8.1</w:t>
        </w:r>
        <w:r w:rsidR="00C07FC0" w:rsidRPr="00C07FC0">
          <w:rPr>
            <w:rFonts w:eastAsia="Times New Roman"/>
            <w:b w:val="0"/>
            <w:lang w:val="en-ZW" w:eastAsia="en-ZW"/>
          </w:rPr>
          <w:tab/>
        </w:r>
        <w:r w:rsidR="00C07FC0" w:rsidRPr="00C07FC0">
          <w:rPr>
            <w:rStyle w:val="Hyperlink"/>
            <w:b w:val="0"/>
          </w:rPr>
          <w:t>Zimbabwe Stock Exchange</w:t>
        </w:r>
        <w:r w:rsidR="00C07FC0" w:rsidRPr="00C07FC0">
          <w:rPr>
            <w:b w:val="0"/>
            <w:webHidden/>
          </w:rPr>
          <w:tab/>
        </w:r>
        <w:r w:rsidR="00C07FC0" w:rsidRPr="00C07FC0">
          <w:rPr>
            <w:b w:val="0"/>
            <w:webHidden/>
          </w:rPr>
          <w:fldChar w:fldCharType="begin"/>
        </w:r>
        <w:r w:rsidR="00C07FC0" w:rsidRPr="00C07FC0">
          <w:rPr>
            <w:b w:val="0"/>
            <w:webHidden/>
          </w:rPr>
          <w:instrText xml:space="preserve"> PAGEREF _Toc171946094 \h </w:instrText>
        </w:r>
        <w:r w:rsidR="00C07FC0" w:rsidRPr="00C07FC0">
          <w:rPr>
            <w:b w:val="0"/>
            <w:webHidden/>
          </w:rPr>
        </w:r>
        <w:r w:rsidR="00C07FC0" w:rsidRPr="00C07FC0">
          <w:rPr>
            <w:b w:val="0"/>
            <w:webHidden/>
          </w:rPr>
          <w:fldChar w:fldCharType="separate"/>
        </w:r>
        <w:r w:rsidR="00C07FC0" w:rsidRPr="00C07FC0">
          <w:rPr>
            <w:b w:val="0"/>
            <w:webHidden/>
          </w:rPr>
          <w:t>6</w:t>
        </w:r>
        <w:r w:rsidR="00C07FC0" w:rsidRPr="00C07FC0">
          <w:rPr>
            <w:b w:val="0"/>
            <w:webHidden/>
          </w:rPr>
          <w:fldChar w:fldCharType="end"/>
        </w:r>
      </w:hyperlink>
    </w:p>
    <w:p w14:paraId="42D7C427" w14:textId="77777777" w:rsidR="00C07FC0" w:rsidRPr="00C07FC0" w:rsidRDefault="00000000">
      <w:pPr>
        <w:pStyle w:val="TOC2"/>
        <w:rPr>
          <w:rFonts w:eastAsia="Times New Roman"/>
          <w:b w:val="0"/>
          <w:lang w:val="en-ZW" w:eastAsia="en-ZW"/>
        </w:rPr>
      </w:pPr>
      <w:hyperlink w:anchor="_Toc171946095" w:history="1">
        <w:r w:rsidR="00C07FC0" w:rsidRPr="00C07FC0">
          <w:rPr>
            <w:rStyle w:val="Hyperlink"/>
            <w:b w:val="0"/>
          </w:rPr>
          <w:t>8.2</w:t>
        </w:r>
        <w:r w:rsidR="00C07FC0" w:rsidRPr="00C07FC0">
          <w:rPr>
            <w:rFonts w:eastAsia="Times New Roman"/>
            <w:b w:val="0"/>
            <w:lang w:val="en-ZW" w:eastAsia="en-ZW"/>
          </w:rPr>
          <w:tab/>
        </w:r>
        <w:r w:rsidR="00C07FC0" w:rsidRPr="00C07FC0">
          <w:rPr>
            <w:rStyle w:val="Hyperlink"/>
            <w:b w:val="0"/>
          </w:rPr>
          <w:t>Victoria Falls Stock Exchange</w:t>
        </w:r>
        <w:r w:rsidR="00C07FC0" w:rsidRPr="00C07FC0">
          <w:rPr>
            <w:b w:val="0"/>
            <w:webHidden/>
          </w:rPr>
          <w:tab/>
        </w:r>
        <w:r w:rsidR="00C07FC0" w:rsidRPr="00C07FC0">
          <w:rPr>
            <w:b w:val="0"/>
            <w:webHidden/>
          </w:rPr>
          <w:fldChar w:fldCharType="begin"/>
        </w:r>
        <w:r w:rsidR="00C07FC0" w:rsidRPr="00C07FC0">
          <w:rPr>
            <w:b w:val="0"/>
            <w:webHidden/>
          </w:rPr>
          <w:instrText xml:space="preserve"> PAGEREF _Toc171946095 \h </w:instrText>
        </w:r>
        <w:r w:rsidR="00C07FC0" w:rsidRPr="00C07FC0">
          <w:rPr>
            <w:b w:val="0"/>
            <w:webHidden/>
          </w:rPr>
        </w:r>
        <w:r w:rsidR="00C07FC0" w:rsidRPr="00C07FC0">
          <w:rPr>
            <w:b w:val="0"/>
            <w:webHidden/>
          </w:rPr>
          <w:fldChar w:fldCharType="separate"/>
        </w:r>
        <w:r w:rsidR="00C07FC0" w:rsidRPr="00C07FC0">
          <w:rPr>
            <w:b w:val="0"/>
            <w:webHidden/>
          </w:rPr>
          <w:t>6</w:t>
        </w:r>
        <w:r w:rsidR="00C07FC0" w:rsidRPr="00C07FC0">
          <w:rPr>
            <w:b w:val="0"/>
            <w:webHidden/>
          </w:rPr>
          <w:fldChar w:fldCharType="end"/>
        </w:r>
      </w:hyperlink>
    </w:p>
    <w:p w14:paraId="6A8CD452" w14:textId="77777777" w:rsidR="00C07FC0" w:rsidRPr="00C07FC0" w:rsidRDefault="00000000">
      <w:pPr>
        <w:pStyle w:val="TOC1"/>
        <w:tabs>
          <w:tab w:val="left" w:pos="660"/>
          <w:tab w:val="right" w:leader="dot" w:pos="9016"/>
        </w:tabs>
        <w:rPr>
          <w:rFonts w:ascii="Tahoma" w:eastAsia="Times New Roman" w:hAnsi="Tahoma" w:cs="Tahoma"/>
          <w:noProof/>
          <w:sz w:val="24"/>
          <w:szCs w:val="24"/>
          <w:lang w:eastAsia="en-ZW"/>
        </w:rPr>
      </w:pPr>
      <w:hyperlink w:anchor="_Toc171946096" w:history="1">
        <w:r w:rsidR="00C07FC0" w:rsidRPr="00C07FC0">
          <w:rPr>
            <w:rStyle w:val="Hyperlink"/>
            <w:rFonts w:ascii="Tahoma" w:hAnsi="Tahoma" w:cs="Tahoma"/>
            <w:noProof/>
            <w:sz w:val="24"/>
            <w:szCs w:val="24"/>
            <w:lang w:val="en-US"/>
          </w:rPr>
          <w:t>9.0</w:t>
        </w:r>
        <w:r w:rsidR="00C07FC0" w:rsidRPr="00C07FC0">
          <w:rPr>
            <w:rFonts w:ascii="Tahoma" w:eastAsia="Times New Roman" w:hAnsi="Tahoma" w:cs="Tahoma"/>
            <w:noProof/>
            <w:sz w:val="24"/>
            <w:szCs w:val="24"/>
            <w:lang w:eastAsia="en-ZW"/>
          </w:rPr>
          <w:tab/>
        </w:r>
        <w:r w:rsidR="00C07FC0" w:rsidRPr="00C07FC0">
          <w:rPr>
            <w:rStyle w:val="Hyperlink"/>
            <w:rFonts w:ascii="Tahoma" w:hAnsi="Tahoma" w:cs="Tahoma"/>
            <w:noProof/>
            <w:sz w:val="24"/>
            <w:szCs w:val="24"/>
            <w:lang w:val="en-US"/>
          </w:rPr>
          <w:t>Recommendations</w:t>
        </w:r>
        <w:r w:rsidR="00C07FC0" w:rsidRPr="00C07FC0">
          <w:rPr>
            <w:rFonts w:ascii="Tahoma" w:hAnsi="Tahoma" w:cs="Tahoma"/>
            <w:noProof/>
            <w:webHidden/>
            <w:sz w:val="24"/>
            <w:szCs w:val="24"/>
          </w:rPr>
          <w:tab/>
        </w:r>
        <w:r w:rsidR="00C07FC0" w:rsidRPr="00C07FC0">
          <w:rPr>
            <w:rFonts w:ascii="Tahoma" w:hAnsi="Tahoma" w:cs="Tahoma"/>
            <w:noProof/>
            <w:webHidden/>
            <w:sz w:val="24"/>
            <w:szCs w:val="24"/>
          </w:rPr>
          <w:fldChar w:fldCharType="begin"/>
        </w:r>
        <w:r w:rsidR="00C07FC0" w:rsidRPr="00C07FC0">
          <w:rPr>
            <w:rFonts w:ascii="Tahoma" w:hAnsi="Tahoma" w:cs="Tahoma"/>
            <w:noProof/>
            <w:webHidden/>
            <w:sz w:val="24"/>
            <w:szCs w:val="24"/>
          </w:rPr>
          <w:instrText xml:space="preserve"> PAGEREF _Toc171946096 \h </w:instrText>
        </w:r>
        <w:r w:rsidR="00C07FC0" w:rsidRPr="00C07FC0">
          <w:rPr>
            <w:rFonts w:ascii="Tahoma" w:hAnsi="Tahoma" w:cs="Tahoma"/>
            <w:noProof/>
            <w:webHidden/>
            <w:sz w:val="24"/>
            <w:szCs w:val="24"/>
          </w:rPr>
        </w:r>
        <w:r w:rsidR="00C07FC0" w:rsidRPr="00C07FC0">
          <w:rPr>
            <w:rFonts w:ascii="Tahoma" w:hAnsi="Tahoma" w:cs="Tahoma"/>
            <w:noProof/>
            <w:webHidden/>
            <w:sz w:val="24"/>
            <w:szCs w:val="24"/>
          </w:rPr>
          <w:fldChar w:fldCharType="separate"/>
        </w:r>
        <w:r w:rsidR="00C07FC0" w:rsidRPr="00C07FC0">
          <w:rPr>
            <w:rFonts w:ascii="Tahoma" w:hAnsi="Tahoma" w:cs="Tahoma"/>
            <w:noProof/>
            <w:webHidden/>
            <w:sz w:val="24"/>
            <w:szCs w:val="24"/>
          </w:rPr>
          <w:t>7</w:t>
        </w:r>
        <w:r w:rsidR="00C07FC0" w:rsidRPr="00C07FC0">
          <w:rPr>
            <w:rFonts w:ascii="Tahoma" w:hAnsi="Tahoma" w:cs="Tahoma"/>
            <w:noProof/>
            <w:webHidden/>
            <w:sz w:val="24"/>
            <w:szCs w:val="24"/>
          </w:rPr>
          <w:fldChar w:fldCharType="end"/>
        </w:r>
      </w:hyperlink>
    </w:p>
    <w:p w14:paraId="37BA4AEC" w14:textId="77777777" w:rsidR="00C07FC0" w:rsidRPr="00C07FC0" w:rsidRDefault="00000000">
      <w:pPr>
        <w:pStyle w:val="TOC1"/>
        <w:tabs>
          <w:tab w:val="right" w:leader="dot" w:pos="9016"/>
        </w:tabs>
        <w:rPr>
          <w:rFonts w:eastAsia="Times New Roman"/>
          <w:noProof/>
          <w:lang w:eastAsia="en-ZW"/>
        </w:rPr>
      </w:pPr>
      <w:hyperlink w:anchor="_Toc171946097" w:history="1">
        <w:r w:rsidR="00C07FC0" w:rsidRPr="00C07FC0">
          <w:rPr>
            <w:rStyle w:val="Hyperlink"/>
            <w:rFonts w:ascii="Tahoma" w:hAnsi="Tahoma" w:cs="Tahoma"/>
            <w:noProof/>
            <w:sz w:val="24"/>
            <w:szCs w:val="24"/>
          </w:rPr>
          <w:t>10.0 References</w:t>
        </w:r>
        <w:r w:rsidR="00C07FC0" w:rsidRPr="00C07FC0">
          <w:rPr>
            <w:rFonts w:ascii="Tahoma" w:hAnsi="Tahoma" w:cs="Tahoma"/>
            <w:noProof/>
            <w:webHidden/>
            <w:sz w:val="24"/>
            <w:szCs w:val="24"/>
          </w:rPr>
          <w:tab/>
        </w:r>
        <w:r w:rsidR="00C07FC0" w:rsidRPr="00C07FC0">
          <w:rPr>
            <w:rFonts w:ascii="Tahoma" w:hAnsi="Tahoma" w:cs="Tahoma"/>
            <w:noProof/>
            <w:webHidden/>
            <w:sz w:val="24"/>
            <w:szCs w:val="24"/>
          </w:rPr>
          <w:fldChar w:fldCharType="begin"/>
        </w:r>
        <w:r w:rsidR="00C07FC0" w:rsidRPr="00C07FC0">
          <w:rPr>
            <w:rFonts w:ascii="Tahoma" w:hAnsi="Tahoma" w:cs="Tahoma"/>
            <w:noProof/>
            <w:webHidden/>
            <w:sz w:val="24"/>
            <w:szCs w:val="24"/>
          </w:rPr>
          <w:instrText xml:space="preserve"> PAGEREF _Toc171946097 \h </w:instrText>
        </w:r>
        <w:r w:rsidR="00C07FC0" w:rsidRPr="00C07FC0">
          <w:rPr>
            <w:rFonts w:ascii="Tahoma" w:hAnsi="Tahoma" w:cs="Tahoma"/>
            <w:noProof/>
            <w:webHidden/>
            <w:sz w:val="24"/>
            <w:szCs w:val="24"/>
          </w:rPr>
        </w:r>
        <w:r w:rsidR="00C07FC0" w:rsidRPr="00C07FC0">
          <w:rPr>
            <w:rFonts w:ascii="Tahoma" w:hAnsi="Tahoma" w:cs="Tahoma"/>
            <w:noProof/>
            <w:webHidden/>
            <w:sz w:val="24"/>
            <w:szCs w:val="24"/>
          </w:rPr>
          <w:fldChar w:fldCharType="separate"/>
        </w:r>
        <w:r w:rsidR="00C07FC0" w:rsidRPr="00C07FC0">
          <w:rPr>
            <w:rFonts w:ascii="Tahoma" w:hAnsi="Tahoma" w:cs="Tahoma"/>
            <w:noProof/>
            <w:webHidden/>
            <w:sz w:val="24"/>
            <w:szCs w:val="24"/>
          </w:rPr>
          <w:t>8</w:t>
        </w:r>
        <w:r w:rsidR="00C07FC0" w:rsidRPr="00C07FC0">
          <w:rPr>
            <w:rFonts w:ascii="Tahoma" w:hAnsi="Tahoma" w:cs="Tahoma"/>
            <w:noProof/>
            <w:webHidden/>
            <w:sz w:val="24"/>
            <w:szCs w:val="24"/>
          </w:rPr>
          <w:fldChar w:fldCharType="end"/>
        </w:r>
      </w:hyperlink>
    </w:p>
    <w:p w14:paraId="00D90040" w14:textId="77777777" w:rsidR="00D46F37" w:rsidRDefault="00D46F37">
      <w:r>
        <w:rPr>
          <w:b/>
          <w:bCs/>
          <w:noProof/>
        </w:rPr>
        <w:fldChar w:fldCharType="end"/>
      </w:r>
    </w:p>
    <w:p w14:paraId="1FEB59CA" w14:textId="77777777" w:rsidR="00D46F37" w:rsidRDefault="00D46F37" w:rsidP="00D46F37">
      <w:pPr>
        <w:rPr>
          <w:lang w:val="en-US"/>
        </w:rPr>
      </w:pPr>
    </w:p>
    <w:p w14:paraId="22E05940" w14:textId="77777777" w:rsidR="00D46F37" w:rsidRDefault="00D46F37" w:rsidP="00D46F37">
      <w:pPr>
        <w:rPr>
          <w:lang w:val="en-US"/>
        </w:rPr>
      </w:pPr>
    </w:p>
    <w:p w14:paraId="13CCBA71" w14:textId="77777777" w:rsidR="00D46F37" w:rsidRDefault="00D46F37" w:rsidP="00D46F37">
      <w:pPr>
        <w:rPr>
          <w:lang w:val="en-US"/>
        </w:rPr>
      </w:pPr>
    </w:p>
    <w:p w14:paraId="30193624" w14:textId="77777777" w:rsidR="00D46F37" w:rsidRDefault="00D46F37" w:rsidP="00D46F37">
      <w:pPr>
        <w:rPr>
          <w:lang w:val="en-US"/>
        </w:rPr>
      </w:pPr>
    </w:p>
    <w:p w14:paraId="523EBDEF" w14:textId="77777777" w:rsidR="00D46F37" w:rsidRDefault="00D46F37" w:rsidP="00D46F37">
      <w:pPr>
        <w:rPr>
          <w:lang w:val="en-US"/>
        </w:rPr>
      </w:pPr>
    </w:p>
    <w:p w14:paraId="4C095A85" w14:textId="77777777" w:rsidR="00D46F37" w:rsidRDefault="00D46F37" w:rsidP="00D46F37">
      <w:pPr>
        <w:rPr>
          <w:lang w:val="en-US"/>
        </w:rPr>
      </w:pPr>
    </w:p>
    <w:p w14:paraId="1DE276A3" w14:textId="77777777" w:rsidR="00D46F37" w:rsidRDefault="00D46F37" w:rsidP="00D46F37">
      <w:pPr>
        <w:rPr>
          <w:lang w:val="en-US"/>
        </w:rPr>
      </w:pPr>
    </w:p>
    <w:p w14:paraId="13EE0849" w14:textId="77777777" w:rsidR="00D46F37" w:rsidRDefault="00D46F37" w:rsidP="00D46F37">
      <w:pPr>
        <w:rPr>
          <w:lang w:val="en-US"/>
        </w:rPr>
      </w:pPr>
    </w:p>
    <w:p w14:paraId="2DC08D6C" w14:textId="77777777" w:rsidR="00D46F37" w:rsidRDefault="00D46F37" w:rsidP="00D46F37">
      <w:pPr>
        <w:rPr>
          <w:lang w:val="en-US"/>
        </w:rPr>
      </w:pPr>
    </w:p>
    <w:p w14:paraId="4EFE24DA" w14:textId="77777777" w:rsidR="00D751E8" w:rsidRDefault="00D751E8" w:rsidP="00D46F37">
      <w:pPr>
        <w:rPr>
          <w:lang w:val="en-US"/>
        </w:rPr>
      </w:pPr>
    </w:p>
    <w:p w14:paraId="350D9067" w14:textId="77777777" w:rsidR="0073364A" w:rsidRDefault="0073364A" w:rsidP="00D46F37">
      <w:pPr>
        <w:rPr>
          <w:lang w:val="en-US"/>
        </w:rPr>
      </w:pPr>
    </w:p>
    <w:p w14:paraId="32B467C7" w14:textId="77777777" w:rsidR="0073364A" w:rsidRDefault="0073364A" w:rsidP="00D46F37">
      <w:pPr>
        <w:rPr>
          <w:lang w:val="en-US"/>
        </w:rPr>
      </w:pPr>
    </w:p>
    <w:p w14:paraId="06D89704" w14:textId="77777777" w:rsidR="001810AD" w:rsidRDefault="001810AD" w:rsidP="005D76CA">
      <w:pPr>
        <w:rPr>
          <w:lang w:val="en-US"/>
        </w:rPr>
      </w:pPr>
    </w:p>
    <w:p w14:paraId="3E26236F" w14:textId="77777777" w:rsidR="00732393" w:rsidRPr="00E36073" w:rsidRDefault="00F67469" w:rsidP="005D76CA">
      <w:pPr>
        <w:rPr>
          <w:rFonts w:ascii="Tahoma" w:hAnsi="Tahoma" w:cs="Tahoma"/>
          <w:b/>
          <w:color w:val="000000"/>
          <w:sz w:val="24"/>
          <w:szCs w:val="24"/>
          <w:lang w:val="en-US"/>
        </w:rPr>
      </w:pPr>
      <w:r w:rsidRPr="00863A17">
        <w:rPr>
          <w:rFonts w:ascii="Tahoma" w:hAnsi="Tahoma" w:cs="Tahoma"/>
          <w:b/>
          <w:color w:val="000000"/>
          <w:sz w:val="24"/>
          <w:szCs w:val="24"/>
          <w:lang w:val="en-US"/>
        </w:rPr>
        <w:lastRenderedPageBreak/>
        <w:t xml:space="preserve">List of </w:t>
      </w:r>
      <w:r w:rsidR="009744EB">
        <w:rPr>
          <w:rFonts w:ascii="Tahoma" w:hAnsi="Tahoma" w:cs="Tahoma"/>
          <w:b/>
          <w:color w:val="000000"/>
          <w:sz w:val="24"/>
          <w:szCs w:val="24"/>
          <w:lang w:val="en-US"/>
        </w:rPr>
        <w:t>Tables</w:t>
      </w:r>
      <w:r w:rsidRPr="00863A17">
        <w:rPr>
          <w:rFonts w:ascii="Tahoma" w:hAnsi="Tahoma" w:cs="Tahoma"/>
          <w:b/>
          <w:color w:val="000000"/>
          <w:sz w:val="24"/>
          <w:szCs w:val="24"/>
          <w:lang w:val="en-US"/>
        </w:rPr>
        <w:t xml:space="preserve"> </w:t>
      </w:r>
    </w:p>
    <w:p w14:paraId="582A2EE4" w14:textId="77777777" w:rsidR="00D751E8" w:rsidRPr="00C07FC0" w:rsidRDefault="00E36073">
      <w:pPr>
        <w:pStyle w:val="TableofFigures"/>
        <w:tabs>
          <w:tab w:val="right" w:leader="dot" w:pos="9016"/>
        </w:tabs>
        <w:rPr>
          <w:rFonts w:ascii="Tahoma" w:eastAsia="Times New Roman" w:hAnsi="Tahoma" w:cs="Tahoma"/>
          <w:noProof/>
          <w:sz w:val="24"/>
          <w:szCs w:val="24"/>
          <w:lang w:eastAsia="en-ZW"/>
        </w:rPr>
      </w:pPr>
      <w:r>
        <w:rPr>
          <w:rFonts w:ascii="Tahoma" w:hAnsi="Tahoma" w:cs="Tahoma"/>
          <w:b/>
          <w:iCs/>
          <w:sz w:val="24"/>
          <w:szCs w:val="24"/>
          <w:lang w:val="en-US"/>
        </w:rPr>
        <w:fldChar w:fldCharType="begin"/>
      </w:r>
      <w:r>
        <w:rPr>
          <w:rFonts w:ascii="Tahoma" w:hAnsi="Tahoma" w:cs="Tahoma"/>
          <w:b/>
          <w:iCs/>
          <w:sz w:val="24"/>
          <w:szCs w:val="24"/>
          <w:lang w:val="en-US"/>
        </w:rPr>
        <w:instrText xml:space="preserve"> TOC \f F \h \z \t "List of Tables" \c </w:instrText>
      </w:r>
      <w:r>
        <w:rPr>
          <w:rFonts w:ascii="Tahoma" w:hAnsi="Tahoma" w:cs="Tahoma"/>
          <w:b/>
          <w:iCs/>
          <w:sz w:val="24"/>
          <w:szCs w:val="24"/>
          <w:lang w:val="en-US"/>
        </w:rPr>
        <w:fldChar w:fldCharType="separate"/>
      </w:r>
      <w:hyperlink w:anchor="_Toc171944515" w:history="1">
        <w:r w:rsidR="00D751E8" w:rsidRPr="00A92C33">
          <w:rPr>
            <w:rStyle w:val="Hyperlink"/>
            <w:rFonts w:ascii="Tahoma" w:hAnsi="Tahoma" w:cs="Tahoma"/>
            <w:noProof/>
            <w:sz w:val="24"/>
            <w:szCs w:val="24"/>
          </w:rPr>
          <w:t xml:space="preserve">Table 1: </w:t>
        </w:r>
        <w:r w:rsidR="00D751E8" w:rsidRPr="00A92C33">
          <w:rPr>
            <w:rStyle w:val="Hyperlink"/>
            <w:rFonts w:ascii="Tahoma" w:hAnsi="Tahoma" w:cs="Tahoma"/>
            <w:noProof/>
            <w:sz w:val="24"/>
            <w:szCs w:val="24"/>
            <w:lang w:val="en-US"/>
          </w:rPr>
          <w:t>Global Economic Growth Developments</w:t>
        </w:r>
        <w:r w:rsidR="00D751E8" w:rsidRPr="00A92C33">
          <w:rPr>
            <w:rFonts w:ascii="Tahoma" w:hAnsi="Tahoma" w:cs="Tahoma"/>
            <w:noProof/>
            <w:webHidden/>
            <w:sz w:val="24"/>
            <w:szCs w:val="24"/>
          </w:rPr>
          <w:tab/>
        </w:r>
        <w:r w:rsidR="00D751E8" w:rsidRPr="00A92C33">
          <w:rPr>
            <w:rFonts w:ascii="Tahoma" w:hAnsi="Tahoma" w:cs="Tahoma"/>
            <w:noProof/>
            <w:webHidden/>
            <w:sz w:val="24"/>
            <w:szCs w:val="24"/>
          </w:rPr>
          <w:fldChar w:fldCharType="begin"/>
        </w:r>
        <w:r w:rsidR="00D751E8" w:rsidRPr="00A92C33">
          <w:rPr>
            <w:rFonts w:ascii="Tahoma" w:hAnsi="Tahoma" w:cs="Tahoma"/>
            <w:noProof/>
            <w:webHidden/>
            <w:sz w:val="24"/>
            <w:szCs w:val="24"/>
          </w:rPr>
          <w:instrText xml:space="preserve"> PAGEREF _Toc171944515 \h </w:instrText>
        </w:r>
        <w:r w:rsidR="00D751E8" w:rsidRPr="00A92C33">
          <w:rPr>
            <w:rFonts w:ascii="Tahoma" w:hAnsi="Tahoma" w:cs="Tahoma"/>
            <w:noProof/>
            <w:webHidden/>
            <w:sz w:val="24"/>
            <w:szCs w:val="24"/>
          </w:rPr>
        </w:r>
        <w:r w:rsidR="00D751E8" w:rsidRPr="00A92C33">
          <w:rPr>
            <w:rFonts w:ascii="Tahoma" w:hAnsi="Tahoma" w:cs="Tahoma"/>
            <w:noProof/>
            <w:webHidden/>
            <w:sz w:val="24"/>
            <w:szCs w:val="24"/>
          </w:rPr>
          <w:fldChar w:fldCharType="separate"/>
        </w:r>
        <w:r w:rsidR="00D751E8" w:rsidRPr="00A92C33">
          <w:rPr>
            <w:rFonts w:ascii="Tahoma" w:hAnsi="Tahoma" w:cs="Tahoma"/>
            <w:noProof/>
            <w:webHidden/>
            <w:sz w:val="24"/>
            <w:szCs w:val="24"/>
          </w:rPr>
          <w:t>1</w:t>
        </w:r>
        <w:r w:rsidR="00D751E8" w:rsidRPr="00A92C33">
          <w:rPr>
            <w:rFonts w:ascii="Tahoma" w:hAnsi="Tahoma" w:cs="Tahoma"/>
            <w:noProof/>
            <w:webHidden/>
            <w:sz w:val="24"/>
            <w:szCs w:val="24"/>
          </w:rPr>
          <w:fldChar w:fldCharType="end"/>
        </w:r>
      </w:hyperlink>
    </w:p>
    <w:p w14:paraId="6555CB4D" w14:textId="77777777" w:rsidR="00D751E8" w:rsidRPr="00C07FC0" w:rsidRDefault="00000000">
      <w:pPr>
        <w:pStyle w:val="TableofFigures"/>
        <w:tabs>
          <w:tab w:val="right" w:leader="dot" w:pos="9016"/>
        </w:tabs>
        <w:rPr>
          <w:rFonts w:ascii="Tahoma" w:eastAsia="Times New Roman" w:hAnsi="Tahoma" w:cs="Tahoma"/>
          <w:noProof/>
          <w:sz w:val="24"/>
          <w:szCs w:val="24"/>
          <w:lang w:eastAsia="en-ZW"/>
        </w:rPr>
      </w:pPr>
      <w:hyperlink w:anchor="_Toc171944516" w:history="1">
        <w:r w:rsidR="00D751E8" w:rsidRPr="00A92C33">
          <w:rPr>
            <w:rStyle w:val="Hyperlink"/>
            <w:rFonts w:ascii="Tahoma" w:hAnsi="Tahoma" w:cs="Tahoma"/>
            <w:noProof/>
            <w:sz w:val="24"/>
            <w:szCs w:val="24"/>
          </w:rPr>
          <w:t>Table 2:</w:t>
        </w:r>
        <w:r w:rsidR="00D751E8" w:rsidRPr="00A92C33">
          <w:rPr>
            <w:rStyle w:val="Hyperlink"/>
            <w:rFonts w:ascii="Tahoma" w:hAnsi="Tahoma" w:cs="Tahoma"/>
            <w:noProof/>
            <w:sz w:val="24"/>
            <w:szCs w:val="24"/>
            <w:lang w:val="en-US"/>
          </w:rPr>
          <w:t xml:space="preserve"> Commodity Price Movements – Month Ending 28 June 2024</w:t>
        </w:r>
        <w:r w:rsidR="00D751E8" w:rsidRPr="00A92C33">
          <w:rPr>
            <w:rFonts w:ascii="Tahoma" w:hAnsi="Tahoma" w:cs="Tahoma"/>
            <w:noProof/>
            <w:webHidden/>
            <w:sz w:val="24"/>
            <w:szCs w:val="24"/>
          </w:rPr>
          <w:tab/>
        </w:r>
        <w:r w:rsidR="00D751E8" w:rsidRPr="00A92C33">
          <w:rPr>
            <w:rFonts w:ascii="Tahoma" w:hAnsi="Tahoma" w:cs="Tahoma"/>
            <w:noProof/>
            <w:webHidden/>
            <w:sz w:val="24"/>
            <w:szCs w:val="24"/>
          </w:rPr>
          <w:fldChar w:fldCharType="begin"/>
        </w:r>
        <w:r w:rsidR="00D751E8" w:rsidRPr="00A92C33">
          <w:rPr>
            <w:rFonts w:ascii="Tahoma" w:hAnsi="Tahoma" w:cs="Tahoma"/>
            <w:noProof/>
            <w:webHidden/>
            <w:sz w:val="24"/>
            <w:szCs w:val="24"/>
          </w:rPr>
          <w:instrText xml:space="preserve"> PAGEREF _Toc171944516 \h </w:instrText>
        </w:r>
        <w:r w:rsidR="00D751E8" w:rsidRPr="00A92C33">
          <w:rPr>
            <w:rFonts w:ascii="Tahoma" w:hAnsi="Tahoma" w:cs="Tahoma"/>
            <w:noProof/>
            <w:webHidden/>
            <w:sz w:val="24"/>
            <w:szCs w:val="24"/>
          </w:rPr>
        </w:r>
        <w:r w:rsidR="00D751E8" w:rsidRPr="00A92C33">
          <w:rPr>
            <w:rFonts w:ascii="Tahoma" w:hAnsi="Tahoma" w:cs="Tahoma"/>
            <w:noProof/>
            <w:webHidden/>
            <w:sz w:val="24"/>
            <w:szCs w:val="24"/>
          </w:rPr>
          <w:fldChar w:fldCharType="separate"/>
        </w:r>
        <w:r w:rsidR="00D751E8" w:rsidRPr="00A92C33">
          <w:rPr>
            <w:rFonts w:ascii="Tahoma" w:hAnsi="Tahoma" w:cs="Tahoma"/>
            <w:noProof/>
            <w:webHidden/>
            <w:sz w:val="24"/>
            <w:szCs w:val="24"/>
          </w:rPr>
          <w:t>3</w:t>
        </w:r>
        <w:r w:rsidR="00D751E8" w:rsidRPr="00A92C33">
          <w:rPr>
            <w:rFonts w:ascii="Tahoma" w:hAnsi="Tahoma" w:cs="Tahoma"/>
            <w:noProof/>
            <w:webHidden/>
            <w:sz w:val="24"/>
            <w:szCs w:val="24"/>
          </w:rPr>
          <w:fldChar w:fldCharType="end"/>
        </w:r>
      </w:hyperlink>
    </w:p>
    <w:p w14:paraId="27652716" w14:textId="77777777" w:rsidR="00D751E8" w:rsidRPr="00C07FC0" w:rsidRDefault="00000000">
      <w:pPr>
        <w:pStyle w:val="TableofFigures"/>
        <w:tabs>
          <w:tab w:val="right" w:leader="dot" w:pos="9016"/>
        </w:tabs>
        <w:rPr>
          <w:rFonts w:ascii="Tahoma" w:eastAsia="Times New Roman" w:hAnsi="Tahoma" w:cs="Tahoma"/>
          <w:noProof/>
          <w:sz w:val="24"/>
          <w:szCs w:val="24"/>
          <w:lang w:eastAsia="en-ZW"/>
        </w:rPr>
      </w:pPr>
      <w:hyperlink w:anchor="_Toc171944517" w:history="1">
        <w:r w:rsidR="00D751E8" w:rsidRPr="00A92C33">
          <w:rPr>
            <w:rStyle w:val="Hyperlink"/>
            <w:rFonts w:ascii="Tahoma" w:hAnsi="Tahoma" w:cs="Tahoma"/>
            <w:noProof/>
            <w:sz w:val="24"/>
            <w:szCs w:val="24"/>
          </w:rPr>
          <w:t xml:space="preserve">Table 3: </w:t>
        </w:r>
        <w:r w:rsidR="00D751E8" w:rsidRPr="00A92C33">
          <w:rPr>
            <w:rStyle w:val="Hyperlink"/>
            <w:rFonts w:ascii="Tahoma" w:hAnsi="Tahoma" w:cs="Tahoma"/>
            <w:noProof/>
            <w:sz w:val="24"/>
            <w:szCs w:val="24"/>
            <w:lang w:val="en-US"/>
          </w:rPr>
          <w:t>ZiG Exchange Rate Movements – Month Ending 28 June 2024</w:t>
        </w:r>
        <w:r w:rsidR="00D751E8" w:rsidRPr="00A92C33">
          <w:rPr>
            <w:rFonts w:ascii="Tahoma" w:hAnsi="Tahoma" w:cs="Tahoma"/>
            <w:noProof/>
            <w:webHidden/>
            <w:sz w:val="24"/>
            <w:szCs w:val="24"/>
          </w:rPr>
          <w:tab/>
        </w:r>
        <w:r w:rsidR="00D751E8" w:rsidRPr="00A92C33">
          <w:rPr>
            <w:rFonts w:ascii="Tahoma" w:hAnsi="Tahoma" w:cs="Tahoma"/>
            <w:noProof/>
            <w:webHidden/>
            <w:sz w:val="24"/>
            <w:szCs w:val="24"/>
          </w:rPr>
          <w:fldChar w:fldCharType="begin"/>
        </w:r>
        <w:r w:rsidR="00D751E8" w:rsidRPr="00A92C33">
          <w:rPr>
            <w:rFonts w:ascii="Tahoma" w:hAnsi="Tahoma" w:cs="Tahoma"/>
            <w:noProof/>
            <w:webHidden/>
            <w:sz w:val="24"/>
            <w:szCs w:val="24"/>
          </w:rPr>
          <w:instrText xml:space="preserve"> PAGEREF _Toc171944517 \h </w:instrText>
        </w:r>
        <w:r w:rsidR="00D751E8" w:rsidRPr="00A92C33">
          <w:rPr>
            <w:rFonts w:ascii="Tahoma" w:hAnsi="Tahoma" w:cs="Tahoma"/>
            <w:noProof/>
            <w:webHidden/>
            <w:sz w:val="24"/>
            <w:szCs w:val="24"/>
          </w:rPr>
        </w:r>
        <w:r w:rsidR="00D751E8" w:rsidRPr="00A92C33">
          <w:rPr>
            <w:rFonts w:ascii="Tahoma" w:hAnsi="Tahoma" w:cs="Tahoma"/>
            <w:noProof/>
            <w:webHidden/>
            <w:sz w:val="24"/>
            <w:szCs w:val="24"/>
          </w:rPr>
          <w:fldChar w:fldCharType="separate"/>
        </w:r>
        <w:r w:rsidR="00D751E8" w:rsidRPr="00A92C33">
          <w:rPr>
            <w:rFonts w:ascii="Tahoma" w:hAnsi="Tahoma" w:cs="Tahoma"/>
            <w:noProof/>
            <w:webHidden/>
            <w:sz w:val="24"/>
            <w:szCs w:val="24"/>
          </w:rPr>
          <w:t>4</w:t>
        </w:r>
        <w:r w:rsidR="00D751E8" w:rsidRPr="00A92C33">
          <w:rPr>
            <w:rFonts w:ascii="Tahoma" w:hAnsi="Tahoma" w:cs="Tahoma"/>
            <w:noProof/>
            <w:webHidden/>
            <w:sz w:val="24"/>
            <w:szCs w:val="24"/>
          </w:rPr>
          <w:fldChar w:fldCharType="end"/>
        </w:r>
      </w:hyperlink>
    </w:p>
    <w:p w14:paraId="6E992FDC" w14:textId="77777777" w:rsidR="00D751E8" w:rsidRPr="00C07FC0" w:rsidRDefault="00000000">
      <w:pPr>
        <w:pStyle w:val="TableofFigures"/>
        <w:tabs>
          <w:tab w:val="right" w:leader="dot" w:pos="9016"/>
        </w:tabs>
        <w:rPr>
          <w:rFonts w:ascii="Tahoma" w:eastAsia="Times New Roman" w:hAnsi="Tahoma" w:cs="Tahoma"/>
          <w:noProof/>
          <w:sz w:val="24"/>
          <w:szCs w:val="24"/>
          <w:lang w:eastAsia="en-ZW"/>
        </w:rPr>
      </w:pPr>
      <w:hyperlink w:anchor="_Toc171944518" w:history="1">
        <w:r w:rsidR="00D751E8" w:rsidRPr="00A92C33">
          <w:rPr>
            <w:rStyle w:val="Hyperlink"/>
            <w:rFonts w:ascii="Tahoma" w:hAnsi="Tahoma" w:cs="Tahoma"/>
            <w:noProof/>
            <w:sz w:val="24"/>
            <w:szCs w:val="24"/>
          </w:rPr>
          <w:t xml:space="preserve">Table 4: </w:t>
        </w:r>
        <w:r w:rsidR="00D751E8" w:rsidRPr="00A92C33">
          <w:rPr>
            <w:rStyle w:val="Hyperlink"/>
            <w:rFonts w:ascii="Tahoma" w:hAnsi="Tahoma" w:cs="Tahoma"/>
            <w:noProof/>
            <w:sz w:val="24"/>
            <w:szCs w:val="24"/>
            <w:lang w:val="en-US"/>
          </w:rPr>
          <w:t>USD Exchange Rate Movements – Month Ended 28 June 2024</w:t>
        </w:r>
        <w:r w:rsidR="00D751E8" w:rsidRPr="00A92C33">
          <w:rPr>
            <w:rFonts w:ascii="Tahoma" w:hAnsi="Tahoma" w:cs="Tahoma"/>
            <w:noProof/>
            <w:webHidden/>
            <w:sz w:val="24"/>
            <w:szCs w:val="24"/>
          </w:rPr>
          <w:tab/>
        </w:r>
        <w:r w:rsidR="00D751E8" w:rsidRPr="00A92C33">
          <w:rPr>
            <w:rFonts w:ascii="Tahoma" w:hAnsi="Tahoma" w:cs="Tahoma"/>
            <w:noProof/>
            <w:webHidden/>
            <w:sz w:val="24"/>
            <w:szCs w:val="24"/>
          </w:rPr>
          <w:fldChar w:fldCharType="begin"/>
        </w:r>
        <w:r w:rsidR="00D751E8" w:rsidRPr="00A92C33">
          <w:rPr>
            <w:rFonts w:ascii="Tahoma" w:hAnsi="Tahoma" w:cs="Tahoma"/>
            <w:noProof/>
            <w:webHidden/>
            <w:sz w:val="24"/>
            <w:szCs w:val="24"/>
          </w:rPr>
          <w:instrText xml:space="preserve"> PAGEREF _Toc171944518 \h </w:instrText>
        </w:r>
        <w:r w:rsidR="00D751E8" w:rsidRPr="00A92C33">
          <w:rPr>
            <w:rFonts w:ascii="Tahoma" w:hAnsi="Tahoma" w:cs="Tahoma"/>
            <w:noProof/>
            <w:webHidden/>
            <w:sz w:val="24"/>
            <w:szCs w:val="24"/>
          </w:rPr>
        </w:r>
        <w:r w:rsidR="00D751E8" w:rsidRPr="00A92C33">
          <w:rPr>
            <w:rFonts w:ascii="Tahoma" w:hAnsi="Tahoma" w:cs="Tahoma"/>
            <w:noProof/>
            <w:webHidden/>
            <w:sz w:val="24"/>
            <w:szCs w:val="24"/>
          </w:rPr>
          <w:fldChar w:fldCharType="separate"/>
        </w:r>
        <w:r w:rsidR="00D751E8" w:rsidRPr="00A92C33">
          <w:rPr>
            <w:rFonts w:ascii="Tahoma" w:hAnsi="Tahoma" w:cs="Tahoma"/>
            <w:noProof/>
            <w:webHidden/>
            <w:sz w:val="24"/>
            <w:szCs w:val="24"/>
          </w:rPr>
          <w:t>4</w:t>
        </w:r>
        <w:r w:rsidR="00D751E8" w:rsidRPr="00A92C33">
          <w:rPr>
            <w:rFonts w:ascii="Tahoma" w:hAnsi="Tahoma" w:cs="Tahoma"/>
            <w:noProof/>
            <w:webHidden/>
            <w:sz w:val="24"/>
            <w:szCs w:val="24"/>
          </w:rPr>
          <w:fldChar w:fldCharType="end"/>
        </w:r>
      </w:hyperlink>
    </w:p>
    <w:p w14:paraId="05CE05F5" w14:textId="77777777" w:rsidR="00D751E8" w:rsidRPr="00C07FC0" w:rsidRDefault="00000000">
      <w:pPr>
        <w:pStyle w:val="TableofFigures"/>
        <w:tabs>
          <w:tab w:val="right" w:leader="dot" w:pos="9016"/>
        </w:tabs>
        <w:rPr>
          <w:rFonts w:ascii="Tahoma" w:eastAsia="Times New Roman" w:hAnsi="Tahoma" w:cs="Tahoma"/>
          <w:noProof/>
          <w:sz w:val="24"/>
          <w:szCs w:val="24"/>
          <w:lang w:eastAsia="en-ZW"/>
        </w:rPr>
      </w:pPr>
      <w:hyperlink w:anchor="_Toc171944519" w:history="1">
        <w:r w:rsidR="00D751E8" w:rsidRPr="00A92C33">
          <w:rPr>
            <w:rStyle w:val="Hyperlink"/>
            <w:rFonts w:ascii="Tahoma" w:hAnsi="Tahoma" w:cs="Tahoma"/>
            <w:noProof/>
            <w:sz w:val="24"/>
            <w:szCs w:val="24"/>
          </w:rPr>
          <w:t xml:space="preserve">Table 5: Monthly </w:t>
        </w:r>
        <w:r w:rsidR="00D751E8" w:rsidRPr="00A92C33">
          <w:rPr>
            <w:rStyle w:val="Hyperlink"/>
            <w:rFonts w:ascii="Tahoma" w:hAnsi="Tahoma" w:cs="Tahoma"/>
            <w:noProof/>
            <w:sz w:val="24"/>
            <w:szCs w:val="24"/>
            <w:lang w:val="en-US"/>
          </w:rPr>
          <w:t>Inflation for June 2024</w:t>
        </w:r>
        <w:r w:rsidR="00D751E8" w:rsidRPr="00A92C33">
          <w:rPr>
            <w:rFonts w:ascii="Tahoma" w:hAnsi="Tahoma" w:cs="Tahoma"/>
            <w:noProof/>
            <w:webHidden/>
            <w:sz w:val="24"/>
            <w:szCs w:val="24"/>
          </w:rPr>
          <w:tab/>
        </w:r>
        <w:r w:rsidR="00D751E8" w:rsidRPr="00A92C33">
          <w:rPr>
            <w:rFonts w:ascii="Tahoma" w:hAnsi="Tahoma" w:cs="Tahoma"/>
            <w:noProof/>
            <w:webHidden/>
            <w:sz w:val="24"/>
            <w:szCs w:val="24"/>
          </w:rPr>
          <w:fldChar w:fldCharType="begin"/>
        </w:r>
        <w:r w:rsidR="00D751E8" w:rsidRPr="00A92C33">
          <w:rPr>
            <w:rFonts w:ascii="Tahoma" w:hAnsi="Tahoma" w:cs="Tahoma"/>
            <w:noProof/>
            <w:webHidden/>
            <w:sz w:val="24"/>
            <w:szCs w:val="24"/>
          </w:rPr>
          <w:instrText xml:space="preserve"> PAGEREF _Toc171944519 \h </w:instrText>
        </w:r>
        <w:r w:rsidR="00D751E8" w:rsidRPr="00A92C33">
          <w:rPr>
            <w:rFonts w:ascii="Tahoma" w:hAnsi="Tahoma" w:cs="Tahoma"/>
            <w:noProof/>
            <w:webHidden/>
            <w:sz w:val="24"/>
            <w:szCs w:val="24"/>
          </w:rPr>
        </w:r>
        <w:r w:rsidR="00D751E8" w:rsidRPr="00A92C33">
          <w:rPr>
            <w:rFonts w:ascii="Tahoma" w:hAnsi="Tahoma" w:cs="Tahoma"/>
            <w:noProof/>
            <w:webHidden/>
            <w:sz w:val="24"/>
            <w:szCs w:val="24"/>
          </w:rPr>
          <w:fldChar w:fldCharType="separate"/>
        </w:r>
        <w:r w:rsidR="00D751E8" w:rsidRPr="00A92C33">
          <w:rPr>
            <w:rFonts w:ascii="Tahoma" w:hAnsi="Tahoma" w:cs="Tahoma"/>
            <w:noProof/>
            <w:webHidden/>
            <w:sz w:val="24"/>
            <w:szCs w:val="24"/>
          </w:rPr>
          <w:t>5</w:t>
        </w:r>
        <w:r w:rsidR="00D751E8" w:rsidRPr="00A92C33">
          <w:rPr>
            <w:rFonts w:ascii="Tahoma" w:hAnsi="Tahoma" w:cs="Tahoma"/>
            <w:noProof/>
            <w:webHidden/>
            <w:sz w:val="24"/>
            <w:szCs w:val="24"/>
          </w:rPr>
          <w:fldChar w:fldCharType="end"/>
        </w:r>
      </w:hyperlink>
    </w:p>
    <w:p w14:paraId="4BC7455F" w14:textId="77777777" w:rsidR="00D751E8" w:rsidRPr="00C07FC0" w:rsidRDefault="00000000">
      <w:pPr>
        <w:pStyle w:val="TableofFigures"/>
        <w:tabs>
          <w:tab w:val="right" w:leader="dot" w:pos="9016"/>
        </w:tabs>
        <w:rPr>
          <w:rFonts w:ascii="Tahoma" w:eastAsia="Times New Roman" w:hAnsi="Tahoma" w:cs="Tahoma"/>
          <w:noProof/>
          <w:sz w:val="24"/>
          <w:szCs w:val="24"/>
          <w:lang w:eastAsia="en-ZW"/>
        </w:rPr>
      </w:pPr>
      <w:hyperlink w:anchor="_Toc171944520" w:history="1">
        <w:r w:rsidR="00D751E8" w:rsidRPr="00A92C33">
          <w:rPr>
            <w:rStyle w:val="Hyperlink"/>
            <w:rFonts w:ascii="Tahoma" w:hAnsi="Tahoma" w:cs="Tahoma"/>
            <w:noProof/>
            <w:sz w:val="24"/>
            <w:szCs w:val="24"/>
          </w:rPr>
          <w:t>Table 6: Zimbabwe Stock Exchange Movements</w:t>
        </w:r>
        <w:r w:rsidR="00D751E8" w:rsidRPr="00A92C33">
          <w:rPr>
            <w:rFonts w:ascii="Tahoma" w:hAnsi="Tahoma" w:cs="Tahoma"/>
            <w:noProof/>
            <w:webHidden/>
            <w:sz w:val="24"/>
            <w:szCs w:val="24"/>
          </w:rPr>
          <w:tab/>
        </w:r>
        <w:r w:rsidR="00D751E8" w:rsidRPr="00A92C33">
          <w:rPr>
            <w:rFonts w:ascii="Tahoma" w:hAnsi="Tahoma" w:cs="Tahoma"/>
            <w:noProof/>
            <w:webHidden/>
            <w:sz w:val="24"/>
            <w:szCs w:val="24"/>
          </w:rPr>
          <w:fldChar w:fldCharType="begin"/>
        </w:r>
        <w:r w:rsidR="00D751E8" w:rsidRPr="00A92C33">
          <w:rPr>
            <w:rFonts w:ascii="Tahoma" w:hAnsi="Tahoma" w:cs="Tahoma"/>
            <w:noProof/>
            <w:webHidden/>
            <w:sz w:val="24"/>
            <w:szCs w:val="24"/>
          </w:rPr>
          <w:instrText xml:space="preserve"> PAGEREF _Toc171944520 \h </w:instrText>
        </w:r>
        <w:r w:rsidR="00D751E8" w:rsidRPr="00A92C33">
          <w:rPr>
            <w:rFonts w:ascii="Tahoma" w:hAnsi="Tahoma" w:cs="Tahoma"/>
            <w:noProof/>
            <w:webHidden/>
            <w:sz w:val="24"/>
            <w:szCs w:val="24"/>
          </w:rPr>
        </w:r>
        <w:r w:rsidR="00D751E8" w:rsidRPr="00A92C33">
          <w:rPr>
            <w:rFonts w:ascii="Tahoma" w:hAnsi="Tahoma" w:cs="Tahoma"/>
            <w:noProof/>
            <w:webHidden/>
            <w:sz w:val="24"/>
            <w:szCs w:val="24"/>
          </w:rPr>
          <w:fldChar w:fldCharType="separate"/>
        </w:r>
        <w:r w:rsidR="00D751E8" w:rsidRPr="00A92C33">
          <w:rPr>
            <w:rFonts w:ascii="Tahoma" w:hAnsi="Tahoma" w:cs="Tahoma"/>
            <w:noProof/>
            <w:webHidden/>
            <w:sz w:val="24"/>
            <w:szCs w:val="24"/>
          </w:rPr>
          <w:t>6</w:t>
        </w:r>
        <w:r w:rsidR="00D751E8" w:rsidRPr="00A92C33">
          <w:rPr>
            <w:rFonts w:ascii="Tahoma" w:hAnsi="Tahoma" w:cs="Tahoma"/>
            <w:noProof/>
            <w:webHidden/>
            <w:sz w:val="24"/>
            <w:szCs w:val="24"/>
          </w:rPr>
          <w:fldChar w:fldCharType="end"/>
        </w:r>
      </w:hyperlink>
    </w:p>
    <w:p w14:paraId="36BD1E49" w14:textId="77777777" w:rsidR="00D751E8" w:rsidRPr="00C07FC0" w:rsidRDefault="00000000">
      <w:pPr>
        <w:pStyle w:val="TableofFigures"/>
        <w:tabs>
          <w:tab w:val="right" w:leader="dot" w:pos="9016"/>
        </w:tabs>
        <w:rPr>
          <w:rFonts w:ascii="Tahoma" w:eastAsia="Times New Roman" w:hAnsi="Tahoma" w:cs="Tahoma"/>
          <w:noProof/>
          <w:sz w:val="24"/>
          <w:szCs w:val="24"/>
          <w:lang w:eastAsia="en-ZW"/>
        </w:rPr>
      </w:pPr>
      <w:hyperlink w:anchor="_Toc171944521" w:history="1">
        <w:r w:rsidR="00D751E8" w:rsidRPr="00A92C33">
          <w:rPr>
            <w:rStyle w:val="Hyperlink"/>
            <w:rFonts w:ascii="Tahoma" w:hAnsi="Tahoma" w:cs="Tahoma"/>
            <w:noProof/>
            <w:sz w:val="24"/>
            <w:szCs w:val="24"/>
          </w:rPr>
          <w:t>Table 7: Victoria Falls Stock Exchange Movements</w:t>
        </w:r>
        <w:r w:rsidR="00D751E8" w:rsidRPr="00A92C33">
          <w:rPr>
            <w:rFonts w:ascii="Tahoma" w:hAnsi="Tahoma" w:cs="Tahoma"/>
            <w:noProof/>
            <w:webHidden/>
            <w:sz w:val="24"/>
            <w:szCs w:val="24"/>
          </w:rPr>
          <w:tab/>
        </w:r>
        <w:r w:rsidR="00D751E8" w:rsidRPr="00A92C33">
          <w:rPr>
            <w:rFonts w:ascii="Tahoma" w:hAnsi="Tahoma" w:cs="Tahoma"/>
            <w:noProof/>
            <w:webHidden/>
            <w:sz w:val="24"/>
            <w:szCs w:val="24"/>
          </w:rPr>
          <w:fldChar w:fldCharType="begin"/>
        </w:r>
        <w:r w:rsidR="00D751E8" w:rsidRPr="00A92C33">
          <w:rPr>
            <w:rFonts w:ascii="Tahoma" w:hAnsi="Tahoma" w:cs="Tahoma"/>
            <w:noProof/>
            <w:webHidden/>
            <w:sz w:val="24"/>
            <w:szCs w:val="24"/>
          </w:rPr>
          <w:instrText xml:space="preserve"> PAGEREF _Toc171944521 \h </w:instrText>
        </w:r>
        <w:r w:rsidR="00D751E8" w:rsidRPr="00A92C33">
          <w:rPr>
            <w:rFonts w:ascii="Tahoma" w:hAnsi="Tahoma" w:cs="Tahoma"/>
            <w:noProof/>
            <w:webHidden/>
            <w:sz w:val="24"/>
            <w:szCs w:val="24"/>
          </w:rPr>
        </w:r>
        <w:r w:rsidR="00D751E8" w:rsidRPr="00A92C33">
          <w:rPr>
            <w:rFonts w:ascii="Tahoma" w:hAnsi="Tahoma" w:cs="Tahoma"/>
            <w:noProof/>
            <w:webHidden/>
            <w:sz w:val="24"/>
            <w:szCs w:val="24"/>
          </w:rPr>
          <w:fldChar w:fldCharType="separate"/>
        </w:r>
        <w:r w:rsidR="00D751E8" w:rsidRPr="00A92C33">
          <w:rPr>
            <w:rFonts w:ascii="Tahoma" w:hAnsi="Tahoma" w:cs="Tahoma"/>
            <w:noProof/>
            <w:webHidden/>
            <w:sz w:val="24"/>
            <w:szCs w:val="24"/>
          </w:rPr>
          <w:t>7</w:t>
        </w:r>
        <w:r w:rsidR="00D751E8" w:rsidRPr="00A92C33">
          <w:rPr>
            <w:rFonts w:ascii="Tahoma" w:hAnsi="Tahoma" w:cs="Tahoma"/>
            <w:noProof/>
            <w:webHidden/>
            <w:sz w:val="24"/>
            <w:szCs w:val="24"/>
          </w:rPr>
          <w:fldChar w:fldCharType="end"/>
        </w:r>
      </w:hyperlink>
    </w:p>
    <w:p w14:paraId="103FA905" w14:textId="77777777" w:rsidR="00DA458A" w:rsidRPr="008A3AD2" w:rsidRDefault="00E36073">
      <w:pPr>
        <w:rPr>
          <w:rFonts w:ascii="Tahoma" w:hAnsi="Tahoma" w:cs="Tahoma"/>
          <w:b/>
          <w:bCs/>
          <w:sz w:val="24"/>
          <w:szCs w:val="24"/>
          <w:lang w:val="en-US"/>
        </w:rPr>
      </w:pPr>
      <w:r>
        <w:rPr>
          <w:rFonts w:ascii="Tahoma" w:hAnsi="Tahoma" w:cs="Tahoma"/>
          <w:b/>
          <w:iCs/>
          <w:sz w:val="24"/>
          <w:szCs w:val="24"/>
          <w:lang w:val="en-US"/>
        </w:rPr>
        <w:fldChar w:fldCharType="end"/>
      </w:r>
    </w:p>
    <w:p w14:paraId="7543D7C4" w14:textId="77777777" w:rsidR="00D751E8" w:rsidRPr="00223F21" w:rsidRDefault="00654F03" w:rsidP="000129B7">
      <w:pPr>
        <w:rPr>
          <w:rFonts w:ascii="Tahoma" w:hAnsi="Tahoma" w:cs="Tahoma"/>
          <w:noProof/>
          <w:sz w:val="24"/>
          <w:szCs w:val="24"/>
        </w:rPr>
      </w:pPr>
      <w:r w:rsidRPr="00863A17">
        <w:rPr>
          <w:rFonts w:ascii="Tahoma" w:hAnsi="Tahoma" w:cs="Tahoma"/>
          <w:sz w:val="24"/>
          <w:szCs w:val="24"/>
          <w:lang w:val="en-US"/>
        </w:rPr>
        <w:br w:type="page"/>
      </w:r>
      <w:r w:rsidR="00E76009" w:rsidRPr="00DB4775">
        <w:rPr>
          <w:rFonts w:ascii="Tahoma" w:hAnsi="Tahoma" w:cs="Tahoma"/>
          <w:b/>
          <w:bCs/>
          <w:sz w:val="24"/>
          <w:szCs w:val="24"/>
          <w:lang w:val="en-US"/>
        </w:rPr>
        <w:lastRenderedPageBreak/>
        <w:t>List of Figures</w:t>
      </w:r>
      <w:r w:rsidR="00E76009">
        <w:rPr>
          <w:rFonts w:ascii="Tahoma" w:hAnsi="Tahoma" w:cs="Tahoma"/>
          <w:b/>
          <w:bCs/>
          <w:sz w:val="24"/>
          <w:szCs w:val="24"/>
          <w:lang w:val="en-US"/>
        </w:rPr>
        <w:fldChar w:fldCharType="begin"/>
      </w:r>
      <w:r w:rsidR="00E76009" w:rsidRPr="00DB4775">
        <w:rPr>
          <w:rFonts w:ascii="Tahoma" w:hAnsi="Tahoma" w:cs="Tahoma"/>
          <w:b/>
          <w:bCs/>
          <w:sz w:val="24"/>
          <w:szCs w:val="24"/>
          <w:lang w:val="en-US"/>
        </w:rPr>
        <w:instrText xml:space="preserve"> TOC \h \z \t "List of Figures" \c </w:instrText>
      </w:r>
      <w:r w:rsidR="00E76009">
        <w:rPr>
          <w:rFonts w:ascii="Tahoma" w:hAnsi="Tahoma" w:cs="Tahoma"/>
          <w:b/>
          <w:bCs/>
          <w:sz w:val="24"/>
          <w:szCs w:val="24"/>
          <w:lang w:val="en-US"/>
        </w:rPr>
        <w:fldChar w:fldCharType="separate"/>
      </w:r>
    </w:p>
    <w:p w14:paraId="46B967D3" w14:textId="77777777" w:rsidR="00D751E8" w:rsidRPr="00223F21" w:rsidRDefault="00000000">
      <w:pPr>
        <w:pStyle w:val="TableofFigures"/>
        <w:tabs>
          <w:tab w:val="right" w:leader="dot" w:pos="9016"/>
        </w:tabs>
        <w:rPr>
          <w:rFonts w:ascii="Tahoma" w:eastAsia="Times New Roman" w:hAnsi="Tahoma" w:cs="Tahoma"/>
          <w:noProof/>
          <w:sz w:val="24"/>
          <w:szCs w:val="24"/>
          <w:lang w:eastAsia="en-ZW"/>
        </w:rPr>
      </w:pPr>
      <w:hyperlink w:anchor="_Toc171944602" w:history="1">
        <w:r w:rsidR="00D751E8" w:rsidRPr="00223F21">
          <w:rPr>
            <w:rStyle w:val="Hyperlink"/>
            <w:rFonts w:ascii="Tahoma" w:hAnsi="Tahoma" w:cs="Tahoma"/>
            <w:noProof/>
            <w:sz w:val="24"/>
            <w:szCs w:val="24"/>
          </w:rPr>
          <w:t xml:space="preserve">Figure 1: </w:t>
        </w:r>
        <w:r w:rsidR="00D751E8" w:rsidRPr="00223F21">
          <w:rPr>
            <w:rStyle w:val="Hyperlink"/>
            <w:rFonts w:ascii="Tahoma" w:hAnsi="Tahoma" w:cs="Tahoma"/>
            <w:noProof/>
            <w:sz w:val="24"/>
            <w:szCs w:val="24"/>
            <w:lang w:val="en-US"/>
          </w:rPr>
          <w:t>Global Inflation Prospects</w:t>
        </w:r>
        <w:r w:rsidR="00D751E8" w:rsidRPr="00223F21">
          <w:rPr>
            <w:rFonts w:ascii="Tahoma" w:hAnsi="Tahoma" w:cs="Tahoma"/>
            <w:noProof/>
            <w:webHidden/>
            <w:sz w:val="24"/>
            <w:szCs w:val="24"/>
          </w:rPr>
          <w:tab/>
        </w:r>
        <w:r w:rsidR="00D751E8" w:rsidRPr="00223F21">
          <w:rPr>
            <w:rFonts w:ascii="Tahoma" w:hAnsi="Tahoma" w:cs="Tahoma"/>
            <w:noProof/>
            <w:webHidden/>
            <w:sz w:val="24"/>
            <w:szCs w:val="24"/>
          </w:rPr>
          <w:fldChar w:fldCharType="begin"/>
        </w:r>
        <w:r w:rsidR="00D751E8" w:rsidRPr="00223F21">
          <w:rPr>
            <w:rFonts w:ascii="Tahoma" w:hAnsi="Tahoma" w:cs="Tahoma"/>
            <w:noProof/>
            <w:webHidden/>
            <w:sz w:val="24"/>
            <w:szCs w:val="24"/>
          </w:rPr>
          <w:instrText xml:space="preserve"> PAGEREF _Toc171944602 \h </w:instrText>
        </w:r>
        <w:r w:rsidR="00D751E8" w:rsidRPr="00223F21">
          <w:rPr>
            <w:rFonts w:ascii="Tahoma" w:hAnsi="Tahoma" w:cs="Tahoma"/>
            <w:noProof/>
            <w:webHidden/>
            <w:sz w:val="24"/>
            <w:szCs w:val="24"/>
          </w:rPr>
        </w:r>
        <w:r w:rsidR="00D751E8" w:rsidRPr="00223F21">
          <w:rPr>
            <w:rFonts w:ascii="Tahoma" w:hAnsi="Tahoma" w:cs="Tahoma"/>
            <w:noProof/>
            <w:webHidden/>
            <w:sz w:val="24"/>
            <w:szCs w:val="24"/>
          </w:rPr>
          <w:fldChar w:fldCharType="separate"/>
        </w:r>
        <w:r w:rsidR="00D751E8" w:rsidRPr="00223F21">
          <w:rPr>
            <w:rFonts w:ascii="Tahoma" w:hAnsi="Tahoma" w:cs="Tahoma"/>
            <w:noProof/>
            <w:webHidden/>
            <w:sz w:val="24"/>
            <w:szCs w:val="24"/>
          </w:rPr>
          <w:t>2</w:t>
        </w:r>
        <w:r w:rsidR="00D751E8" w:rsidRPr="00223F21">
          <w:rPr>
            <w:rFonts w:ascii="Tahoma" w:hAnsi="Tahoma" w:cs="Tahoma"/>
            <w:noProof/>
            <w:webHidden/>
            <w:sz w:val="24"/>
            <w:szCs w:val="24"/>
          </w:rPr>
          <w:fldChar w:fldCharType="end"/>
        </w:r>
      </w:hyperlink>
    </w:p>
    <w:p w14:paraId="51D0D99A" w14:textId="77777777" w:rsidR="00D751E8" w:rsidRPr="00223F21" w:rsidRDefault="00000000">
      <w:pPr>
        <w:pStyle w:val="TableofFigures"/>
        <w:tabs>
          <w:tab w:val="right" w:leader="dot" w:pos="9016"/>
        </w:tabs>
        <w:rPr>
          <w:rFonts w:ascii="Tahoma" w:eastAsia="Times New Roman" w:hAnsi="Tahoma" w:cs="Tahoma"/>
          <w:noProof/>
          <w:sz w:val="24"/>
          <w:szCs w:val="24"/>
          <w:lang w:eastAsia="en-ZW"/>
        </w:rPr>
      </w:pPr>
      <w:hyperlink w:anchor="_Toc171944603" w:history="1">
        <w:r w:rsidR="00D751E8" w:rsidRPr="00223F21">
          <w:rPr>
            <w:rStyle w:val="Hyperlink"/>
            <w:rFonts w:ascii="Tahoma" w:hAnsi="Tahoma" w:cs="Tahoma"/>
            <w:noProof/>
            <w:sz w:val="24"/>
            <w:szCs w:val="24"/>
          </w:rPr>
          <w:t xml:space="preserve">Figure 2: </w:t>
        </w:r>
        <w:r w:rsidR="00D751E8" w:rsidRPr="00223F21">
          <w:rPr>
            <w:rStyle w:val="Hyperlink"/>
            <w:rFonts w:ascii="Tahoma" w:hAnsi="Tahoma" w:cs="Tahoma"/>
            <w:noProof/>
            <w:sz w:val="24"/>
            <w:szCs w:val="24"/>
            <w:lang w:val="en-US"/>
          </w:rPr>
          <w:t>Zimbabwe Economic Growth Prospects</w:t>
        </w:r>
        <w:r w:rsidR="00D751E8" w:rsidRPr="00223F21">
          <w:rPr>
            <w:rFonts w:ascii="Tahoma" w:hAnsi="Tahoma" w:cs="Tahoma"/>
            <w:noProof/>
            <w:webHidden/>
            <w:sz w:val="24"/>
            <w:szCs w:val="24"/>
          </w:rPr>
          <w:tab/>
        </w:r>
        <w:r w:rsidR="00D751E8" w:rsidRPr="00223F21">
          <w:rPr>
            <w:rFonts w:ascii="Tahoma" w:hAnsi="Tahoma" w:cs="Tahoma"/>
            <w:noProof/>
            <w:webHidden/>
            <w:sz w:val="24"/>
            <w:szCs w:val="24"/>
          </w:rPr>
          <w:fldChar w:fldCharType="begin"/>
        </w:r>
        <w:r w:rsidR="00D751E8" w:rsidRPr="00223F21">
          <w:rPr>
            <w:rFonts w:ascii="Tahoma" w:hAnsi="Tahoma" w:cs="Tahoma"/>
            <w:noProof/>
            <w:webHidden/>
            <w:sz w:val="24"/>
            <w:szCs w:val="24"/>
          </w:rPr>
          <w:instrText xml:space="preserve"> PAGEREF _Toc171944603 \h </w:instrText>
        </w:r>
        <w:r w:rsidR="00D751E8" w:rsidRPr="00223F21">
          <w:rPr>
            <w:rFonts w:ascii="Tahoma" w:hAnsi="Tahoma" w:cs="Tahoma"/>
            <w:noProof/>
            <w:webHidden/>
            <w:sz w:val="24"/>
            <w:szCs w:val="24"/>
          </w:rPr>
        </w:r>
        <w:r w:rsidR="00D751E8" w:rsidRPr="00223F21">
          <w:rPr>
            <w:rFonts w:ascii="Tahoma" w:hAnsi="Tahoma" w:cs="Tahoma"/>
            <w:noProof/>
            <w:webHidden/>
            <w:sz w:val="24"/>
            <w:szCs w:val="24"/>
          </w:rPr>
          <w:fldChar w:fldCharType="separate"/>
        </w:r>
        <w:r w:rsidR="00D751E8" w:rsidRPr="00223F21">
          <w:rPr>
            <w:rFonts w:ascii="Tahoma" w:hAnsi="Tahoma" w:cs="Tahoma"/>
            <w:noProof/>
            <w:webHidden/>
            <w:sz w:val="24"/>
            <w:szCs w:val="24"/>
          </w:rPr>
          <w:t>3</w:t>
        </w:r>
        <w:r w:rsidR="00D751E8" w:rsidRPr="00223F21">
          <w:rPr>
            <w:rFonts w:ascii="Tahoma" w:hAnsi="Tahoma" w:cs="Tahoma"/>
            <w:noProof/>
            <w:webHidden/>
            <w:sz w:val="24"/>
            <w:szCs w:val="24"/>
          </w:rPr>
          <w:fldChar w:fldCharType="end"/>
        </w:r>
      </w:hyperlink>
    </w:p>
    <w:p w14:paraId="5438BB84" w14:textId="77777777" w:rsidR="00D751E8" w:rsidRPr="00C07FC0" w:rsidRDefault="00000000">
      <w:pPr>
        <w:pStyle w:val="TableofFigures"/>
        <w:tabs>
          <w:tab w:val="right" w:leader="dot" w:pos="9016"/>
        </w:tabs>
        <w:rPr>
          <w:rFonts w:eastAsia="Times New Roman"/>
          <w:noProof/>
          <w:lang w:eastAsia="en-ZW"/>
        </w:rPr>
      </w:pPr>
      <w:hyperlink w:anchor="_Toc171944604" w:history="1">
        <w:r w:rsidR="00D751E8" w:rsidRPr="00223F21">
          <w:rPr>
            <w:rStyle w:val="Hyperlink"/>
            <w:rFonts w:ascii="Tahoma" w:hAnsi="Tahoma" w:cs="Tahoma"/>
            <w:noProof/>
            <w:sz w:val="24"/>
            <w:szCs w:val="24"/>
          </w:rPr>
          <w:t xml:space="preserve">Figure </w:t>
        </w:r>
        <w:r w:rsidR="00D751E8" w:rsidRPr="00223F21">
          <w:rPr>
            <w:rStyle w:val="Hyperlink"/>
            <w:rFonts w:ascii="Tahoma" w:hAnsi="Tahoma" w:cs="Tahoma"/>
            <w:bCs/>
            <w:noProof/>
            <w:sz w:val="24"/>
            <w:szCs w:val="24"/>
          </w:rPr>
          <w:t>3</w:t>
        </w:r>
        <w:r w:rsidR="00D751E8" w:rsidRPr="00223F21">
          <w:rPr>
            <w:rStyle w:val="Hyperlink"/>
            <w:rFonts w:ascii="Tahoma" w:hAnsi="Tahoma" w:cs="Tahoma"/>
            <w:noProof/>
            <w:sz w:val="24"/>
            <w:szCs w:val="24"/>
          </w:rPr>
          <w:t xml:space="preserve">: </w:t>
        </w:r>
        <w:r w:rsidR="00D751E8" w:rsidRPr="00223F21">
          <w:rPr>
            <w:rStyle w:val="Hyperlink"/>
            <w:rFonts w:ascii="Tahoma" w:hAnsi="Tahoma" w:cs="Tahoma"/>
            <w:noProof/>
            <w:sz w:val="24"/>
            <w:szCs w:val="24"/>
            <w:lang w:val="en-US"/>
          </w:rPr>
          <w:t>Month-on-Month Inflation Outturn</w:t>
        </w:r>
        <w:r w:rsidR="00D751E8" w:rsidRPr="00223F21">
          <w:rPr>
            <w:rFonts w:ascii="Tahoma" w:hAnsi="Tahoma" w:cs="Tahoma"/>
            <w:noProof/>
            <w:webHidden/>
            <w:sz w:val="24"/>
            <w:szCs w:val="24"/>
          </w:rPr>
          <w:tab/>
        </w:r>
        <w:r w:rsidR="00D751E8" w:rsidRPr="00223F21">
          <w:rPr>
            <w:rFonts w:ascii="Tahoma" w:hAnsi="Tahoma" w:cs="Tahoma"/>
            <w:noProof/>
            <w:webHidden/>
            <w:sz w:val="24"/>
            <w:szCs w:val="24"/>
          </w:rPr>
          <w:fldChar w:fldCharType="begin"/>
        </w:r>
        <w:r w:rsidR="00D751E8" w:rsidRPr="00223F21">
          <w:rPr>
            <w:rFonts w:ascii="Tahoma" w:hAnsi="Tahoma" w:cs="Tahoma"/>
            <w:noProof/>
            <w:webHidden/>
            <w:sz w:val="24"/>
            <w:szCs w:val="24"/>
          </w:rPr>
          <w:instrText xml:space="preserve"> PAGEREF _Toc171944604 \h </w:instrText>
        </w:r>
        <w:r w:rsidR="00D751E8" w:rsidRPr="00223F21">
          <w:rPr>
            <w:rFonts w:ascii="Tahoma" w:hAnsi="Tahoma" w:cs="Tahoma"/>
            <w:noProof/>
            <w:webHidden/>
            <w:sz w:val="24"/>
            <w:szCs w:val="24"/>
          </w:rPr>
        </w:r>
        <w:r w:rsidR="00D751E8" w:rsidRPr="00223F21">
          <w:rPr>
            <w:rFonts w:ascii="Tahoma" w:hAnsi="Tahoma" w:cs="Tahoma"/>
            <w:noProof/>
            <w:webHidden/>
            <w:sz w:val="24"/>
            <w:szCs w:val="24"/>
          </w:rPr>
          <w:fldChar w:fldCharType="separate"/>
        </w:r>
        <w:r w:rsidR="00D751E8" w:rsidRPr="00223F21">
          <w:rPr>
            <w:rFonts w:ascii="Tahoma" w:hAnsi="Tahoma" w:cs="Tahoma"/>
            <w:noProof/>
            <w:webHidden/>
            <w:sz w:val="24"/>
            <w:szCs w:val="24"/>
          </w:rPr>
          <w:t>5</w:t>
        </w:r>
        <w:r w:rsidR="00D751E8" w:rsidRPr="00223F21">
          <w:rPr>
            <w:rFonts w:ascii="Tahoma" w:hAnsi="Tahoma" w:cs="Tahoma"/>
            <w:noProof/>
            <w:webHidden/>
            <w:sz w:val="24"/>
            <w:szCs w:val="24"/>
          </w:rPr>
          <w:fldChar w:fldCharType="end"/>
        </w:r>
      </w:hyperlink>
    </w:p>
    <w:p w14:paraId="1F7E973D" w14:textId="77777777" w:rsidR="000129B7" w:rsidRPr="000129B7" w:rsidRDefault="00E76009" w:rsidP="000129B7">
      <w:pPr>
        <w:rPr>
          <w:rFonts w:ascii="Tahoma" w:hAnsi="Tahoma" w:cs="Tahoma"/>
          <w:b/>
          <w:color w:val="000000"/>
          <w:sz w:val="24"/>
          <w:szCs w:val="24"/>
          <w:lang w:val="en-US"/>
        </w:rPr>
        <w:sectPr w:rsidR="000129B7" w:rsidRPr="000129B7" w:rsidSect="006D22C2">
          <w:pgSz w:w="11906" w:h="16838"/>
          <w:pgMar w:top="1440" w:right="1440" w:bottom="1440" w:left="1440" w:header="708" w:footer="708" w:gutter="0"/>
          <w:pgNumType w:fmt="lowerRoman" w:start="1"/>
          <w:cols w:space="708"/>
          <w:docGrid w:linePitch="360"/>
        </w:sectPr>
      </w:pPr>
      <w:r>
        <w:rPr>
          <w:rFonts w:ascii="Tahoma" w:hAnsi="Tahoma" w:cs="Tahoma"/>
          <w:sz w:val="24"/>
          <w:szCs w:val="24"/>
          <w:lang w:val="en-US"/>
        </w:rPr>
        <w:fldChar w:fldCharType="end"/>
      </w:r>
    </w:p>
    <w:p w14:paraId="567CC24B" w14:textId="77777777" w:rsidR="007A3E1D" w:rsidRPr="00721CC2" w:rsidRDefault="004F680D" w:rsidP="00721CC2">
      <w:pPr>
        <w:pStyle w:val="Heading1"/>
        <w:rPr>
          <w:lang w:val="en-US"/>
        </w:rPr>
      </w:pPr>
      <w:bookmarkStart w:id="2" w:name="_Toc166607889"/>
      <w:bookmarkStart w:id="3" w:name="_Toc171946081"/>
      <w:r w:rsidRPr="00721CC2">
        <w:rPr>
          <w:lang w:val="en-US"/>
        </w:rPr>
        <w:lastRenderedPageBreak/>
        <w:t>1.0</w:t>
      </w:r>
      <w:r w:rsidRPr="00721CC2">
        <w:rPr>
          <w:lang w:val="en-US"/>
        </w:rPr>
        <w:tab/>
      </w:r>
      <w:r w:rsidR="00E0023D" w:rsidRPr="00721CC2">
        <w:rPr>
          <w:lang w:val="en-US"/>
        </w:rPr>
        <w:t xml:space="preserve">World Economic </w:t>
      </w:r>
      <w:r w:rsidR="007A3E1D" w:rsidRPr="00721CC2">
        <w:rPr>
          <w:lang w:val="en-US"/>
        </w:rPr>
        <w:t>Developments</w:t>
      </w:r>
      <w:bookmarkEnd w:id="2"/>
      <w:bookmarkEnd w:id="3"/>
      <w:r w:rsidR="007A3E1D" w:rsidRPr="00721CC2">
        <w:rPr>
          <w:lang w:val="en-US"/>
        </w:rPr>
        <w:t xml:space="preserve"> </w:t>
      </w:r>
    </w:p>
    <w:p w14:paraId="0B36ADDC" w14:textId="77777777" w:rsidR="00E0023D" w:rsidRPr="00863A17" w:rsidRDefault="004F680D" w:rsidP="00BC5A90">
      <w:pPr>
        <w:pStyle w:val="Heading2"/>
        <w:spacing w:before="0" w:after="240" w:line="240" w:lineRule="auto"/>
        <w:rPr>
          <w:rFonts w:cs="Tahoma"/>
          <w:b/>
          <w:color w:val="000000"/>
          <w:szCs w:val="24"/>
          <w:lang w:val="en-US"/>
        </w:rPr>
      </w:pPr>
      <w:bookmarkStart w:id="4" w:name="_Toc166607890"/>
      <w:bookmarkStart w:id="5" w:name="_Toc171946082"/>
      <w:r w:rsidRPr="00863A17">
        <w:rPr>
          <w:rFonts w:cs="Tahoma"/>
          <w:b/>
          <w:color w:val="000000"/>
          <w:szCs w:val="24"/>
          <w:lang w:val="en-US"/>
        </w:rPr>
        <w:t xml:space="preserve">1.1 </w:t>
      </w:r>
      <w:r w:rsidRPr="00863A17">
        <w:rPr>
          <w:rFonts w:cs="Tahoma"/>
          <w:b/>
          <w:color w:val="000000"/>
          <w:szCs w:val="24"/>
          <w:lang w:val="en-US"/>
        </w:rPr>
        <w:tab/>
      </w:r>
      <w:r w:rsidR="00E0023D" w:rsidRPr="00863A17">
        <w:rPr>
          <w:rFonts w:cs="Tahoma"/>
          <w:b/>
          <w:color w:val="000000"/>
          <w:szCs w:val="24"/>
          <w:lang w:val="en-US"/>
        </w:rPr>
        <w:t>World Output</w:t>
      </w:r>
      <w:bookmarkEnd w:id="4"/>
      <w:bookmarkEnd w:id="5"/>
      <w:r w:rsidR="00E0023D" w:rsidRPr="00863A17">
        <w:rPr>
          <w:rFonts w:cs="Tahoma"/>
          <w:b/>
          <w:color w:val="000000"/>
          <w:szCs w:val="24"/>
          <w:lang w:val="en-US"/>
        </w:rPr>
        <w:t xml:space="preserve"> </w:t>
      </w:r>
    </w:p>
    <w:p w14:paraId="4BB89901" w14:textId="415876FE" w:rsidR="001C6200" w:rsidRPr="000F54F6" w:rsidRDefault="004F680D" w:rsidP="004F680D">
      <w:pPr>
        <w:ind w:left="720" w:hanging="720"/>
        <w:jc w:val="both"/>
        <w:rPr>
          <w:rFonts w:ascii="Tahoma" w:hAnsi="Tahoma" w:cs="Tahoma"/>
          <w:sz w:val="24"/>
          <w:szCs w:val="24"/>
        </w:rPr>
      </w:pPr>
      <w:r w:rsidRPr="00863A17">
        <w:rPr>
          <w:rFonts w:ascii="Tahoma" w:hAnsi="Tahoma" w:cs="Tahoma"/>
          <w:sz w:val="24"/>
          <w:szCs w:val="24"/>
        </w:rPr>
        <w:t>1.1.1</w:t>
      </w:r>
      <w:r w:rsidR="001F2D81" w:rsidRPr="00863A17">
        <w:rPr>
          <w:rFonts w:ascii="Tahoma" w:hAnsi="Tahoma" w:cs="Tahoma"/>
          <w:sz w:val="24"/>
          <w:szCs w:val="24"/>
        </w:rPr>
        <w:t xml:space="preserve"> </w:t>
      </w:r>
      <w:r w:rsidR="00DC5CBE" w:rsidRPr="000F54F6">
        <w:rPr>
          <w:rFonts w:ascii="Tahoma" w:hAnsi="Tahoma" w:cs="Tahoma"/>
          <w:sz w:val="24"/>
          <w:szCs w:val="24"/>
        </w:rPr>
        <w:tab/>
      </w:r>
      <w:r w:rsidR="00437E4E">
        <w:rPr>
          <w:rFonts w:ascii="Tahoma" w:hAnsi="Tahoma" w:cs="Tahoma"/>
          <w:sz w:val="24"/>
          <w:szCs w:val="24"/>
        </w:rPr>
        <w:t>The Global economic growth is project</w:t>
      </w:r>
      <w:r w:rsidR="0073364A">
        <w:rPr>
          <w:rFonts w:ascii="Tahoma" w:hAnsi="Tahoma" w:cs="Tahoma"/>
          <w:sz w:val="24"/>
          <w:szCs w:val="24"/>
        </w:rPr>
        <w:t>ed</w:t>
      </w:r>
      <w:r w:rsidR="00437E4E">
        <w:rPr>
          <w:rFonts w:ascii="Tahoma" w:hAnsi="Tahoma" w:cs="Tahoma"/>
          <w:sz w:val="24"/>
          <w:szCs w:val="24"/>
        </w:rPr>
        <w:t xml:space="preserve"> to hold stea</w:t>
      </w:r>
      <w:bookmarkStart w:id="6" w:name="_Hlk166602890"/>
      <w:r w:rsidR="00437E4E">
        <w:rPr>
          <w:rFonts w:ascii="Tahoma" w:hAnsi="Tahoma" w:cs="Tahoma"/>
          <w:sz w:val="24"/>
          <w:szCs w:val="24"/>
        </w:rPr>
        <w:t>dy at 2.6% in 2024 despite flaring geopolitical tensions before edging up to 2.7%</w:t>
      </w:r>
      <w:r w:rsidR="00515620">
        <w:rPr>
          <w:rFonts w:ascii="Tahoma" w:hAnsi="Tahoma" w:cs="Tahoma"/>
          <w:sz w:val="24"/>
          <w:szCs w:val="24"/>
        </w:rPr>
        <w:t xml:space="preserve"> in 2025 and 2026</w:t>
      </w:r>
      <w:r w:rsidR="00437E4E">
        <w:rPr>
          <w:rFonts w:ascii="Tahoma" w:hAnsi="Tahoma" w:cs="Tahoma"/>
          <w:sz w:val="24"/>
          <w:szCs w:val="24"/>
        </w:rPr>
        <w:t xml:space="preserve"> alongside modest expansions of trade and investment</w:t>
      </w:r>
      <w:r w:rsidR="00515620">
        <w:rPr>
          <w:rFonts w:ascii="Tahoma" w:hAnsi="Tahoma" w:cs="Tahoma"/>
          <w:sz w:val="24"/>
          <w:szCs w:val="24"/>
        </w:rPr>
        <w:t xml:space="preserve"> (World Bank Group, June 2024 Global Economic Prospects). Despite some improvements, outlook remain subdued due to disruption in trade network and climate change</w:t>
      </w:r>
      <w:r w:rsidR="00F570D8">
        <w:rPr>
          <w:rFonts w:ascii="Tahoma" w:hAnsi="Tahoma" w:cs="Tahoma"/>
          <w:sz w:val="24"/>
          <w:szCs w:val="24"/>
        </w:rPr>
        <w:t xml:space="preserve"> (see </w:t>
      </w:r>
      <w:r w:rsidR="000B790A">
        <w:rPr>
          <w:rFonts w:ascii="Tahoma" w:hAnsi="Tahoma" w:cs="Tahoma"/>
          <w:sz w:val="24"/>
          <w:szCs w:val="24"/>
        </w:rPr>
        <w:t>Table</w:t>
      </w:r>
      <w:r w:rsidR="00F570D8">
        <w:rPr>
          <w:rFonts w:ascii="Tahoma" w:hAnsi="Tahoma" w:cs="Tahoma"/>
          <w:sz w:val="24"/>
          <w:szCs w:val="24"/>
        </w:rPr>
        <w:t xml:space="preserve"> 1).</w:t>
      </w:r>
    </w:p>
    <w:p w14:paraId="03D28B2A" w14:textId="77777777" w:rsidR="00E31148" w:rsidRDefault="00BC5A90" w:rsidP="00D751E8">
      <w:pPr>
        <w:pStyle w:val="ListofTables"/>
        <w:rPr>
          <w:lang w:val="en-US"/>
        </w:rPr>
      </w:pPr>
      <w:bookmarkStart w:id="7" w:name="_Toc164072362"/>
      <w:bookmarkStart w:id="8" w:name="_Toc166658889"/>
      <w:bookmarkStart w:id="9" w:name="_Toc171944515"/>
      <w:bookmarkEnd w:id="6"/>
      <w:r w:rsidRPr="00863A17">
        <w:t xml:space="preserve">Table </w:t>
      </w:r>
      <w:r w:rsidR="00000000">
        <w:fldChar w:fldCharType="begin"/>
      </w:r>
      <w:r w:rsidR="00000000">
        <w:instrText xml:space="preserve"> SEQ Table \* ARABIC </w:instrText>
      </w:r>
      <w:r w:rsidR="00000000">
        <w:fldChar w:fldCharType="separate"/>
      </w:r>
      <w:r w:rsidR="00D30418">
        <w:rPr>
          <w:noProof/>
        </w:rPr>
        <w:t>1</w:t>
      </w:r>
      <w:r w:rsidR="00000000">
        <w:rPr>
          <w:noProof/>
        </w:rPr>
        <w:fldChar w:fldCharType="end"/>
      </w:r>
      <w:r w:rsidRPr="00863A17">
        <w:t xml:space="preserve">: </w:t>
      </w:r>
      <w:r w:rsidRPr="00863A17">
        <w:rPr>
          <w:lang w:val="en-US"/>
        </w:rPr>
        <w:t>Global Economic Growth Developments</w:t>
      </w:r>
      <w:bookmarkEnd w:id="7"/>
      <w:bookmarkEnd w:id="8"/>
      <w:bookmarkEnd w:id="9"/>
    </w:p>
    <w:tbl>
      <w:tblPr>
        <w:tblStyle w:val="GridTable4-Accent1"/>
        <w:tblW w:w="9026" w:type="dxa"/>
        <w:tblLook w:val="04A0" w:firstRow="1" w:lastRow="0" w:firstColumn="1" w:lastColumn="0" w:noHBand="0" w:noVBand="1"/>
      </w:tblPr>
      <w:tblGrid>
        <w:gridCol w:w="4943"/>
        <w:gridCol w:w="1325"/>
        <w:gridCol w:w="1343"/>
        <w:gridCol w:w="1415"/>
      </w:tblGrid>
      <w:tr w:rsidR="00206550" w:rsidRPr="00085B08" w14:paraId="44B9006C" w14:textId="77777777" w:rsidTr="00085B08">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943" w:type="dxa"/>
            <w:noWrap/>
            <w:hideMark/>
          </w:tcPr>
          <w:p w14:paraId="3F318EE4" w14:textId="77777777" w:rsidR="00206550" w:rsidRPr="00085B08" w:rsidRDefault="00206550" w:rsidP="00085B08">
            <w:pPr>
              <w:spacing w:after="0"/>
              <w:rPr>
                <w:rFonts w:ascii="Tahoma" w:hAnsi="Tahoma" w:cs="Tahoma"/>
              </w:rPr>
            </w:pPr>
          </w:p>
        </w:tc>
        <w:tc>
          <w:tcPr>
            <w:tcW w:w="1325" w:type="dxa"/>
            <w:noWrap/>
            <w:hideMark/>
          </w:tcPr>
          <w:p w14:paraId="6B43A95A" w14:textId="77777777" w:rsidR="00206550" w:rsidRPr="00085B08" w:rsidRDefault="00206550" w:rsidP="00085B08">
            <w:pPr>
              <w:spacing w:after="0"/>
              <w:cnfStyle w:val="100000000000" w:firstRow="1" w:lastRow="0" w:firstColumn="0" w:lastColumn="0" w:oddVBand="0" w:evenVBand="0" w:oddHBand="0" w:evenHBand="0" w:firstRowFirstColumn="0" w:firstRowLastColumn="0" w:lastRowFirstColumn="0" w:lastRowLastColumn="0"/>
              <w:rPr>
                <w:rFonts w:ascii="Tahoma" w:hAnsi="Tahoma" w:cs="Tahoma"/>
                <w:b w:val="0"/>
                <w:bCs w:val="0"/>
              </w:rPr>
            </w:pPr>
            <w:r w:rsidRPr="00085B08">
              <w:rPr>
                <w:rFonts w:ascii="Tahoma" w:hAnsi="Tahoma" w:cs="Tahoma"/>
              </w:rPr>
              <w:t>2024</w:t>
            </w:r>
          </w:p>
        </w:tc>
        <w:tc>
          <w:tcPr>
            <w:tcW w:w="1343" w:type="dxa"/>
            <w:noWrap/>
            <w:hideMark/>
          </w:tcPr>
          <w:p w14:paraId="1DC4CA73" w14:textId="77777777" w:rsidR="00206550" w:rsidRPr="00085B08" w:rsidRDefault="00206550" w:rsidP="00085B08">
            <w:pPr>
              <w:spacing w:after="0"/>
              <w:cnfStyle w:val="100000000000" w:firstRow="1" w:lastRow="0" w:firstColumn="0" w:lastColumn="0" w:oddVBand="0" w:evenVBand="0" w:oddHBand="0" w:evenHBand="0" w:firstRowFirstColumn="0" w:firstRowLastColumn="0" w:lastRowFirstColumn="0" w:lastRowLastColumn="0"/>
              <w:rPr>
                <w:rFonts w:ascii="Tahoma" w:hAnsi="Tahoma" w:cs="Tahoma"/>
                <w:b w:val="0"/>
                <w:bCs w:val="0"/>
              </w:rPr>
            </w:pPr>
            <w:r w:rsidRPr="00085B08">
              <w:rPr>
                <w:rFonts w:ascii="Tahoma" w:hAnsi="Tahoma" w:cs="Tahoma"/>
              </w:rPr>
              <w:t>2025</w:t>
            </w:r>
          </w:p>
        </w:tc>
        <w:tc>
          <w:tcPr>
            <w:tcW w:w="1415" w:type="dxa"/>
            <w:noWrap/>
            <w:hideMark/>
          </w:tcPr>
          <w:p w14:paraId="21974EDC" w14:textId="77777777" w:rsidR="00206550" w:rsidRPr="00085B08" w:rsidRDefault="00206550" w:rsidP="00085B08">
            <w:pPr>
              <w:spacing w:after="0"/>
              <w:cnfStyle w:val="100000000000" w:firstRow="1" w:lastRow="0" w:firstColumn="0" w:lastColumn="0" w:oddVBand="0" w:evenVBand="0" w:oddHBand="0" w:evenHBand="0" w:firstRowFirstColumn="0" w:firstRowLastColumn="0" w:lastRowFirstColumn="0" w:lastRowLastColumn="0"/>
              <w:rPr>
                <w:rFonts w:ascii="Tahoma" w:hAnsi="Tahoma" w:cs="Tahoma"/>
                <w:b w:val="0"/>
                <w:bCs w:val="0"/>
              </w:rPr>
            </w:pPr>
            <w:r w:rsidRPr="00085B08">
              <w:rPr>
                <w:rFonts w:ascii="Tahoma" w:hAnsi="Tahoma" w:cs="Tahoma"/>
              </w:rPr>
              <w:t>2026</w:t>
            </w:r>
          </w:p>
        </w:tc>
      </w:tr>
      <w:tr w:rsidR="00206550" w:rsidRPr="00085B08" w14:paraId="05CBC2CE" w14:textId="77777777" w:rsidTr="00085B0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943" w:type="dxa"/>
            <w:noWrap/>
            <w:hideMark/>
          </w:tcPr>
          <w:p w14:paraId="08521969" w14:textId="77777777" w:rsidR="00206550" w:rsidRPr="00085B08" w:rsidRDefault="00206550" w:rsidP="00085B08">
            <w:pPr>
              <w:spacing w:after="0"/>
              <w:rPr>
                <w:rFonts w:ascii="Tahoma" w:hAnsi="Tahoma" w:cs="Tahoma"/>
                <w:b w:val="0"/>
                <w:bCs w:val="0"/>
              </w:rPr>
            </w:pPr>
            <w:r w:rsidRPr="00085B08">
              <w:rPr>
                <w:rFonts w:ascii="Tahoma" w:hAnsi="Tahoma" w:cs="Tahoma"/>
              </w:rPr>
              <w:t>Global</w:t>
            </w:r>
          </w:p>
        </w:tc>
        <w:tc>
          <w:tcPr>
            <w:tcW w:w="1325" w:type="dxa"/>
            <w:noWrap/>
            <w:hideMark/>
          </w:tcPr>
          <w:p w14:paraId="50A59361" w14:textId="77777777" w:rsidR="00206550" w:rsidRPr="00085B08" w:rsidRDefault="00206550" w:rsidP="00085B08">
            <w:pPr>
              <w:spacing w:after="0"/>
              <w:cnfStyle w:val="000000100000" w:firstRow="0" w:lastRow="0" w:firstColumn="0" w:lastColumn="0" w:oddVBand="0" w:evenVBand="0" w:oddHBand="1" w:evenHBand="0" w:firstRowFirstColumn="0" w:firstRowLastColumn="0" w:lastRowFirstColumn="0" w:lastRowLastColumn="0"/>
              <w:rPr>
                <w:rFonts w:ascii="Tahoma" w:hAnsi="Tahoma" w:cs="Tahoma"/>
                <w:b/>
                <w:bCs/>
              </w:rPr>
            </w:pPr>
            <w:r w:rsidRPr="00085B08">
              <w:rPr>
                <w:rFonts w:ascii="Tahoma" w:hAnsi="Tahoma" w:cs="Tahoma"/>
                <w:b/>
                <w:bCs/>
              </w:rPr>
              <w:t>2.6</w:t>
            </w:r>
          </w:p>
        </w:tc>
        <w:tc>
          <w:tcPr>
            <w:tcW w:w="1343" w:type="dxa"/>
            <w:noWrap/>
            <w:hideMark/>
          </w:tcPr>
          <w:p w14:paraId="7B13DFF4" w14:textId="77777777" w:rsidR="00206550" w:rsidRPr="00085B08" w:rsidRDefault="00206550" w:rsidP="00085B08">
            <w:pPr>
              <w:spacing w:after="0"/>
              <w:cnfStyle w:val="000000100000" w:firstRow="0" w:lastRow="0" w:firstColumn="0" w:lastColumn="0" w:oddVBand="0" w:evenVBand="0" w:oddHBand="1" w:evenHBand="0" w:firstRowFirstColumn="0" w:firstRowLastColumn="0" w:lastRowFirstColumn="0" w:lastRowLastColumn="0"/>
              <w:rPr>
                <w:rFonts w:ascii="Tahoma" w:hAnsi="Tahoma" w:cs="Tahoma"/>
                <w:b/>
                <w:bCs/>
              </w:rPr>
            </w:pPr>
            <w:r w:rsidRPr="00085B08">
              <w:rPr>
                <w:rFonts w:ascii="Tahoma" w:hAnsi="Tahoma" w:cs="Tahoma"/>
                <w:b/>
                <w:bCs/>
              </w:rPr>
              <w:t>2.7</w:t>
            </w:r>
          </w:p>
        </w:tc>
        <w:tc>
          <w:tcPr>
            <w:tcW w:w="1415" w:type="dxa"/>
            <w:noWrap/>
            <w:hideMark/>
          </w:tcPr>
          <w:p w14:paraId="44838D2D" w14:textId="77777777" w:rsidR="00206550" w:rsidRPr="00085B08" w:rsidRDefault="00206550" w:rsidP="00085B08">
            <w:pPr>
              <w:spacing w:after="0"/>
              <w:cnfStyle w:val="000000100000" w:firstRow="0" w:lastRow="0" w:firstColumn="0" w:lastColumn="0" w:oddVBand="0" w:evenVBand="0" w:oddHBand="1" w:evenHBand="0" w:firstRowFirstColumn="0" w:firstRowLastColumn="0" w:lastRowFirstColumn="0" w:lastRowLastColumn="0"/>
              <w:rPr>
                <w:rFonts w:ascii="Tahoma" w:hAnsi="Tahoma" w:cs="Tahoma"/>
                <w:b/>
                <w:bCs/>
              </w:rPr>
            </w:pPr>
            <w:r w:rsidRPr="00085B08">
              <w:rPr>
                <w:rFonts w:ascii="Tahoma" w:hAnsi="Tahoma" w:cs="Tahoma"/>
                <w:b/>
                <w:bCs/>
              </w:rPr>
              <w:t>2.7</w:t>
            </w:r>
          </w:p>
        </w:tc>
      </w:tr>
      <w:tr w:rsidR="00206550" w:rsidRPr="00085B08" w14:paraId="68E01A4B" w14:textId="77777777" w:rsidTr="00085B08">
        <w:trPr>
          <w:trHeight w:val="312"/>
        </w:trPr>
        <w:tc>
          <w:tcPr>
            <w:cnfStyle w:val="001000000000" w:firstRow="0" w:lastRow="0" w:firstColumn="1" w:lastColumn="0" w:oddVBand="0" w:evenVBand="0" w:oddHBand="0" w:evenHBand="0" w:firstRowFirstColumn="0" w:firstRowLastColumn="0" w:lastRowFirstColumn="0" w:lastRowLastColumn="0"/>
            <w:tcW w:w="4943" w:type="dxa"/>
            <w:noWrap/>
            <w:hideMark/>
          </w:tcPr>
          <w:p w14:paraId="74FD08F0" w14:textId="77777777" w:rsidR="00206550" w:rsidRPr="00085B08" w:rsidRDefault="00206550" w:rsidP="00085B08">
            <w:pPr>
              <w:spacing w:after="0"/>
              <w:rPr>
                <w:rFonts w:ascii="Tahoma" w:hAnsi="Tahoma" w:cs="Tahoma"/>
                <w:b w:val="0"/>
                <w:bCs w:val="0"/>
              </w:rPr>
            </w:pPr>
            <w:r w:rsidRPr="00085B08">
              <w:rPr>
                <w:rFonts w:ascii="Tahoma" w:hAnsi="Tahoma" w:cs="Tahoma"/>
              </w:rPr>
              <w:t>Advanced Economies</w:t>
            </w:r>
          </w:p>
        </w:tc>
        <w:tc>
          <w:tcPr>
            <w:tcW w:w="1325" w:type="dxa"/>
            <w:noWrap/>
            <w:hideMark/>
          </w:tcPr>
          <w:p w14:paraId="2A4CD08E" w14:textId="77777777" w:rsidR="00206550" w:rsidRPr="00085B08" w:rsidRDefault="00206550" w:rsidP="00085B08">
            <w:pPr>
              <w:spacing w:after="0"/>
              <w:cnfStyle w:val="000000000000" w:firstRow="0" w:lastRow="0" w:firstColumn="0" w:lastColumn="0" w:oddVBand="0" w:evenVBand="0" w:oddHBand="0" w:evenHBand="0" w:firstRowFirstColumn="0" w:firstRowLastColumn="0" w:lastRowFirstColumn="0" w:lastRowLastColumn="0"/>
              <w:rPr>
                <w:rFonts w:ascii="Tahoma" w:hAnsi="Tahoma" w:cs="Tahoma"/>
                <w:b/>
                <w:bCs/>
              </w:rPr>
            </w:pPr>
            <w:r w:rsidRPr="00085B08">
              <w:rPr>
                <w:rFonts w:ascii="Tahoma" w:hAnsi="Tahoma" w:cs="Tahoma"/>
                <w:b/>
                <w:bCs/>
              </w:rPr>
              <w:t>1.5</w:t>
            </w:r>
          </w:p>
        </w:tc>
        <w:tc>
          <w:tcPr>
            <w:tcW w:w="1343" w:type="dxa"/>
            <w:noWrap/>
            <w:hideMark/>
          </w:tcPr>
          <w:p w14:paraId="5FE9AAAE" w14:textId="77777777" w:rsidR="00206550" w:rsidRPr="00085B08" w:rsidRDefault="00206550" w:rsidP="00085B08">
            <w:pPr>
              <w:spacing w:after="0"/>
              <w:cnfStyle w:val="000000000000" w:firstRow="0" w:lastRow="0" w:firstColumn="0" w:lastColumn="0" w:oddVBand="0" w:evenVBand="0" w:oddHBand="0" w:evenHBand="0" w:firstRowFirstColumn="0" w:firstRowLastColumn="0" w:lastRowFirstColumn="0" w:lastRowLastColumn="0"/>
              <w:rPr>
                <w:rFonts w:ascii="Tahoma" w:hAnsi="Tahoma" w:cs="Tahoma"/>
                <w:b/>
                <w:bCs/>
              </w:rPr>
            </w:pPr>
            <w:r w:rsidRPr="00085B08">
              <w:rPr>
                <w:rFonts w:ascii="Tahoma" w:hAnsi="Tahoma" w:cs="Tahoma"/>
                <w:b/>
                <w:bCs/>
              </w:rPr>
              <w:t>1.7</w:t>
            </w:r>
          </w:p>
        </w:tc>
        <w:tc>
          <w:tcPr>
            <w:tcW w:w="1415" w:type="dxa"/>
            <w:noWrap/>
            <w:hideMark/>
          </w:tcPr>
          <w:p w14:paraId="2245BFE9" w14:textId="77777777" w:rsidR="00206550" w:rsidRPr="00085B08" w:rsidRDefault="00206550" w:rsidP="00085B08">
            <w:pPr>
              <w:spacing w:after="0"/>
              <w:cnfStyle w:val="000000000000" w:firstRow="0" w:lastRow="0" w:firstColumn="0" w:lastColumn="0" w:oddVBand="0" w:evenVBand="0" w:oddHBand="0" w:evenHBand="0" w:firstRowFirstColumn="0" w:firstRowLastColumn="0" w:lastRowFirstColumn="0" w:lastRowLastColumn="0"/>
              <w:rPr>
                <w:rFonts w:ascii="Tahoma" w:hAnsi="Tahoma" w:cs="Tahoma"/>
                <w:b/>
                <w:bCs/>
              </w:rPr>
            </w:pPr>
            <w:r w:rsidRPr="00085B08">
              <w:rPr>
                <w:rFonts w:ascii="Tahoma" w:hAnsi="Tahoma" w:cs="Tahoma"/>
                <w:b/>
                <w:bCs/>
              </w:rPr>
              <w:t>1.8</w:t>
            </w:r>
          </w:p>
        </w:tc>
      </w:tr>
      <w:tr w:rsidR="00206550" w:rsidRPr="00085B08" w14:paraId="0C1FFD29" w14:textId="77777777" w:rsidTr="00085B0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943" w:type="dxa"/>
            <w:noWrap/>
            <w:hideMark/>
          </w:tcPr>
          <w:p w14:paraId="785DA87A" w14:textId="77777777" w:rsidR="00206550" w:rsidRPr="00085B08" w:rsidRDefault="00206550" w:rsidP="00085B08">
            <w:pPr>
              <w:spacing w:after="0"/>
              <w:rPr>
                <w:rFonts w:ascii="Tahoma" w:hAnsi="Tahoma" w:cs="Tahoma"/>
              </w:rPr>
            </w:pPr>
            <w:r w:rsidRPr="00085B08">
              <w:rPr>
                <w:rFonts w:ascii="Tahoma" w:hAnsi="Tahoma" w:cs="Tahoma"/>
              </w:rPr>
              <w:t>United States</w:t>
            </w:r>
          </w:p>
        </w:tc>
        <w:tc>
          <w:tcPr>
            <w:tcW w:w="1325" w:type="dxa"/>
            <w:noWrap/>
            <w:hideMark/>
          </w:tcPr>
          <w:p w14:paraId="3C154C7A" w14:textId="77777777" w:rsidR="00206550" w:rsidRPr="00085B08" w:rsidRDefault="00206550" w:rsidP="00085B08">
            <w:pPr>
              <w:spacing w:after="0"/>
              <w:cnfStyle w:val="000000100000" w:firstRow="0" w:lastRow="0" w:firstColumn="0" w:lastColumn="0" w:oddVBand="0" w:evenVBand="0" w:oddHBand="1" w:evenHBand="0" w:firstRowFirstColumn="0" w:firstRowLastColumn="0" w:lastRowFirstColumn="0" w:lastRowLastColumn="0"/>
              <w:rPr>
                <w:rFonts w:ascii="Tahoma" w:hAnsi="Tahoma" w:cs="Tahoma"/>
              </w:rPr>
            </w:pPr>
            <w:r w:rsidRPr="00085B08">
              <w:rPr>
                <w:rFonts w:ascii="Tahoma" w:hAnsi="Tahoma" w:cs="Tahoma"/>
              </w:rPr>
              <w:t>2.5</w:t>
            </w:r>
          </w:p>
        </w:tc>
        <w:tc>
          <w:tcPr>
            <w:tcW w:w="1343" w:type="dxa"/>
            <w:noWrap/>
            <w:hideMark/>
          </w:tcPr>
          <w:p w14:paraId="1823BD6A" w14:textId="77777777" w:rsidR="00206550" w:rsidRPr="00085B08" w:rsidRDefault="00206550" w:rsidP="00085B08">
            <w:pPr>
              <w:spacing w:after="0"/>
              <w:cnfStyle w:val="000000100000" w:firstRow="0" w:lastRow="0" w:firstColumn="0" w:lastColumn="0" w:oddVBand="0" w:evenVBand="0" w:oddHBand="1" w:evenHBand="0" w:firstRowFirstColumn="0" w:firstRowLastColumn="0" w:lastRowFirstColumn="0" w:lastRowLastColumn="0"/>
              <w:rPr>
                <w:rFonts w:ascii="Tahoma" w:hAnsi="Tahoma" w:cs="Tahoma"/>
              </w:rPr>
            </w:pPr>
            <w:r w:rsidRPr="00085B08">
              <w:rPr>
                <w:rFonts w:ascii="Tahoma" w:hAnsi="Tahoma" w:cs="Tahoma"/>
              </w:rPr>
              <w:t>1.8</w:t>
            </w:r>
          </w:p>
        </w:tc>
        <w:tc>
          <w:tcPr>
            <w:tcW w:w="1415" w:type="dxa"/>
            <w:noWrap/>
            <w:hideMark/>
          </w:tcPr>
          <w:p w14:paraId="2E263DDC" w14:textId="77777777" w:rsidR="00206550" w:rsidRPr="00085B08" w:rsidRDefault="00206550" w:rsidP="00085B08">
            <w:pPr>
              <w:spacing w:after="0"/>
              <w:cnfStyle w:val="000000100000" w:firstRow="0" w:lastRow="0" w:firstColumn="0" w:lastColumn="0" w:oddVBand="0" w:evenVBand="0" w:oddHBand="1" w:evenHBand="0" w:firstRowFirstColumn="0" w:firstRowLastColumn="0" w:lastRowFirstColumn="0" w:lastRowLastColumn="0"/>
              <w:rPr>
                <w:rFonts w:ascii="Tahoma" w:hAnsi="Tahoma" w:cs="Tahoma"/>
              </w:rPr>
            </w:pPr>
            <w:r w:rsidRPr="00085B08">
              <w:rPr>
                <w:rFonts w:ascii="Tahoma" w:hAnsi="Tahoma" w:cs="Tahoma"/>
              </w:rPr>
              <w:t>1.8</w:t>
            </w:r>
          </w:p>
        </w:tc>
      </w:tr>
      <w:tr w:rsidR="00206550" w:rsidRPr="00085B08" w14:paraId="1370AC8B" w14:textId="77777777" w:rsidTr="00085B08">
        <w:trPr>
          <w:trHeight w:val="312"/>
        </w:trPr>
        <w:tc>
          <w:tcPr>
            <w:cnfStyle w:val="001000000000" w:firstRow="0" w:lastRow="0" w:firstColumn="1" w:lastColumn="0" w:oddVBand="0" w:evenVBand="0" w:oddHBand="0" w:evenHBand="0" w:firstRowFirstColumn="0" w:firstRowLastColumn="0" w:lastRowFirstColumn="0" w:lastRowLastColumn="0"/>
            <w:tcW w:w="4943" w:type="dxa"/>
            <w:noWrap/>
            <w:hideMark/>
          </w:tcPr>
          <w:p w14:paraId="423FD860" w14:textId="77777777" w:rsidR="00206550" w:rsidRPr="00085B08" w:rsidRDefault="00206550" w:rsidP="00085B08">
            <w:pPr>
              <w:spacing w:after="0"/>
              <w:rPr>
                <w:rFonts w:ascii="Tahoma" w:hAnsi="Tahoma" w:cs="Tahoma"/>
              </w:rPr>
            </w:pPr>
            <w:r w:rsidRPr="00085B08">
              <w:rPr>
                <w:rFonts w:ascii="Tahoma" w:hAnsi="Tahoma" w:cs="Tahoma"/>
              </w:rPr>
              <w:t>Euro Area</w:t>
            </w:r>
          </w:p>
        </w:tc>
        <w:tc>
          <w:tcPr>
            <w:tcW w:w="1325" w:type="dxa"/>
            <w:noWrap/>
            <w:hideMark/>
          </w:tcPr>
          <w:p w14:paraId="265CA37B" w14:textId="77777777" w:rsidR="00206550" w:rsidRPr="00085B08" w:rsidRDefault="00206550" w:rsidP="00085B08">
            <w:pPr>
              <w:spacing w:after="0"/>
              <w:cnfStyle w:val="000000000000" w:firstRow="0" w:lastRow="0" w:firstColumn="0" w:lastColumn="0" w:oddVBand="0" w:evenVBand="0" w:oddHBand="0" w:evenHBand="0" w:firstRowFirstColumn="0" w:firstRowLastColumn="0" w:lastRowFirstColumn="0" w:lastRowLastColumn="0"/>
              <w:rPr>
                <w:rFonts w:ascii="Tahoma" w:hAnsi="Tahoma" w:cs="Tahoma"/>
              </w:rPr>
            </w:pPr>
            <w:r w:rsidRPr="00085B08">
              <w:rPr>
                <w:rFonts w:ascii="Tahoma" w:hAnsi="Tahoma" w:cs="Tahoma"/>
              </w:rPr>
              <w:t>0.7</w:t>
            </w:r>
          </w:p>
        </w:tc>
        <w:tc>
          <w:tcPr>
            <w:tcW w:w="1343" w:type="dxa"/>
            <w:noWrap/>
            <w:hideMark/>
          </w:tcPr>
          <w:p w14:paraId="4AF87FE6" w14:textId="77777777" w:rsidR="00206550" w:rsidRPr="00085B08" w:rsidRDefault="00206550" w:rsidP="00085B08">
            <w:pPr>
              <w:spacing w:after="0"/>
              <w:cnfStyle w:val="000000000000" w:firstRow="0" w:lastRow="0" w:firstColumn="0" w:lastColumn="0" w:oddVBand="0" w:evenVBand="0" w:oddHBand="0" w:evenHBand="0" w:firstRowFirstColumn="0" w:firstRowLastColumn="0" w:lastRowFirstColumn="0" w:lastRowLastColumn="0"/>
              <w:rPr>
                <w:rFonts w:ascii="Tahoma" w:hAnsi="Tahoma" w:cs="Tahoma"/>
              </w:rPr>
            </w:pPr>
            <w:r w:rsidRPr="00085B08">
              <w:rPr>
                <w:rFonts w:ascii="Tahoma" w:hAnsi="Tahoma" w:cs="Tahoma"/>
              </w:rPr>
              <w:t>1.4</w:t>
            </w:r>
          </w:p>
        </w:tc>
        <w:tc>
          <w:tcPr>
            <w:tcW w:w="1415" w:type="dxa"/>
            <w:noWrap/>
            <w:hideMark/>
          </w:tcPr>
          <w:p w14:paraId="3A4F68B5" w14:textId="77777777" w:rsidR="00206550" w:rsidRPr="00085B08" w:rsidRDefault="00206550" w:rsidP="00085B08">
            <w:pPr>
              <w:spacing w:after="0"/>
              <w:cnfStyle w:val="000000000000" w:firstRow="0" w:lastRow="0" w:firstColumn="0" w:lastColumn="0" w:oddVBand="0" w:evenVBand="0" w:oddHBand="0" w:evenHBand="0" w:firstRowFirstColumn="0" w:firstRowLastColumn="0" w:lastRowFirstColumn="0" w:lastRowLastColumn="0"/>
              <w:rPr>
                <w:rFonts w:ascii="Tahoma" w:hAnsi="Tahoma" w:cs="Tahoma"/>
              </w:rPr>
            </w:pPr>
            <w:r w:rsidRPr="00085B08">
              <w:rPr>
                <w:rFonts w:ascii="Tahoma" w:hAnsi="Tahoma" w:cs="Tahoma"/>
              </w:rPr>
              <w:t>1.3</w:t>
            </w:r>
          </w:p>
        </w:tc>
      </w:tr>
      <w:tr w:rsidR="00206550" w:rsidRPr="00085B08" w14:paraId="5FFB5E03" w14:textId="77777777" w:rsidTr="00085B0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943" w:type="dxa"/>
            <w:noWrap/>
            <w:hideMark/>
          </w:tcPr>
          <w:p w14:paraId="6497FA3B" w14:textId="77777777" w:rsidR="00206550" w:rsidRPr="00085B08" w:rsidRDefault="00206550" w:rsidP="00085B08">
            <w:pPr>
              <w:spacing w:after="0"/>
              <w:rPr>
                <w:rFonts w:ascii="Tahoma" w:hAnsi="Tahoma" w:cs="Tahoma"/>
                <w:b w:val="0"/>
                <w:bCs w:val="0"/>
              </w:rPr>
            </w:pPr>
            <w:r w:rsidRPr="00085B08">
              <w:rPr>
                <w:rFonts w:ascii="Tahoma" w:hAnsi="Tahoma" w:cs="Tahoma"/>
              </w:rPr>
              <w:t>Emerging Markets and Developing Economies</w:t>
            </w:r>
          </w:p>
        </w:tc>
        <w:tc>
          <w:tcPr>
            <w:tcW w:w="1325" w:type="dxa"/>
            <w:noWrap/>
            <w:hideMark/>
          </w:tcPr>
          <w:p w14:paraId="356789F1" w14:textId="77777777" w:rsidR="00206550" w:rsidRPr="00085B08" w:rsidRDefault="00206550" w:rsidP="00085B08">
            <w:pPr>
              <w:spacing w:after="0"/>
              <w:cnfStyle w:val="000000100000" w:firstRow="0" w:lastRow="0" w:firstColumn="0" w:lastColumn="0" w:oddVBand="0" w:evenVBand="0" w:oddHBand="1" w:evenHBand="0" w:firstRowFirstColumn="0" w:firstRowLastColumn="0" w:lastRowFirstColumn="0" w:lastRowLastColumn="0"/>
              <w:rPr>
                <w:rFonts w:ascii="Tahoma" w:hAnsi="Tahoma" w:cs="Tahoma"/>
                <w:b/>
                <w:bCs/>
              </w:rPr>
            </w:pPr>
            <w:r w:rsidRPr="00085B08">
              <w:rPr>
                <w:rFonts w:ascii="Tahoma" w:hAnsi="Tahoma" w:cs="Tahoma"/>
                <w:b/>
                <w:bCs/>
              </w:rPr>
              <w:t>4</w:t>
            </w:r>
          </w:p>
        </w:tc>
        <w:tc>
          <w:tcPr>
            <w:tcW w:w="1343" w:type="dxa"/>
            <w:noWrap/>
            <w:hideMark/>
          </w:tcPr>
          <w:p w14:paraId="6023BA97" w14:textId="77777777" w:rsidR="00206550" w:rsidRPr="00085B08" w:rsidRDefault="00206550" w:rsidP="00085B08">
            <w:pPr>
              <w:spacing w:after="0"/>
              <w:cnfStyle w:val="000000100000" w:firstRow="0" w:lastRow="0" w:firstColumn="0" w:lastColumn="0" w:oddVBand="0" w:evenVBand="0" w:oddHBand="1" w:evenHBand="0" w:firstRowFirstColumn="0" w:firstRowLastColumn="0" w:lastRowFirstColumn="0" w:lastRowLastColumn="0"/>
              <w:rPr>
                <w:rFonts w:ascii="Tahoma" w:hAnsi="Tahoma" w:cs="Tahoma"/>
                <w:b/>
                <w:bCs/>
              </w:rPr>
            </w:pPr>
            <w:r w:rsidRPr="00085B08">
              <w:rPr>
                <w:rFonts w:ascii="Tahoma" w:hAnsi="Tahoma" w:cs="Tahoma"/>
                <w:b/>
                <w:bCs/>
              </w:rPr>
              <w:t>4</w:t>
            </w:r>
          </w:p>
        </w:tc>
        <w:tc>
          <w:tcPr>
            <w:tcW w:w="1415" w:type="dxa"/>
            <w:noWrap/>
            <w:hideMark/>
          </w:tcPr>
          <w:p w14:paraId="55BA1D1A" w14:textId="77777777" w:rsidR="00206550" w:rsidRPr="00085B08" w:rsidRDefault="00206550" w:rsidP="00085B08">
            <w:pPr>
              <w:spacing w:after="0"/>
              <w:cnfStyle w:val="000000100000" w:firstRow="0" w:lastRow="0" w:firstColumn="0" w:lastColumn="0" w:oddVBand="0" w:evenVBand="0" w:oddHBand="1" w:evenHBand="0" w:firstRowFirstColumn="0" w:firstRowLastColumn="0" w:lastRowFirstColumn="0" w:lastRowLastColumn="0"/>
              <w:rPr>
                <w:rFonts w:ascii="Tahoma" w:hAnsi="Tahoma" w:cs="Tahoma"/>
                <w:b/>
                <w:bCs/>
              </w:rPr>
            </w:pPr>
            <w:r w:rsidRPr="00085B08">
              <w:rPr>
                <w:rFonts w:ascii="Tahoma" w:hAnsi="Tahoma" w:cs="Tahoma"/>
                <w:b/>
                <w:bCs/>
              </w:rPr>
              <w:t>3.9</w:t>
            </w:r>
          </w:p>
        </w:tc>
      </w:tr>
      <w:tr w:rsidR="00206550" w:rsidRPr="00085B08" w14:paraId="708F0731" w14:textId="77777777" w:rsidTr="00085B08">
        <w:trPr>
          <w:trHeight w:val="312"/>
        </w:trPr>
        <w:tc>
          <w:tcPr>
            <w:cnfStyle w:val="001000000000" w:firstRow="0" w:lastRow="0" w:firstColumn="1" w:lastColumn="0" w:oddVBand="0" w:evenVBand="0" w:oddHBand="0" w:evenHBand="0" w:firstRowFirstColumn="0" w:firstRowLastColumn="0" w:lastRowFirstColumn="0" w:lastRowLastColumn="0"/>
            <w:tcW w:w="4943" w:type="dxa"/>
            <w:noWrap/>
            <w:hideMark/>
          </w:tcPr>
          <w:p w14:paraId="495284B0" w14:textId="77777777" w:rsidR="00206550" w:rsidRPr="00085B08" w:rsidRDefault="00206550" w:rsidP="00085B08">
            <w:pPr>
              <w:spacing w:after="0"/>
              <w:rPr>
                <w:rFonts w:ascii="Tahoma" w:hAnsi="Tahoma" w:cs="Tahoma"/>
              </w:rPr>
            </w:pPr>
            <w:r w:rsidRPr="00085B08">
              <w:rPr>
                <w:rFonts w:ascii="Tahoma" w:hAnsi="Tahoma" w:cs="Tahoma"/>
              </w:rPr>
              <w:t>China</w:t>
            </w:r>
          </w:p>
        </w:tc>
        <w:tc>
          <w:tcPr>
            <w:tcW w:w="1325" w:type="dxa"/>
            <w:noWrap/>
            <w:hideMark/>
          </w:tcPr>
          <w:p w14:paraId="7DB9277B" w14:textId="77777777" w:rsidR="00206550" w:rsidRPr="00085B08" w:rsidRDefault="00206550" w:rsidP="00085B08">
            <w:pPr>
              <w:spacing w:after="0"/>
              <w:cnfStyle w:val="000000000000" w:firstRow="0" w:lastRow="0" w:firstColumn="0" w:lastColumn="0" w:oddVBand="0" w:evenVBand="0" w:oddHBand="0" w:evenHBand="0" w:firstRowFirstColumn="0" w:firstRowLastColumn="0" w:lastRowFirstColumn="0" w:lastRowLastColumn="0"/>
              <w:rPr>
                <w:rFonts w:ascii="Tahoma" w:hAnsi="Tahoma" w:cs="Tahoma"/>
              </w:rPr>
            </w:pPr>
            <w:r w:rsidRPr="00085B08">
              <w:rPr>
                <w:rFonts w:ascii="Tahoma" w:hAnsi="Tahoma" w:cs="Tahoma"/>
              </w:rPr>
              <w:t>4.8</w:t>
            </w:r>
          </w:p>
        </w:tc>
        <w:tc>
          <w:tcPr>
            <w:tcW w:w="1343" w:type="dxa"/>
            <w:noWrap/>
            <w:hideMark/>
          </w:tcPr>
          <w:p w14:paraId="432C87D4" w14:textId="77777777" w:rsidR="00206550" w:rsidRPr="00085B08" w:rsidRDefault="00206550" w:rsidP="00085B08">
            <w:pPr>
              <w:spacing w:after="0"/>
              <w:cnfStyle w:val="000000000000" w:firstRow="0" w:lastRow="0" w:firstColumn="0" w:lastColumn="0" w:oddVBand="0" w:evenVBand="0" w:oddHBand="0" w:evenHBand="0" w:firstRowFirstColumn="0" w:firstRowLastColumn="0" w:lastRowFirstColumn="0" w:lastRowLastColumn="0"/>
              <w:rPr>
                <w:rFonts w:ascii="Tahoma" w:hAnsi="Tahoma" w:cs="Tahoma"/>
              </w:rPr>
            </w:pPr>
            <w:r w:rsidRPr="00085B08">
              <w:rPr>
                <w:rFonts w:ascii="Tahoma" w:hAnsi="Tahoma" w:cs="Tahoma"/>
              </w:rPr>
              <w:t>4.1</w:t>
            </w:r>
          </w:p>
        </w:tc>
        <w:tc>
          <w:tcPr>
            <w:tcW w:w="1415" w:type="dxa"/>
            <w:noWrap/>
            <w:hideMark/>
          </w:tcPr>
          <w:p w14:paraId="1E63AA75" w14:textId="77777777" w:rsidR="00206550" w:rsidRPr="00085B08" w:rsidRDefault="00206550" w:rsidP="00085B08">
            <w:pPr>
              <w:spacing w:after="0"/>
              <w:cnfStyle w:val="000000000000" w:firstRow="0" w:lastRow="0" w:firstColumn="0" w:lastColumn="0" w:oddVBand="0" w:evenVBand="0" w:oddHBand="0" w:evenHBand="0" w:firstRowFirstColumn="0" w:firstRowLastColumn="0" w:lastRowFirstColumn="0" w:lastRowLastColumn="0"/>
              <w:rPr>
                <w:rFonts w:ascii="Tahoma" w:hAnsi="Tahoma" w:cs="Tahoma"/>
              </w:rPr>
            </w:pPr>
            <w:r w:rsidRPr="00085B08">
              <w:rPr>
                <w:rFonts w:ascii="Tahoma" w:hAnsi="Tahoma" w:cs="Tahoma"/>
              </w:rPr>
              <w:t>4</w:t>
            </w:r>
          </w:p>
        </w:tc>
      </w:tr>
      <w:tr w:rsidR="00206550" w:rsidRPr="00085B08" w14:paraId="3C49E025" w14:textId="77777777" w:rsidTr="00085B0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943" w:type="dxa"/>
            <w:noWrap/>
            <w:hideMark/>
          </w:tcPr>
          <w:p w14:paraId="3A13E7F3" w14:textId="77777777" w:rsidR="00206550" w:rsidRPr="00085B08" w:rsidRDefault="00206550" w:rsidP="00085B08">
            <w:pPr>
              <w:spacing w:after="0"/>
              <w:rPr>
                <w:rFonts w:ascii="Tahoma" w:hAnsi="Tahoma" w:cs="Tahoma"/>
              </w:rPr>
            </w:pPr>
            <w:r w:rsidRPr="00085B08">
              <w:rPr>
                <w:rFonts w:ascii="Tahoma" w:hAnsi="Tahoma" w:cs="Tahoma"/>
              </w:rPr>
              <w:t>India</w:t>
            </w:r>
          </w:p>
        </w:tc>
        <w:tc>
          <w:tcPr>
            <w:tcW w:w="1325" w:type="dxa"/>
            <w:noWrap/>
            <w:hideMark/>
          </w:tcPr>
          <w:p w14:paraId="28B62694" w14:textId="77777777" w:rsidR="00206550" w:rsidRPr="00085B08" w:rsidRDefault="00206550" w:rsidP="00085B08">
            <w:pPr>
              <w:spacing w:after="0"/>
              <w:cnfStyle w:val="000000100000" w:firstRow="0" w:lastRow="0" w:firstColumn="0" w:lastColumn="0" w:oddVBand="0" w:evenVBand="0" w:oddHBand="1" w:evenHBand="0" w:firstRowFirstColumn="0" w:firstRowLastColumn="0" w:lastRowFirstColumn="0" w:lastRowLastColumn="0"/>
              <w:rPr>
                <w:rFonts w:ascii="Tahoma" w:hAnsi="Tahoma" w:cs="Tahoma"/>
              </w:rPr>
            </w:pPr>
            <w:r w:rsidRPr="00085B08">
              <w:rPr>
                <w:rFonts w:ascii="Tahoma" w:hAnsi="Tahoma" w:cs="Tahoma"/>
              </w:rPr>
              <w:t>6.6</w:t>
            </w:r>
          </w:p>
        </w:tc>
        <w:tc>
          <w:tcPr>
            <w:tcW w:w="1343" w:type="dxa"/>
            <w:noWrap/>
            <w:hideMark/>
          </w:tcPr>
          <w:p w14:paraId="6EF2B250" w14:textId="77777777" w:rsidR="00206550" w:rsidRPr="00085B08" w:rsidRDefault="00206550" w:rsidP="00085B08">
            <w:pPr>
              <w:spacing w:after="0"/>
              <w:cnfStyle w:val="000000100000" w:firstRow="0" w:lastRow="0" w:firstColumn="0" w:lastColumn="0" w:oddVBand="0" w:evenVBand="0" w:oddHBand="1" w:evenHBand="0" w:firstRowFirstColumn="0" w:firstRowLastColumn="0" w:lastRowFirstColumn="0" w:lastRowLastColumn="0"/>
              <w:rPr>
                <w:rFonts w:ascii="Tahoma" w:hAnsi="Tahoma" w:cs="Tahoma"/>
              </w:rPr>
            </w:pPr>
            <w:r w:rsidRPr="00085B08">
              <w:rPr>
                <w:rFonts w:ascii="Tahoma" w:hAnsi="Tahoma" w:cs="Tahoma"/>
              </w:rPr>
              <w:t>6.7</w:t>
            </w:r>
          </w:p>
        </w:tc>
        <w:tc>
          <w:tcPr>
            <w:tcW w:w="1415" w:type="dxa"/>
            <w:noWrap/>
            <w:hideMark/>
          </w:tcPr>
          <w:p w14:paraId="6FAF89E4" w14:textId="77777777" w:rsidR="00206550" w:rsidRPr="00085B08" w:rsidRDefault="00206550" w:rsidP="00085B08">
            <w:pPr>
              <w:spacing w:after="0"/>
              <w:cnfStyle w:val="000000100000" w:firstRow="0" w:lastRow="0" w:firstColumn="0" w:lastColumn="0" w:oddVBand="0" w:evenVBand="0" w:oddHBand="1" w:evenHBand="0" w:firstRowFirstColumn="0" w:firstRowLastColumn="0" w:lastRowFirstColumn="0" w:lastRowLastColumn="0"/>
              <w:rPr>
                <w:rFonts w:ascii="Tahoma" w:hAnsi="Tahoma" w:cs="Tahoma"/>
              </w:rPr>
            </w:pPr>
            <w:r w:rsidRPr="00085B08">
              <w:rPr>
                <w:rFonts w:ascii="Tahoma" w:hAnsi="Tahoma" w:cs="Tahoma"/>
              </w:rPr>
              <w:t>6.8</w:t>
            </w:r>
          </w:p>
        </w:tc>
      </w:tr>
      <w:tr w:rsidR="00206550" w:rsidRPr="00085B08" w14:paraId="16034F66" w14:textId="77777777" w:rsidTr="00085B08">
        <w:trPr>
          <w:trHeight w:val="312"/>
        </w:trPr>
        <w:tc>
          <w:tcPr>
            <w:cnfStyle w:val="001000000000" w:firstRow="0" w:lastRow="0" w:firstColumn="1" w:lastColumn="0" w:oddVBand="0" w:evenVBand="0" w:oddHBand="0" w:evenHBand="0" w:firstRowFirstColumn="0" w:firstRowLastColumn="0" w:lastRowFirstColumn="0" w:lastRowLastColumn="0"/>
            <w:tcW w:w="4943" w:type="dxa"/>
            <w:noWrap/>
            <w:hideMark/>
          </w:tcPr>
          <w:p w14:paraId="7928D011" w14:textId="77777777" w:rsidR="00206550" w:rsidRPr="00085B08" w:rsidRDefault="00206550" w:rsidP="00085B08">
            <w:pPr>
              <w:spacing w:after="0"/>
              <w:rPr>
                <w:rFonts w:ascii="Tahoma" w:hAnsi="Tahoma" w:cs="Tahoma"/>
                <w:b w:val="0"/>
                <w:bCs w:val="0"/>
              </w:rPr>
            </w:pPr>
            <w:r w:rsidRPr="00085B08">
              <w:rPr>
                <w:rFonts w:ascii="Tahoma" w:hAnsi="Tahoma" w:cs="Tahoma"/>
              </w:rPr>
              <w:t>Sub-Saharan Africa</w:t>
            </w:r>
          </w:p>
        </w:tc>
        <w:tc>
          <w:tcPr>
            <w:tcW w:w="1325" w:type="dxa"/>
            <w:noWrap/>
            <w:hideMark/>
          </w:tcPr>
          <w:p w14:paraId="2DC31A35" w14:textId="77777777" w:rsidR="00206550" w:rsidRPr="00085B08" w:rsidRDefault="00206550" w:rsidP="00085B08">
            <w:pPr>
              <w:spacing w:after="0"/>
              <w:cnfStyle w:val="000000000000" w:firstRow="0" w:lastRow="0" w:firstColumn="0" w:lastColumn="0" w:oddVBand="0" w:evenVBand="0" w:oddHBand="0" w:evenHBand="0" w:firstRowFirstColumn="0" w:firstRowLastColumn="0" w:lastRowFirstColumn="0" w:lastRowLastColumn="0"/>
              <w:rPr>
                <w:rFonts w:ascii="Tahoma" w:hAnsi="Tahoma" w:cs="Tahoma"/>
                <w:b/>
                <w:bCs/>
              </w:rPr>
            </w:pPr>
            <w:r w:rsidRPr="00085B08">
              <w:rPr>
                <w:rFonts w:ascii="Tahoma" w:hAnsi="Tahoma" w:cs="Tahoma"/>
                <w:b/>
                <w:bCs/>
              </w:rPr>
              <w:t>3.5</w:t>
            </w:r>
          </w:p>
        </w:tc>
        <w:tc>
          <w:tcPr>
            <w:tcW w:w="1343" w:type="dxa"/>
            <w:noWrap/>
            <w:hideMark/>
          </w:tcPr>
          <w:p w14:paraId="30D12AD0" w14:textId="77777777" w:rsidR="00206550" w:rsidRPr="00085B08" w:rsidRDefault="00206550" w:rsidP="00085B08">
            <w:pPr>
              <w:spacing w:after="0"/>
              <w:cnfStyle w:val="000000000000" w:firstRow="0" w:lastRow="0" w:firstColumn="0" w:lastColumn="0" w:oddVBand="0" w:evenVBand="0" w:oddHBand="0" w:evenHBand="0" w:firstRowFirstColumn="0" w:firstRowLastColumn="0" w:lastRowFirstColumn="0" w:lastRowLastColumn="0"/>
              <w:rPr>
                <w:rFonts w:ascii="Tahoma" w:hAnsi="Tahoma" w:cs="Tahoma"/>
                <w:b/>
                <w:bCs/>
              </w:rPr>
            </w:pPr>
            <w:r w:rsidRPr="00085B08">
              <w:rPr>
                <w:rFonts w:ascii="Tahoma" w:hAnsi="Tahoma" w:cs="Tahoma"/>
                <w:b/>
                <w:bCs/>
              </w:rPr>
              <w:t>3.9</w:t>
            </w:r>
          </w:p>
        </w:tc>
        <w:tc>
          <w:tcPr>
            <w:tcW w:w="1415" w:type="dxa"/>
            <w:noWrap/>
            <w:hideMark/>
          </w:tcPr>
          <w:p w14:paraId="636432F2" w14:textId="77777777" w:rsidR="00206550" w:rsidRPr="00085B08" w:rsidRDefault="00206550" w:rsidP="00085B08">
            <w:pPr>
              <w:spacing w:after="0"/>
              <w:cnfStyle w:val="000000000000" w:firstRow="0" w:lastRow="0" w:firstColumn="0" w:lastColumn="0" w:oddVBand="0" w:evenVBand="0" w:oddHBand="0" w:evenHBand="0" w:firstRowFirstColumn="0" w:firstRowLastColumn="0" w:lastRowFirstColumn="0" w:lastRowLastColumn="0"/>
              <w:rPr>
                <w:rFonts w:ascii="Tahoma" w:hAnsi="Tahoma" w:cs="Tahoma"/>
                <w:b/>
                <w:bCs/>
              </w:rPr>
            </w:pPr>
            <w:r w:rsidRPr="00085B08">
              <w:rPr>
                <w:rFonts w:ascii="Tahoma" w:hAnsi="Tahoma" w:cs="Tahoma"/>
                <w:b/>
                <w:bCs/>
              </w:rPr>
              <w:t>4</w:t>
            </w:r>
          </w:p>
        </w:tc>
      </w:tr>
      <w:tr w:rsidR="00206550" w:rsidRPr="00085B08" w14:paraId="4603C723" w14:textId="77777777" w:rsidTr="00085B0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943" w:type="dxa"/>
            <w:noWrap/>
            <w:hideMark/>
          </w:tcPr>
          <w:p w14:paraId="1809BB99" w14:textId="77777777" w:rsidR="00206550" w:rsidRPr="00085B08" w:rsidRDefault="00206550" w:rsidP="00085B08">
            <w:pPr>
              <w:spacing w:after="0"/>
              <w:rPr>
                <w:rFonts w:ascii="Tahoma" w:hAnsi="Tahoma" w:cs="Tahoma"/>
              </w:rPr>
            </w:pPr>
            <w:r w:rsidRPr="00085B08">
              <w:rPr>
                <w:rFonts w:ascii="Tahoma" w:hAnsi="Tahoma" w:cs="Tahoma"/>
              </w:rPr>
              <w:t>Nigeria</w:t>
            </w:r>
          </w:p>
        </w:tc>
        <w:tc>
          <w:tcPr>
            <w:tcW w:w="1325" w:type="dxa"/>
            <w:noWrap/>
            <w:hideMark/>
          </w:tcPr>
          <w:p w14:paraId="486E9142" w14:textId="77777777" w:rsidR="00206550" w:rsidRPr="00085B08" w:rsidRDefault="00206550" w:rsidP="00085B08">
            <w:pPr>
              <w:spacing w:after="0"/>
              <w:cnfStyle w:val="000000100000" w:firstRow="0" w:lastRow="0" w:firstColumn="0" w:lastColumn="0" w:oddVBand="0" w:evenVBand="0" w:oddHBand="1" w:evenHBand="0" w:firstRowFirstColumn="0" w:firstRowLastColumn="0" w:lastRowFirstColumn="0" w:lastRowLastColumn="0"/>
              <w:rPr>
                <w:rFonts w:ascii="Tahoma" w:hAnsi="Tahoma" w:cs="Tahoma"/>
              </w:rPr>
            </w:pPr>
            <w:r w:rsidRPr="00085B08">
              <w:rPr>
                <w:rFonts w:ascii="Tahoma" w:hAnsi="Tahoma" w:cs="Tahoma"/>
              </w:rPr>
              <w:t>3.3</w:t>
            </w:r>
          </w:p>
        </w:tc>
        <w:tc>
          <w:tcPr>
            <w:tcW w:w="1343" w:type="dxa"/>
            <w:noWrap/>
            <w:hideMark/>
          </w:tcPr>
          <w:p w14:paraId="54C75F0D" w14:textId="77777777" w:rsidR="00206550" w:rsidRPr="00085B08" w:rsidRDefault="00206550" w:rsidP="00085B08">
            <w:pPr>
              <w:spacing w:after="0"/>
              <w:cnfStyle w:val="000000100000" w:firstRow="0" w:lastRow="0" w:firstColumn="0" w:lastColumn="0" w:oddVBand="0" w:evenVBand="0" w:oddHBand="1" w:evenHBand="0" w:firstRowFirstColumn="0" w:firstRowLastColumn="0" w:lastRowFirstColumn="0" w:lastRowLastColumn="0"/>
              <w:rPr>
                <w:rFonts w:ascii="Tahoma" w:hAnsi="Tahoma" w:cs="Tahoma"/>
              </w:rPr>
            </w:pPr>
            <w:r w:rsidRPr="00085B08">
              <w:rPr>
                <w:rFonts w:ascii="Tahoma" w:hAnsi="Tahoma" w:cs="Tahoma"/>
              </w:rPr>
              <w:t>3.5</w:t>
            </w:r>
          </w:p>
        </w:tc>
        <w:tc>
          <w:tcPr>
            <w:tcW w:w="1415" w:type="dxa"/>
            <w:noWrap/>
            <w:hideMark/>
          </w:tcPr>
          <w:p w14:paraId="7F9659E6" w14:textId="77777777" w:rsidR="00206550" w:rsidRPr="00085B08" w:rsidRDefault="00206550" w:rsidP="00085B08">
            <w:pPr>
              <w:spacing w:after="0"/>
              <w:cnfStyle w:val="000000100000" w:firstRow="0" w:lastRow="0" w:firstColumn="0" w:lastColumn="0" w:oddVBand="0" w:evenVBand="0" w:oddHBand="1" w:evenHBand="0" w:firstRowFirstColumn="0" w:firstRowLastColumn="0" w:lastRowFirstColumn="0" w:lastRowLastColumn="0"/>
              <w:rPr>
                <w:rFonts w:ascii="Tahoma" w:hAnsi="Tahoma" w:cs="Tahoma"/>
              </w:rPr>
            </w:pPr>
            <w:r w:rsidRPr="00085B08">
              <w:rPr>
                <w:rFonts w:ascii="Tahoma" w:hAnsi="Tahoma" w:cs="Tahoma"/>
              </w:rPr>
              <w:t>3.7</w:t>
            </w:r>
          </w:p>
        </w:tc>
      </w:tr>
      <w:tr w:rsidR="00206550" w:rsidRPr="00085B08" w14:paraId="312562A0" w14:textId="77777777" w:rsidTr="00085B08">
        <w:trPr>
          <w:trHeight w:val="312"/>
        </w:trPr>
        <w:tc>
          <w:tcPr>
            <w:cnfStyle w:val="001000000000" w:firstRow="0" w:lastRow="0" w:firstColumn="1" w:lastColumn="0" w:oddVBand="0" w:evenVBand="0" w:oddHBand="0" w:evenHBand="0" w:firstRowFirstColumn="0" w:firstRowLastColumn="0" w:lastRowFirstColumn="0" w:lastRowLastColumn="0"/>
            <w:tcW w:w="4943" w:type="dxa"/>
            <w:noWrap/>
            <w:hideMark/>
          </w:tcPr>
          <w:p w14:paraId="19FB69DA" w14:textId="77777777" w:rsidR="00206550" w:rsidRPr="00085B08" w:rsidRDefault="00206550" w:rsidP="00085B08">
            <w:pPr>
              <w:spacing w:after="0"/>
              <w:rPr>
                <w:rFonts w:ascii="Tahoma" w:hAnsi="Tahoma" w:cs="Tahoma"/>
              </w:rPr>
            </w:pPr>
            <w:r w:rsidRPr="00085B08">
              <w:rPr>
                <w:rFonts w:ascii="Tahoma" w:hAnsi="Tahoma" w:cs="Tahoma"/>
              </w:rPr>
              <w:t>South Africa</w:t>
            </w:r>
          </w:p>
        </w:tc>
        <w:tc>
          <w:tcPr>
            <w:tcW w:w="1325" w:type="dxa"/>
            <w:noWrap/>
            <w:hideMark/>
          </w:tcPr>
          <w:p w14:paraId="5D188565" w14:textId="77777777" w:rsidR="00206550" w:rsidRPr="00085B08" w:rsidRDefault="00206550" w:rsidP="00085B08">
            <w:pPr>
              <w:spacing w:after="0"/>
              <w:cnfStyle w:val="000000000000" w:firstRow="0" w:lastRow="0" w:firstColumn="0" w:lastColumn="0" w:oddVBand="0" w:evenVBand="0" w:oddHBand="0" w:evenHBand="0" w:firstRowFirstColumn="0" w:firstRowLastColumn="0" w:lastRowFirstColumn="0" w:lastRowLastColumn="0"/>
              <w:rPr>
                <w:rFonts w:ascii="Tahoma" w:hAnsi="Tahoma" w:cs="Tahoma"/>
              </w:rPr>
            </w:pPr>
            <w:r w:rsidRPr="00085B08">
              <w:rPr>
                <w:rFonts w:ascii="Tahoma" w:hAnsi="Tahoma" w:cs="Tahoma"/>
              </w:rPr>
              <w:t>1.2</w:t>
            </w:r>
          </w:p>
        </w:tc>
        <w:tc>
          <w:tcPr>
            <w:tcW w:w="1343" w:type="dxa"/>
            <w:noWrap/>
            <w:hideMark/>
          </w:tcPr>
          <w:p w14:paraId="10C24C2F" w14:textId="77777777" w:rsidR="00206550" w:rsidRPr="00085B08" w:rsidRDefault="00206550" w:rsidP="00085B08">
            <w:pPr>
              <w:spacing w:after="0"/>
              <w:cnfStyle w:val="000000000000" w:firstRow="0" w:lastRow="0" w:firstColumn="0" w:lastColumn="0" w:oddVBand="0" w:evenVBand="0" w:oddHBand="0" w:evenHBand="0" w:firstRowFirstColumn="0" w:firstRowLastColumn="0" w:lastRowFirstColumn="0" w:lastRowLastColumn="0"/>
              <w:rPr>
                <w:rFonts w:ascii="Tahoma" w:hAnsi="Tahoma" w:cs="Tahoma"/>
              </w:rPr>
            </w:pPr>
            <w:r w:rsidRPr="00085B08">
              <w:rPr>
                <w:rFonts w:ascii="Tahoma" w:hAnsi="Tahoma" w:cs="Tahoma"/>
              </w:rPr>
              <w:t>1.3</w:t>
            </w:r>
          </w:p>
        </w:tc>
        <w:tc>
          <w:tcPr>
            <w:tcW w:w="1415" w:type="dxa"/>
            <w:noWrap/>
            <w:hideMark/>
          </w:tcPr>
          <w:p w14:paraId="08F16E69" w14:textId="77777777" w:rsidR="00206550" w:rsidRPr="00085B08" w:rsidRDefault="00206550" w:rsidP="00085B08">
            <w:pPr>
              <w:spacing w:after="0"/>
              <w:cnfStyle w:val="000000000000" w:firstRow="0" w:lastRow="0" w:firstColumn="0" w:lastColumn="0" w:oddVBand="0" w:evenVBand="0" w:oddHBand="0" w:evenHBand="0" w:firstRowFirstColumn="0" w:firstRowLastColumn="0" w:lastRowFirstColumn="0" w:lastRowLastColumn="0"/>
              <w:rPr>
                <w:rFonts w:ascii="Tahoma" w:hAnsi="Tahoma" w:cs="Tahoma"/>
              </w:rPr>
            </w:pPr>
            <w:r w:rsidRPr="00085B08">
              <w:rPr>
                <w:rFonts w:ascii="Tahoma" w:hAnsi="Tahoma" w:cs="Tahoma"/>
              </w:rPr>
              <w:t>1.5</w:t>
            </w:r>
          </w:p>
        </w:tc>
      </w:tr>
    </w:tbl>
    <w:p w14:paraId="02455B9C" w14:textId="77777777" w:rsidR="00E36CF6" w:rsidRPr="00863A17" w:rsidRDefault="00E31148" w:rsidP="00E36CF6">
      <w:pPr>
        <w:rPr>
          <w:rFonts w:ascii="Tahoma" w:hAnsi="Tahoma" w:cs="Tahoma"/>
          <w:i/>
          <w:sz w:val="24"/>
          <w:szCs w:val="24"/>
        </w:rPr>
      </w:pPr>
      <w:r w:rsidRPr="00863A17">
        <w:rPr>
          <w:rFonts w:ascii="Tahoma" w:hAnsi="Tahoma" w:cs="Tahoma"/>
          <w:i/>
          <w:sz w:val="24"/>
          <w:szCs w:val="24"/>
          <w:lang w:val="en-US"/>
        </w:rPr>
        <w:t xml:space="preserve">Source: </w:t>
      </w:r>
      <w:r w:rsidR="00BE12FE">
        <w:rPr>
          <w:rFonts w:ascii="Tahoma" w:hAnsi="Tahoma" w:cs="Tahoma"/>
          <w:i/>
          <w:sz w:val="24"/>
          <w:szCs w:val="24"/>
          <w:lang w:val="en-US"/>
        </w:rPr>
        <w:t xml:space="preserve">World Bank Group, June 2024 Global economic Prospects </w:t>
      </w:r>
    </w:p>
    <w:p w14:paraId="39D82E16" w14:textId="1A0724B0" w:rsidR="00A521E9" w:rsidRPr="00863A17" w:rsidRDefault="004F680D" w:rsidP="00A44693">
      <w:pPr>
        <w:ind w:left="720" w:hanging="720"/>
        <w:jc w:val="both"/>
        <w:rPr>
          <w:rFonts w:ascii="Tahoma" w:hAnsi="Tahoma" w:cs="Tahoma"/>
          <w:sz w:val="24"/>
          <w:szCs w:val="24"/>
          <w:lang w:val="en-US"/>
        </w:rPr>
      </w:pPr>
      <w:r w:rsidRPr="00863A17">
        <w:rPr>
          <w:rFonts w:ascii="Tahoma" w:hAnsi="Tahoma" w:cs="Tahoma"/>
          <w:sz w:val="24"/>
          <w:szCs w:val="24"/>
          <w:lang w:val="en-US"/>
        </w:rPr>
        <w:t>1.1.</w:t>
      </w:r>
      <w:r w:rsidR="00BE12FE">
        <w:rPr>
          <w:rFonts w:ascii="Tahoma" w:hAnsi="Tahoma" w:cs="Tahoma"/>
          <w:sz w:val="24"/>
          <w:szCs w:val="24"/>
          <w:lang w:val="en-US"/>
        </w:rPr>
        <w:t>2</w:t>
      </w:r>
      <w:r w:rsidRPr="00863A17">
        <w:rPr>
          <w:rFonts w:ascii="Tahoma" w:hAnsi="Tahoma" w:cs="Tahoma"/>
          <w:sz w:val="24"/>
          <w:szCs w:val="24"/>
          <w:lang w:val="en-US"/>
        </w:rPr>
        <w:tab/>
      </w:r>
      <w:r w:rsidR="00BE12FE">
        <w:rPr>
          <w:rFonts w:ascii="Tahoma" w:hAnsi="Tahoma" w:cs="Tahoma"/>
          <w:sz w:val="24"/>
          <w:szCs w:val="24"/>
          <w:lang w:val="en-US"/>
        </w:rPr>
        <w:t xml:space="preserve">According to the World Bank Group June 2024 </w:t>
      </w:r>
      <w:r w:rsidR="00A44693">
        <w:rPr>
          <w:rFonts w:ascii="Tahoma" w:hAnsi="Tahoma" w:cs="Tahoma"/>
          <w:sz w:val="24"/>
          <w:szCs w:val="24"/>
          <w:lang w:val="en-US"/>
        </w:rPr>
        <w:t>G</w:t>
      </w:r>
      <w:r w:rsidR="00BE12FE">
        <w:rPr>
          <w:rFonts w:ascii="Tahoma" w:hAnsi="Tahoma" w:cs="Tahoma"/>
          <w:sz w:val="24"/>
          <w:szCs w:val="24"/>
          <w:lang w:val="en-US"/>
        </w:rPr>
        <w:t xml:space="preserve">lobal </w:t>
      </w:r>
      <w:r w:rsidR="00A44693">
        <w:rPr>
          <w:rFonts w:ascii="Tahoma" w:hAnsi="Tahoma" w:cs="Tahoma"/>
          <w:sz w:val="24"/>
          <w:szCs w:val="24"/>
          <w:lang w:val="en-US"/>
        </w:rPr>
        <w:t>E</w:t>
      </w:r>
      <w:r w:rsidR="00BE12FE">
        <w:rPr>
          <w:rFonts w:ascii="Tahoma" w:hAnsi="Tahoma" w:cs="Tahoma"/>
          <w:sz w:val="24"/>
          <w:szCs w:val="24"/>
          <w:lang w:val="en-US"/>
        </w:rPr>
        <w:t xml:space="preserve">conomic </w:t>
      </w:r>
      <w:r w:rsidR="00A44693">
        <w:rPr>
          <w:rFonts w:ascii="Tahoma" w:hAnsi="Tahoma" w:cs="Tahoma"/>
          <w:sz w:val="24"/>
          <w:szCs w:val="24"/>
          <w:lang w:val="en-US"/>
        </w:rPr>
        <w:t>P</w:t>
      </w:r>
      <w:r w:rsidR="00BE12FE">
        <w:rPr>
          <w:rFonts w:ascii="Tahoma" w:hAnsi="Tahoma" w:cs="Tahoma"/>
          <w:sz w:val="24"/>
          <w:szCs w:val="24"/>
          <w:lang w:val="en-US"/>
        </w:rPr>
        <w:t xml:space="preserve">rospects </w:t>
      </w:r>
      <w:r w:rsidR="00A44693">
        <w:rPr>
          <w:rFonts w:ascii="Tahoma" w:hAnsi="Tahoma" w:cs="Tahoma"/>
          <w:sz w:val="24"/>
          <w:szCs w:val="24"/>
          <w:lang w:val="en-US"/>
        </w:rPr>
        <w:t>R</w:t>
      </w:r>
      <w:r w:rsidR="00BE12FE">
        <w:rPr>
          <w:rFonts w:ascii="Tahoma" w:hAnsi="Tahoma" w:cs="Tahoma"/>
          <w:sz w:val="24"/>
          <w:szCs w:val="24"/>
          <w:lang w:val="en-US"/>
        </w:rPr>
        <w:t>eport,</w:t>
      </w:r>
      <w:r w:rsidR="00AF44CA">
        <w:rPr>
          <w:rFonts w:ascii="Tahoma" w:hAnsi="Tahoma" w:cs="Tahoma"/>
          <w:sz w:val="24"/>
          <w:szCs w:val="24"/>
          <w:lang w:val="en-US"/>
        </w:rPr>
        <w:t xml:space="preserve"> both advanced economies and </w:t>
      </w:r>
      <w:r w:rsidR="00A44693">
        <w:rPr>
          <w:rFonts w:ascii="Tahoma" w:hAnsi="Tahoma" w:cs="Tahoma"/>
          <w:sz w:val="24"/>
          <w:szCs w:val="24"/>
          <w:lang w:val="en-US"/>
        </w:rPr>
        <w:t>emerging markets and developing economies</w:t>
      </w:r>
      <w:r w:rsidR="00AF44CA">
        <w:rPr>
          <w:rFonts w:ascii="Tahoma" w:hAnsi="Tahoma" w:cs="Tahoma"/>
          <w:sz w:val="24"/>
          <w:szCs w:val="24"/>
          <w:lang w:val="en-US"/>
        </w:rPr>
        <w:t xml:space="preserve"> and Sub-Saharan Africa</w:t>
      </w:r>
      <w:r w:rsidR="00A44693">
        <w:rPr>
          <w:rFonts w:ascii="Tahoma" w:hAnsi="Tahoma" w:cs="Tahoma"/>
          <w:sz w:val="24"/>
          <w:szCs w:val="24"/>
          <w:lang w:val="en-US"/>
        </w:rPr>
        <w:t xml:space="preserve"> (SSA)</w:t>
      </w:r>
      <w:r w:rsidR="00AF44CA">
        <w:rPr>
          <w:rFonts w:ascii="Tahoma" w:hAnsi="Tahoma" w:cs="Tahoma"/>
          <w:sz w:val="24"/>
          <w:szCs w:val="24"/>
          <w:lang w:val="en-US"/>
        </w:rPr>
        <w:t xml:space="preserve"> are projected to grow at a slower pace from 2024 to 2026 than in the pre-pandemic period.</w:t>
      </w:r>
      <w:r w:rsidR="00BE12FE">
        <w:rPr>
          <w:rFonts w:ascii="Tahoma" w:hAnsi="Tahoma" w:cs="Tahoma"/>
          <w:sz w:val="24"/>
          <w:szCs w:val="24"/>
          <w:lang w:val="en-US"/>
        </w:rPr>
        <w:t xml:space="preserve"> </w:t>
      </w:r>
      <w:r w:rsidR="00AF44CA">
        <w:rPr>
          <w:rFonts w:ascii="Tahoma" w:hAnsi="Tahoma" w:cs="Tahoma"/>
          <w:sz w:val="24"/>
          <w:szCs w:val="24"/>
          <w:lang w:val="en-US"/>
        </w:rPr>
        <w:t xml:space="preserve">A subdued global growth reflects the lagged effects of monetary tightening and resumed fiscal consolidation, </w:t>
      </w:r>
      <w:r w:rsidR="00A44693">
        <w:rPr>
          <w:rFonts w:ascii="Tahoma" w:hAnsi="Tahoma" w:cs="Tahoma"/>
          <w:sz w:val="24"/>
          <w:szCs w:val="24"/>
          <w:lang w:val="en-US"/>
        </w:rPr>
        <w:t xml:space="preserve">while </w:t>
      </w:r>
      <w:r w:rsidR="00AF44CA">
        <w:rPr>
          <w:rFonts w:ascii="Tahoma" w:hAnsi="Tahoma" w:cs="Tahoma"/>
          <w:sz w:val="24"/>
          <w:szCs w:val="24"/>
          <w:lang w:val="en-US"/>
        </w:rPr>
        <w:t>an upgrade to global growth forecasts in 2024 reflects a continued robust expansion in the United States and a stronger-than-expected economic growth in China. In 2025 and 2026, a slight improvement is projected, as inflation gradually subsides, policy rates decline and trade growth firms. However, fiscal policy is envisaged to exert a slight drag on global growth as many governments seeks to repair pre-pandemic era fiscal deterioration.</w:t>
      </w:r>
    </w:p>
    <w:p w14:paraId="356CE799" w14:textId="77777777" w:rsidR="007A3E1D" w:rsidRPr="00863A17" w:rsidRDefault="004F680D" w:rsidP="00BC5A90">
      <w:pPr>
        <w:pStyle w:val="Heading2"/>
        <w:spacing w:before="0" w:after="240" w:line="240" w:lineRule="auto"/>
        <w:rPr>
          <w:rFonts w:cs="Tahoma"/>
          <w:b/>
          <w:color w:val="000000"/>
          <w:szCs w:val="24"/>
          <w:lang w:val="en-US"/>
        </w:rPr>
      </w:pPr>
      <w:bookmarkStart w:id="10" w:name="_Toc166607891"/>
      <w:bookmarkStart w:id="11" w:name="_Toc171946083"/>
      <w:r w:rsidRPr="00863A17">
        <w:rPr>
          <w:rFonts w:cs="Tahoma"/>
          <w:b/>
          <w:color w:val="000000"/>
          <w:szCs w:val="24"/>
          <w:lang w:val="en-US"/>
        </w:rPr>
        <w:t>1.2</w:t>
      </w:r>
      <w:r w:rsidRPr="00863A17">
        <w:rPr>
          <w:rFonts w:cs="Tahoma"/>
          <w:b/>
          <w:color w:val="000000"/>
          <w:szCs w:val="24"/>
          <w:lang w:val="en-US"/>
        </w:rPr>
        <w:tab/>
      </w:r>
      <w:r w:rsidR="007A3E1D" w:rsidRPr="00863A17">
        <w:rPr>
          <w:rFonts w:cs="Tahoma"/>
          <w:b/>
          <w:color w:val="000000"/>
          <w:szCs w:val="24"/>
          <w:lang w:val="en-US"/>
        </w:rPr>
        <w:t>Global Inflation Developments</w:t>
      </w:r>
      <w:bookmarkEnd w:id="10"/>
      <w:bookmarkEnd w:id="11"/>
      <w:r w:rsidR="007A3E1D" w:rsidRPr="00863A17">
        <w:rPr>
          <w:rFonts w:cs="Tahoma"/>
          <w:b/>
          <w:color w:val="000000"/>
          <w:szCs w:val="24"/>
          <w:lang w:val="en-US"/>
        </w:rPr>
        <w:t xml:space="preserve"> </w:t>
      </w:r>
    </w:p>
    <w:p w14:paraId="2DFDAEC0" w14:textId="04779F5E" w:rsidR="006A6773" w:rsidRPr="00863A17" w:rsidRDefault="004F680D" w:rsidP="00BC5A90">
      <w:pPr>
        <w:ind w:left="720" w:hanging="720"/>
        <w:jc w:val="both"/>
        <w:rPr>
          <w:rFonts w:ascii="Tahoma" w:hAnsi="Tahoma" w:cs="Tahoma"/>
          <w:sz w:val="24"/>
          <w:szCs w:val="24"/>
          <w:lang w:val="en-US"/>
        </w:rPr>
      </w:pPr>
      <w:r w:rsidRPr="00863A17">
        <w:rPr>
          <w:rFonts w:ascii="Tahoma" w:hAnsi="Tahoma" w:cs="Tahoma"/>
          <w:sz w:val="24"/>
          <w:szCs w:val="24"/>
          <w:lang w:val="en-US"/>
        </w:rPr>
        <w:t>1.2.1</w:t>
      </w:r>
      <w:r w:rsidRPr="00863A17">
        <w:rPr>
          <w:rFonts w:ascii="Tahoma" w:hAnsi="Tahoma" w:cs="Tahoma"/>
          <w:sz w:val="24"/>
          <w:szCs w:val="24"/>
          <w:lang w:val="en-US"/>
        </w:rPr>
        <w:tab/>
      </w:r>
      <w:r w:rsidR="006A6773" w:rsidRPr="00863A17">
        <w:rPr>
          <w:rFonts w:ascii="Tahoma" w:hAnsi="Tahoma" w:cs="Tahoma"/>
          <w:sz w:val="24"/>
          <w:szCs w:val="24"/>
          <w:lang w:val="en-US"/>
        </w:rPr>
        <w:t xml:space="preserve">Global inflation is </w:t>
      </w:r>
      <w:r w:rsidR="00D64D53">
        <w:rPr>
          <w:rFonts w:ascii="Tahoma" w:hAnsi="Tahoma" w:cs="Tahoma"/>
          <w:sz w:val="24"/>
          <w:szCs w:val="24"/>
          <w:lang w:val="en-US"/>
        </w:rPr>
        <w:t>projected</w:t>
      </w:r>
      <w:r w:rsidR="006A6773" w:rsidRPr="00863A17">
        <w:rPr>
          <w:rFonts w:ascii="Tahoma" w:hAnsi="Tahoma" w:cs="Tahoma"/>
          <w:sz w:val="24"/>
          <w:szCs w:val="24"/>
          <w:lang w:val="en-US"/>
        </w:rPr>
        <w:t xml:space="preserve"> to </w:t>
      </w:r>
      <w:r w:rsidR="00C54991">
        <w:rPr>
          <w:rFonts w:ascii="Tahoma" w:hAnsi="Tahoma" w:cs="Tahoma"/>
          <w:sz w:val="24"/>
          <w:szCs w:val="24"/>
          <w:lang w:val="en-US"/>
        </w:rPr>
        <w:t xml:space="preserve">assume a </w:t>
      </w:r>
      <w:r w:rsidR="00D64D53">
        <w:rPr>
          <w:rFonts w:ascii="Tahoma" w:hAnsi="Tahoma" w:cs="Tahoma"/>
          <w:sz w:val="24"/>
          <w:szCs w:val="24"/>
          <w:lang w:val="en-US"/>
        </w:rPr>
        <w:t>d</w:t>
      </w:r>
      <w:r w:rsidR="00C54991">
        <w:rPr>
          <w:rFonts w:ascii="Tahoma" w:hAnsi="Tahoma" w:cs="Tahoma"/>
          <w:sz w:val="24"/>
          <w:szCs w:val="24"/>
          <w:lang w:val="en-US"/>
        </w:rPr>
        <w:t>owntrend</w:t>
      </w:r>
      <w:r w:rsidR="00A44693">
        <w:rPr>
          <w:rFonts w:ascii="Tahoma" w:hAnsi="Tahoma" w:cs="Tahoma"/>
          <w:sz w:val="24"/>
          <w:szCs w:val="24"/>
          <w:lang w:val="en-US"/>
        </w:rPr>
        <w:t xml:space="preserve"> (see Figure 1)</w:t>
      </w:r>
      <w:r w:rsidR="00C54991">
        <w:rPr>
          <w:rFonts w:ascii="Tahoma" w:hAnsi="Tahoma" w:cs="Tahoma"/>
          <w:sz w:val="24"/>
          <w:szCs w:val="24"/>
          <w:lang w:val="en-US"/>
        </w:rPr>
        <w:t>. The inflation rate is estimated to fall to</w:t>
      </w:r>
      <w:r w:rsidR="00D64D53">
        <w:rPr>
          <w:rFonts w:ascii="Tahoma" w:hAnsi="Tahoma" w:cs="Tahoma"/>
          <w:sz w:val="24"/>
          <w:szCs w:val="24"/>
          <w:lang w:val="en-US"/>
        </w:rPr>
        <w:t xml:space="preserve"> 3.5% in 2024, before easing further to 2.9% in 2025 and 2.8% in 2026. According to the World Bank Group June 2024 Global Economic Prospects </w:t>
      </w:r>
      <w:r w:rsidR="00A44693">
        <w:rPr>
          <w:rFonts w:ascii="Tahoma" w:hAnsi="Tahoma" w:cs="Tahoma"/>
          <w:sz w:val="24"/>
          <w:szCs w:val="24"/>
          <w:lang w:val="en-US"/>
        </w:rPr>
        <w:t>R</w:t>
      </w:r>
      <w:r w:rsidR="00D64D53">
        <w:rPr>
          <w:rFonts w:ascii="Tahoma" w:hAnsi="Tahoma" w:cs="Tahoma"/>
          <w:sz w:val="24"/>
          <w:szCs w:val="24"/>
          <w:lang w:val="en-US"/>
        </w:rPr>
        <w:t>eport, the slowdown is expected to be driven by softening core-inflation, as service demand moderate and wage growth slows, in addition to a modest decline in commodity prices.</w:t>
      </w:r>
      <w:r w:rsidR="00525461">
        <w:rPr>
          <w:rFonts w:ascii="Tahoma" w:hAnsi="Tahoma" w:cs="Tahoma"/>
          <w:sz w:val="24"/>
          <w:szCs w:val="24"/>
          <w:lang w:val="en-US"/>
        </w:rPr>
        <w:t xml:space="preserve"> This downward trend corroborates with Zimbabwe’s inflation target of reducing inflation rate to a stable and sustainable single digit inflation.</w:t>
      </w:r>
    </w:p>
    <w:p w14:paraId="7825D13D" w14:textId="77777777" w:rsidR="00BC5A90" w:rsidRPr="00863A17" w:rsidRDefault="00BC5A90" w:rsidP="0001510C">
      <w:pPr>
        <w:pStyle w:val="ListofFigures"/>
        <w:rPr>
          <w:lang w:val="en-US"/>
        </w:rPr>
      </w:pPr>
      <w:bookmarkStart w:id="12" w:name="_Toc166608987"/>
      <w:bookmarkStart w:id="13" w:name="_Toc171944602"/>
      <w:r w:rsidRPr="00863A17">
        <w:lastRenderedPageBreak/>
        <w:t xml:space="preserve">Figure </w:t>
      </w:r>
      <w:r w:rsidRPr="00863A17">
        <w:fldChar w:fldCharType="begin"/>
      </w:r>
      <w:r w:rsidRPr="00863A17">
        <w:instrText xml:space="preserve"> SEQ Figure \* ARABIC </w:instrText>
      </w:r>
      <w:r w:rsidRPr="00863A17">
        <w:fldChar w:fldCharType="separate"/>
      </w:r>
      <w:r w:rsidR="003C1D2F" w:rsidRPr="00863A17">
        <w:t>1</w:t>
      </w:r>
      <w:r w:rsidRPr="00863A17">
        <w:fldChar w:fldCharType="end"/>
      </w:r>
      <w:r w:rsidRPr="00863A17">
        <w:t xml:space="preserve">: </w:t>
      </w:r>
      <w:r w:rsidRPr="00863A17">
        <w:rPr>
          <w:lang w:val="en-US"/>
        </w:rPr>
        <w:t>Global Inflation Prospects</w:t>
      </w:r>
      <w:bookmarkEnd w:id="12"/>
      <w:bookmarkEnd w:id="13"/>
    </w:p>
    <w:p w14:paraId="5DD91B07" w14:textId="6687AC02" w:rsidR="007A3E1D" w:rsidRPr="00863A17" w:rsidRDefault="004C4484" w:rsidP="00FB01E1">
      <w:pPr>
        <w:rPr>
          <w:rFonts w:ascii="Tahoma" w:hAnsi="Tahoma" w:cs="Tahoma"/>
          <w:sz w:val="24"/>
          <w:szCs w:val="24"/>
          <w:lang w:val="en-US"/>
        </w:rPr>
      </w:pPr>
      <w:r w:rsidRPr="007B0E00">
        <w:rPr>
          <w:noProof/>
        </w:rPr>
        <w:drawing>
          <wp:inline distT="0" distB="0" distL="0" distR="0" wp14:anchorId="38158C42" wp14:editId="09B10133">
            <wp:extent cx="5701030" cy="3016250"/>
            <wp:effectExtent l="0" t="0" r="0" b="0"/>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CEEBDC6" w14:textId="77777777" w:rsidR="006A6773" w:rsidRDefault="00D64D53" w:rsidP="006A6773">
      <w:pPr>
        <w:rPr>
          <w:rFonts w:ascii="Tahoma" w:hAnsi="Tahoma" w:cs="Tahoma"/>
          <w:i/>
          <w:sz w:val="24"/>
          <w:szCs w:val="24"/>
        </w:rPr>
      </w:pPr>
      <w:r w:rsidRPr="00863A17">
        <w:rPr>
          <w:rFonts w:ascii="Tahoma" w:hAnsi="Tahoma" w:cs="Tahoma"/>
          <w:i/>
          <w:sz w:val="24"/>
          <w:szCs w:val="24"/>
          <w:lang w:val="en-US"/>
        </w:rPr>
        <w:t xml:space="preserve">Source: </w:t>
      </w:r>
      <w:r>
        <w:rPr>
          <w:rFonts w:ascii="Tahoma" w:hAnsi="Tahoma" w:cs="Tahoma"/>
          <w:i/>
          <w:sz w:val="24"/>
          <w:szCs w:val="24"/>
          <w:lang w:val="en-US"/>
        </w:rPr>
        <w:t xml:space="preserve">World Bank Group, June 2024 Global economic Prospects </w:t>
      </w:r>
    </w:p>
    <w:p w14:paraId="1DF333CB" w14:textId="77777777" w:rsidR="0008009F" w:rsidRPr="0008009F" w:rsidRDefault="0008009F" w:rsidP="006A6773">
      <w:pPr>
        <w:rPr>
          <w:rFonts w:ascii="Tahoma" w:hAnsi="Tahoma" w:cs="Tahoma"/>
          <w:iCs/>
          <w:sz w:val="24"/>
          <w:szCs w:val="24"/>
        </w:rPr>
      </w:pPr>
    </w:p>
    <w:p w14:paraId="1616A4BA" w14:textId="77777777" w:rsidR="00BB6E27" w:rsidRPr="00546CD8" w:rsidRDefault="004F680D" w:rsidP="00EE6387">
      <w:pPr>
        <w:pStyle w:val="Heading2"/>
        <w:rPr>
          <w:b/>
          <w:bCs/>
          <w:lang w:val="en-US"/>
        </w:rPr>
      </w:pPr>
      <w:bookmarkStart w:id="14" w:name="_Toc166607892"/>
      <w:bookmarkStart w:id="15" w:name="_Toc171946084"/>
      <w:r w:rsidRPr="00546CD8">
        <w:rPr>
          <w:b/>
          <w:bCs/>
          <w:lang w:val="en-US"/>
        </w:rPr>
        <w:t>2.0</w:t>
      </w:r>
      <w:r w:rsidRPr="00546CD8">
        <w:rPr>
          <w:b/>
          <w:bCs/>
          <w:lang w:val="en-US"/>
        </w:rPr>
        <w:tab/>
      </w:r>
      <w:r w:rsidR="00EF37FE" w:rsidRPr="00546CD8">
        <w:rPr>
          <w:b/>
          <w:bCs/>
          <w:lang w:val="en-US"/>
        </w:rPr>
        <w:t>International Commodity Prices</w:t>
      </w:r>
      <w:bookmarkEnd w:id="14"/>
      <w:bookmarkEnd w:id="15"/>
      <w:r w:rsidR="00EF37FE" w:rsidRPr="00546CD8">
        <w:rPr>
          <w:b/>
          <w:bCs/>
          <w:lang w:val="en-US"/>
        </w:rPr>
        <w:t xml:space="preserve"> </w:t>
      </w:r>
    </w:p>
    <w:p w14:paraId="7DBA2CF6" w14:textId="6A1F81FE" w:rsidR="00A054C3" w:rsidRPr="00863A17" w:rsidRDefault="004F680D" w:rsidP="002019B5">
      <w:pPr>
        <w:ind w:left="720" w:hanging="720"/>
        <w:jc w:val="both"/>
        <w:rPr>
          <w:rFonts w:ascii="Tahoma" w:hAnsi="Tahoma" w:cs="Tahoma"/>
          <w:sz w:val="24"/>
          <w:szCs w:val="24"/>
          <w:lang w:val="en-US"/>
        </w:rPr>
      </w:pPr>
      <w:r w:rsidRPr="00863A17">
        <w:rPr>
          <w:rFonts w:ascii="Tahoma" w:hAnsi="Tahoma" w:cs="Tahoma"/>
          <w:sz w:val="24"/>
          <w:szCs w:val="24"/>
          <w:lang w:val="en-US"/>
        </w:rPr>
        <w:t>2.1</w:t>
      </w:r>
      <w:r w:rsidRPr="00863A17">
        <w:rPr>
          <w:rFonts w:ascii="Tahoma" w:hAnsi="Tahoma" w:cs="Tahoma"/>
          <w:sz w:val="24"/>
          <w:szCs w:val="24"/>
          <w:lang w:val="en-US"/>
        </w:rPr>
        <w:tab/>
      </w:r>
      <w:r w:rsidR="00AB665D" w:rsidRPr="00863A17">
        <w:rPr>
          <w:rFonts w:ascii="Tahoma" w:hAnsi="Tahoma" w:cs="Tahoma"/>
          <w:sz w:val="24"/>
          <w:szCs w:val="24"/>
          <w:lang w:val="en-US"/>
        </w:rPr>
        <w:t xml:space="preserve">During the </w:t>
      </w:r>
      <w:r w:rsidR="00D10063">
        <w:rPr>
          <w:rFonts w:ascii="Tahoma" w:hAnsi="Tahoma" w:cs="Tahoma"/>
          <w:sz w:val="24"/>
          <w:szCs w:val="24"/>
          <w:lang w:val="en-US"/>
        </w:rPr>
        <w:t>period</w:t>
      </w:r>
      <w:r w:rsidR="00AB665D" w:rsidRPr="00863A17">
        <w:rPr>
          <w:rFonts w:ascii="Tahoma" w:hAnsi="Tahoma" w:cs="Tahoma"/>
          <w:sz w:val="24"/>
          <w:szCs w:val="24"/>
          <w:lang w:val="en-US"/>
        </w:rPr>
        <w:t xml:space="preserve"> under review,</w:t>
      </w:r>
      <w:r w:rsidR="00D10063">
        <w:rPr>
          <w:rFonts w:ascii="Tahoma" w:hAnsi="Tahoma" w:cs="Tahoma"/>
          <w:sz w:val="24"/>
          <w:szCs w:val="24"/>
          <w:lang w:val="en-US"/>
        </w:rPr>
        <w:t xml:space="preserve"> </w:t>
      </w:r>
      <w:r w:rsidR="00AB665D" w:rsidRPr="00863A17">
        <w:rPr>
          <w:rFonts w:ascii="Tahoma" w:hAnsi="Tahoma" w:cs="Tahoma"/>
          <w:sz w:val="24"/>
          <w:szCs w:val="24"/>
          <w:lang w:val="en-US"/>
        </w:rPr>
        <w:t>commodity prices registered a</w:t>
      </w:r>
      <w:r w:rsidR="00C67198" w:rsidRPr="00863A17">
        <w:rPr>
          <w:rFonts w:ascii="Tahoma" w:hAnsi="Tahoma" w:cs="Tahoma"/>
          <w:sz w:val="24"/>
          <w:szCs w:val="24"/>
          <w:lang w:val="en-US"/>
        </w:rPr>
        <w:t xml:space="preserve"> </w:t>
      </w:r>
      <w:r w:rsidR="007829BA">
        <w:rPr>
          <w:rFonts w:ascii="Tahoma" w:hAnsi="Tahoma" w:cs="Tahoma"/>
          <w:sz w:val="24"/>
          <w:szCs w:val="24"/>
          <w:lang w:val="en-US"/>
        </w:rPr>
        <w:t>downward trend</w:t>
      </w:r>
      <w:r w:rsidR="00AB665D" w:rsidRPr="00863A17">
        <w:rPr>
          <w:rFonts w:ascii="Tahoma" w:hAnsi="Tahoma" w:cs="Tahoma"/>
          <w:sz w:val="24"/>
          <w:szCs w:val="24"/>
          <w:lang w:val="en-US"/>
        </w:rPr>
        <w:t xml:space="preserve">. </w:t>
      </w:r>
      <w:r w:rsidR="001C3F65">
        <w:rPr>
          <w:rFonts w:ascii="Tahoma" w:hAnsi="Tahoma" w:cs="Tahoma"/>
          <w:sz w:val="24"/>
          <w:szCs w:val="24"/>
          <w:lang w:val="en-US"/>
        </w:rPr>
        <w:t>C</w:t>
      </w:r>
      <w:r w:rsidR="00D10063">
        <w:rPr>
          <w:rFonts w:ascii="Tahoma" w:hAnsi="Tahoma" w:cs="Tahoma"/>
          <w:sz w:val="24"/>
          <w:szCs w:val="24"/>
          <w:lang w:val="en-US"/>
        </w:rPr>
        <w:t xml:space="preserve">rude oil and </w:t>
      </w:r>
      <w:r w:rsidR="001C3F65">
        <w:rPr>
          <w:rFonts w:ascii="Tahoma" w:hAnsi="Tahoma" w:cs="Tahoma"/>
          <w:sz w:val="24"/>
          <w:szCs w:val="24"/>
          <w:lang w:val="en-US"/>
        </w:rPr>
        <w:t>n</w:t>
      </w:r>
      <w:r w:rsidR="00D10063">
        <w:rPr>
          <w:rFonts w:ascii="Tahoma" w:hAnsi="Tahoma" w:cs="Tahoma"/>
          <w:sz w:val="24"/>
          <w:szCs w:val="24"/>
          <w:lang w:val="en-US"/>
        </w:rPr>
        <w:t>atural</w:t>
      </w:r>
      <w:r w:rsidR="003C3CA1">
        <w:rPr>
          <w:rFonts w:ascii="Tahoma" w:hAnsi="Tahoma" w:cs="Tahoma"/>
          <w:sz w:val="24"/>
          <w:szCs w:val="24"/>
          <w:lang w:val="en-US"/>
        </w:rPr>
        <w:t xml:space="preserve"> </w:t>
      </w:r>
      <w:r w:rsidR="00D10063">
        <w:rPr>
          <w:rFonts w:ascii="Tahoma" w:hAnsi="Tahoma" w:cs="Tahoma"/>
          <w:sz w:val="24"/>
          <w:szCs w:val="24"/>
          <w:lang w:val="en-US"/>
        </w:rPr>
        <w:t xml:space="preserve">gas prices gained by 4.80% and 0.54% respectively while prices of </w:t>
      </w:r>
      <w:r w:rsidR="001C3F65">
        <w:rPr>
          <w:rFonts w:ascii="Tahoma" w:hAnsi="Tahoma" w:cs="Tahoma"/>
          <w:sz w:val="24"/>
          <w:szCs w:val="24"/>
          <w:lang w:val="en-US"/>
        </w:rPr>
        <w:t>a</w:t>
      </w:r>
      <w:r w:rsidR="00D10063">
        <w:rPr>
          <w:rFonts w:ascii="Tahoma" w:hAnsi="Tahoma" w:cs="Tahoma"/>
          <w:sz w:val="24"/>
          <w:szCs w:val="24"/>
          <w:lang w:val="en-US"/>
        </w:rPr>
        <w:t xml:space="preserve">luminum, </w:t>
      </w:r>
      <w:r w:rsidR="001C3F65">
        <w:rPr>
          <w:rFonts w:ascii="Tahoma" w:hAnsi="Tahoma" w:cs="Tahoma"/>
          <w:sz w:val="24"/>
          <w:szCs w:val="24"/>
          <w:lang w:val="en-US"/>
        </w:rPr>
        <w:t>c</w:t>
      </w:r>
      <w:r w:rsidR="00D10063">
        <w:rPr>
          <w:rFonts w:ascii="Tahoma" w:hAnsi="Tahoma" w:cs="Tahoma"/>
          <w:sz w:val="24"/>
          <w:szCs w:val="24"/>
          <w:lang w:val="en-US"/>
        </w:rPr>
        <w:t xml:space="preserve">opper, </w:t>
      </w:r>
      <w:r w:rsidR="001C3F65">
        <w:rPr>
          <w:rFonts w:ascii="Tahoma" w:hAnsi="Tahoma" w:cs="Tahoma"/>
          <w:sz w:val="24"/>
          <w:szCs w:val="24"/>
          <w:lang w:val="en-US"/>
        </w:rPr>
        <w:t>n</w:t>
      </w:r>
      <w:r w:rsidR="00D10063">
        <w:rPr>
          <w:rFonts w:ascii="Tahoma" w:hAnsi="Tahoma" w:cs="Tahoma"/>
          <w:sz w:val="24"/>
          <w:szCs w:val="24"/>
          <w:lang w:val="en-US"/>
        </w:rPr>
        <w:t xml:space="preserve">ickel, </w:t>
      </w:r>
      <w:r w:rsidR="001C3F65">
        <w:rPr>
          <w:rFonts w:ascii="Tahoma" w:hAnsi="Tahoma" w:cs="Tahoma"/>
          <w:sz w:val="24"/>
          <w:szCs w:val="24"/>
          <w:lang w:val="en-US"/>
        </w:rPr>
        <w:t>g</w:t>
      </w:r>
      <w:r w:rsidR="00D10063">
        <w:rPr>
          <w:rFonts w:ascii="Tahoma" w:hAnsi="Tahoma" w:cs="Tahoma"/>
          <w:sz w:val="24"/>
          <w:szCs w:val="24"/>
          <w:lang w:val="en-US"/>
        </w:rPr>
        <w:t xml:space="preserve">old, </w:t>
      </w:r>
      <w:r w:rsidR="001C3F65">
        <w:rPr>
          <w:rFonts w:ascii="Tahoma" w:hAnsi="Tahoma" w:cs="Tahoma"/>
          <w:sz w:val="24"/>
          <w:szCs w:val="24"/>
          <w:lang w:val="en-US"/>
        </w:rPr>
        <w:t>c</w:t>
      </w:r>
      <w:r w:rsidR="00D10063">
        <w:rPr>
          <w:rFonts w:ascii="Tahoma" w:hAnsi="Tahoma" w:cs="Tahoma"/>
          <w:sz w:val="24"/>
          <w:szCs w:val="24"/>
          <w:lang w:val="en-US"/>
        </w:rPr>
        <w:t xml:space="preserve">otton, </w:t>
      </w:r>
      <w:r w:rsidR="001C3F65">
        <w:rPr>
          <w:rFonts w:ascii="Tahoma" w:hAnsi="Tahoma" w:cs="Tahoma"/>
          <w:sz w:val="24"/>
          <w:szCs w:val="24"/>
          <w:lang w:val="en-US"/>
        </w:rPr>
        <w:t>s</w:t>
      </w:r>
      <w:r w:rsidR="00D10063">
        <w:rPr>
          <w:rFonts w:ascii="Tahoma" w:hAnsi="Tahoma" w:cs="Tahoma"/>
          <w:sz w:val="24"/>
          <w:szCs w:val="24"/>
          <w:lang w:val="en-US"/>
        </w:rPr>
        <w:t>oyabeans, corn and wheat fell on a month-on-month basis</w:t>
      </w:r>
      <w:r w:rsidR="00BA281B">
        <w:rPr>
          <w:rFonts w:ascii="Tahoma" w:hAnsi="Tahoma" w:cs="Tahoma"/>
          <w:sz w:val="24"/>
          <w:szCs w:val="24"/>
          <w:lang w:val="en-US"/>
        </w:rPr>
        <w:t xml:space="preserve"> (see Table 2)</w:t>
      </w:r>
      <w:r w:rsidR="00D10063">
        <w:rPr>
          <w:rFonts w:ascii="Tahoma" w:hAnsi="Tahoma" w:cs="Tahoma"/>
          <w:sz w:val="24"/>
          <w:szCs w:val="24"/>
          <w:lang w:val="en-US"/>
        </w:rPr>
        <w:t>.</w:t>
      </w:r>
      <w:r w:rsidR="003C3CA1">
        <w:rPr>
          <w:rFonts w:ascii="Tahoma" w:hAnsi="Tahoma" w:cs="Tahoma"/>
          <w:sz w:val="24"/>
          <w:szCs w:val="24"/>
          <w:lang w:val="en-US"/>
        </w:rPr>
        <w:t xml:space="preserve"> </w:t>
      </w:r>
      <w:r w:rsidR="00796FAC">
        <w:rPr>
          <w:rFonts w:ascii="Tahoma" w:hAnsi="Tahoma" w:cs="Tahoma"/>
          <w:sz w:val="24"/>
          <w:szCs w:val="24"/>
          <w:lang w:val="en-US"/>
        </w:rPr>
        <w:t xml:space="preserve">According to Galt and Taggart (2024), </w:t>
      </w:r>
      <w:r w:rsidR="003C3CA1">
        <w:rPr>
          <w:rFonts w:ascii="Tahoma" w:hAnsi="Tahoma" w:cs="Tahoma"/>
          <w:sz w:val="24"/>
          <w:szCs w:val="24"/>
          <w:lang w:val="en-US"/>
        </w:rPr>
        <w:t xml:space="preserve">increase in prices of natural gas and crude oil </w:t>
      </w:r>
      <w:r w:rsidR="00796FAC">
        <w:rPr>
          <w:rFonts w:ascii="Tahoma" w:hAnsi="Tahoma" w:cs="Tahoma"/>
          <w:sz w:val="24"/>
          <w:szCs w:val="24"/>
          <w:lang w:val="en-US"/>
        </w:rPr>
        <w:t xml:space="preserve">in June 2024 </w:t>
      </w:r>
      <w:r w:rsidR="003C3CA1">
        <w:rPr>
          <w:rFonts w:ascii="Tahoma" w:hAnsi="Tahoma" w:cs="Tahoma"/>
          <w:sz w:val="24"/>
          <w:szCs w:val="24"/>
          <w:lang w:val="en-US"/>
        </w:rPr>
        <w:t xml:space="preserve">are </w:t>
      </w:r>
      <w:r w:rsidR="00535D08">
        <w:rPr>
          <w:rFonts w:ascii="Tahoma" w:hAnsi="Tahoma" w:cs="Tahoma"/>
          <w:sz w:val="24"/>
          <w:szCs w:val="24"/>
          <w:lang w:val="en-US"/>
        </w:rPr>
        <w:t xml:space="preserve">mainly </w:t>
      </w:r>
      <w:r w:rsidR="003C3CA1">
        <w:rPr>
          <w:rFonts w:ascii="Tahoma" w:hAnsi="Tahoma" w:cs="Tahoma"/>
          <w:sz w:val="24"/>
          <w:szCs w:val="24"/>
          <w:lang w:val="en-US"/>
        </w:rPr>
        <w:t>attributed to geopolitical tensions</w:t>
      </w:r>
      <w:r w:rsidR="00BE1203">
        <w:rPr>
          <w:rFonts w:ascii="Tahoma" w:hAnsi="Tahoma" w:cs="Tahoma"/>
          <w:sz w:val="24"/>
          <w:szCs w:val="24"/>
          <w:lang w:val="en-US"/>
        </w:rPr>
        <w:t xml:space="preserve"> which turned some traders bullish</w:t>
      </w:r>
      <w:r w:rsidR="003C3CA1">
        <w:rPr>
          <w:rFonts w:ascii="Tahoma" w:hAnsi="Tahoma" w:cs="Tahoma"/>
          <w:sz w:val="24"/>
          <w:szCs w:val="24"/>
          <w:lang w:val="en-US"/>
        </w:rPr>
        <w:t xml:space="preserve"> and climate change factors</w:t>
      </w:r>
      <w:r w:rsidR="006D7B79">
        <w:rPr>
          <w:rFonts w:ascii="Tahoma" w:hAnsi="Tahoma" w:cs="Tahoma"/>
          <w:sz w:val="24"/>
          <w:szCs w:val="24"/>
          <w:lang w:val="en-US"/>
        </w:rPr>
        <w:t xml:space="preserve"> distracting production and supply channels</w:t>
      </w:r>
      <w:r w:rsidR="00BE1203">
        <w:rPr>
          <w:rFonts w:ascii="Tahoma" w:hAnsi="Tahoma" w:cs="Tahoma"/>
          <w:sz w:val="24"/>
          <w:szCs w:val="24"/>
          <w:lang w:val="en-US"/>
        </w:rPr>
        <w:t>.</w:t>
      </w:r>
    </w:p>
    <w:p w14:paraId="6A5BDED0" w14:textId="77777777" w:rsidR="00AB665D" w:rsidRPr="00D5422A" w:rsidRDefault="004F680D" w:rsidP="00D5422A">
      <w:pPr>
        <w:ind w:left="720" w:hanging="720"/>
        <w:jc w:val="both"/>
        <w:rPr>
          <w:rFonts w:ascii="Tahoma" w:hAnsi="Tahoma" w:cs="Tahoma"/>
          <w:sz w:val="24"/>
          <w:szCs w:val="24"/>
        </w:rPr>
      </w:pPr>
      <w:r w:rsidRPr="00863A17">
        <w:rPr>
          <w:rFonts w:ascii="Tahoma" w:hAnsi="Tahoma" w:cs="Tahoma"/>
          <w:sz w:val="24"/>
          <w:szCs w:val="24"/>
          <w:lang w:val="en-US"/>
        </w:rPr>
        <w:t>2.2</w:t>
      </w:r>
      <w:r w:rsidRPr="00863A17">
        <w:rPr>
          <w:rFonts w:ascii="Tahoma" w:hAnsi="Tahoma" w:cs="Tahoma"/>
          <w:sz w:val="24"/>
          <w:szCs w:val="24"/>
          <w:lang w:val="en-US"/>
        </w:rPr>
        <w:tab/>
      </w:r>
      <w:r w:rsidR="00AB665D" w:rsidRPr="000C29DA">
        <w:rPr>
          <w:rFonts w:ascii="Tahoma" w:hAnsi="Tahoma" w:cs="Tahoma"/>
          <w:sz w:val="24"/>
          <w:szCs w:val="24"/>
          <w:lang w:val="en-US"/>
        </w:rPr>
        <w:t xml:space="preserve">On a </w:t>
      </w:r>
      <w:r w:rsidR="00E54A43" w:rsidRPr="000C29DA">
        <w:rPr>
          <w:rFonts w:ascii="Tahoma" w:hAnsi="Tahoma" w:cs="Tahoma"/>
          <w:sz w:val="24"/>
          <w:szCs w:val="24"/>
          <w:lang w:val="en-US"/>
        </w:rPr>
        <w:t>year-to-date</w:t>
      </w:r>
      <w:r w:rsidR="00AB665D" w:rsidRPr="000C29DA">
        <w:rPr>
          <w:rFonts w:ascii="Tahoma" w:hAnsi="Tahoma" w:cs="Tahoma"/>
          <w:sz w:val="24"/>
          <w:szCs w:val="24"/>
          <w:lang w:val="en-US"/>
        </w:rPr>
        <w:t xml:space="preserve"> basis (YtD)</w:t>
      </w:r>
      <w:r w:rsidR="00A51547">
        <w:rPr>
          <w:rFonts w:ascii="Tahoma" w:hAnsi="Tahoma" w:cs="Tahoma"/>
          <w:sz w:val="24"/>
          <w:szCs w:val="24"/>
          <w:lang w:val="en-US"/>
        </w:rPr>
        <w:t xml:space="preserve"> basis, crude oil, natural gas, aluminum, copper, nickel and gold prices gained while cotton, soyabeans, corn and wheat prices registered a decline.</w:t>
      </w:r>
      <w:r w:rsidR="00AB665D" w:rsidRPr="000C29DA">
        <w:rPr>
          <w:rFonts w:ascii="Tahoma" w:hAnsi="Tahoma" w:cs="Tahoma"/>
          <w:sz w:val="24"/>
          <w:szCs w:val="24"/>
          <w:lang w:val="en-US"/>
        </w:rPr>
        <w:t xml:space="preserve"> </w:t>
      </w:r>
    </w:p>
    <w:p w14:paraId="617FBEBB" w14:textId="588EFBF9" w:rsidR="000732CC" w:rsidRPr="00863A17" w:rsidRDefault="004F680D" w:rsidP="004F680D">
      <w:pPr>
        <w:ind w:left="720" w:hanging="720"/>
        <w:jc w:val="both"/>
        <w:rPr>
          <w:rFonts w:ascii="Tahoma" w:hAnsi="Tahoma" w:cs="Tahoma"/>
          <w:sz w:val="24"/>
          <w:szCs w:val="24"/>
          <w:lang w:val="en-US"/>
        </w:rPr>
      </w:pPr>
      <w:r w:rsidRPr="00863A17">
        <w:rPr>
          <w:rFonts w:ascii="Tahoma" w:hAnsi="Tahoma" w:cs="Tahoma"/>
          <w:sz w:val="24"/>
          <w:szCs w:val="24"/>
          <w:lang w:val="en-US"/>
        </w:rPr>
        <w:t>2.3</w:t>
      </w:r>
      <w:r w:rsidRPr="00863A17">
        <w:rPr>
          <w:rFonts w:ascii="Tahoma" w:hAnsi="Tahoma" w:cs="Tahoma"/>
          <w:sz w:val="24"/>
          <w:szCs w:val="24"/>
          <w:lang w:val="en-US"/>
        </w:rPr>
        <w:tab/>
      </w:r>
      <w:r w:rsidR="00F50599" w:rsidRPr="00647E48">
        <w:rPr>
          <w:rFonts w:ascii="Tahoma" w:hAnsi="Tahoma" w:cs="Tahoma"/>
          <w:sz w:val="24"/>
          <w:szCs w:val="24"/>
          <w:lang w:val="en-US"/>
        </w:rPr>
        <w:t xml:space="preserve">On </w:t>
      </w:r>
      <w:r w:rsidR="00A51547">
        <w:rPr>
          <w:rFonts w:ascii="Tahoma" w:hAnsi="Tahoma" w:cs="Tahoma"/>
          <w:sz w:val="24"/>
          <w:szCs w:val="24"/>
          <w:lang w:val="en-US"/>
        </w:rPr>
        <w:t>a year-on-year</w:t>
      </w:r>
      <w:r w:rsidR="00A44693">
        <w:rPr>
          <w:rFonts w:ascii="Tahoma" w:hAnsi="Tahoma" w:cs="Tahoma"/>
          <w:sz w:val="24"/>
          <w:szCs w:val="24"/>
          <w:lang w:val="en-US"/>
        </w:rPr>
        <w:t xml:space="preserve"> (YoY)</w:t>
      </w:r>
      <w:r w:rsidR="00A51547">
        <w:rPr>
          <w:rFonts w:ascii="Tahoma" w:hAnsi="Tahoma" w:cs="Tahoma"/>
          <w:sz w:val="24"/>
          <w:szCs w:val="24"/>
          <w:lang w:val="en-US"/>
        </w:rPr>
        <w:t xml:space="preserve"> basis, prices of crude oil, aluminum, copper, and gold increased by 5.89%, 10.72%, 12.42% and 14.20</w:t>
      </w:r>
      <w:r w:rsidR="00BA281B">
        <w:rPr>
          <w:rFonts w:ascii="Tahoma" w:hAnsi="Tahoma" w:cs="Tahoma"/>
          <w:sz w:val="24"/>
          <w:szCs w:val="24"/>
          <w:lang w:val="en-US"/>
        </w:rPr>
        <w:t xml:space="preserve">% respectively. Natural gas, </w:t>
      </w:r>
      <w:r w:rsidR="00660AE3">
        <w:rPr>
          <w:rFonts w:ascii="Tahoma" w:hAnsi="Tahoma" w:cs="Tahoma"/>
          <w:sz w:val="24"/>
          <w:szCs w:val="24"/>
          <w:lang w:val="en-US"/>
        </w:rPr>
        <w:t>n</w:t>
      </w:r>
      <w:r w:rsidR="00BA281B">
        <w:rPr>
          <w:rFonts w:ascii="Tahoma" w:hAnsi="Tahoma" w:cs="Tahoma"/>
          <w:sz w:val="24"/>
          <w:szCs w:val="24"/>
          <w:lang w:val="en-US"/>
        </w:rPr>
        <w:t>ickel, cotton, soyabeans, corn and wheat registered a price fall.</w:t>
      </w:r>
      <w:r w:rsidR="003E051C" w:rsidRPr="00863A17">
        <w:rPr>
          <w:rFonts w:ascii="Tahoma" w:hAnsi="Tahoma" w:cs="Tahoma"/>
          <w:sz w:val="24"/>
          <w:szCs w:val="24"/>
          <w:lang w:val="en-US"/>
        </w:rPr>
        <w:t xml:space="preserve"> </w:t>
      </w:r>
      <w:r w:rsidR="00AC62CB">
        <w:rPr>
          <w:rFonts w:ascii="Tahoma" w:hAnsi="Tahoma" w:cs="Tahoma"/>
          <w:sz w:val="24"/>
          <w:szCs w:val="24"/>
          <w:lang w:val="en-US"/>
        </w:rPr>
        <w:t xml:space="preserve">Price movement of agricultural commodities is discouraging on both </w:t>
      </w:r>
      <w:r w:rsidR="00A44693">
        <w:rPr>
          <w:rFonts w:ascii="Tahoma" w:hAnsi="Tahoma" w:cs="Tahoma"/>
          <w:sz w:val="24"/>
          <w:szCs w:val="24"/>
          <w:lang w:val="en-US"/>
        </w:rPr>
        <w:t>M</w:t>
      </w:r>
      <w:r w:rsidR="00AC62CB">
        <w:rPr>
          <w:rFonts w:ascii="Tahoma" w:hAnsi="Tahoma" w:cs="Tahoma"/>
          <w:sz w:val="24"/>
          <w:szCs w:val="24"/>
          <w:lang w:val="en-US"/>
        </w:rPr>
        <w:t>o</w:t>
      </w:r>
      <w:r w:rsidR="00A44693">
        <w:rPr>
          <w:rFonts w:ascii="Tahoma" w:hAnsi="Tahoma" w:cs="Tahoma"/>
          <w:sz w:val="24"/>
          <w:szCs w:val="24"/>
          <w:lang w:val="en-US"/>
        </w:rPr>
        <w:t>M</w:t>
      </w:r>
      <w:r w:rsidR="00AC62CB">
        <w:rPr>
          <w:rFonts w:ascii="Tahoma" w:hAnsi="Tahoma" w:cs="Tahoma"/>
          <w:sz w:val="24"/>
          <w:szCs w:val="24"/>
          <w:lang w:val="en-US"/>
        </w:rPr>
        <w:t>, YtD and YoY basis.</w:t>
      </w:r>
    </w:p>
    <w:p w14:paraId="7CC4FEB8" w14:textId="77777777" w:rsidR="00EF37FE" w:rsidRPr="00863A17" w:rsidRDefault="009F5CE5" w:rsidP="0001510C">
      <w:pPr>
        <w:pStyle w:val="ListofTables"/>
        <w:rPr>
          <w:lang w:val="en-US"/>
        </w:rPr>
      </w:pPr>
      <w:bookmarkStart w:id="16" w:name="_Toc164072363"/>
      <w:bookmarkStart w:id="17" w:name="_Toc166658890"/>
      <w:bookmarkStart w:id="18" w:name="_Toc171944516"/>
      <w:r w:rsidRPr="00863A17">
        <w:lastRenderedPageBreak/>
        <w:t xml:space="preserve">Table </w:t>
      </w:r>
      <w:r w:rsidR="00000000">
        <w:fldChar w:fldCharType="begin"/>
      </w:r>
      <w:r w:rsidR="00000000">
        <w:instrText xml:space="preserve"> SEQ Table \* ARABIC </w:instrText>
      </w:r>
      <w:r w:rsidR="00000000">
        <w:fldChar w:fldCharType="separate"/>
      </w:r>
      <w:r w:rsidR="00D30418">
        <w:rPr>
          <w:noProof/>
        </w:rPr>
        <w:t>2</w:t>
      </w:r>
      <w:r w:rsidR="00000000">
        <w:rPr>
          <w:noProof/>
        </w:rPr>
        <w:fldChar w:fldCharType="end"/>
      </w:r>
      <w:r w:rsidRPr="00863A17">
        <w:t>:</w:t>
      </w:r>
      <w:r w:rsidRPr="00863A17">
        <w:rPr>
          <w:lang w:val="en-US"/>
        </w:rPr>
        <w:t xml:space="preserve"> Commodity Price Movements – </w:t>
      </w:r>
      <w:r w:rsidR="00761C54" w:rsidRPr="00863A17">
        <w:rPr>
          <w:lang w:val="en-US"/>
        </w:rPr>
        <w:t>Month</w:t>
      </w:r>
      <w:r w:rsidRPr="00863A17">
        <w:rPr>
          <w:lang w:val="en-US"/>
        </w:rPr>
        <w:t xml:space="preserve"> Ending </w:t>
      </w:r>
      <w:r w:rsidR="00B36FB5">
        <w:rPr>
          <w:lang w:val="en-US"/>
        </w:rPr>
        <w:t>28</w:t>
      </w:r>
      <w:r w:rsidRPr="00863A17">
        <w:rPr>
          <w:lang w:val="en-US"/>
        </w:rPr>
        <w:t xml:space="preserve"> </w:t>
      </w:r>
      <w:r w:rsidR="00B36FB5">
        <w:rPr>
          <w:lang w:val="en-US"/>
        </w:rPr>
        <w:t>June</w:t>
      </w:r>
      <w:r w:rsidRPr="00863A17">
        <w:rPr>
          <w:lang w:val="en-US"/>
        </w:rPr>
        <w:t xml:space="preserve"> 202</w:t>
      </w:r>
      <w:r w:rsidR="007A3D03" w:rsidRPr="00863A17">
        <w:rPr>
          <w:lang w:val="en-US"/>
        </w:rPr>
        <w:t>4</w:t>
      </w:r>
      <w:bookmarkEnd w:id="16"/>
      <w:bookmarkEnd w:id="17"/>
      <w:bookmarkEnd w:id="18"/>
    </w:p>
    <w:p w14:paraId="2C6CE38A" w14:textId="2256451E" w:rsidR="00EF37FE" w:rsidRPr="00863A17" w:rsidRDefault="004C4484" w:rsidP="0076325F">
      <w:pPr>
        <w:spacing w:after="0"/>
        <w:rPr>
          <w:rFonts w:ascii="Tahoma" w:hAnsi="Tahoma" w:cs="Tahoma"/>
          <w:sz w:val="24"/>
          <w:szCs w:val="24"/>
          <w:lang w:val="en-US"/>
        </w:rPr>
      </w:pPr>
      <w:r w:rsidRPr="00B36FB5">
        <w:rPr>
          <w:noProof/>
        </w:rPr>
        <w:drawing>
          <wp:inline distT="0" distB="0" distL="0" distR="0" wp14:anchorId="2DB2A4AE" wp14:editId="385FE911">
            <wp:extent cx="5734050" cy="195262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952625"/>
                    </a:xfrm>
                    <a:prstGeom prst="rect">
                      <a:avLst/>
                    </a:prstGeom>
                    <a:noFill/>
                    <a:ln>
                      <a:noFill/>
                    </a:ln>
                  </pic:spPr>
                </pic:pic>
              </a:graphicData>
            </a:graphic>
          </wp:inline>
        </w:drawing>
      </w:r>
    </w:p>
    <w:p w14:paraId="6861E100" w14:textId="77777777" w:rsidR="00EF37FE" w:rsidRPr="00863A17" w:rsidRDefault="00EF37FE">
      <w:pPr>
        <w:rPr>
          <w:rFonts w:ascii="Tahoma" w:hAnsi="Tahoma" w:cs="Tahoma"/>
          <w:i/>
          <w:sz w:val="24"/>
          <w:szCs w:val="24"/>
          <w:lang w:val="en-US"/>
        </w:rPr>
      </w:pPr>
      <w:r w:rsidRPr="00863A17">
        <w:rPr>
          <w:rFonts w:ascii="Tahoma" w:hAnsi="Tahoma" w:cs="Tahoma"/>
          <w:i/>
          <w:sz w:val="24"/>
          <w:szCs w:val="24"/>
          <w:lang w:val="en-US"/>
        </w:rPr>
        <w:t xml:space="preserve">Source: </w:t>
      </w:r>
      <w:r w:rsidR="006B3019" w:rsidRPr="00863A17">
        <w:rPr>
          <w:rFonts w:ascii="Tahoma" w:hAnsi="Tahoma" w:cs="Tahoma"/>
          <w:i/>
          <w:sz w:val="24"/>
          <w:szCs w:val="24"/>
          <w:lang w:val="en-US"/>
        </w:rPr>
        <w:t>Trading Economics (202</w:t>
      </w:r>
      <w:r w:rsidR="00431F13" w:rsidRPr="00863A17">
        <w:rPr>
          <w:rFonts w:ascii="Tahoma" w:hAnsi="Tahoma" w:cs="Tahoma"/>
          <w:i/>
          <w:sz w:val="24"/>
          <w:szCs w:val="24"/>
          <w:lang w:val="en-US"/>
        </w:rPr>
        <w:t>4</w:t>
      </w:r>
      <w:r w:rsidR="006B3019" w:rsidRPr="00863A17">
        <w:rPr>
          <w:rFonts w:ascii="Tahoma" w:hAnsi="Tahoma" w:cs="Tahoma"/>
          <w:i/>
          <w:sz w:val="24"/>
          <w:szCs w:val="24"/>
          <w:lang w:val="en-US"/>
        </w:rPr>
        <w:t>)</w:t>
      </w:r>
    </w:p>
    <w:p w14:paraId="0E019BDD" w14:textId="77777777" w:rsidR="00EF37FE" w:rsidRPr="00863A17" w:rsidRDefault="004F680D" w:rsidP="00A913CF">
      <w:pPr>
        <w:pStyle w:val="Heading1"/>
        <w:rPr>
          <w:lang w:val="en-US"/>
        </w:rPr>
      </w:pPr>
      <w:bookmarkStart w:id="19" w:name="_Toc166607893"/>
      <w:bookmarkStart w:id="20" w:name="_Toc171946085"/>
      <w:r w:rsidRPr="00863A17">
        <w:rPr>
          <w:lang w:val="en-US"/>
        </w:rPr>
        <w:t>3.0</w:t>
      </w:r>
      <w:r w:rsidRPr="00863A17">
        <w:rPr>
          <w:lang w:val="en-US"/>
        </w:rPr>
        <w:tab/>
      </w:r>
      <w:r w:rsidR="00476766" w:rsidRPr="00863A17">
        <w:rPr>
          <w:lang w:val="en-US"/>
        </w:rPr>
        <w:t>Zimbabwe GDP Growth Update</w:t>
      </w:r>
      <w:bookmarkEnd w:id="19"/>
      <w:bookmarkEnd w:id="20"/>
      <w:r w:rsidR="00476766" w:rsidRPr="00863A17">
        <w:rPr>
          <w:lang w:val="en-US"/>
        </w:rPr>
        <w:t xml:space="preserve"> </w:t>
      </w:r>
      <w:r w:rsidR="00EF37FE" w:rsidRPr="00863A17">
        <w:rPr>
          <w:lang w:val="en-US"/>
        </w:rPr>
        <w:t xml:space="preserve"> </w:t>
      </w:r>
    </w:p>
    <w:p w14:paraId="6EC51F1C" w14:textId="264D9C6B" w:rsidR="000F32A6" w:rsidRPr="000469C1" w:rsidRDefault="004F680D" w:rsidP="000469C1">
      <w:pPr>
        <w:ind w:left="720" w:hanging="720"/>
        <w:jc w:val="both"/>
        <w:rPr>
          <w:rFonts w:ascii="Tahoma" w:hAnsi="Tahoma" w:cs="Tahoma"/>
          <w:kern w:val="0"/>
          <w:sz w:val="24"/>
          <w:szCs w:val="24"/>
          <w:lang w:eastAsia="en-ZW"/>
        </w:rPr>
      </w:pPr>
      <w:r w:rsidRPr="00863A17">
        <w:rPr>
          <w:rFonts w:ascii="Tahoma" w:hAnsi="Tahoma" w:cs="Tahoma"/>
          <w:sz w:val="24"/>
          <w:szCs w:val="24"/>
          <w:lang w:val="en-US"/>
        </w:rPr>
        <w:t>3.1</w:t>
      </w:r>
      <w:r w:rsidRPr="00863A17">
        <w:rPr>
          <w:rFonts w:ascii="Tahoma" w:hAnsi="Tahoma" w:cs="Tahoma"/>
          <w:sz w:val="24"/>
          <w:szCs w:val="24"/>
          <w:lang w:val="en-US"/>
        </w:rPr>
        <w:tab/>
      </w:r>
      <w:r w:rsidR="003976F2">
        <w:rPr>
          <w:rFonts w:ascii="Tahoma" w:hAnsi="Tahoma" w:cs="Tahoma"/>
          <w:kern w:val="0"/>
          <w:sz w:val="24"/>
          <w:szCs w:val="24"/>
          <w:lang w:eastAsia="en-ZW"/>
        </w:rPr>
        <w:t>Economic growth in Zimbabwe is projected to reach 3.3% in 2024, 3.6% in 2025 and 3.5</w:t>
      </w:r>
      <w:r w:rsidR="00150B6E">
        <w:rPr>
          <w:rFonts w:ascii="Tahoma" w:hAnsi="Tahoma" w:cs="Tahoma"/>
          <w:kern w:val="0"/>
          <w:sz w:val="24"/>
          <w:szCs w:val="24"/>
          <w:lang w:eastAsia="en-ZW"/>
        </w:rPr>
        <w:t>%</w:t>
      </w:r>
      <w:r w:rsidR="003976F2">
        <w:rPr>
          <w:rFonts w:ascii="Tahoma" w:hAnsi="Tahoma" w:cs="Tahoma"/>
          <w:kern w:val="0"/>
          <w:sz w:val="24"/>
          <w:szCs w:val="24"/>
          <w:lang w:eastAsia="en-ZW"/>
        </w:rPr>
        <w:t xml:space="preserve"> in 2026 (World Bank Group, June 2024 Global Economic Prospects</w:t>
      </w:r>
      <w:r w:rsidR="00A44693">
        <w:rPr>
          <w:rFonts w:ascii="Tahoma" w:hAnsi="Tahoma" w:cs="Tahoma"/>
          <w:kern w:val="0"/>
          <w:sz w:val="24"/>
          <w:szCs w:val="24"/>
          <w:lang w:eastAsia="en-ZW"/>
        </w:rPr>
        <w:t xml:space="preserve"> Report</w:t>
      </w:r>
      <w:r w:rsidR="003976F2">
        <w:rPr>
          <w:rFonts w:ascii="Tahoma" w:hAnsi="Tahoma" w:cs="Tahoma"/>
          <w:kern w:val="0"/>
          <w:sz w:val="24"/>
          <w:szCs w:val="24"/>
          <w:lang w:eastAsia="en-ZW"/>
        </w:rPr>
        <w:t>).</w:t>
      </w:r>
      <w:r w:rsidR="00C94F65" w:rsidRPr="00863A17">
        <w:rPr>
          <w:rFonts w:ascii="Tahoma" w:hAnsi="Tahoma" w:cs="Tahoma"/>
          <w:kern w:val="0"/>
          <w:sz w:val="24"/>
          <w:szCs w:val="24"/>
          <w:lang w:eastAsia="en-ZW"/>
        </w:rPr>
        <w:t xml:space="preserve"> </w:t>
      </w:r>
      <w:r w:rsidR="00477E68">
        <w:rPr>
          <w:rFonts w:ascii="Tahoma" w:hAnsi="Tahoma" w:cs="Tahoma"/>
          <w:kern w:val="0"/>
          <w:sz w:val="24"/>
          <w:szCs w:val="24"/>
          <w:lang w:eastAsia="en-ZW"/>
        </w:rPr>
        <w:t xml:space="preserve">El-Nino induced drought and low international commodity prices </w:t>
      </w:r>
      <w:r w:rsidR="00F27F0F">
        <w:rPr>
          <w:rFonts w:ascii="Tahoma" w:hAnsi="Tahoma" w:cs="Tahoma"/>
          <w:kern w:val="0"/>
          <w:sz w:val="24"/>
          <w:szCs w:val="24"/>
          <w:lang w:eastAsia="en-ZW"/>
        </w:rPr>
        <w:t>are dragging</w:t>
      </w:r>
      <w:r w:rsidR="00477E68">
        <w:rPr>
          <w:rFonts w:ascii="Tahoma" w:hAnsi="Tahoma" w:cs="Tahoma"/>
          <w:kern w:val="0"/>
          <w:sz w:val="24"/>
          <w:szCs w:val="24"/>
          <w:lang w:eastAsia="en-ZW"/>
        </w:rPr>
        <w:t xml:space="preserve"> the country’s economic growth prospects in 2024.</w:t>
      </w:r>
    </w:p>
    <w:p w14:paraId="1B476D5C" w14:textId="77777777" w:rsidR="00F94586" w:rsidRPr="00CC5C99" w:rsidRDefault="009F5CE5" w:rsidP="0001510C">
      <w:pPr>
        <w:pStyle w:val="ListofFigures"/>
      </w:pPr>
      <w:bookmarkStart w:id="21" w:name="_Toc166608988"/>
      <w:bookmarkStart w:id="22" w:name="_Toc171944603"/>
      <w:r w:rsidRPr="00863A17">
        <w:t xml:space="preserve">Figure </w:t>
      </w:r>
      <w:r w:rsidRPr="00863A17">
        <w:fldChar w:fldCharType="begin"/>
      </w:r>
      <w:r w:rsidRPr="00863A17">
        <w:instrText xml:space="preserve"> SEQ Figure \* ARABIC </w:instrText>
      </w:r>
      <w:r w:rsidRPr="00863A17">
        <w:fldChar w:fldCharType="separate"/>
      </w:r>
      <w:r w:rsidR="003C1D2F" w:rsidRPr="00863A17">
        <w:t>2</w:t>
      </w:r>
      <w:r w:rsidRPr="00863A17">
        <w:fldChar w:fldCharType="end"/>
      </w:r>
      <w:r w:rsidRPr="00863A17">
        <w:t xml:space="preserve">: </w:t>
      </w:r>
      <w:r w:rsidRPr="00863A17">
        <w:rPr>
          <w:lang w:val="en-US"/>
        </w:rPr>
        <w:t>Zimbabwe Economic Growth Prospects</w:t>
      </w:r>
      <w:bookmarkEnd w:id="21"/>
      <w:bookmarkEnd w:id="22"/>
    </w:p>
    <w:p w14:paraId="1E3B2363" w14:textId="66CD3856" w:rsidR="00CC5C99" w:rsidRPr="00863A17" w:rsidRDefault="004C4484" w:rsidP="0076540F">
      <w:pPr>
        <w:spacing w:after="0"/>
        <w:rPr>
          <w:rFonts w:ascii="Tahoma" w:hAnsi="Tahoma" w:cs="Tahoma"/>
          <w:sz w:val="24"/>
          <w:szCs w:val="24"/>
        </w:rPr>
      </w:pPr>
      <w:r w:rsidRPr="007B0E00">
        <w:rPr>
          <w:noProof/>
        </w:rPr>
        <w:drawing>
          <wp:inline distT="0" distB="0" distL="0" distR="0" wp14:anchorId="396485D9" wp14:editId="19F1A82B">
            <wp:extent cx="5499735" cy="3005455"/>
            <wp:effectExtent l="0" t="0" r="0" b="0"/>
            <wp:docPr id="4"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DC952F2" w14:textId="77777777" w:rsidR="0076540F" w:rsidRDefault="0076540F">
      <w:pPr>
        <w:rPr>
          <w:rFonts w:ascii="Tahoma" w:hAnsi="Tahoma" w:cs="Tahoma"/>
          <w:i/>
          <w:sz w:val="24"/>
          <w:szCs w:val="24"/>
        </w:rPr>
      </w:pPr>
      <w:r w:rsidRPr="00863A17">
        <w:rPr>
          <w:rFonts w:ascii="Tahoma" w:hAnsi="Tahoma" w:cs="Tahoma"/>
          <w:i/>
          <w:sz w:val="24"/>
          <w:szCs w:val="24"/>
          <w:lang w:val="en-US"/>
        </w:rPr>
        <w:t xml:space="preserve">Source: </w:t>
      </w:r>
      <w:r w:rsidR="00B646B4">
        <w:rPr>
          <w:rFonts w:ascii="Tahoma" w:hAnsi="Tahoma" w:cs="Tahoma"/>
          <w:i/>
          <w:sz w:val="24"/>
          <w:szCs w:val="24"/>
          <w:lang w:val="en-US"/>
        </w:rPr>
        <w:t>World Bank Group, June 2024 Global Economic Prospects and</w:t>
      </w:r>
      <w:r w:rsidR="00B1678A" w:rsidRPr="00863A17">
        <w:rPr>
          <w:rFonts w:ascii="Tahoma" w:hAnsi="Tahoma" w:cs="Tahoma"/>
          <w:i/>
          <w:sz w:val="24"/>
          <w:szCs w:val="24"/>
          <w:lang w:val="en-US"/>
        </w:rPr>
        <w:t xml:space="preserve"> IMF</w:t>
      </w:r>
      <w:r w:rsidR="008174D1">
        <w:rPr>
          <w:rFonts w:ascii="Tahoma" w:hAnsi="Tahoma" w:cs="Tahoma"/>
          <w:i/>
          <w:sz w:val="24"/>
          <w:szCs w:val="24"/>
          <w:lang w:val="en-US"/>
        </w:rPr>
        <w:t>’s</w:t>
      </w:r>
      <w:r w:rsidR="00B1678A" w:rsidRPr="00863A17">
        <w:rPr>
          <w:rFonts w:ascii="Tahoma" w:hAnsi="Tahoma" w:cs="Tahoma"/>
          <w:i/>
          <w:sz w:val="24"/>
          <w:szCs w:val="24"/>
          <w:lang w:val="en-US"/>
        </w:rPr>
        <w:t xml:space="preserve"> </w:t>
      </w:r>
      <w:r w:rsidR="00B646B4">
        <w:rPr>
          <w:rFonts w:ascii="Tahoma" w:hAnsi="Tahoma" w:cs="Tahoma"/>
          <w:i/>
          <w:sz w:val="24"/>
          <w:szCs w:val="24"/>
          <w:lang w:val="en-US"/>
        </w:rPr>
        <w:t xml:space="preserve">April 2024 </w:t>
      </w:r>
      <w:r w:rsidR="00B1678A" w:rsidRPr="00863A17">
        <w:rPr>
          <w:rFonts w:ascii="Tahoma" w:hAnsi="Tahoma" w:cs="Tahoma"/>
          <w:i/>
          <w:sz w:val="24"/>
          <w:szCs w:val="24"/>
        </w:rPr>
        <w:t>W</w:t>
      </w:r>
      <w:r w:rsidR="008174D1">
        <w:rPr>
          <w:rFonts w:ascii="Tahoma" w:hAnsi="Tahoma" w:cs="Tahoma"/>
          <w:i/>
          <w:sz w:val="24"/>
          <w:szCs w:val="24"/>
        </w:rPr>
        <w:t>EO</w:t>
      </w:r>
      <w:r w:rsidR="00B1678A" w:rsidRPr="00863A17">
        <w:rPr>
          <w:rFonts w:ascii="Tahoma" w:hAnsi="Tahoma" w:cs="Tahoma"/>
          <w:i/>
          <w:sz w:val="24"/>
          <w:szCs w:val="24"/>
        </w:rPr>
        <w:t xml:space="preserve"> </w:t>
      </w:r>
      <w:r w:rsidR="00B646B4">
        <w:rPr>
          <w:rFonts w:ascii="Tahoma" w:hAnsi="Tahoma" w:cs="Tahoma"/>
          <w:i/>
          <w:sz w:val="24"/>
          <w:szCs w:val="24"/>
        </w:rPr>
        <w:t>Report</w:t>
      </w:r>
    </w:p>
    <w:p w14:paraId="0F8000C8" w14:textId="00655CE6" w:rsidR="0076325F" w:rsidRPr="000F316D" w:rsidRDefault="0076325F" w:rsidP="0076325F">
      <w:pPr>
        <w:ind w:left="720" w:hanging="720"/>
        <w:jc w:val="both"/>
        <w:rPr>
          <w:rFonts w:ascii="Tahoma" w:hAnsi="Tahoma" w:cs="Tahoma"/>
          <w:sz w:val="24"/>
          <w:szCs w:val="24"/>
        </w:rPr>
      </w:pPr>
      <w:r>
        <w:rPr>
          <w:rFonts w:ascii="Tahoma" w:hAnsi="Tahoma" w:cs="Tahoma"/>
          <w:iCs/>
          <w:sz w:val="24"/>
          <w:szCs w:val="24"/>
        </w:rPr>
        <w:t xml:space="preserve">3.2 </w:t>
      </w:r>
      <w:r>
        <w:rPr>
          <w:rFonts w:ascii="Tahoma" w:hAnsi="Tahoma" w:cs="Tahoma"/>
          <w:iCs/>
          <w:sz w:val="24"/>
          <w:szCs w:val="24"/>
        </w:rPr>
        <w:tab/>
      </w:r>
      <w:bookmarkStart w:id="23" w:name="_Hlk166603728"/>
      <w:r w:rsidR="00DB2E6D">
        <w:rPr>
          <w:rFonts w:ascii="Tahoma" w:hAnsi="Tahoma" w:cs="Tahoma"/>
          <w:iCs/>
          <w:sz w:val="24"/>
          <w:szCs w:val="24"/>
        </w:rPr>
        <w:t xml:space="preserve">IMF on its April 2024 WEO report, projected a growth of 3.2% in 2024 which is 0.1% lower than World Bank Group June 2024 Global Economic </w:t>
      </w:r>
      <w:r w:rsidR="005F45A5">
        <w:rPr>
          <w:rFonts w:ascii="Tahoma" w:hAnsi="Tahoma" w:cs="Tahoma"/>
          <w:iCs/>
          <w:sz w:val="24"/>
          <w:szCs w:val="24"/>
        </w:rPr>
        <w:t>Prospects projection</w:t>
      </w:r>
      <w:r w:rsidR="00DB2E6D">
        <w:rPr>
          <w:rFonts w:ascii="Tahoma" w:hAnsi="Tahoma" w:cs="Tahoma"/>
          <w:iCs/>
          <w:sz w:val="24"/>
          <w:szCs w:val="24"/>
        </w:rPr>
        <w:t>.</w:t>
      </w:r>
      <w:r w:rsidR="005F45A5">
        <w:rPr>
          <w:rFonts w:ascii="Tahoma" w:hAnsi="Tahoma" w:cs="Tahoma"/>
          <w:iCs/>
          <w:sz w:val="24"/>
          <w:szCs w:val="24"/>
        </w:rPr>
        <w:t xml:space="preserve"> IMF, April 2024 WEO projections are 0.4% lesser than the World Bank Group, June 2024 Global Economic Prospects projection on Zimbabwe economic growth in 2025. </w:t>
      </w:r>
      <w:r w:rsidR="00DA4812">
        <w:rPr>
          <w:rFonts w:ascii="Tahoma" w:hAnsi="Tahoma" w:cs="Tahoma"/>
          <w:iCs/>
          <w:sz w:val="24"/>
          <w:szCs w:val="24"/>
        </w:rPr>
        <w:t xml:space="preserve">The variation is attributed to improved projections </w:t>
      </w:r>
      <w:r w:rsidR="00C53DD7">
        <w:rPr>
          <w:rFonts w:ascii="Tahoma" w:hAnsi="Tahoma" w:cs="Tahoma"/>
          <w:iCs/>
          <w:sz w:val="24"/>
          <w:szCs w:val="24"/>
        </w:rPr>
        <w:t>on</w:t>
      </w:r>
      <w:r w:rsidR="00DA4812">
        <w:rPr>
          <w:rFonts w:ascii="Tahoma" w:hAnsi="Tahoma" w:cs="Tahoma"/>
          <w:iCs/>
          <w:sz w:val="24"/>
          <w:szCs w:val="24"/>
        </w:rPr>
        <w:t xml:space="preserve"> winter-crop yield and El-Nino induced drought mitigative measures which are being undertaken by the </w:t>
      </w:r>
      <w:r w:rsidR="00A44693">
        <w:rPr>
          <w:rFonts w:ascii="Tahoma" w:hAnsi="Tahoma" w:cs="Tahoma"/>
          <w:iCs/>
          <w:sz w:val="24"/>
          <w:szCs w:val="24"/>
        </w:rPr>
        <w:t>G</w:t>
      </w:r>
      <w:r w:rsidR="00DA4812">
        <w:rPr>
          <w:rFonts w:ascii="Tahoma" w:hAnsi="Tahoma" w:cs="Tahoma"/>
          <w:iCs/>
          <w:sz w:val="24"/>
          <w:szCs w:val="24"/>
        </w:rPr>
        <w:t>overnment</w:t>
      </w:r>
      <w:r w:rsidR="00A44693">
        <w:rPr>
          <w:rFonts w:ascii="Tahoma" w:hAnsi="Tahoma" w:cs="Tahoma"/>
          <w:iCs/>
          <w:sz w:val="24"/>
          <w:szCs w:val="24"/>
        </w:rPr>
        <w:t xml:space="preserve"> of Zimbabwe</w:t>
      </w:r>
      <w:r w:rsidR="00DA4812">
        <w:rPr>
          <w:rFonts w:ascii="Tahoma" w:hAnsi="Tahoma" w:cs="Tahoma"/>
          <w:iCs/>
          <w:sz w:val="24"/>
          <w:szCs w:val="24"/>
        </w:rPr>
        <w:t>.</w:t>
      </w:r>
    </w:p>
    <w:p w14:paraId="3CAABD97" w14:textId="77777777" w:rsidR="00EF37FE" w:rsidRPr="00086539" w:rsidRDefault="00B1678A" w:rsidP="009F5CE5">
      <w:pPr>
        <w:pStyle w:val="Heading1"/>
        <w:spacing w:before="0" w:after="240" w:line="240" w:lineRule="auto"/>
        <w:rPr>
          <w:rFonts w:cs="Tahoma"/>
          <w:bCs/>
          <w:color w:val="000000"/>
          <w:szCs w:val="24"/>
          <w:lang w:val="en-US"/>
        </w:rPr>
      </w:pPr>
      <w:bookmarkStart w:id="24" w:name="_Toc166607894"/>
      <w:bookmarkStart w:id="25" w:name="_Toc171946086"/>
      <w:bookmarkEnd w:id="23"/>
      <w:r w:rsidRPr="00086539">
        <w:rPr>
          <w:rFonts w:cs="Tahoma"/>
          <w:bCs/>
          <w:color w:val="000000"/>
          <w:szCs w:val="24"/>
          <w:lang w:val="en-US"/>
        </w:rPr>
        <w:lastRenderedPageBreak/>
        <w:t>4.0</w:t>
      </w:r>
      <w:r w:rsidRPr="00086539">
        <w:rPr>
          <w:rFonts w:cs="Tahoma"/>
          <w:bCs/>
          <w:color w:val="000000"/>
          <w:szCs w:val="24"/>
          <w:lang w:val="en-US"/>
        </w:rPr>
        <w:tab/>
      </w:r>
      <w:r w:rsidR="00EF37FE" w:rsidRPr="00086539">
        <w:rPr>
          <w:rFonts w:cs="Tahoma"/>
          <w:bCs/>
          <w:color w:val="000000"/>
          <w:szCs w:val="24"/>
          <w:lang w:val="en-US"/>
        </w:rPr>
        <w:t>Merchandise Trade Developments</w:t>
      </w:r>
      <w:bookmarkEnd w:id="24"/>
      <w:bookmarkEnd w:id="25"/>
      <w:r w:rsidR="00EF37FE" w:rsidRPr="00086539">
        <w:rPr>
          <w:rFonts w:cs="Tahoma"/>
          <w:bCs/>
          <w:color w:val="000000"/>
          <w:szCs w:val="24"/>
          <w:lang w:val="en-US"/>
        </w:rPr>
        <w:t xml:space="preserve"> </w:t>
      </w:r>
    </w:p>
    <w:p w14:paraId="7D3827E3" w14:textId="77777777" w:rsidR="00601473" w:rsidRDefault="00B1678A" w:rsidP="00AB4D3A">
      <w:pPr>
        <w:ind w:left="720" w:hanging="720"/>
        <w:jc w:val="both"/>
        <w:rPr>
          <w:rFonts w:ascii="Tahoma" w:hAnsi="Tahoma" w:cs="Tahoma"/>
          <w:kern w:val="0"/>
          <w:sz w:val="24"/>
          <w:szCs w:val="24"/>
          <w:lang w:eastAsia="en-ZW"/>
        </w:rPr>
      </w:pPr>
      <w:r w:rsidRPr="00863A17">
        <w:rPr>
          <w:rFonts w:ascii="Tahoma" w:hAnsi="Tahoma" w:cs="Tahoma"/>
          <w:sz w:val="24"/>
          <w:szCs w:val="24"/>
          <w:lang w:val="en-US"/>
        </w:rPr>
        <w:t>4.1</w:t>
      </w:r>
      <w:r w:rsidRPr="00863A17">
        <w:rPr>
          <w:rFonts w:ascii="Tahoma" w:hAnsi="Tahoma" w:cs="Tahoma"/>
          <w:sz w:val="24"/>
          <w:szCs w:val="24"/>
          <w:lang w:val="en-US"/>
        </w:rPr>
        <w:tab/>
      </w:r>
      <w:r w:rsidR="00466CF2">
        <w:rPr>
          <w:rFonts w:ascii="Tahoma" w:hAnsi="Tahoma" w:cs="Tahoma"/>
          <w:sz w:val="24"/>
          <w:szCs w:val="24"/>
          <w:lang w:val="en-US"/>
        </w:rPr>
        <w:t>Zimbabwe National Statistics Agency (</w:t>
      </w:r>
      <w:r w:rsidR="00C5355A">
        <w:rPr>
          <w:rFonts w:ascii="Tahoma" w:hAnsi="Tahoma" w:cs="Tahoma"/>
          <w:sz w:val="24"/>
          <w:szCs w:val="24"/>
          <w:lang w:val="en-US"/>
        </w:rPr>
        <w:t>ZimStat</w:t>
      </w:r>
      <w:r w:rsidR="00466CF2">
        <w:rPr>
          <w:rFonts w:ascii="Tahoma" w:hAnsi="Tahoma" w:cs="Tahoma"/>
          <w:sz w:val="24"/>
          <w:szCs w:val="24"/>
          <w:lang w:val="en-US"/>
        </w:rPr>
        <w:t>)</w:t>
      </w:r>
      <w:r w:rsidR="00C5355A">
        <w:rPr>
          <w:rFonts w:ascii="Tahoma" w:hAnsi="Tahoma" w:cs="Tahoma"/>
          <w:sz w:val="24"/>
          <w:szCs w:val="24"/>
          <w:lang w:val="en-US"/>
        </w:rPr>
        <w:t xml:space="preserve"> had not published the merchandise trade data</w:t>
      </w:r>
      <w:r w:rsidR="00466CF2">
        <w:rPr>
          <w:rFonts w:ascii="Tahoma" w:hAnsi="Tahoma" w:cs="Tahoma"/>
          <w:sz w:val="24"/>
          <w:szCs w:val="24"/>
          <w:lang w:val="en-US"/>
        </w:rPr>
        <w:t xml:space="preserve"> on the time of compiling this report</w:t>
      </w:r>
      <w:r w:rsidR="00C5355A">
        <w:rPr>
          <w:rFonts w:ascii="Tahoma" w:hAnsi="Tahoma" w:cs="Tahoma"/>
          <w:sz w:val="24"/>
          <w:szCs w:val="24"/>
          <w:lang w:val="en-US"/>
        </w:rPr>
        <w:t xml:space="preserve">, thus the analysis </w:t>
      </w:r>
      <w:r w:rsidR="00466CF2">
        <w:rPr>
          <w:rFonts w:ascii="Tahoma" w:hAnsi="Tahoma" w:cs="Tahoma"/>
          <w:sz w:val="24"/>
          <w:szCs w:val="24"/>
          <w:lang w:val="en-US"/>
        </w:rPr>
        <w:t>remains the unchanged from the April 2024 Economic bulletin.</w:t>
      </w:r>
    </w:p>
    <w:p w14:paraId="6E5F2E17" w14:textId="77777777" w:rsidR="00EF37FE" w:rsidRPr="00086539" w:rsidRDefault="00B1678A" w:rsidP="009F5CE5">
      <w:pPr>
        <w:pStyle w:val="Heading1"/>
        <w:spacing w:before="0" w:after="240" w:line="240" w:lineRule="auto"/>
        <w:rPr>
          <w:rFonts w:cs="Tahoma"/>
          <w:bCs/>
          <w:color w:val="000000"/>
          <w:szCs w:val="24"/>
          <w:lang w:val="en-US"/>
        </w:rPr>
      </w:pPr>
      <w:bookmarkStart w:id="26" w:name="_Toc166607895"/>
      <w:bookmarkStart w:id="27" w:name="_Toc171946087"/>
      <w:r w:rsidRPr="00086539">
        <w:rPr>
          <w:rFonts w:cs="Tahoma"/>
          <w:bCs/>
          <w:color w:val="000000"/>
          <w:szCs w:val="24"/>
          <w:lang w:val="en-US"/>
        </w:rPr>
        <w:t>5.0</w:t>
      </w:r>
      <w:r w:rsidRPr="00086539">
        <w:rPr>
          <w:rFonts w:cs="Tahoma"/>
          <w:bCs/>
          <w:color w:val="000000"/>
          <w:szCs w:val="24"/>
          <w:lang w:val="en-US"/>
        </w:rPr>
        <w:tab/>
      </w:r>
      <w:r w:rsidR="00EF37FE" w:rsidRPr="00086539">
        <w:rPr>
          <w:rFonts w:cs="Tahoma"/>
          <w:bCs/>
          <w:color w:val="000000"/>
          <w:szCs w:val="24"/>
          <w:lang w:val="en-US"/>
        </w:rPr>
        <w:t>Exchange Rate Developments</w:t>
      </w:r>
      <w:bookmarkEnd w:id="26"/>
      <w:bookmarkEnd w:id="27"/>
      <w:r w:rsidR="00EF37FE" w:rsidRPr="00086539">
        <w:rPr>
          <w:rFonts w:cs="Tahoma"/>
          <w:bCs/>
          <w:color w:val="000000"/>
          <w:szCs w:val="24"/>
          <w:lang w:val="en-US"/>
        </w:rPr>
        <w:t xml:space="preserve"> </w:t>
      </w:r>
    </w:p>
    <w:p w14:paraId="547827A8" w14:textId="77777777" w:rsidR="00EF25BB" w:rsidRPr="00863A17" w:rsidRDefault="00B1678A" w:rsidP="003C1D2F">
      <w:pPr>
        <w:pStyle w:val="Heading2"/>
        <w:spacing w:before="0" w:after="240" w:line="240" w:lineRule="auto"/>
        <w:rPr>
          <w:rFonts w:cs="Tahoma"/>
          <w:b/>
          <w:color w:val="000000"/>
          <w:szCs w:val="24"/>
          <w:lang w:val="en-US"/>
        </w:rPr>
      </w:pPr>
      <w:bookmarkStart w:id="28" w:name="_Toc166607896"/>
      <w:bookmarkStart w:id="29" w:name="_Toc171946088"/>
      <w:r w:rsidRPr="00863A17">
        <w:rPr>
          <w:rFonts w:cs="Tahoma"/>
          <w:b/>
          <w:color w:val="000000"/>
          <w:szCs w:val="24"/>
          <w:lang w:val="en-US"/>
        </w:rPr>
        <w:t>5.1</w:t>
      </w:r>
      <w:r w:rsidRPr="00863A17">
        <w:rPr>
          <w:rFonts w:cs="Tahoma"/>
          <w:b/>
          <w:color w:val="000000"/>
          <w:szCs w:val="24"/>
          <w:lang w:val="en-US"/>
        </w:rPr>
        <w:tab/>
      </w:r>
      <w:r w:rsidR="00EF25BB" w:rsidRPr="00863A17">
        <w:rPr>
          <w:rFonts w:cs="Tahoma"/>
          <w:b/>
          <w:color w:val="000000"/>
          <w:szCs w:val="24"/>
          <w:lang w:val="en-US"/>
        </w:rPr>
        <w:t>Zimbabwean Dollar Exchange Rate Developments</w:t>
      </w:r>
      <w:bookmarkEnd w:id="28"/>
      <w:bookmarkEnd w:id="29"/>
      <w:r w:rsidR="00EF25BB" w:rsidRPr="00863A17">
        <w:rPr>
          <w:rFonts w:cs="Tahoma"/>
          <w:b/>
          <w:color w:val="000000"/>
          <w:szCs w:val="24"/>
          <w:lang w:val="en-US"/>
        </w:rPr>
        <w:t xml:space="preserve"> </w:t>
      </w:r>
    </w:p>
    <w:p w14:paraId="20964940" w14:textId="0FE2AF04" w:rsidR="00E36CF6" w:rsidRPr="00863A17" w:rsidRDefault="00B1678A" w:rsidP="00945E19">
      <w:pPr>
        <w:ind w:left="720" w:hanging="720"/>
        <w:jc w:val="both"/>
        <w:rPr>
          <w:rFonts w:ascii="Tahoma" w:hAnsi="Tahoma" w:cs="Tahoma"/>
          <w:sz w:val="24"/>
          <w:szCs w:val="24"/>
          <w:lang w:val="en-US"/>
        </w:rPr>
      </w:pPr>
      <w:r w:rsidRPr="00863A17">
        <w:rPr>
          <w:rFonts w:ascii="Tahoma" w:hAnsi="Tahoma" w:cs="Tahoma"/>
          <w:sz w:val="24"/>
          <w:szCs w:val="24"/>
          <w:lang w:val="en-US"/>
        </w:rPr>
        <w:t>5.1.1</w:t>
      </w:r>
      <w:r w:rsidRPr="00863A17">
        <w:rPr>
          <w:rFonts w:ascii="Tahoma" w:hAnsi="Tahoma" w:cs="Tahoma"/>
          <w:sz w:val="24"/>
          <w:szCs w:val="24"/>
          <w:lang w:val="en-US"/>
        </w:rPr>
        <w:tab/>
      </w:r>
      <w:r w:rsidR="00026A42">
        <w:rPr>
          <w:rFonts w:ascii="Tahoma" w:hAnsi="Tahoma" w:cs="Tahoma"/>
          <w:sz w:val="24"/>
          <w:szCs w:val="24"/>
          <w:lang w:val="en-US"/>
        </w:rPr>
        <w:t xml:space="preserve">The </w:t>
      </w:r>
      <w:r w:rsidR="00647FF8">
        <w:rPr>
          <w:rFonts w:ascii="Tahoma" w:hAnsi="Tahoma" w:cs="Tahoma"/>
          <w:sz w:val="24"/>
          <w:szCs w:val="24"/>
          <w:lang w:val="en-US"/>
        </w:rPr>
        <w:t>ZiG depreciated against all major currencies as shown in Table 3.</w:t>
      </w:r>
      <w:r w:rsidR="00421D20">
        <w:rPr>
          <w:rFonts w:ascii="Tahoma" w:hAnsi="Tahoma" w:cs="Tahoma"/>
          <w:sz w:val="24"/>
          <w:szCs w:val="24"/>
          <w:lang w:val="en-US"/>
        </w:rPr>
        <w:t xml:space="preserve"> On a monthly basis, the ZiG lost by 2.89%, 2.14%, 1.67% and 0.74% against the USD, GBP, EUR and ZAR respectively.</w:t>
      </w:r>
      <w:r w:rsidR="0064604B">
        <w:rPr>
          <w:rFonts w:ascii="Tahoma" w:hAnsi="Tahoma" w:cs="Tahoma"/>
          <w:sz w:val="24"/>
          <w:szCs w:val="24"/>
          <w:lang w:val="en-US"/>
        </w:rPr>
        <w:t xml:space="preserve"> The ZiG also lost value against the USD, GBP, EUR and ZAR on </w:t>
      </w:r>
      <w:r w:rsidR="00A44693">
        <w:rPr>
          <w:rFonts w:ascii="Tahoma" w:hAnsi="Tahoma" w:cs="Tahoma"/>
          <w:sz w:val="24"/>
          <w:szCs w:val="24"/>
          <w:lang w:val="en-US"/>
        </w:rPr>
        <w:t>both</w:t>
      </w:r>
      <w:r w:rsidR="00A44693">
        <w:rPr>
          <w:rFonts w:ascii="Tahoma" w:hAnsi="Tahoma" w:cs="Tahoma"/>
          <w:sz w:val="24"/>
          <w:szCs w:val="24"/>
          <w:lang w:val="en-US"/>
        </w:rPr>
        <w:t xml:space="preserve"> </w:t>
      </w:r>
      <w:r w:rsidR="0064604B">
        <w:rPr>
          <w:rFonts w:ascii="Tahoma" w:hAnsi="Tahoma" w:cs="Tahoma"/>
          <w:sz w:val="24"/>
          <w:szCs w:val="24"/>
          <w:lang w:val="en-US"/>
        </w:rPr>
        <w:t>YtD and YoY basis.</w:t>
      </w:r>
    </w:p>
    <w:p w14:paraId="4084E156" w14:textId="77777777" w:rsidR="00EF37FE" w:rsidRPr="00863A17" w:rsidRDefault="003C1D2F" w:rsidP="0001510C">
      <w:pPr>
        <w:pStyle w:val="ListofTables"/>
        <w:rPr>
          <w:lang w:val="en-US"/>
        </w:rPr>
      </w:pPr>
      <w:bookmarkStart w:id="30" w:name="_Toc164072364"/>
      <w:bookmarkStart w:id="31" w:name="_Toc166658891"/>
      <w:bookmarkStart w:id="32" w:name="_Toc171944517"/>
      <w:r w:rsidRPr="00863A17">
        <w:t xml:space="preserve">Table </w:t>
      </w:r>
      <w:r w:rsidR="00000000">
        <w:fldChar w:fldCharType="begin"/>
      </w:r>
      <w:r w:rsidR="00000000">
        <w:instrText xml:space="preserve"> SEQ Table \* ARABIC </w:instrText>
      </w:r>
      <w:r w:rsidR="00000000">
        <w:fldChar w:fldCharType="separate"/>
      </w:r>
      <w:r w:rsidR="00D30418">
        <w:rPr>
          <w:noProof/>
        </w:rPr>
        <w:t>3</w:t>
      </w:r>
      <w:r w:rsidR="00000000">
        <w:rPr>
          <w:noProof/>
        </w:rPr>
        <w:fldChar w:fldCharType="end"/>
      </w:r>
      <w:r w:rsidRPr="00863A17">
        <w:t xml:space="preserve">: </w:t>
      </w:r>
      <w:r w:rsidR="00514497">
        <w:rPr>
          <w:lang w:val="en-US"/>
        </w:rPr>
        <w:t>ZiG</w:t>
      </w:r>
      <w:r w:rsidRPr="00863A17">
        <w:rPr>
          <w:lang w:val="en-US"/>
        </w:rPr>
        <w:t xml:space="preserve"> Exchange Rate Movements – </w:t>
      </w:r>
      <w:r w:rsidR="00F471BC" w:rsidRPr="00863A17">
        <w:rPr>
          <w:lang w:val="en-US"/>
        </w:rPr>
        <w:t>Month</w:t>
      </w:r>
      <w:r w:rsidRPr="00863A17">
        <w:rPr>
          <w:lang w:val="en-US"/>
        </w:rPr>
        <w:t xml:space="preserve"> Ending </w:t>
      </w:r>
      <w:r w:rsidR="008F4843">
        <w:rPr>
          <w:lang w:val="en-US"/>
        </w:rPr>
        <w:t>28</w:t>
      </w:r>
      <w:r w:rsidRPr="00863A17">
        <w:rPr>
          <w:lang w:val="en-US"/>
        </w:rPr>
        <w:t xml:space="preserve"> </w:t>
      </w:r>
      <w:r w:rsidR="008F4843">
        <w:rPr>
          <w:lang w:val="en-US"/>
        </w:rPr>
        <w:t>June</w:t>
      </w:r>
      <w:r w:rsidRPr="00863A17">
        <w:rPr>
          <w:lang w:val="en-US"/>
        </w:rPr>
        <w:t xml:space="preserve"> 202</w:t>
      </w:r>
      <w:r w:rsidR="00F471BC" w:rsidRPr="00863A17">
        <w:rPr>
          <w:lang w:val="en-US"/>
        </w:rPr>
        <w:t>4</w:t>
      </w:r>
      <w:bookmarkEnd w:id="30"/>
      <w:bookmarkEnd w:id="31"/>
      <w:bookmarkEnd w:id="32"/>
    </w:p>
    <w:p w14:paraId="44C565DA" w14:textId="0FFB7267" w:rsidR="009F4C6F" w:rsidRPr="00863A17" w:rsidRDefault="004C4484" w:rsidP="00C5355A">
      <w:pPr>
        <w:spacing w:after="0"/>
        <w:rPr>
          <w:rFonts w:ascii="Tahoma" w:hAnsi="Tahoma" w:cs="Tahoma"/>
          <w:sz w:val="24"/>
          <w:szCs w:val="24"/>
          <w:lang w:val="en-US"/>
        </w:rPr>
      </w:pPr>
      <w:r w:rsidRPr="008F4843">
        <w:rPr>
          <w:noProof/>
        </w:rPr>
        <w:drawing>
          <wp:inline distT="0" distB="0" distL="0" distR="0" wp14:anchorId="606F991E" wp14:editId="40BF8FC6">
            <wp:extent cx="5734050" cy="12858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285875"/>
                    </a:xfrm>
                    <a:prstGeom prst="rect">
                      <a:avLst/>
                    </a:prstGeom>
                    <a:noFill/>
                    <a:ln>
                      <a:noFill/>
                    </a:ln>
                  </pic:spPr>
                </pic:pic>
              </a:graphicData>
            </a:graphic>
          </wp:inline>
        </w:drawing>
      </w:r>
    </w:p>
    <w:p w14:paraId="63E12C38" w14:textId="77777777" w:rsidR="00184FA3" w:rsidRPr="00863A17" w:rsidRDefault="00184FA3">
      <w:pPr>
        <w:rPr>
          <w:rFonts w:ascii="Tahoma" w:hAnsi="Tahoma" w:cs="Tahoma"/>
          <w:sz w:val="24"/>
          <w:szCs w:val="24"/>
          <w:lang w:val="en-US"/>
        </w:rPr>
      </w:pPr>
      <w:r w:rsidRPr="00863A17">
        <w:rPr>
          <w:rFonts w:ascii="Tahoma" w:hAnsi="Tahoma" w:cs="Tahoma"/>
          <w:i/>
          <w:sz w:val="24"/>
          <w:szCs w:val="24"/>
          <w:lang w:val="en-US"/>
        </w:rPr>
        <w:t>Source</w:t>
      </w:r>
      <w:r w:rsidR="00B1678A" w:rsidRPr="00863A17">
        <w:rPr>
          <w:rFonts w:ascii="Tahoma" w:hAnsi="Tahoma" w:cs="Tahoma"/>
          <w:i/>
          <w:sz w:val="24"/>
          <w:szCs w:val="24"/>
          <w:lang w:val="en-US"/>
        </w:rPr>
        <w:t>: Reserve Bank of Zimbabwe (</w:t>
      </w:r>
      <w:r w:rsidR="0062024E" w:rsidRPr="00863A17">
        <w:rPr>
          <w:rFonts w:ascii="Tahoma" w:hAnsi="Tahoma" w:cs="Tahoma"/>
          <w:i/>
          <w:sz w:val="24"/>
          <w:szCs w:val="24"/>
          <w:lang w:val="en-US"/>
        </w:rPr>
        <w:t>202</w:t>
      </w:r>
      <w:r w:rsidR="008B2E08" w:rsidRPr="00863A17">
        <w:rPr>
          <w:rFonts w:ascii="Tahoma" w:hAnsi="Tahoma" w:cs="Tahoma"/>
          <w:i/>
          <w:sz w:val="24"/>
          <w:szCs w:val="24"/>
          <w:lang w:val="en-US"/>
        </w:rPr>
        <w:t>4</w:t>
      </w:r>
      <w:r w:rsidR="00B1678A" w:rsidRPr="00863A17">
        <w:rPr>
          <w:rFonts w:ascii="Tahoma" w:hAnsi="Tahoma" w:cs="Tahoma"/>
          <w:i/>
          <w:sz w:val="24"/>
          <w:szCs w:val="24"/>
          <w:lang w:val="en-US"/>
        </w:rPr>
        <w:t>)</w:t>
      </w:r>
      <w:r w:rsidR="0062024E" w:rsidRPr="00863A17">
        <w:rPr>
          <w:rFonts w:ascii="Tahoma" w:hAnsi="Tahoma" w:cs="Tahoma"/>
          <w:i/>
          <w:sz w:val="24"/>
          <w:szCs w:val="24"/>
          <w:lang w:val="en-US"/>
        </w:rPr>
        <w:t xml:space="preserve"> </w:t>
      </w:r>
    </w:p>
    <w:p w14:paraId="506A39E2" w14:textId="77777777" w:rsidR="00C65CC6" w:rsidRPr="00863A17" w:rsidRDefault="004C7E36" w:rsidP="003C1D2F">
      <w:pPr>
        <w:pStyle w:val="Heading2"/>
        <w:spacing w:before="0" w:after="240" w:line="240" w:lineRule="auto"/>
        <w:rPr>
          <w:rFonts w:cs="Tahoma"/>
          <w:b/>
          <w:color w:val="000000"/>
          <w:szCs w:val="24"/>
          <w:lang w:val="en-US"/>
        </w:rPr>
      </w:pPr>
      <w:bookmarkStart w:id="33" w:name="_Toc166607897"/>
      <w:bookmarkStart w:id="34" w:name="_Toc171946089"/>
      <w:r w:rsidRPr="00863A17">
        <w:rPr>
          <w:rFonts w:cs="Tahoma"/>
          <w:b/>
          <w:color w:val="000000"/>
          <w:szCs w:val="24"/>
          <w:lang w:val="en-US"/>
        </w:rPr>
        <w:t>5.2</w:t>
      </w:r>
      <w:r w:rsidRPr="00863A17">
        <w:rPr>
          <w:rFonts w:cs="Tahoma"/>
          <w:b/>
          <w:color w:val="000000"/>
          <w:szCs w:val="24"/>
          <w:lang w:val="en-US"/>
        </w:rPr>
        <w:tab/>
      </w:r>
      <w:r w:rsidR="00EF25BB" w:rsidRPr="00863A17">
        <w:rPr>
          <w:rFonts w:cs="Tahoma"/>
          <w:b/>
          <w:color w:val="000000"/>
          <w:szCs w:val="24"/>
          <w:lang w:val="en-US"/>
        </w:rPr>
        <w:t>Cross Rate Developments</w:t>
      </w:r>
      <w:bookmarkEnd w:id="33"/>
      <w:bookmarkEnd w:id="34"/>
      <w:r w:rsidR="00EF25BB" w:rsidRPr="00863A17">
        <w:rPr>
          <w:rFonts w:cs="Tahoma"/>
          <w:b/>
          <w:color w:val="000000"/>
          <w:szCs w:val="24"/>
          <w:lang w:val="en-US"/>
        </w:rPr>
        <w:t xml:space="preserve"> </w:t>
      </w:r>
    </w:p>
    <w:p w14:paraId="163B6F44" w14:textId="4EAC316C" w:rsidR="00C65CC6" w:rsidRPr="002E6010" w:rsidRDefault="004C7E36" w:rsidP="004C7E36">
      <w:pPr>
        <w:ind w:left="720" w:hanging="720"/>
        <w:jc w:val="both"/>
        <w:rPr>
          <w:rFonts w:ascii="Tahoma" w:hAnsi="Tahoma" w:cs="Tahoma"/>
          <w:sz w:val="24"/>
          <w:szCs w:val="24"/>
          <w:lang w:val="en-US"/>
        </w:rPr>
      </w:pPr>
      <w:r w:rsidRPr="00863A17">
        <w:rPr>
          <w:rFonts w:ascii="Tahoma" w:hAnsi="Tahoma" w:cs="Tahoma"/>
          <w:sz w:val="24"/>
          <w:szCs w:val="24"/>
          <w:lang w:val="en-US"/>
        </w:rPr>
        <w:t>5.2.1</w:t>
      </w:r>
      <w:r w:rsidRPr="00863A17">
        <w:rPr>
          <w:rFonts w:ascii="Tahoma" w:hAnsi="Tahoma" w:cs="Tahoma"/>
          <w:sz w:val="24"/>
          <w:szCs w:val="24"/>
          <w:lang w:val="en-US"/>
        </w:rPr>
        <w:tab/>
      </w:r>
      <w:r w:rsidR="00E25542" w:rsidRPr="002E6010">
        <w:rPr>
          <w:rFonts w:ascii="Tahoma" w:hAnsi="Tahoma" w:cs="Tahoma"/>
          <w:sz w:val="24"/>
          <w:szCs w:val="24"/>
          <w:lang w:val="en-US"/>
        </w:rPr>
        <w:t xml:space="preserve">On </w:t>
      </w:r>
      <w:r w:rsidR="005645F7" w:rsidRPr="002E6010">
        <w:rPr>
          <w:rFonts w:ascii="Tahoma" w:hAnsi="Tahoma" w:cs="Tahoma"/>
          <w:sz w:val="24"/>
          <w:szCs w:val="24"/>
          <w:lang w:val="en-US"/>
        </w:rPr>
        <w:t>MoM</w:t>
      </w:r>
      <w:r w:rsidR="00E25542" w:rsidRPr="002E6010">
        <w:rPr>
          <w:rFonts w:ascii="Tahoma" w:hAnsi="Tahoma" w:cs="Tahoma"/>
          <w:sz w:val="24"/>
          <w:szCs w:val="24"/>
          <w:lang w:val="en-US"/>
        </w:rPr>
        <w:t xml:space="preserve"> basis</w:t>
      </w:r>
      <w:r w:rsidR="00EF25BB" w:rsidRPr="002E6010">
        <w:rPr>
          <w:rFonts w:ascii="Tahoma" w:hAnsi="Tahoma" w:cs="Tahoma"/>
          <w:sz w:val="24"/>
          <w:szCs w:val="24"/>
          <w:lang w:val="en-US"/>
        </w:rPr>
        <w:t>, the USD</w:t>
      </w:r>
      <w:r w:rsidR="00253FAC">
        <w:rPr>
          <w:rFonts w:ascii="Tahoma" w:hAnsi="Tahoma" w:cs="Tahoma"/>
          <w:sz w:val="24"/>
          <w:szCs w:val="24"/>
          <w:lang w:val="en-US"/>
        </w:rPr>
        <w:t xml:space="preserve"> gained against the GBP and EUR by 0.73% and 1.21% respectively, and the USD depreciated by 1.62% against the ZAR. On a YtD and YoY basis, the USD lost gained both the GBP and EUR, </w:t>
      </w:r>
      <w:r w:rsidR="00101D9E">
        <w:rPr>
          <w:rFonts w:ascii="Tahoma" w:hAnsi="Tahoma" w:cs="Tahoma"/>
          <w:sz w:val="24"/>
          <w:szCs w:val="24"/>
          <w:lang w:val="en-US"/>
        </w:rPr>
        <w:t>albeit</w:t>
      </w:r>
      <w:r w:rsidR="00253FAC">
        <w:rPr>
          <w:rFonts w:ascii="Tahoma" w:hAnsi="Tahoma" w:cs="Tahoma"/>
          <w:sz w:val="24"/>
          <w:szCs w:val="24"/>
          <w:lang w:val="en-US"/>
        </w:rPr>
        <w:t xml:space="preserve"> </w:t>
      </w:r>
      <w:r w:rsidR="00101D9E">
        <w:rPr>
          <w:rFonts w:ascii="Tahoma" w:hAnsi="Tahoma" w:cs="Tahoma"/>
          <w:sz w:val="24"/>
          <w:szCs w:val="24"/>
          <w:lang w:val="en-US"/>
        </w:rPr>
        <w:t>depreciating</w:t>
      </w:r>
      <w:r w:rsidR="00253FAC">
        <w:rPr>
          <w:rFonts w:ascii="Tahoma" w:hAnsi="Tahoma" w:cs="Tahoma"/>
          <w:sz w:val="24"/>
          <w:szCs w:val="24"/>
          <w:lang w:val="en-US"/>
        </w:rPr>
        <w:t xml:space="preserve"> against the ZAR</w:t>
      </w:r>
      <w:r w:rsidR="00101D9E">
        <w:rPr>
          <w:rFonts w:ascii="Tahoma" w:hAnsi="Tahoma" w:cs="Tahoma"/>
          <w:sz w:val="24"/>
          <w:szCs w:val="24"/>
          <w:lang w:val="en-US"/>
        </w:rPr>
        <w:t xml:space="preserve"> (see Table 4).</w:t>
      </w:r>
      <w:r w:rsidR="00670F3B">
        <w:rPr>
          <w:rFonts w:ascii="Tahoma" w:hAnsi="Tahoma" w:cs="Tahoma"/>
          <w:sz w:val="24"/>
          <w:szCs w:val="24"/>
          <w:lang w:val="en-US"/>
        </w:rPr>
        <w:t xml:space="preserve"> The trend inhibited by the USD/ZAR exchange rate stimulates Zimbabwe exports to South Africa </w:t>
      </w:r>
      <w:r w:rsidR="006F7725">
        <w:rPr>
          <w:rFonts w:ascii="Tahoma" w:hAnsi="Tahoma" w:cs="Tahoma"/>
          <w:sz w:val="24"/>
          <w:szCs w:val="24"/>
          <w:lang w:val="en-US"/>
        </w:rPr>
        <w:t xml:space="preserve">which boost </w:t>
      </w:r>
      <w:r w:rsidR="00F6371C">
        <w:rPr>
          <w:rFonts w:ascii="Tahoma" w:hAnsi="Tahoma" w:cs="Tahoma"/>
          <w:sz w:val="24"/>
          <w:szCs w:val="24"/>
          <w:lang w:val="en-US"/>
        </w:rPr>
        <w:t>industrialization</w:t>
      </w:r>
      <w:r w:rsidR="006F7725">
        <w:rPr>
          <w:rFonts w:ascii="Tahoma" w:hAnsi="Tahoma" w:cs="Tahoma"/>
          <w:sz w:val="24"/>
          <w:szCs w:val="24"/>
          <w:lang w:val="en-US"/>
        </w:rPr>
        <w:t xml:space="preserve"> in Zimbabwe.</w:t>
      </w:r>
    </w:p>
    <w:p w14:paraId="01284738" w14:textId="77777777" w:rsidR="003C1D2F" w:rsidRPr="00863A17" w:rsidRDefault="003C1D2F" w:rsidP="0001510C">
      <w:pPr>
        <w:pStyle w:val="ListofTables"/>
        <w:rPr>
          <w:lang w:val="en-US"/>
        </w:rPr>
      </w:pPr>
      <w:bookmarkStart w:id="35" w:name="_Toc164072365"/>
      <w:bookmarkStart w:id="36" w:name="_Toc166658892"/>
      <w:bookmarkStart w:id="37" w:name="_Toc171944518"/>
      <w:r w:rsidRPr="00863A17">
        <w:t xml:space="preserve">Table </w:t>
      </w:r>
      <w:r w:rsidR="00000000">
        <w:fldChar w:fldCharType="begin"/>
      </w:r>
      <w:r w:rsidR="00000000">
        <w:instrText xml:space="preserve"> SEQ Table \* ARABIC </w:instrText>
      </w:r>
      <w:r w:rsidR="00000000">
        <w:fldChar w:fldCharType="separate"/>
      </w:r>
      <w:r w:rsidR="00D30418">
        <w:rPr>
          <w:noProof/>
        </w:rPr>
        <w:t>4</w:t>
      </w:r>
      <w:r w:rsidR="00000000">
        <w:rPr>
          <w:noProof/>
        </w:rPr>
        <w:fldChar w:fldCharType="end"/>
      </w:r>
      <w:r w:rsidRPr="00863A17">
        <w:t xml:space="preserve">: </w:t>
      </w:r>
      <w:r w:rsidRPr="00863A17">
        <w:rPr>
          <w:lang w:val="en-US"/>
        </w:rPr>
        <w:t xml:space="preserve">USD Exchange Rate Movements – </w:t>
      </w:r>
      <w:r w:rsidR="00642C66" w:rsidRPr="00863A17">
        <w:rPr>
          <w:lang w:val="en-US"/>
        </w:rPr>
        <w:t>Month</w:t>
      </w:r>
      <w:r w:rsidRPr="00863A17">
        <w:rPr>
          <w:lang w:val="en-US"/>
        </w:rPr>
        <w:t xml:space="preserve"> Ended </w:t>
      </w:r>
      <w:r w:rsidR="001C46C6">
        <w:rPr>
          <w:lang w:val="en-US"/>
        </w:rPr>
        <w:t>28</w:t>
      </w:r>
      <w:r w:rsidRPr="00863A17">
        <w:rPr>
          <w:lang w:val="en-US"/>
        </w:rPr>
        <w:t xml:space="preserve"> </w:t>
      </w:r>
      <w:r w:rsidR="001C46C6">
        <w:rPr>
          <w:lang w:val="en-US"/>
        </w:rPr>
        <w:t>June</w:t>
      </w:r>
      <w:r w:rsidRPr="00863A17">
        <w:rPr>
          <w:lang w:val="en-US"/>
        </w:rPr>
        <w:t xml:space="preserve"> 202</w:t>
      </w:r>
      <w:r w:rsidR="00642C66" w:rsidRPr="00863A17">
        <w:rPr>
          <w:lang w:val="en-US"/>
        </w:rPr>
        <w:t>4</w:t>
      </w:r>
      <w:bookmarkEnd w:id="35"/>
      <w:bookmarkEnd w:id="36"/>
      <w:bookmarkEnd w:id="37"/>
    </w:p>
    <w:p w14:paraId="0140D5B6" w14:textId="5C8A1D7E" w:rsidR="000E455D" w:rsidRPr="00863A17" w:rsidRDefault="004C4484" w:rsidP="00CB6A80">
      <w:pPr>
        <w:spacing w:after="0"/>
        <w:rPr>
          <w:rFonts w:ascii="Tahoma" w:hAnsi="Tahoma" w:cs="Tahoma"/>
          <w:sz w:val="24"/>
          <w:szCs w:val="24"/>
          <w:lang w:val="en-US"/>
        </w:rPr>
      </w:pPr>
      <w:r w:rsidRPr="00253FAC">
        <w:rPr>
          <w:noProof/>
        </w:rPr>
        <w:drawing>
          <wp:inline distT="0" distB="0" distL="0" distR="0" wp14:anchorId="3451F216" wp14:editId="06E6BA6A">
            <wp:extent cx="5734050" cy="13144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314450"/>
                    </a:xfrm>
                    <a:prstGeom prst="rect">
                      <a:avLst/>
                    </a:prstGeom>
                    <a:noFill/>
                    <a:ln>
                      <a:noFill/>
                    </a:ln>
                  </pic:spPr>
                </pic:pic>
              </a:graphicData>
            </a:graphic>
          </wp:inline>
        </w:drawing>
      </w:r>
    </w:p>
    <w:p w14:paraId="2F535A98" w14:textId="77777777" w:rsidR="00184FA3" w:rsidRPr="00863A17" w:rsidRDefault="004C7E36">
      <w:pPr>
        <w:rPr>
          <w:rFonts w:ascii="Tahoma" w:hAnsi="Tahoma" w:cs="Tahoma"/>
          <w:i/>
          <w:sz w:val="24"/>
          <w:szCs w:val="24"/>
          <w:lang w:val="en-US"/>
        </w:rPr>
      </w:pPr>
      <w:r w:rsidRPr="00863A17">
        <w:rPr>
          <w:rFonts w:ascii="Tahoma" w:hAnsi="Tahoma" w:cs="Tahoma"/>
          <w:i/>
          <w:sz w:val="24"/>
          <w:szCs w:val="24"/>
          <w:lang w:val="en-US"/>
        </w:rPr>
        <w:t xml:space="preserve">Source: </w:t>
      </w:r>
      <w:r w:rsidR="006F52AC" w:rsidRPr="00863A17">
        <w:rPr>
          <w:rFonts w:ascii="Tahoma" w:hAnsi="Tahoma" w:cs="Tahoma"/>
          <w:i/>
          <w:sz w:val="24"/>
          <w:szCs w:val="24"/>
          <w:lang w:val="en-US"/>
        </w:rPr>
        <w:t>RBZ</w:t>
      </w:r>
      <w:r w:rsidRPr="00863A17">
        <w:rPr>
          <w:rFonts w:ascii="Tahoma" w:hAnsi="Tahoma" w:cs="Tahoma"/>
          <w:i/>
          <w:sz w:val="24"/>
          <w:szCs w:val="24"/>
          <w:lang w:val="en-US"/>
        </w:rPr>
        <w:t xml:space="preserve"> (202</w:t>
      </w:r>
      <w:r w:rsidR="006F52AC" w:rsidRPr="00863A17">
        <w:rPr>
          <w:rFonts w:ascii="Tahoma" w:hAnsi="Tahoma" w:cs="Tahoma"/>
          <w:i/>
          <w:sz w:val="24"/>
          <w:szCs w:val="24"/>
          <w:lang w:val="en-US"/>
        </w:rPr>
        <w:t>4</w:t>
      </w:r>
      <w:r w:rsidRPr="00863A17">
        <w:rPr>
          <w:rFonts w:ascii="Tahoma" w:hAnsi="Tahoma" w:cs="Tahoma"/>
          <w:i/>
          <w:sz w:val="24"/>
          <w:szCs w:val="24"/>
          <w:lang w:val="en-US"/>
        </w:rPr>
        <w:t>)</w:t>
      </w:r>
    </w:p>
    <w:p w14:paraId="2BC75664" w14:textId="77777777" w:rsidR="00184FA3" w:rsidRPr="00A64F64" w:rsidRDefault="004C7E36" w:rsidP="003C1D2F">
      <w:pPr>
        <w:pStyle w:val="Heading1"/>
        <w:spacing w:before="0" w:after="240" w:line="240" w:lineRule="auto"/>
        <w:rPr>
          <w:rFonts w:cs="Tahoma"/>
          <w:bCs/>
          <w:color w:val="000000"/>
          <w:szCs w:val="24"/>
          <w:lang w:val="en-US"/>
        </w:rPr>
      </w:pPr>
      <w:bookmarkStart w:id="38" w:name="_Toc166607898"/>
      <w:bookmarkStart w:id="39" w:name="_Toc171946090"/>
      <w:r w:rsidRPr="00A64F64">
        <w:rPr>
          <w:rFonts w:cs="Tahoma"/>
          <w:bCs/>
          <w:color w:val="000000"/>
          <w:szCs w:val="24"/>
          <w:lang w:val="en-US"/>
        </w:rPr>
        <w:t>6.0</w:t>
      </w:r>
      <w:r w:rsidRPr="00A64F64">
        <w:rPr>
          <w:rFonts w:cs="Tahoma"/>
          <w:bCs/>
          <w:color w:val="000000"/>
          <w:szCs w:val="24"/>
          <w:lang w:val="en-US"/>
        </w:rPr>
        <w:tab/>
      </w:r>
      <w:r w:rsidR="00184FA3" w:rsidRPr="00A64F64">
        <w:rPr>
          <w:rFonts w:cs="Tahoma"/>
          <w:bCs/>
          <w:color w:val="000000"/>
          <w:szCs w:val="24"/>
          <w:lang w:val="en-US"/>
        </w:rPr>
        <w:t>Inflation Developments</w:t>
      </w:r>
      <w:bookmarkEnd w:id="38"/>
      <w:bookmarkEnd w:id="39"/>
      <w:r w:rsidR="00184FA3" w:rsidRPr="00A64F64">
        <w:rPr>
          <w:rFonts w:cs="Tahoma"/>
          <w:bCs/>
          <w:color w:val="000000"/>
          <w:szCs w:val="24"/>
          <w:lang w:val="en-US"/>
        </w:rPr>
        <w:t xml:space="preserve"> </w:t>
      </w:r>
    </w:p>
    <w:p w14:paraId="194A0B5E" w14:textId="7677D6DB" w:rsidR="00FC71BF" w:rsidRPr="00863A17" w:rsidRDefault="004C7E36" w:rsidP="004C7E36">
      <w:pPr>
        <w:ind w:left="720" w:hanging="720"/>
        <w:jc w:val="both"/>
        <w:rPr>
          <w:rFonts w:ascii="Tahoma" w:hAnsi="Tahoma" w:cs="Tahoma"/>
          <w:sz w:val="24"/>
          <w:szCs w:val="24"/>
        </w:rPr>
      </w:pPr>
      <w:r w:rsidRPr="00863A17">
        <w:rPr>
          <w:rFonts w:ascii="Tahoma" w:hAnsi="Tahoma" w:cs="Tahoma"/>
          <w:sz w:val="24"/>
          <w:szCs w:val="24"/>
        </w:rPr>
        <w:t>6.1</w:t>
      </w:r>
      <w:r w:rsidRPr="00863A17">
        <w:rPr>
          <w:rFonts w:ascii="Tahoma" w:hAnsi="Tahoma" w:cs="Tahoma"/>
          <w:sz w:val="24"/>
          <w:szCs w:val="24"/>
        </w:rPr>
        <w:tab/>
      </w:r>
      <w:bookmarkStart w:id="40" w:name="_Hlk166606180"/>
      <w:r w:rsidR="00B860C5" w:rsidRPr="00863A17">
        <w:rPr>
          <w:rFonts w:ascii="Tahoma" w:hAnsi="Tahoma" w:cs="Tahoma"/>
          <w:sz w:val="24"/>
          <w:szCs w:val="24"/>
        </w:rPr>
        <w:t xml:space="preserve">During the </w:t>
      </w:r>
      <w:r w:rsidR="00CC0A83">
        <w:rPr>
          <w:rFonts w:ascii="Tahoma" w:hAnsi="Tahoma" w:cs="Tahoma"/>
          <w:sz w:val="24"/>
          <w:szCs w:val="24"/>
        </w:rPr>
        <w:t>month</w:t>
      </w:r>
      <w:r w:rsidR="00B860C5" w:rsidRPr="00863A17">
        <w:rPr>
          <w:rFonts w:ascii="Tahoma" w:hAnsi="Tahoma" w:cs="Tahoma"/>
          <w:sz w:val="24"/>
          <w:szCs w:val="24"/>
        </w:rPr>
        <w:t xml:space="preserve"> under review</w:t>
      </w:r>
      <w:r w:rsidR="00C87EA9">
        <w:rPr>
          <w:rFonts w:ascii="Tahoma" w:hAnsi="Tahoma" w:cs="Tahoma"/>
          <w:sz w:val="24"/>
          <w:szCs w:val="24"/>
        </w:rPr>
        <w:t xml:space="preserve"> the economy continued to record a deflation</w:t>
      </w:r>
      <w:r w:rsidR="00B860C5" w:rsidRPr="00863A17">
        <w:rPr>
          <w:rFonts w:ascii="Tahoma" w:hAnsi="Tahoma" w:cs="Tahoma"/>
          <w:sz w:val="24"/>
          <w:szCs w:val="24"/>
        </w:rPr>
        <w:t xml:space="preserve">, </w:t>
      </w:r>
      <w:r w:rsidR="00A44693">
        <w:rPr>
          <w:rFonts w:ascii="Tahoma" w:hAnsi="Tahoma" w:cs="Tahoma"/>
          <w:sz w:val="24"/>
          <w:szCs w:val="24"/>
        </w:rPr>
        <w:t>M</w:t>
      </w:r>
      <w:r w:rsidR="00CB6A80">
        <w:rPr>
          <w:rFonts w:ascii="Tahoma" w:hAnsi="Tahoma" w:cs="Tahoma"/>
          <w:sz w:val="24"/>
          <w:szCs w:val="24"/>
        </w:rPr>
        <w:t>o</w:t>
      </w:r>
      <w:r w:rsidR="00A44693">
        <w:rPr>
          <w:rFonts w:ascii="Tahoma" w:hAnsi="Tahoma" w:cs="Tahoma"/>
          <w:sz w:val="24"/>
          <w:szCs w:val="24"/>
        </w:rPr>
        <w:t>M</w:t>
      </w:r>
      <w:r w:rsidR="00B860C5" w:rsidRPr="00863A17">
        <w:rPr>
          <w:rFonts w:ascii="Tahoma" w:hAnsi="Tahoma" w:cs="Tahoma"/>
          <w:sz w:val="24"/>
          <w:szCs w:val="24"/>
        </w:rPr>
        <w:t xml:space="preserve"> inflation</w:t>
      </w:r>
      <w:r w:rsidR="00C87EA9">
        <w:rPr>
          <w:rFonts w:ascii="Tahoma" w:hAnsi="Tahoma" w:cs="Tahoma"/>
          <w:sz w:val="24"/>
          <w:szCs w:val="24"/>
        </w:rPr>
        <w:t xml:space="preserve"> </w:t>
      </w:r>
      <w:r w:rsidR="00B860C5" w:rsidRPr="00863A17">
        <w:rPr>
          <w:rFonts w:ascii="Tahoma" w:hAnsi="Tahoma" w:cs="Tahoma"/>
          <w:sz w:val="24"/>
          <w:szCs w:val="24"/>
        </w:rPr>
        <w:t xml:space="preserve">stood at </w:t>
      </w:r>
      <w:r w:rsidR="00C87EA9">
        <w:rPr>
          <w:rFonts w:ascii="Tahoma" w:hAnsi="Tahoma" w:cs="Tahoma"/>
          <w:sz w:val="24"/>
          <w:szCs w:val="24"/>
        </w:rPr>
        <w:t>-0</w:t>
      </w:r>
      <w:r w:rsidR="00B97DEF">
        <w:rPr>
          <w:rFonts w:ascii="Tahoma" w:hAnsi="Tahoma" w:cs="Tahoma"/>
          <w:sz w:val="24"/>
          <w:szCs w:val="24"/>
        </w:rPr>
        <w:t>.</w:t>
      </w:r>
      <w:r w:rsidR="00C87EA9">
        <w:rPr>
          <w:rFonts w:ascii="Tahoma" w:hAnsi="Tahoma" w:cs="Tahoma"/>
          <w:sz w:val="24"/>
          <w:szCs w:val="24"/>
        </w:rPr>
        <w:t>2</w:t>
      </w:r>
      <w:r w:rsidR="00B860C5" w:rsidRPr="00863A17">
        <w:rPr>
          <w:rFonts w:ascii="Tahoma" w:hAnsi="Tahoma" w:cs="Tahoma"/>
          <w:sz w:val="24"/>
          <w:szCs w:val="24"/>
        </w:rPr>
        <w:t xml:space="preserve">% </w:t>
      </w:r>
      <w:r w:rsidR="00C87EA9">
        <w:rPr>
          <w:rFonts w:ascii="Tahoma" w:hAnsi="Tahoma" w:cs="Tahoma"/>
          <w:sz w:val="24"/>
          <w:szCs w:val="24"/>
        </w:rPr>
        <w:t>up</w:t>
      </w:r>
      <w:r w:rsidR="00CB6A80">
        <w:rPr>
          <w:rFonts w:ascii="Tahoma" w:hAnsi="Tahoma" w:cs="Tahoma"/>
          <w:sz w:val="24"/>
          <w:szCs w:val="24"/>
        </w:rPr>
        <w:t xml:space="preserve"> from </w:t>
      </w:r>
      <w:r w:rsidR="00C87EA9">
        <w:rPr>
          <w:rFonts w:ascii="Tahoma" w:hAnsi="Tahoma" w:cs="Tahoma"/>
          <w:sz w:val="24"/>
          <w:szCs w:val="24"/>
        </w:rPr>
        <w:t>-0.6</w:t>
      </w:r>
      <w:r w:rsidR="009D2B26" w:rsidRPr="00863A17">
        <w:rPr>
          <w:rFonts w:ascii="Tahoma" w:hAnsi="Tahoma" w:cs="Tahoma"/>
          <w:sz w:val="24"/>
          <w:szCs w:val="24"/>
        </w:rPr>
        <w:t>%</w:t>
      </w:r>
      <w:r w:rsidR="00CB6A80">
        <w:rPr>
          <w:rFonts w:ascii="Tahoma" w:hAnsi="Tahoma" w:cs="Tahoma"/>
          <w:sz w:val="24"/>
          <w:szCs w:val="24"/>
        </w:rPr>
        <w:t xml:space="preserve"> recorded in </w:t>
      </w:r>
      <w:r w:rsidR="00C87EA9">
        <w:rPr>
          <w:rFonts w:ascii="Tahoma" w:hAnsi="Tahoma" w:cs="Tahoma"/>
          <w:sz w:val="24"/>
          <w:szCs w:val="24"/>
        </w:rPr>
        <w:t>May 2024</w:t>
      </w:r>
      <w:r w:rsidR="00A44693">
        <w:rPr>
          <w:rFonts w:ascii="Tahoma" w:hAnsi="Tahoma" w:cs="Tahoma"/>
          <w:sz w:val="24"/>
          <w:szCs w:val="24"/>
        </w:rPr>
        <w:t xml:space="preserve"> (</w:t>
      </w:r>
      <w:r w:rsidR="00670FF1" w:rsidRPr="00863A17">
        <w:rPr>
          <w:rFonts w:ascii="Tahoma" w:hAnsi="Tahoma" w:cs="Tahoma"/>
          <w:sz w:val="24"/>
          <w:szCs w:val="24"/>
        </w:rPr>
        <w:t xml:space="preserve">see Figure </w:t>
      </w:r>
      <w:r w:rsidR="00C87EA9">
        <w:rPr>
          <w:rFonts w:ascii="Tahoma" w:hAnsi="Tahoma" w:cs="Tahoma"/>
          <w:sz w:val="24"/>
          <w:szCs w:val="24"/>
        </w:rPr>
        <w:t>3</w:t>
      </w:r>
      <w:r w:rsidR="00A44693">
        <w:rPr>
          <w:rFonts w:ascii="Tahoma" w:hAnsi="Tahoma" w:cs="Tahoma"/>
          <w:sz w:val="24"/>
          <w:szCs w:val="24"/>
        </w:rPr>
        <w:t>)</w:t>
      </w:r>
      <w:r w:rsidR="00670FF1" w:rsidRPr="00863A17">
        <w:rPr>
          <w:rFonts w:ascii="Tahoma" w:hAnsi="Tahoma" w:cs="Tahoma"/>
          <w:sz w:val="24"/>
          <w:szCs w:val="24"/>
        </w:rPr>
        <w:t xml:space="preserve">. </w:t>
      </w:r>
    </w:p>
    <w:p w14:paraId="48A2C67D" w14:textId="77777777" w:rsidR="00FA3C4E" w:rsidRPr="00863A17" w:rsidRDefault="00FA3C4E" w:rsidP="0001510C">
      <w:pPr>
        <w:pStyle w:val="ListofFigures"/>
      </w:pPr>
      <w:bookmarkStart w:id="41" w:name="_Toc171944604"/>
      <w:bookmarkEnd w:id="40"/>
      <w:r w:rsidRPr="00863A17">
        <w:lastRenderedPageBreak/>
        <w:t xml:space="preserve">Figure </w:t>
      </w:r>
      <w:r w:rsidR="002D478F">
        <w:rPr>
          <w:bCs/>
        </w:rPr>
        <w:t>3</w:t>
      </w:r>
      <w:r w:rsidRPr="00863A17">
        <w:t xml:space="preserve">: </w:t>
      </w:r>
      <w:r w:rsidRPr="00863A17">
        <w:rPr>
          <w:lang w:val="en-US"/>
        </w:rPr>
        <w:t>Month</w:t>
      </w:r>
      <w:r w:rsidR="00FF7839" w:rsidRPr="00863A17">
        <w:rPr>
          <w:lang w:val="en-US"/>
        </w:rPr>
        <w:t>-</w:t>
      </w:r>
      <w:r w:rsidR="00670FF1" w:rsidRPr="00863A17">
        <w:rPr>
          <w:lang w:val="en-US"/>
        </w:rPr>
        <w:t>on</w:t>
      </w:r>
      <w:r w:rsidR="00FF7839" w:rsidRPr="00863A17">
        <w:rPr>
          <w:lang w:val="en-US"/>
        </w:rPr>
        <w:t>-</w:t>
      </w:r>
      <w:r w:rsidR="00670FF1" w:rsidRPr="00863A17">
        <w:rPr>
          <w:lang w:val="en-US"/>
        </w:rPr>
        <w:t>Month</w:t>
      </w:r>
      <w:r w:rsidRPr="00863A17">
        <w:rPr>
          <w:lang w:val="en-US"/>
        </w:rPr>
        <w:t xml:space="preserve"> Inflation Outturn</w:t>
      </w:r>
      <w:bookmarkEnd w:id="41"/>
    </w:p>
    <w:p w14:paraId="27A5877C" w14:textId="28D2FB28" w:rsidR="00474E3B" w:rsidRPr="00863A17" w:rsidRDefault="004C4484" w:rsidP="004C7E36">
      <w:pPr>
        <w:spacing w:after="0"/>
        <w:rPr>
          <w:rFonts w:ascii="Tahoma" w:hAnsi="Tahoma" w:cs="Tahoma"/>
          <w:sz w:val="24"/>
          <w:szCs w:val="24"/>
          <w:lang w:val="en-US"/>
        </w:rPr>
      </w:pPr>
      <w:r w:rsidRPr="008C2980">
        <w:rPr>
          <w:noProof/>
        </w:rPr>
        <w:drawing>
          <wp:inline distT="0" distB="0" distL="0" distR="0" wp14:anchorId="46C0F5D5" wp14:editId="288CBFF5">
            <wp:extent cx="5732145" cy="3176270"/>
            <wp:effectExtent l="0" t="0" r="0" b="0"/>
            <wp:docPr id="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44B6895" w14:textId="77777777" w:rsidR="00474E3B" w:rsidRPr="00863A17" w:rsidRDefault="004C7E36" w:rsidP="00474E3B">
      <w:pPr>
        <w:rPr>
          <w:rFonts w:ascii="Tahoma" w:hAnsi="Tahoma" w:cs="Tahoma"/>
          <w:i/>
          <w:sz w:val="24"/>
          <w:szCs w:val="24"/>
          <w:lang w:val="en-US"/>
        </w:rPr>
      </w:pPr>
      <w:r w:rsidRPr="00863A17">
        <w:rPr>
          <w:rFonts w:ascii="Tahoma" w:hAnsi="Tahoma" w:cs="Tahoma"/>
          <w:i/>
          <w:sz w:val="24"/>
          <w:szCs w:val="24"/>
          <w:lang w:val="en-US"/>
        </w:rPr>
        <w:t>Source: ZimStat (202</w:t>
      </w:r>
      <w:r w:rsidR="00FF16B2" w:rsidRPr="00863A17">
        <w:rPr>
          <w:rFonts w:ascii="Tahoma" w:hAnsi="Tahoma" w:cs="Tahoma"/>
          <w:i/>
          <w:sz w:val="24"/>
          <w:szCs w:val="24"/>
          <w:lang w:val="en-US"/>
        </w:rPr>
        <w:t>4</w:t>
      </w:r>
      <w:r w:rsidRPr="00863A17">
        <w:rPr>
          <w:rFonts w:ascii="Tahoma" w:hAnsi="Tahoma" w:cs="Tahoma"/>
          <w:i/>
          <w:sz w:val="24"/>
          <w:szCs w:val="24"/>
          <w:lang w:val="en-US"/>
        </w:rPr>
        <w:t>)</w:t>
      </w:r>
    </w:p>
    <w:p w14:paraId="2BF7C903" w14:textId="2182A05B" w:rsidR="00474E3B" w:rsidRPr="00863A17" w:rsidRDefault="004C7E36" w:rsidP="00085B08">
      <w:pPr>
        <w:ind w:left="720" w:hanging="720"/>
        <w:jc w:val="both"/>
        <w:rPr>
          <w:rFonts w:ascii="Tahoma" w:hAnsi="Tahoma" w:cs="Tahoma"/>
          <w:sz w:val="24"/>
          <w:szCs w:val="24"/>
          <w:lang w:val="en-US"/>
        </w:rPr>
      </w:pPr>
      <w:r w:rsidRPr="00863A17">
        <w:rPr>
          <w:rFonts w:ascii="Tahoma" w:hAnsi="Tahoma" w:cs="Tahoma"/>
          <w:sz w:val="24"/>
          <w:szCs w:val="24"/>
          <w:lang w:val="en-US"/>
        </w:rPr>
        <w:t>6.</w:t>
      </w:r>
      <w:r w:rsidR="005833C4">
        <w:rPr>
          <w:rFonts w:ascii="Tahoma" w:hAnsi="Tahoma" w:cs="Tahoma"/>
          <w:sz w:val="24"/>
          <w:szCs w:val="24"/>
          <w:lang w:val="en-US"/>
        </w:rPr>
        <w:t>2</w:t>
      </w:r>
      <w:r w:rsidRPr="00863A17">
        <w:rPr>
          <w:rFonts w:ascii="Tahoma" w:hAnsi="Tahoma" w:cs="Tahoma"/>
          <w:sz w:val="24"/>
          <w:szCs w:val="24"/>
          <w:lang w:val="en-US"/>
        </w:rPr>
        <w:tab/>
      </w:r>
      <w:r w:rsidR="00474E3B" w:rsidRPr="00863A17">
        <w:rPr>
          <w:rFonts w:ascii="Tahoma" w:hAnsi="Tahoma" w:cs="Tahoma"/>
          <w:sz w:val="24"/>
          <w:szCs w:val="24"/>
          <w:lang w:val="en-US"/>
        </w:rPr>
        <w:t>Table</w:t>
      </w:r>
      <w:r w:rsidRPr="00863A17">
        <w:rPr>
          <w:rFonts w:ascii="Tahoma" w:hAnsi="Tahoma" w:cs="Tahoma"/>
          <w:sz w:val="24"/>
          <w:szCs w:val="24"/>
          <w:lang w:val="en-US"/>
        </w:rPr>
        <w:t xml:space="preserve"> 5</w:t>
      </w:r>
      <w:r w:rsidR="00CB6A80">
        <w:rPr>
          <w:rFonts w:ascii="Tahoma" w:hAnsi="Tahoma" w:cs="Tahoma"/>
          <w:sz w:val="24"/>
          <w:szCs w:val="24"/>
          <w:lang w:val="en-US"/>
        </w:rPr>
        <w:t xml:space="preserve"> shows the drivers of inflation in </w:t>
      </w:r>
      <w:r w:rsidR="00AB7531">
        <w:rPr>
          <w:rFonts w:ascii="Tahoma" w:hAnsi="Tahoma" w:cs="Tahoma"/>
          <w:sz w:val="24"/>
          <w:szCs w:val="24"/>
          <w:lang w:val="en-US"/>
        </w:rPr>
        <w:t>June</w:t>
      </w:r>
      <w:r w:rsidR="00CB6A80">
        <w:rPr>
          <w:rFonts w:ascii="Tahoma" w:hAnsi="Tahoma" w:cs="Tahoma"/>
          <w:sz w:val="24"/>
          <w:szCs w:val="24"/>
          <w:lang w:val="en-US"/>
        </w:rPr>
        <w:t xml:space="preserve"> 2024.</w:t>
      </w:r>
      <w:r w:rsidR="00AD7826">
        <w:rPr>
          <w:rFonts w:ascii="Tahoma" w:hAnsi="Tahoma" w:cs="Tahoma"/>
          <w:sz w:val="24"/>
          <w:szCs w:val="24"/>
          <w:lang w:val="en-US"/>
        </w:rPr>
        <w:t xml:space="preserve"> </w:t>
      </w:r>
      <w:r w:rsidR="00C456DD">
        <w:rPr>
          <w:rFonts w:ascii="Tahoma" w:hAnsi="Tahoma" w:cs="Tahoma"/>
          <w:sz w:val="24"/>
          <w:szCs w:val="24"/>
          <w:lang w:val="en-US"/>
        </w:rPr>
        <w:t xml:space="preserve">The main contributor to inflation is housing, water, electricity, gas and other fuels with a weight of 27.62, while </w:t>
      </w:r>
      <w:r w:rsidR="001C3F65">
        <w:rPr>
          <w:rFonts w:ascii="Tahoma" w:hAnsi="Tahoma" w:cs="Tahoma"/>
          <w:sz w:val="24"/>
          <w:szCs w:val="24"/>
          <w:lang w:val="en-US"/>
        </w:rPr>
        <w:t>f</w:t>
      </w:r>
      <w:r w:rsidR="00C456DD">
        <w:rPr>
          <w:rFonts w:ascii="Tahoma" w:hAnsi="Tahoma" w:cs="Tahoma"/>
          <w:sz w:val="24"/>
          <w:szCs w:val="24"/>
          <w:lang w:val="en-US"/>
        </w:rPr>
        <w:t xml:space="preserve">ood and </w:t>
      </w:r>
      <w:r w:rsidR="001C3F65">
        <w:rPr>
          <w:rFonts w:ascii="Tahoma" w:hAnsi="Tahoma" w:cs="Tahoma"/>
          <w:sz w:val="24"/>
          <w:szCs w:val="24"/>
          <w:lang w:val="en-US"/>
        </w:rPr>
        <w:t>n</w:t>
      </w:r>
      <w:r w:rsidR="005E7FCC">
        <w:rPr>
          <w:rFonts w:ascii="Tahoma" w:hAnsi="Tahoma" w:cs="Tahoma"/>
          <w:sz w:val="24"/>
          <w:szCs w:val="24"/>
          <w:lang w:val="en-US"/>
        </w:rPr>
        <w:t>on-</w:t>
      </w:r>
      <w:r w:rsidR="001C3F65">
        <w:rPr>
          <w:rFonts w:ascii="Tahoma" w:hAnsi="Tahoma" w:cs="Tahoma"/>
          <w:sz w:val="24"/>
          <w:szCs w:val="24"/>
          <w:lang w:val="en-US"/>
        </w:rPr>
        <w:t>a</w:t>
      </w:r>
      <w:r w:rsidR="005E7FCC">
        <w:rPr>
          <w:rFonts w:ascii="Tahoma" w:hAnsi="Tahoma" w:cs="Tahoma"/>
          <w:sz w:val="24"/>
          <w:szCs w:val="24"/>
          <w:lang w:val="en-US"/>
        </w:rPr>
        <w:t>lcoholic</w:t>
      </w:r>
      <w:r w:rsidR="00C456DD">
        <w:rPr>
          <w:rFonts w:ascii="Tahoma" w:hAnsi="Tahoma" w:cs="Tahoma"/>
          <w:sz w:val="24"/>
          <w:szCs w:val="24"/>
          <w:lang w:val="en-US"/>
        </w:rPr>
        <w:t xml:space="preserve"> </w:t>
      </w:r>
      <w:r w:rsidR="001C3F65">
        <w:rPr>
          <w:rFonts w:ascii="Tahoma" w:hAnsi="Tahoma" w:cs="Tahoma"/>
          <w:sz w:val="24"/>
          <w:szCs w:val="24"/>
          <w:lang w:val="en-US"/>
        </w:rPr>
        <w:t>b</w:t>
      </w:r>
      <w:r w:rsidR="00C456DD">
        <w:rPr>
          <w:rFonts w:ascii="Tahoma" w:hAnsi="Tahoma" w:cs="Tahoma"/>
          <w:sz w:val="24"/>
          <w:szCs w:val="24"/>
          <w:lang w:val="en-US"/>
        </w:rPr>
        <w:t>everages being the key contributor to deflation with a weight of 31.30.</w:t>
      </w:r>
    </w:p>
    <w:p w14:paraId="5BE74A5C" w14:textId="77777777" w:rsidR="00D81672" w:rsidRPr="00863A17" w:rsidRDefault="003C1D2F" w:rsidP="0001510C">
      <w:pPr>
        <w:pStyle w:val="ListofTables"/>
      </w:pPr>
      <w:bookmarkStart w:id="42" w:name="_Toc164072366"/>
      <w:bookmarkStart w:id="43" w:name="_Toc166658893"/>
      <w:bookmarkStart w:id="44" w:name="_Toc171944519"/>
      <w:r w:rsidRPr="00863A17">
        <w:t xml:space="preserve">Table </w:t>
      </w:r>
      <w:r w:rsidR="00000000">
        <w:fldChar w:fldCharType="begin"/>
      </w:r>
      <w:r w:rsidR="00000000">
        <w:instrText xml:space="preserve"> SEQ Table \* ARABIC </w:instrText>
      </w:r>
      <w:r w:rsidR="00000000">
        <w:fldChar w:fldCharType="separate"/>
      </w:r>
      <w:r w:rsidR="00D30418">
        <w:rPr>
          <w:noProof/>
        </w:rPr>
        <w:t>5</w:t>
      </w:r>
      <w:r w:rsidR="00000000">
        <w:rPr>
          <w:noProof/>
        </w:rPr>
        <w:fldChar w:fldCharType="end"/>
      </w:r>
      <w:r w:rsidRPr="00863A17">
        <w:t xml:space="preserve">: </w:t>
      </w:r>
      <w:r w:rsidR="0008600D">
        <w:t xml:space="preserve">Monthly </w:t>
      </w:r>
      <w:r w:rsidRPr="00863A17">
        <w:rPr>
          <w:lang w:val="en-US"/>
        </w:rPr>
        <w:t xml:space="preserve">Inflation </w:t>
      </w:r>
      <w:r w:rsidR="0008600D">
        <w:rPr>
          <w:lang w:val="en-US"/>
        </w:rPr>
        <w:t>for June</w:t>
      </w:r>
      <w:r w:rsidRPr="00863A17">
        <w:rPr>
          <w:lang w:val="en-US"/>
        </w:rPr>
        <w:t xml:space="preserve"> 202</w:t>
      </w:r>
      <w:r w:rsidR="002525BF" w:rsidRPr="00863A17">
        <w:rPr>
          <w:lang w:val="en-US"/>
        </w:rPr>
        <w:t>4</w:t>
      </w:r>
      <w:bookmarkEnd w:id="42"/>
      <w:bookmarkEnd w:id="43"/>
      <w:bookmarkEnd w:id="44"/>
    </w:p>
    <w:p w14:paraId="531C9632" w14:textId="7E58F48C" w:rsidR="00364947" w:rsidRPr="00863A17" w:rsidRDefault="004C4484" w:rsidP="004C7E36">
      <w:pPr>
        <w:spacing w:after="0"/>
        <w:rPr>
          <w:rFonts w:ascii="Tahoma" w:hAnsi="Tahoma" w:cs="Tahoma"/>
          <w:sz w:val="24"/>
          <w:szCs w:val="24"/>
          <w:lang w:val="en-US"/>
        </w:rPr>
      </w:pPr>
      <w:r w:rsidRPr="00AB7531">
        <w:rPr>
          <w:noProof/>
        </w:rPr>
        <w:drawing>
          <wp:inline distT="0" distB="0" distL="0" distR="0" wp14:anchorId="73A3BCED" wp14:editId="57088EBE">
            <wp:extent cx="5734050" cy="279082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790825"/>
                    </a:xfrm>
                    <a:prstGeom prst="rect">
                      <a:avLst/>
                    </a:prstGeom>
                    <a:noFill/>
                    <a:ln>
                      <a:noFill/>
                    </a:ln>
                  </pic:spPr>
                </pic:pic>
              </a:graphicData>
            </a:graphic>
          </wp:inline>
        </w:drawing>
      </w:r>
    </w:p>
    <w:p w14:paraId="0ABACFCA" w14:textId="77777777" w:rsidR="00D81672" w:rsidRPr="00863A17" w:rsidRDefault="00D81672">
      <w:pPr>
        <w:rPr>
          <w:rFonts w:ascii="Tahoma" w:hAnsi="Tahoma" w:cs="Tahoma"/>
          <w:i/>
          <w:sz w:val="24"/>
          <w:szCs w:val="24"/>
          <w:lang w:val="en-US"/>
        </w:rPr>
      </w:pPr>
      <w:r w:rsidRPr="00863A17">
        <w:rPr>
          <w:rFonts w:ascii="Tahoma" w:hAnsi="Tahoma" w:cs="Tahoma"/>
          <w:i/>
          <w:sz w:val="24"/>
          <w:szCs w:val="24"/>
          <w:lang w:val="en-US"/>
        </w:rPr>
        <w:t>Source</w:t>
      </w:r>
      <w:r w:rsidR="004C7E36" w:rsidRPr="00863A17">
        <w:rPr>
          <w:rFonts w:ascii="Tahoma" w:hAnsi="Tahoma" w:cs="Tahoma"/>
          <w:i/>
          <w:sz w:val="24"/>
          <w:szCs w:val="24"/>
          <w:lang w:val="en-US"/>
        </w:rPr>
        <w:t>: ZimStat (202</w:t>
      </w:r>
      <w:r w:rsidR="00386A89" w:rsidRPr="00863A17">
        <w:rPr>
          <w:rFonts w:ascii="Tahoma" w:hAnsi="Tahoma" w:cs="Tahoma"/>
          <w:i/>
          <w:sz w:val="24"/>
          <w:szCs w:val="24"/>
          <w:lang w:val="en-US"/>
        </w:rPr>
        <w:t>4</w:t>
      </w:r>
      <w:r w:rsidR="004C7E36" w:rsidRPr="00863A17">
        <w:rPr>
          <w:rFonts w:ascii="Tahoma" w:hAnsi="Tahoma" w:cs="Tahoma"/>
          <w:i/>
          <w:sz w:val="24"/>
          <w:szCs w:val="24"/>
          <w:lang w:val="en-US"/>
        </w:rPr>
        <w:t>)</w:t>
      </w:r>
    </w:p>
    <w:p w14:paraId="3BC220C5" w14:textId="77777777" w:rsidR="00184FA3" w:rsidRPr="00A64F64" w:rsidRDefault="00184FA3" w:rsidP="003D0C8C">
      <w:pPr>
        <w:pStyle w:val="Heading1"/>
        <w:numPr>
          <w:ilvl w:val="0"/>
          <w:numId w:val="6"/>
        </w:numPr>
        <w:spacing w:before="0" w:after="240" w:line="240" w:lineRule="auto"/>
        <w:rPr>
          <w:rFonts w:cs="Tahoma"/>
          <w:bCs/>
          <w:color w:val="000000"/>
          <w:szCs w:val="24"/>
          <w:lang w:val="en-US"/>
        </w:rPr>
      </w:pPr>
      <w:bookmarkStart w:id="45" w:name="_Toc166607899"/>
      <w:bookmarkStart w:id="46" w:name="_Toc171946091"/>
      <w:r w:rsidRPr="00A64F64">
        <w:rPr>
          <w:rFonts w:cs="Tahoma"/>
          <w:bCs/>
          <w:color w:val="000000"/>
          <w:szCs w:val="24"/>
          <w:lang w:val="en-US"/>
        </w:rPr>
        <w:lastRenderedPageBreak/>
        <w:t>Monetary Developments</w:t>
      </w:r>
      <w:bookmarkEnd w:id="45"/>
      <w:bookmarkEnd w:id="46"/>
      <w:r w:rsidRPr="00A64F64">
        <w:rPr>
          <w:rFonts w:cs="Tahoma"/>
          <w:bCs/>
          <w:color w:val="000000"/>
          <w:szCs w:val="24"/>
          <w:lang w:val="en-US"/>
        </w:rPr>
        <w:t xml:space="preserve"> </w:t>
      </w:r>
    </w:p>
    <w:p w14:paraId="216FFBBC" w14:textId="77777777" w:rsidR="003D0C8C" w:rsidRPr="003D0C8C" w:rsidRDefault="003D0C8C" w:rsidP="003D0C8C">
      <w:pPr>
        <w:pStyle w:val="Heading2"/>
        <w:spacing w:before="0" w:after="240" w:line="240" w:lineRule="auto"/>
        <w:rPr>
          <w:rFonts w:cs="Tahoma"/>
          <w:b/>
          <w:color w:val="000000"/>
          <w:szCs w:val="24"/>
          <w:lang w:val="en-US"/>
        </w:rPr>
      </w:pPr>
      <w:bookmarkStart w:id="47" w:name="_Toc166607900"/>
      <w:bookmarkStart w:id="48" w:name="_Toc171946092"/>
      <w:r w:rsidRPr="003D0C8C">
        <w:rPr>
          <w:rFonts w:cs="Tahoma"/>
          <w:b/>
          <w:color w:val="000000"/>
          <w:szCs w:val="24"/>
          <w:lang w:val="en-US"/>
        </w:rPr>
        <w:t>7.1</w:t>
      </w:r>
      <w:r w:rsidRPr="003D0C8C">
        <w:rPr>
          <w:rFonts w:cs="Tahoma"/>
          <w:b/>
          <w:color w:val="000000"/>
          <w:szCs w:val="24"/>
          <w:lang w:val="en-US"/>
        </w:rPr>
        <w:tab/>
        <w:t>Money Supply</w:t>
      </w:r>
      <w:bookmarkEnd w:id="47"/>
      <w:r w:rsidR="00CF7A33">
        <w:rPr>
          <w:rFonts w:cs="Tahoma"/>
          <w:b/>
          <w:color w:val="000000"/>
          <w:szCs w:val="24"/>
          <w:lang w:val="en-US"/>
        </w:rPr>
        <w:t xml:space="preserve"> and Interest Rates</w:t>
      </w:r>
      <w:bookmarkEnd w:id="48"/>
    </w:p>
    <w:p w14:paraId="601930CA" w14:textId="77777777" w:rsidR="00E65FAE" w:rsidRPr="00CB6A80" w:rsidRDefault="004C7E36" w:rsidP="00CB6A80">
      <w:pPr>
        <w:ind w:left="720" w:hanging="720"/>
        <w:jc w:val="both"/>
        <w:rPr>
          <w:rFonts w:ascii="Tahoma" w:eastAsia="Times New Roman" w:hAnsi="Tahoma" w:cs="Tahoma"/>
          <w:kern w:val="0"/>
          <w:sz w:val="24"/>
          <w:szCs w:val="24"/>
          <w:lang w:eastAsia="en-ZW"/>
        </w:rPr>
      </w:pPr>
      <w:r w:rsidRPr="00CB6A80">
        <w:rPr>
          <w:rFonts w:ascii="Tahoma" w:hAnsi="Tahoma" w:cs="Tahoma"/>
          <w:sz w:val="24"/>
          <w:szCs w:val="24"/>
          <w:lang w:val="en-US"/>
        </w:rPr>
        <w:t>7.1</w:t>
      </w:r>
      <w:r w:rsidR="00FA7297" w:rsidRPr="00CB6A80">
        <w:rPr>
          <w:rFonts w:ascii="Tahoma" w:hAnsi="Tahoma" w:cs="Tahoma"/>
          <w:sz w:val="24"/>
          <w:szCs w:val="24"/>
          <w:lang w:val="en-US"/>
        </w:rPr>
        <w:t>.</w:t>
      </w:r>
      <w:r w:rsidR="003D0C8C">
        <w:rPr>
          <w:rFonts w:ascii="Tahoma" w:hAnsi="Tahoma" w:cs="Tahoma"/>
          <w:sz w:val="24"/>
          <w:szCs w:val="24"/>
          <w:lang w:val="en-US"/>
        </w:rPr>
        <w:t>1</w:t>
      </w:r>
      <w:r w:rsidRPr="00CB6A80">
        <w:rPr>
          <w:rFonts w:ascii="Tahoma" w:hAnsi="Tahoma" w:cs="Tahoma"/>
          <w:sz w:val="24"/>
          <w:szCs w:val="24"/>
          <w:lang w:val="en-US"/>
        </w:rPr>
        <w:tab/>
      </w:r>
      <w:r w:rsidR="0075339B">
        <w:rPr>
          <w:rFonts w:ascii="Tahoma" w:hAnsi="Tahoma" w:cs="Tahoma"/>
          <w:sz w:val="24"/>
          <w:szCs w:val="24"/>
          <w:lang w:val="en-US"/>
        </w:rPr>
        <w:t xml:space="preserve">The RBZ had not published M3 and interest rates for June 2024 by the time compiling the bulletin hence the </w:t>
      </w:r>
      <w:r w:rsidR="00F5266F">
        <w:rPr>
          <w:rFonts w:ascii="Tahoma" w:hAnsi="Tahoma" w:cs="Tahoma"/>
          <w:sz w:val="24"/>
          <w:szCs w:val="24"/>
          <w:lang w:val="en-US"/>
        </w:rPr>
        <w:t xml:space="preserve">analysis remain the same as of April 2024 Economic Bulletin. </w:t>
      </w:r>
      <w:bookmarkStart w:id="49" w:name="_Hlk166606487"/>
    </w:p>
    <w:bookmarkEnd w:id="49"/>
    <w:p w14:paraId="417198E3" w14:textId="77777777" w:rsidR="00946E24" w:rsidRPr="00863A17" w:rsidRDefault="00CD54F7" w:rsidP="00CF7A33">
      <w:pPr>
        <w:spacing w:after="0" w:line="240" w:lineRule="auto"/>
        <w:rPr>
          <w:rFonts w:ascii="Tahoma" w:hAnsi="Tahoma" w:cs="Tahoma"/>
          <w:sz w:val="24"/>
          <w:szCs w:val="24"/>
        </w:rPr>
      </w:pPr>
      <w:r w:rsidRPr="00863A17">
        <w:rPr>
          <w:rFonts w:ascii="Tahoma" w:hAnsi="Tahoma" w:cs="Tahoma"/>
          <w:sz w:val="24"/>
          <w:szCs w:val="24"/>
        </w:rPr>
        <w:t xml:space="preserve"> </w:t>
      </w:r>
    </w:p>
    <w:p w14:paraId="3E031EB2" w14:textId="77777777" w:rsidR="00184FA3" w:rsidRPr="00A64F64" w:rsidRDefault="00F67469" w:rsidP="00022BFE">
      <w:pPr>
        <w:pStyle w:val="Heading1"/>
        <w:spacing w:before="0" w:after="240" w:line="240" w:lineRule="auto"/>
        <w:rPr>
          <w:rFonts w:cs="Tahoma"/>
          <w:bCs/>
          <w:color w:val="000000"/>
          <w:szCs w:val="24"/>
          <w:lang w:val="en-US"/>
        </w:rPr>
      </w:pPr>
      <w:bookmarkStart w:id="50" w:name="_Toc166607902"/>
      <w:bookmarkStart w:id="51" w:name="_Toc171946093"/>
      <w:r w:rsidRPr="00A64F64">
        <w:rPr>
          <w:rFonts w:cs="Tahoma"/>
          <w:bCs/>
          <w:color w:val="000000"/>
          <w:szCs w:val="24"/>
          <w:lang w:val="en-US"/>
        </w:rPr>
        <w:t>8.0</w:t>
      </w:r>
      <w:r w:rsidRPr="00A64F64">
        <w:rPr>
          <w:rFonts w:cs="Tahoma"/>
          <w:bCs/>
          <w:color w:val="000000"/>
          <w:szCs w:val="24"/>
          <w:lang w:val="en-US"/>
        </w:rPr>
        <w:tab/>
      </w:r>
      <w:r w:rsidR="00184FA3" w:rsidRPr="00A64F64">
        <w:rPr>
          <w:rFonts w:cs="Tahoma"/>
          <w:bCs/>
          <w:color w:val="000000"/>
          <w:szCs w:val="24"/>
          <w:lang w:val="en-US"/>
        </w:rPr>
        <w:t>Stock Market Developments</w:t>
      </w:r>
      <w:bookmarkEnd w:id="50"/>
      <w:bookmarkEnd w:id="51"/>
      <w:r w:rsidR="00184FA3" w:rsidRPr="00A64F64">
        <w:rPr>
          <w:rFonts w:cs="Tahoma"/>
          <w:bCs/>
          <w:color w:val="000000"/>
          <w:szCs w:val="24"/>
          <w:lang w:val="en-US"/>
        </w:rPr>
        <w:t xml:space="preserve"> </w:t>
      </w:r>
    </w:p>
    <w:p w14:paraId="18BD7187" w14:textId="77777777" w:rsidR="00184FA3" w:rsidRPr="00863A17" w:rsidRDefault="00F67469" w:rsidP="003C1D2F">
      <w:pPr>
        <w:pStyle w:val="Heading2"/>
        <w:spacing w:before="0" w:after="240" w:line="240" w:lineRule="auto"/>
        <w:rPr>
          <w:rFonts w:cs="Tahoma"/>
          <w:b/>
          <w:color w:val="000000"/>
          <w:szCs w:val="24"/>
          <w:lang w:val="en-US"/>
        </w:rPr>
      </w:pPr>
      <w:bookmarkStart w:id="52" w:name="_Toc166607903"/>
      <w:bookmarkStart w:id="53" w:name="_Toc171946094"/>
      <w:r w:rsidRPr="00863A17">
        <w:rPr>
          <w:rFonts w:cs="Tahoma"/>
          <w:b/>
          <w:color w:val="000000"/>
          <w:szCs w:val="24"/>
          <w:lang w:val="en-US"/>
        </w:rPr>
        <w:t>8.1</w:t>
      </w:r>
      <w:r w:rsidRPr="00863A17">
        <w:rPr>
          <w:rFonts w:cs="Tahoma"/>
          <w:b/>
          <w:color w:val="000000"/>
          <w:szCs w:val="24"/>
          <w:lang w:val="en-US"/>
        </w:rPr>
        <w:tab/>
      </w:r>
      <w:r w:rsidR="00184FA3" w:rsidRPr="00863A17">
        <w:rPr>
          <w:rFonts w:cs="Tahoma"/>
          <w:b/>
          <w:color w:val="000000"/>
          <w:szCs w:val="24"/>
          <w:lang w:val="en-US"/>
        </w:rPr>
        <w:t>Zimbabwe Stock Exchange</w:t>
      </w:r>
      <w:bookmarkEnd w:id="52"/>
      <w:bookmarkEnd w:id="53"/>
      <w:r w:rsidR="00184FA3" w:rsidRPr="00863A17">
        <w:rPr>
          <w:rFonts w:cs="Tahoma"/>
          <w:b/>
          <w:color w:val="000000"/>
          <w:szCs w:val="24"/>
          <w:lang w:val="en-US"/>
        </w:rPr>
        <w:t xml:space="preserve"> </w:t>
      </w:r>
    </w:p>
    <w:p w14:paraId="36B8F9DF" w14:textId="6BCECFE8" w:rsidR="00F6081E" w:rsidRPr="00863A17" w:rsidRDefault="00F67469" w:rsidP="00F67469">
      <w:pPr>
        <w:ind w:left="720" w:hanging="720"/>
        <w:jc w:val="both"/>
        <w:rPr>
          <w:rFonts w:ascii="Tahoma" w:hAnsi="Tahoma" w:cs="Tahoma"/>
          <w:sz w:val="24"/>
          <w:szCs w:val="24"/>
          <w:lang w:val="en-US"/>
        </w:rPr>
      </w:pPr>
      <w:r w:rsidRPr="00863A17">
        <w:rPr>
          <w:rFonts w:ascii="Tahoma" w:hAnsi="Tahoma" w:cs="Tahoma"/>
          <w:sz w:val="24"/>
          <w:szCs w:val="24"/>
          <w:lang w:val="en-US"/>
        </w:rPr>
        <w:t>8.1.2</w:t>
      </w:r>
      <w:r w:rsidRPr="00863A17">
        <w:rPr>
          <w:rFonts w:ascii="Tahoma" w:hAnsi="Tahoma" w:cs="Tahoma"/>
          <w:sz w:val="24"/>
          <w:szCs w:val="24"/>
          <w:lang w:val="en-US"/>
        </w:rPr>
        <w:tab/>
      </w:r>
      <w:r w:rsidR="00320F64">
        <w:rPr>
          <w:rFonts w:ascii="Tahoma" w:hAnsi="Tahoma" w:cs="Tahoma"/>
          <w:sz w:val="24"/>
          <w:szCs w:val="24"/>
          <w:lang w:val="en-US"/>
        </w:rPr>
        <w:t>During the period under review,</w:t>
      </w:r>
      <w:r w:rsidR="00DA5ADC" w:rsidRPr="00863A17">
        <w:rPr>
          <w:rFonts w:ascii="Tahoma" w:hAnsi="Tahoma" w:cs="Tahoma"/>
          <w:sz w:val="24"/>
          <w:szCs w:val="24"/>
          <w:lang w:val="en-US"/>
        </w:rPr>
        <w:t xml:space="preserve"> the Zimbabwe Stock Exchange recoded a </w:t>
      </w:r>
      <w:r w:rsidR="00104DFE">
        <w:rPr>
          <w:rFonts w:ascii="Tahoma" w:hAnsi="Tahoma" w:cs="Tahoma"/>
          <w:sz w:val="24"/>
          <w:szCs w:val="24"/>
          <w:lang w:val="en-US"/>
        </w:rPr>
        <w:t>bullish</w:t>
      </w:r>
      <w:r w:rsidR="00DA5ADC" w:rsidRPr="00863A17">
        <w:rPr>
          <w:rFonts w:ascii="Tahoma" w:hAnsi="Tahoma" w:cs="Tahoma"/>
          <w:sz w:val="24"/>
          <w:szCs w:val="24"/>
          <w:lang w:val="en-US"/>
        </w:rPr>
        <w:t xml:space="preserve"> trend</w:t>
      </w:r>
      <w:r w:rsidR="00EE2480" w:rsidRPr="00863A17">
        <w:rPr>
          <w:rFonts w:ascii="Tahoma" w:hAnsi="Tahoma" w:cs="Tahoma"/>
          <w:sz w:val="24"/>
          <w:szCs w:val="24"/>
        </w:rPr>
        <w:t>.</w:t>
      </w:r>
      <w:r w:rsidR="00320F64">
        <w:rPr>
          <w:rFonts w:ascii="Tahoma" w:hAnsi="Tahoma" w:cs="Tahoma"/>
          <w:sz w:val="24"/>
          <w:szCs w:val="24"/>
        </w:rPr>
        <w:t xml:space="preserve"> On a </w:t>
      </w:r>
      <w:r w:rsidR="00085B08">
        <w:rPr>
          <w:rFonts w:ascii="Tahoma" w:hAnsi="Tahoma" w:cs="Tahoma"/>
          <w:sz w:val="24"/>
          <w:szCs w:val="24"/>
        </w:rPr>
        <w:t>M</w:t>
      </w:r>
      <w:r w:rsidR="00320F64">
        <w:rPr>
          <w:rFonts w:ascii="Tahoma" w:hAnsi="Tahoma" w:cs="Tahoma"/>
          <w:sz w:val="24"/>
          <w:szCs w:val="24"/>
        </w:rPr>
        <w:t>o</w:t>
      </w:r>
      <w:r w:rsidR="00085B08">
        <w:rPr>
          <w:rFonts w:ascii="Tahoma" w:hAnsi="Tahoma" w:cs="Tahoma"/>
          <w:sz w:val="24"/>
          <w:szCs w:val="24"/>
        </w:rPr>
        <w:t>M</w:t>
      </w:r>
      <w:r w:rsidR="00320F64">
        <w:rPr>
          <w:rFonts w:ascii="Tahoma" w:hAnsi="Tahoma" w:cs="Tahoma"/>
          <w:sz w:val="24"/>
          <w:szCs w:val="24"/>
        </w:rPr>
        <w:t xml:space="preserve"> basis,</w:t>
      </w:r>
      <w:r w:rsidR="00DA5ADC" w:rsidRPr="00863A17">
        <w:rPr>
          <w:rFonts w:ascii="Tahoma" w:hAnsi="Tahoma" w:cs="Tahoma"/>
          <w:sz w:val="24"/>
          <w:szCs w:val="24"/>
        </w:rPr>
        <w:t xml:space="preserve"> All</w:t>
      </w:r>
      <w:r w:rsidR="00424F97">
        <w:rPr>
          <w:rFonts w:ascii="Tahoma" w:hAnsi="Tahoma" w:cs="Tahoma"/>
          <w:sz w:val="24"/>
          <w:szCs w:val="24"/>
        </w:rPr>
        <w:t>-</w:t>
      </w:r>
      <w:r w:rsidR="00362187" w:rsidRPr="00863A17">
        <w:rPr>
          <w:rFonts w:ascii="Tahoma" w:hAnsi="Tahoma" w:cs="Tahoma"/>
          <w:sz w:val="24"/>
          <w:szCs w:val="24"/>
        </w:rPr>
        <w:t xml:space="preserve">share index </w:t>
      </w:r>
      <w:r w:rsidR="00424F97">
        <w:rPr>
          <w:rFonts w:ascii="Tahoma" w:hAnsi="Tahoma" w:cs="Tahoma"/>
          <w:sz w:val="24"/>
          <w:szCs w:val="24"/>
        </w:rPr>
        <w:t>gained</w:t>
      </w:r>
      <w:r w:rsidR="00362187" w:rsidRPr="00863A17">
        <w:rPr>
          <w:rFonts w:ascii="Tahoma" w:hAnsi="Tahoma" w:cs="Tahoma"/>
          <w:sz w:val="24"/>
          <w:szCs w:val="24"/>
        </w:rPr>
        <w:t xml:space="preserve"> by </w:t>
      </w:r>
      <w:r w:rsidR="00424F97">
        <w:rPr>
          <w:rFonts w:ascii="Tahoma" w:hAnsi="Tahoma" w:cs="Tahoma"/>
          <w:sz w:val="24"/>
          <w:szCs w:val="24"/>
        </w:rPr>
        <w:t>1</w:t>
      </w:r>
      <w:r w:rsidR="005C2848">
        <w:rPr>
          <w:rFonts w:ascii="Tahoma" w:hAnsi="Tahoma" w:cs="Tahoma"/>
          <w:sz w:val="24"/>
          <w:szCs w:val="24"/>
        </w:rPr>
        <w:t>.</w:t>
      </w:r>
      <w:r w:rsidR="00424F97">
        <w:rPr>
          <w:rFonts w:ascii="Tahoma" w:hAnsi="Tahoma" w:cs="Tahoma"/>
          <w:sz w:val="24"/>
          <w:szCs w:val="24"/>
        </w:rPr>
        <w:t>6</w:t>
      </w:r>
      <w:r w:rsidR="00362187" w:rsidRPr="00863A17">
        <w:rPr>
          <w:rFonts w:ascii="Tahoma" w:hAnsi="Tahoma" w:cs="Tahoma"/>
          <w:sz w:val="24"/>
          <w:szCs w:val="24"/>
        </w:rPr>
        <w:t>%,</w:t>
      </w:r>
      <w:r w:rsidR="00424F97">
        <w:rPr>
          <w:rFonts w:ascii="Tahoma" w:hAnsi="Tahoma" w:cs="Tahoma"/>
          <w:sz w:val="24"/>
          <w:szCs w:val="24"/>
        </w:rPr>
        <w:t xml:space="preserve"> Top 10 index gained 34.53%, Value traded grew by 3380.24% and market capitalization gained by 31.24%</w:t>
      </w:r>
      <w:r w:rsidR="0048248B">
        <w:rPr>
          <w:rFonts w:ascii="Tahoma" w:hAnsi="Tahoma" w:cs="Tahoma"/>
          <w:sz w:val="24"/>
          <w:szCs w:val="24"/>
        </w:rPr>
        <w:t xml:space="preserve"> resulting to a market capitalisation of ZiG37506.14 million in June 2024 from ZiG28578.6 million in May 2024</w:t>
      </w:r>
      <w:r w:rsidR="005F5AF8">
        <w:rPr>
          <w:rFonts w:ascii="Tahoma" w:hAnsi="Tahoma" w:cs="Tahoma"/>
          <w:sz w:val="24"/>
          <w:szCs w:val="24"/>
        </w:rPr>
        <w:t xml:space="preserve"> as shown in Table 6.</w:t>
      </w:r>
    </w:p>
    <w:p w14:paraId="7156B1D5" w14:textId="77777777" w:rsidR="00F6081E" w:rsidRPr="00863A17" w:rsidRDefault="00F67469" w:rsidP="00F67469">
      <w:pPr>
        <w:ind w:left="720" w:hanging="720"/>
        <w:jc w:val="both"/>
        <w:rPr>
          <w:rFonts w:ascii="Tahoma" w:hAnsi="Tahoma" w:cs="Tahoma"/>
          <w:sz w:val="24"/>
          <w:szCs w:val="24"/>
        </w:rPr>
      </w:pPr>
      <w:r w:rsidRPr="00863A17">
        <w:rPr>
          <w:rFonts w:ascii="Tahoma" w:hAnsi="Tahoma" w:cs="Tahoma"/>
          <w:sz w:val="24"/>
          <w:szCs w:val="24"/>
        </w:rPr>
        <w:t>8.1.3</w:t>
      </w:r>
      <w:r w:rsidRPr="00863A17">
        <w:rPr>
          <w:rFonts w:ascii="Tahoma" w:hAnsi="Tahoma" w:cs="Tahoma"/>
          <w:sz w:val="24"/>
          <w:szCs w:val="24"/>
        </w:rPr>
        <w:tab/>
      </w:r>
      <w:r w:rsidR="00083ABE">
        <w:rPr>
          <w:rFonts w:ascii="Tahoma" w:hAnsi="Tahoma" w:cs="Tahoma"/>
          <w:sz w:val="24"/>
          <w:szCs w:val="24"/>
        </w:rPr>
        <w:t xml:space="preserve">On a YtD and YoY, All-share index, Top 10 index, Value traded and Market </w:t>
      </w:r>
      <w:r w:rsidR="003D7E2A">
        <w:rPr>
          <w:rFonts w:ascii="Tahoma" w:hAnsi="Tahoma" w:cs="Tahoma"/>
          <w:sz w:val="24"/>
          <w:szCs w:val="24"/>
        </w:rPr>
        <w:t>c</w:t>
      </w:r>
      <w:r w:rsidR="00083ABE">
        <w:rPr>
          <w:rFonts w:ascii="Tahoma" w:hAnsi="Tahoma" w:cs="Tahoma"/>
          <w:sz w:val="24"/>
          <w:szCs w:val="24"/>
        </w:rPr>
        <w:t xml:space="preserve">apitalisation gained except on </w:t>
      </w:r>
      <w:r w:rsidR="004563C8">
        <w:rPr>
          <w:rFonts w:ascii="Tahoma" w:hAnsi="Tahoma" w:cs="Tahoma"/>
          <w:sz w:val="24"/>
          <w:szCs w:val="24"/>
        </w:rPr>
        <w:t xml:space="preserve">a </w:t>
      </w:r>
      <w:r w:rsidR="00083ABE">
        <w:rPr>
          <w:rFonts w:ascii="Tahoma" w:hAnsi="Tahoma" w:cs="Tahoma"/>
          <w:sz w:val="24"/>
          <w:szCs w:val="24"/>
        </w:rPr>
        <w:t xml:space="preserve">YtD </w:t>
      </w:r>
      <w:r w:rsidR="004563C8">
        <w:rPr>
          <w:rFonts w:ascii="Tahoma" w:hAnsi="Tahoma" w:cs="Tahoma"/>
          <w:sz w:val="24"/>
          <w:szCs w:val="24"/>
        </w:rPr>
        <w:t xml:space="preserve">basis where </w:t>
      </w:r>
      <w:r w:rsidR="00083ABE">
        <w:rPr>
          <w:rFonts w:ascii="Tahoma" w:hAnsi="Tahoma" w:cs="Tahoma"/>
          <w:sz w:val="24"/>
          <w:szCs w:val="24"/>
        </w:rPr>
        <w:t>All-share index and Value traded lost by 52.15% and 8.67% respectively.</w:t>
      </w:r>
    </w:p>
    <w:p w14:paraId="25F11FB5" w14:textId="77777777" w:rsidR="00E65B67" w:rsidRPr="0031015F" w:rsidRDefault="00595E97" w:rsidP="0001510C">
      <w:pPr>
        <w:pStyle w:val="ListofTables"/>
      </w:pPr>
      <w:bookmarkStart w:id="54" w:name="_Toc164072367"/>
      <w:bookmarkStart w:id="55" w:name="_Toc166658894"/>
      <w:bookmarkStart w:id="56" w:name="_Toc171944520"/>
      <w:r w:rsidRPr="0031015F">
        <w:t xml:space="preserve">Table </w:t>
      </w:r>
      <w:r w:rsidR="00000000">
        <w:fldChar w:fldCharType="begin"/>
      </w:r>
      <w:r w:rsidR="00000000">
        <w:instrText xml:space="preserve"> SEQ Table \* ARABIC </w:instrText>
      </w:r>
      <w:r w:rsidR="00000000">
        <w:fldChar w:fldCharType="separate"/>
      </w:r>
      <w:r w:rsidR="00D30418" w:rsidRPr="0031015F">
        <w:rPr>
          <w:noProof/>
        </w:rPr>
        <w:t>6</w:t>
      </w:r>
      <w:r w:rsidR="00000000">
        <w:rPr>
          <w:noProof/>
        </w:rPr>
        <w:fldChar w:fldCharType="end"/>
      </w:r>
      <w:r w:rsidRPr="0031015F">
        <w:t xml:space="preserve">: Zimbabwe Stock </w:t>
      </w:r>
      <w:r w:rsidR="00D30418" w:rsidRPr="0031015F">
        <w:t xml:space="preserve">Exchange </w:t>
      </w:r>
      <w:r w:rsidRPr="0031015F">
        <w:t>Movements</w:t>
      </w:r>
      <w:bookmarkEnd w:id="54"/>
      <w:bookmarkEnd w:id="55"/>
      <w:bookmarkEnd w:id="56"/>
    </w:p>
    <w:p w14:paraId="2E5A28D0" w14:textId="531172AE" w:rsidR="004D4E48" w:rsidRDefault="004C4484" w:rsidP="00427CDA">
      <w:pPr>
        <w:spacing w:after="0"/>
        <w:ind w:left="720" w:hanging="720"/>
        <w:jc w:val="both"/>
        <w:rPr>
          <w:rFonts w:ascii="Tahoma" w:hAnsi="Tahoma" w:cs="Tahoma"/>
          <w:sz w:val="24"/>
          <w:szCs w:val="24"/>
        </w:rPr>
      </w:pPr>
      <w:r w:rsidRPr="00104DFE">
        <w:rPr>
          <w:noProof/>
        </w:rPr>
        <w:drawing>
          <wp:inline distT="0" distB="0" distL="0" distR="0" wp14:anchorId="6B93B40D" wp14:editId="5A4CBA83">
            <wp:extent cx="5734050" cy="1228725"/>
            <wp:effectExtent l="0" t="0" r="0"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1228725"/>
                    </a:xfrm>
                    <a:prstGeom prst="rect">
                      <a:avLst/>
                    </a:prstGeom>
                    <a:noFill/>
                    <a:ln>
                      <a:noFill/>
                    </a:ln>
                  </pic:spPr>
                </pic:pic>
              </a:graphicData>
            </a:graphic>
          </wp:inline>
        </w:drawing>
      </w:r>
    </w:p>
    <w:p w14:paraId="53DC8708" w14:textId="77777777" w:rsidR="00C56F60" w:rsidRPr="00C56F60" w:rsidRDefault="00C56F60" w:rsidP="00F67469">
      <w:pPr>
        <w:ind w:left="720" w:hanging="720"/>
        <w:jc w:val="both"/>
        <w:rPr>
          <w:rFonts w:ascii="Tahoma" w:hAnsi="Tahoma" w:cs="Tahoma"/>
          <w:i/>
          <w:iCs/>
          <w:sz w:val="24"/>
          <w:szCs w:val="24"/>
          <w:lang w:val="en-US"/>
        </w:rPr>
      </w:pPr>
      <w:r w:rsidRPr="00C56F60">
        <w:rPr>
          <w:rFonts w:ascii="Tahoma" w:hAnsi="Tahoma" w:cs="Tahoma"/>
          <w:i/>
          <w:iCs/>
          <w:sz w:val="24"/>
          <w:szCs w:val="24"/>
        </w:rPr>
        <w:t xml:space="preserve">Source: </w:t>
      </w:r>
      <w:r w:rsidR="00D31BED">
        <w:rPr>
          <w:rFonts w:ascii="Tahoma" w:hAnsi="Tahoma" w:cs="Tahoma"/>
          <w:i/>
          <w:iCs/>
          <w:sz w:val="24"/>
          <w:szCs w:val="24"/>
        </w:rPr>
        <w:t>ZSE</w:t>
      </w:r>
      <w:r w:rsidRPr="00C56F60">
        <w:rPr>
          <w:rFonts w:ascii="Tahoma" w:hAnsi="Tahoma" w:cs="Tahoma"/>
          <w:i/>
          <w:iCs/>
          <w:sz w:val="24"/>
          <w:szCs w:val="24"/>
        </w:rPr>
        <w:t xml:space="preserve"> (2024)</w:t>
      </w:r>
    </w:p>
    <w:p w14:paraId="4E352515" w14:textId="77777777" w:rsidR="00184FA3" w:rsidRPr="00863A17" w:rsidRDefault="00F67469" w:rsidP="003C1D2F">
      <w:pPr>
        <w:pStyle w:val="Heading2"/>
        <w:spacing w:before="0" w:after="240" w:line="240" w:lineRule="auto"/>
        <w:rPr>
          <w:rFonts w:cs="Tahoma"/>
          <w:b/>
          <w:color w:val="000000"/>
          <w:szCs w:val="24"/>
          <w:lang w:val="en-US"/>
        </w:rPr>
      </w:pPr>
      <w:bookmarkStart w:id="57" w:name="_Toc166607904"/>
      <w:bookmarkStart w:id="58" w:name="_Toc171946095"/>
      <w:r w:rsidRPr="00863A17">
        <w:rPr>
          <w:rFonts w:cs="Tahoma"/>
          <w:b/>
          <w:color w:val="000000"/>
          <w:szCs w:val="24"/>
          <w:lang w:val="en-US"/>
        </w:rPr>
        <w:t>8.2</w:t>
      </w:r>
      <w:r w:rsidRPr="00863A17">
        <w:rPr>
          <w:rFonts w:cs="Tahoma"/>
          <w:b/>
          <w:color w:val="000000"/>
          <w:szCs w:val="24"/>
          <w:lang w:val="en-US"/>
        </w:rPr>
        <w:tab/>
      </w:r>
      <w:r w:rsidR="00184FA3" w:rsidRPr="00863A17">
        <w:rPr>
          <w:rFonts w:cs="Tahoma"/>
          <w:b/>
          <w:color w:val="000000"/>
          <w:szCs w:val="24"/>
          <w:lang w:val="en-US"/>
        </w:rPr>
        <w:t>Victoria Falls Stock Exchange</w:t>
      </w:r>
      <w:bookmarkEnd w:id="57"/>
      <w:bookmarkEnd w:id="58"/>
      <w:r w:rsidR="00184FA3" w:rsidRPr="00863A17">
        <w:rPr>
          <w:rFonts w:cs="Tahoma"/>
          <w:b/>
          <w:color w:val="000000"/>
          <w:szCs w:val="24"/>
          <w:lang w:val="en-US"/>
        </w:rPr>
        <w:t xml:space="preserve"> </w:t>
      </w:r>
    </w:p>
    <w:p w14:paraId="67DC7509" w14:textId="77777777" w:rsidR="00427CDA" w:rsidRDefault="00F67469" w:rsidP="00D46304">
      <w:pPr>
        <w:ind w:left="720" w:hanging="720"/>
        <w:jc w:val="both"/>
        <w:rPr>
          <w:rFonts w:ascii="Tahoma" w:hAnsi="Tahoma" w:cs="Tahoma"/>
          <w:sz w:val="24"/>
          <w:szCs w:val="24"/>
          <w:lang w:val="en-US"/>
        </w:rPr>
      </w:pPr>
      <w:r w:rsidRPr="00863A17">
        <w:rPr>
          <w:rFonts w:ascii="Tahoma" w:hAnsi="Tahoma" w:cs="Tahoma"/>
          <w:sz w:val="24"/>
          <w:szCs w:val="24"/>
          <w:lang w:val="en-US"/>
        </w:rPr>
        <w:t>8.2.1</w:t>
      </w:r>
      <w:r w:rsidRPr="00863A17">
        <w:rPr>
          <w:rFonts w:ascii="Tahoma" w:hAnsi="Tahoma" w:cs="Tahoma"/>
          <w:sz w:val="24"/>
          <w:szCs w:val="24"/>
          <w:lang w:val="en-US"/>
        </w:rPr>
        <w:tab/>
      </w:r>
      <w:r w:rsidR="005F5AF8">
        <w:rPr>
          <w:rFonts w:ascii="Tahoma" w:hAnsi="Tahoma" w:cs="Tahoma"/>
          <w:sz w:val="24"/>
          <w:szCs w:val="24"/>
          <w:lang w:val="en-US"/>
        </w:rPr>
        <w:t>T</w:t>
      </w:r>
      <w:r w:rsidR="00427CDA">
        <w:rPr>
          <w:rFonts w:ascii="Tahoma" w:hAnsi="Tahoma" w:cs="Tahoma"/>
          <w:sz w:val="24"/>
          <w:szCs w:val="24"/>
          <w:lang w:val="en-US"/>
        </w:rPr>
        <w:t xml:space="preserve">he Victoria Falls Stock Exchange recorded a </w:t>
      </w:r>
      <w:r w:rsidR="005F5AF8">
        <w:rPr>
          <w:rFonts w:ascii="Tahoma" w:hAnsi="Tahoma" w:cs="Tahoma"/>
          <w:sz w:val="24"/>
          <w:szCs w:val="24"/>
          <w:lang w:val="en-US"/>
        </w:rPr>
        <w:t>bullish</w:t>
      </w:r>
      <w:r w:rsidR="00427CDA">
        <w:rPr>
          <w:rFonts w:ascii="Tahoma" w:hAnsi="Tahoma" w:cs="Tahoma"/>
          <w:sz w:val="24"/>
          <w:szCs w:val="24"/>
          <w:lang w:val="en-US"/>
        </w:rPr>
        <w:t xml:space="preserve"> trend</w:t>
      </w:r>
      <w:r w:rsidR="005F5AF8">
        <w:rPr>
          <w:rFonts w:ascii="Tahoma" w:hAnsi="Tahoma" w:cs="Tahoma"/>
          <w:sz w:val="24"/>
          <w:szCs w:val="24"/>
          <w:lang w:val="en-US"/>
        </w:rPr>
        <w:t xml:space="preserve"> in June 2024</w:t>
      </w:r>
      <w:r w:rsidR="00427CDA">
        <w:rPr>
          <w:rFonts w:ascii="Tahoma" w:hAnsi="Tahoma" w:cs="Tahoma"/>
          <w:sz w:val="24"/>
          <w:szCs w:val="24"/>
          <w:lang w:val="en-US"/>
        </w:rPr>
        <w:t xml:space="preserve">. On MoM basis, the </w:t>
      </w:r>
      <w:r w:rsidR="005F5AF8" w:rsidRPr="00863A17">
        <w:rPr>
          <w:rFonts w:ascii="Tahoma" w:hAnsi="Tahoma" w:cs="Tahoma"/>
          <w:sz w:val="24"/>
          <w:szCs w:val="24"/>
          <w:lang w:val="en-US"/>
        </w:rPr>
        <w:t>All</w:t>
      </w:r>
      <w:r w:rsidR="005F5AF8">
        <w:rPr>
          <w:rFonts w:ascii="Tahoma" w:hAnsi="Tahoma" w:cs="Tahoma"/>
          <w:sz w:val="24"/>
          <w:szCs w:val="24"/>
          <w:lang w:val="en-US"/>
        </w:rPr>
        <w:t>-Share</w:t>
      </w:r>
      <w:r w:rsidR="00DC4765" w:rsidRPr="00863A17">
        <w:rPr>
          <w:rFonts w:ascii="Tahoma" w:hAnsi="Tahoma" w:cs="Tahoma"/>
          <w:sz w:val="24"/>
          <w:szCs w:val="24"/>
          <w:lang w:val="en-US"/>
        </w:rPr>
        <w:t xml:space="preserve"> Index </w:t>
      </w:r>
      <w:r w:rsidR="005F5AF8">
        <w:rPr>
          <w:rFonts w:ascii="Tahoma" w:hAnsi="Tahoma" w:cs="Tahoma"/>
          <w:sz w:val="24"/>
          <w:szCs w:val="24"/>
          <w:lang w:val="en-US"/>
        </w:rPr>
        <w:t>gained</w:t>
      </w:r>
      <w:r w:rsidR="00DC4765" w:rsidRPr="00863A17">
        <w:rPr>
          <w:rFonts w:ascii="Tahoma" w:hAnsi="Tahoma" w:cs="Tahoma"/>
          <w:sz w:val="24"/>
          <w:szCs w:val="24"/>
          <w:lang w:val="en-US"/>
        </w:rPr>
        <w:t xml:space="preserve"> by </w:t>
      </w:r>
      <w:r w:rsidR="005F5AF8">
        <w:rPr>
          <w:rFonts w:ascii="Tahoma" w:hAnsi="Tahoma" w:cs="Tahoma"/>
          <w:sz w:val="24"/>
          <w:szCs w:val="24"/>
          <w:lang w:val="en-US"/>
        </w:rPr>
        <w:t>5.57% and market capitalization gained by 8.38% leading to the realization of USD975.87 million in June 2024 from USD900.39 million in May 2024. Meanwhile, Value traded lost by 85.64%.</w:t>
      </w:r>
    </w:p>
    <w:p w14:paraId="0F82D561" w14:textId="77777777" w:rsidR="00F84FC8" w:rsidRPr="00863A17" w:rsidRDefault="00DC4765" w:rsidP="00906D64">
      <w:pPr>
        <w:ind w:left="720" w:hanging="720"/>
        <w:jc w:val="both"/>
        <w:rPr>
          <w:rFonts w:ascii="Tahoma" w:hAnsi="Tahoma" w:cs="Tahoma"/>
          <w:sz w:val="24"/>
          <w:szCs w:val="24"/>
          <w:lang w:val="en-US"/>
        </w:rPr>
      </w:pPr>
      <w:r w:rsidRPr="00863A17">
        <w:rPr>
          <w:rFonts w:ascii="Tahoma" w:hAnsi="Tahoma" w:cs="Tahoma"/>
          <w:sz w:val="24"/>
          <w:szCs w:val="24"/>
          <w:lang w:val="en-US"/>
        </w:rPr>
        <w:t xml:space="preserve"> </w:t>
      </w:r>
      <w:r w:rsidR="00F67469" w:rsidRPr="00863A17">
        <w:rPr>
          <w:rFonts w:ascii="Tahoma" w:hAnsi="Tahoma" w:cs="Tahoma"/>
          <w:sz w:val="24"/>
          <w:szCs w:val="24"/>
          <w:lang w:val="en-US"/>
        </w:rPr>
        <w:t>8.2.3</w:t>
      </w:r>
      <w:r w:rsidR="00F67469" w:rsidRPr="00863A17">
        <w:rPr>
          <w:rFonts w:ascii="Tahoma" w:hAnsi="Tahoma" w:cs="Tahoma"/>
          <w:sz w:val="24"/>
          <w:szCs w:val="24"/>
          <w:lang w:val="en-US"/>
        </w:rPr>
        <w:tab/>
      </w:r>
      <w:r w:rsidR="00427CDA">
        <w:rPr>
          <w:rFonts w:ascii="Tahoma" w:hAnsi="Tahoma" w:cs="Tahoma"/>
          <w:sz w:val="24"/>
          <w:szCs w:val="24"/>
          <w:lang w:val="en-US"/>
        </w:rPr>
        <w:t>On a Y</w:t>
      </w:r>
      <w:r w:rsidR="00AC77F7">
        <w:rPr>
          <w:rFonts w:ascii="Tahoma" w:hAnsi="Tahoma" w:cs="Tahoma"/>
          <w:sz w:val="24"/>
          <w:szCs w:val="24"/>
          <w:lang w:val="en-US"/>
        </w:rPr>
        <w:t>tD</w:t>
      </w:r>
      <w:r w:rsidR="00427CDA">
        <w:rPr>
          <w:rFonts w:ascii="Tahoma" w:hAnsi="Tahoma" w:cs="Tahoma"/>
          <w:sz w:val="24"/>
          <w:szCs w:val="24"/>
          <w:lang w:val="en-US"/>
        </w:rPr>
        <w:t xml:space="preserve"> basis, the </w:t>
      </w:r>
      <w:r w:rsidR="00106B15">
        <w:rPr>
          <w:rFonts w:ascii="Tahoma" w:hAnsi="Tahoma" w:cs="Tahoma"/>
          <w:sz w:val="24"/>
          <w:szCs w:val="24"/>
          <w:lang w:val="en-US"/>
        </w:rPr>
        <w:t>All-Share</w:t>
      </w:r>
      <w:r w:rsidR="00427CDA">
        <w:rPr>
          <w:rFonts w:ascii="Tahoma" w:hAnsi="Tahoma" w:cs="Tahoma"/>
          <w:sz w:val="24"/>
          <w:szCs w:val="24"/>
          <w:lang w:val="en-US"/>
        </w:rPr>
        <w:t xml:space="preserve"> Index</w:t>
      </w:r>
      <w:r w:rsidR="00106B15">
        <w:rPr>
          <w:rFonts w:ascii="Tahoma" w:hAnsi="Tahoma" w:cs="Tahoma"/>
          <w:sz w:val="24"/>
          <w:szCs w:val="24"/>
          <w:lang w:val="en-US"/>
        </w:rPr>
        <w:t xml:space="preserve"> gained 0.17% while</w:t>
      </w:r>
      <w:r w:rsidR="00AC77F7">
        <w:rPr>
          <w:rFonts w:ascii="Tahoma" w:hAnsi="Tahoma" w:cs="Tahoma"/>
          <w:sz w:val="24"/>
          <w:szCs w:val="24"/>
          <w:lang w:val="en-US"/>
        </w:rPr>
        <w:t xml:space="preserve"> Value </w:t>
      </w:r>
      <w:r w:rsidR="003D7E2A">
        <w:rPr>
          <w:rFonts w:ascii="Tahoma" w:hAnsi="Tahoma" w:cs="Tahoma"/>
          <w:sz w:val="24"/>
          <w:szCs w:val="24"/>
          <w:lang w:val="en-US"/>
        </w:rPr>
        <w:t>t</w:t>
      </w:r>
      <w:r w:rsidR="00AC77F7">
        <w:rPr>
          <w:rFonts w:ascii="Tahoma" w:hAnsi="Tahoma" w:cs="Tahoma"/>
          <w:sz w:val="24"/>
          <w:szCs w:val="24"/>
          <w:lang w:val="en-US"/>
        </w:rPr>
        <w:t xml:space="preserve">raded and Market </w:t>
      </w:r>
      <w:r w:rsidR="003D7E2A">
        <w:rPr>
          <w:rFonts w:ascii="Tahoma" w:hAnsi="Tahoma" w:cs="Tahoma"/>
          <w:sz w:val="24"/>
          <w:szCs w:val="24"/>
          <w:lang w:val="en-US"/>
        </w:rPr>
        <w:t>c</w:t>
      </w:r>
      <w:r w:rsidR="00AC77F7">
        <w:rPr>
          <w:rFonts w:ascii="Tahoma" w:hAnsi="Tahoma" w:cs="Tahoma"/>
          <w:sz w:val="24"/>
          <w:szCs w:val="24"/>
          <w:lang w:val="en-US"/>
        </w:rPr>
        <w:t xml:space="preserve">ap </w:t>
      </w:r>
      <w:r w:rsidR="00106B15">
        <w:rPr>
          <w:rFonts w:ascii="Tahoma" w:hAnsi="Tahoma" w:cs="Tahoma"/>
          <w:sz w:val="24"/>
          <w:szCs w:val="24"/>
          <w:lang w:val="en-US"/>
        </w:rPr>
        <w:t>lost 78.75% and 0.19% respectively.</w:t>
      </w:r>
      <w:r w:rsidR="00AC77F7">
        <w:rPr>
          <w:rFonts w:ascii="Tahoma" w:hAnsi="Tahoma" w:cs="Tahoma"/>
          <w:sz w:val="24"/>
          <w:szCs w:val="24"/>
          <w:lang w:val="en-US"/>
        </w:rPr>
        <w:t xml:space="preserve"> </w:t>
      </w:r>
      <w:r w:rsidR="00106B15">
        <w:rPr>
          <w:rFonts w:ascii="Tahoma" w:hAnsi="Tahoma" w:cs="Tahoma"/>
          <w:sz w:val="24"/>
          <w:szCs w:val="24"/>
          <w:lang w:val="en-US"/>
        </w:rPr>
        <w:t>All-share index and Value traded gained by 25.34% and 4.51% respectively, on a YoY basis</w:t>
      </w:r>
      <w:r w:rsidR="00DF0399">
        <w:rPr>
          <w:rFonts w:ascii="Tahoma" w:hAnsi="Tahoma" w:cs="Tahoma"/>
          <w:sz w:val="24"/>
          <w:szCs w:val="24"/>
          <w:lang w:val="en-US"/>
        </w:rPr>
        <w:t xml:space="preserve"> and market capitalization lost by 13%.</w:t>
      </w:r>
    </w:p>
    <w:p w14:paraId="2940AE6D" w14:textId="77777777" w:rsidR="003C1D2F" w:rsidRPr="0031015F" w:rsidRDefault="00D30418" w:rsidP="0001510C">
      <w:pPr>
        <w:pStyle w:val="ListofTables"/>
      </w:pPr>
      <w:bookmarkStart w:id="59" w:name="_Toc164072368"/>
      <w:bookmarkStart w:id="60" w:name="_Toc166658895"/>
      <w:bookmarkStart w:id="61" w:name="_Toc171944521"/>
      <w:r w:rsidRPr="0031015F">
        <w:lastRenderedPageBreak/>
        <w:t xml:space="preserve">Table </w:t>
      </w:r>
      <w:r w:rsidR="00000000">
        <w:fldChar w:fldCharType="begin"/>
      </w:r>
      <w:r w:rsidR="00000000">
        <w:instrText xml:space="preserve"> SEQ Table \* ARABIC </w:instrText>
      </w:r>
      <w:r w:rsidR="00000000">
        <w:fldChar w:fldCharType="separate"/>
      </w:r>
      <w:r w:rsidRPr="0031015F">
        <w:rPr>
          <w:noProof/>
        </w:rPr>
        <w:t>7</w:t>
      </w:r>
      <w:r w:rsidR="00000000">
        <w:rPr>
          <w:noProof/>
        </w:rPr>
        <w:fldChar w:fldCharType="end"/>
      </w:r>
      <w:r w:rsidRPr="0031015F">
        <w:t>: Victoria Falls Stock Exchange Movements</w:t>
      </w:r>
      <w:bookmarkEnd w:id="59"/>
      <w:bookmarkEnd w:id="60"/>
      <w:bookmarkEnd w:id="61"/>
    </w:p>
    <w:p w14:paraId="31704A50" w14:textId="31782C85" w:rsidR="00E57C56" w:rsidRPr="00863A17" w:rsidRDefault="004C4484" w:rsidP="00FF0FB8">
      <w:pPr>
        <w:spacing w:after="0"/>
        <w:rPr>
          <w:rFonts w:ascii="Tahoma" w:hAnsi="Tahoma" w:cs="Tahoma"/>
          <w:sz w:val="24"/>
          <w:szCs w:val="24"/>
          <w:lang w:val="en-US"/>
        </w:rPr>
      </w:pPr>
      <w:r w:rsidRPr="005F5AF8">
        <w:rPr>
          <w:noProof/>
        </w:rPr>
        <w:drawing>
          <wp:inline distT="0" distB="0" distL="0" distR="0" wp14:anchorId="1C6F3C8D" wp14:editId="34AC2059">
            <wp:extent cx="5724525" cy="1104900"/>
            <wp:effectExtent l="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104900"/>
                    </a:xfrm>
                    <a:prstGeom prst="rect">
                      <a:avLst/>
                    </a:prstGeom>
                    <a:noFill/>
                    <a:ln>
                      <a:noFill/>
                    </a:ln>
                  </pic:spPr>
                </pic:pic>
              </a:graphicData>
            </a:graphic>
          </wp:inline>
        </w:drawing>
      </w:r>
    </w:p>
    <w:p w14:paraId="3BDFBA2D" w14:textId="77777777" w:rsidR="00E36CF6" w:rsidRDefault="00E36CF6">
      <w:pPr>
        <w:rPr>
          <w:rFonts w:ascii="Tahoma" w:hAnsi="Tahoma" w:cs="Tahoma"/>
          <w:i/>
          <w:sz w:val="24"/>
          <w:szCs w:val="24"/>
          <w:lang w:val="en-US"/>
        </w:rPr>
      </w:pPr>
      <w:r w:rsidRPr="00863A17">
        <w:rPr>
          <w:rFonts w:ascii="Tahoma" w:hAnsi="Tahoma" w:cs="Tahoma"/>
          <w:i/>
          <w:sz w:val="24"/>
          <w:szCs w:val="24"/>
          <w:lang w:val="en-US"/>
        </w:rPr>
        <w:t>Source:</w:t>
      </w:r>
      <w:r w:rsidR="00F67469" w:rsidRPr="00863A17">
        <w:rPr>
          <w:rFonts w:ascii="Tahoma" w:hAnsi="Tahoma" w:cs="Tahoma"/>
          <w:i/>
          <w:sz w:val="24"/>
          <w:szCs w:val="24"/>
          <w:lang w:val="en-US"/>
        </w:rPr>
        <w:t xml:space="preserve"> </w:t>
      </w:r>
      <w:r w:rsidR="005F5AF8">
        <w:rPr>
          <w:rFonts w:ascii="Tahoma" w:hAnsi="Tahoma" w:cs="Tahoma"/>
          <w:i/>
          <w:sz w:val="24"/>
          <w:szCs w:val="24"/>
          <w:lang w:val="en-US"/>
        </w:rPr>
        <w:t>VFEX</w:t>
      </w:r>
      <w:r w:rsidR="00F5173C" w:rsidRPr="00863A17">
        <w:rPr>
          <w:rFonts w:ascii="Tahoma" w:hAnsi="Tahoma" w:cs="Tahoma"/>
          <w:i/>
          <w:sz w:val="24"/>
          <w:szCs w:val="24"/>
          <w:lang w:val="en-US"/>
        </w:rPr>
        <w:t xml:space="preserve"> </w:t>
      </w:r>
      <w:r w:rsidR="00F67469" w:rsidRPr="00863A17">
        <w:rPr>
          <w:rFonts w:ascii="Tahoma" w:hAnsi="Tahoma" w:cs="Tahoma"/>
          <w:i/>
          <w:sz w:val="24"/>
          <w:szCs w:val="24"/>
          <w:lang w:val="en-US"/>
        </w:rPr>
        <w:t>(</w:t>
      </w:r>
      <w:r w:rsidRPr="00863A17">
        <w:rPr>
          <w:rFonts w:ascii="Tahoma" w:hAnsi="Tahoma" w:cs="Tahoma"/>
          <w:i/>
          <w:sz w:val="24"/>
          <w:szCs w:val="24"/>
          <w:lang w:val="en-US"/>
        </w:rPr>
        <w:t>202</w:t>
      </w:r>
      <w:r w:rsidR="003F1F46" w:rsidRPr="00863A17">
        <w:rPr>
          <w:rFonts w:ascii="Tahoma" w:hAnsi="Tahoma" w:cs="Tahoma"/>
          <w:i/>
          <w:sz w:val="24"/>
          <w:szCs w:val="24"/>
          <w:lang w:val="en-US"/>
        </w:rPr>
        <w:t>4</w:t>
      </w:r>
      <w:r w:rsidR="00F67469" w:rsidRPr="00863A17">
        <w:rPr>
          <w:rFonts w:ascii="Tahoma" w:hAnsi="Tahoma" w:cs="Tahoma"/>
          <w:i/>
          <w:sz w:val="24"/>
          <w:szCs w:val="24"/>
          <w:lang w:val="en-US"/>
        </w:rPr>
        <w:t>)</w:t>
      </w:r>
      <w:r w:rsidRPr="00863A17">
        <w:rPr>
          <w:rFonts w:ascii="Tahoma" w:hAnsi="Tahoma" w:cs="Tahoma"/>
          <w:i/>
          <w:sz w:val="24"/>
          <w:szCs w:val="24"/>
          <w:lang w:val="en-US"/>
        </w:rPr>
        <w:t xml:space="preserve"> </w:t>
      </w:r>
    </w:p>
    <w:p w14:paraId="10F62565" w14:textId="77777777" w:rsidR="007E26B5" w:rsidRPr="007E26B5" w:rsidRDefault="007E26B5">
      <w:pPr>
        <w:rPr>
          <w:rFonts w:ascii="Tahoma" w:hAnsi="Tahoma" w:cs="Tahoma"/>
          <w:iCs/>
          <w:sz w:val="24"/>
          <w:szCs w:val="24"/>
          <w:lang w:val="en-US"/>
        </w:rPr>
      </w:pPr>
    </w:p>
    <w:p w14:paraId="4E054D63" w14:textId="77777777" w:rsidR="00EF3AD6" w:rsidRPr="00A64F64" w:rsidRDefault="00FC703F" w:rsidP="004B15EE">
      <w:pPr>
        <w:pStyle w:val="Heading1"/>
        <w:spacing w:before="0" w:after="240" w:line="240" w:lineRule="auto"/>
        <w:rPr>
          <w:rFonts w:cs="Tahoma"/>
          <w:bCs/>
          <w:color w:val="000000"/>
          <w:szCs w:val="24"/>
          <w:lang w:val="en-US"/>
        </w:rPr>
      </w:pPr>
      <w:bookmarkStart w:id="62" w:name="_Toc166607905"/>
      <w:bookmarkStart w:id="63" w:name="_Toc171946096"/>
      <w:r w:rsidRPr="00A64F64">
        <w:rPr>
          <w:rFonts w:cs="Tahoma"/>
          <w:bCs/>
          <w:color w:val="000000"/>
          <w:szCs w:val="24"/>
          <w:lang w:val="en-US"/>
        </w:rPr>
        <w:t>9.0</w:t>
      </w:r>
      <w:r w:rsidRPr="00A64F64">
        <w:rPr>
          <w:rFonts w:cs="Tahoma"/>
          <w:bCs/>
          <w:color w:val="000000"/>
          <w:szCs w:val="24"/>
          <w:lang w:val="en-US"/>
        </w:rPr>
        <w:tab/>
        <w:t>Recommendations</w:t>
      </w:r>
      <w:bookmarkEnd w:id="62"/>
      <w:bookmarkEnd w:id="63"/>
      <w:r w:rsidRPr="00A64F64">
        <w:rPr>
          <w:rFonts w:cs="Tahoma"/>
          <w:bCs/>
          <w:color w:val="000000"/>
          <w:szCs w:val="24"/>
          <w:lang w:val="en-US"/>
        </w:rPr>
        <w:t xml:space="preserve"> </w:t>
      </w:r>
    </w:p>
    <w:p w14:paraId="3C76A38F" w14:textId="77777777" w:rsidR="00FC703F" w:rsidRPr="00863A17" w:rsidRDefault="00EC6C43" w:rsidP="00FC703F">
      <w:pPr>
        <w:ind w:left="720" w:hanging="720"/>
        <w:rPr>
          <w:rFonts w:ascii="Tahoma" w:hAnsi="Tahoma" w:cs="Tahoma"/>
          <w:sz w:val="24"/>
          <w:szCs w:val="24"/>
          <w:lang w:val="en-US"/>
        </w:rPr>
      </w:pPr>
      <w:r w:rsidRPr="00863A17">
        <w:rPr>
          <w:rFonts w:ascii="Tahoma" w:hAnsi="Tahoma" w:cs="Tahoma"/>
          <w:sz w:val="24"/>
          <w:szCs w:val="24"/>
          <w:lang w:val="en-US"/>
        </w:rPr>
        <w:t>9.1</w:t>
      </w:r>
      <w:r w:rsidR="00FC703F" w:rsidRPr="00863A17">
        <w:rPr>
          <w:rFonts w:ascii="Tahoma" w:hAnsi="Tahoma" w:cs="Tahoma"/>
          <w:sz w:val="24"/>
          <w:szCs w:val="24"/>
          <w:lang w:val="en-US"/>
        </w:rPr>
        <w:tab/>
        <w:t xml:space="preserve">The following recommendations are being proposed: </w:t>
      </w:r>
    </w:p>
    <w:p w14:paraId="2E6D8190" w14:textId="780AD503" w:rsidR="0007507E" w:rsidRPr="00B501A2" w:rsidRDefault="0066487F" w:rsidP="00B501A2">
      <w:pPr>
        <w:pStyle w:val="ListParagraph"/>
        <w:ind w:hanging="720"/>
        <w:jc w:val="both"/>
        <w:rPr>
          <w:rFonts w:ascii="Tahoma" w:hAnsi="Tahoma" w:cs="Tahoma"/>
          <w:sz w:val="24"/>
          <w:szCs w:val="24"/>
        </w:rPr>
      </w:pPr>
      <w:r>
        <w:rPr>
          <w:rFonts w:ascii="Tahoma" w:hAnsi="Tahoma" w:cs="Tahoma"/>
          <w:kern w:val="0"/>
          <w:sz w:val="24"/>
          <w:szCs w:val="24"/>
          <w:lang w:eastAsia="en-ZW"/>
        </w:rPr>
        <w:t>9.1.</w:t>
      </w:r>
      <w:r w:rsidR="00595E97">
        <w:rPr>
          <w:rFonts w:ascii="Tahoma" w:hAnsi="Tahoma" w:cs="Tahoma"/>
          <w:kern w:val="0"/>
          <w:sz w:val="24"/>
          <w:szCs w:val="24"/>
          <w:lang w:eastAsia="en-ZW"/>
        </w:rPr>
        <w:t>1</w:t>
      </w:r>
      <w:r>
        <w:rPr>
          <w:rFonts w:ascii="Tahoma" w:hAnsi="Tahoma" w:cs="Tahoma"/>
          <w:kern w:val="0"/>
          <w:sz w:val="24"/>
          <w:szCs w:val="24"/>
          <w:lang w:eastAsia="en-ZW"/>
        </w:rPr>
        <w:tab/>
      </w:r>
      <w:r w:rsidR="000F7929" w:rsidRPr="00085B08">
        <w:rPr>
          <w:rFonts w:ascii="Tahoma" w:hAnsi="Tahoma" w:cs="Tahoma"/>
          <w:b/>
          <w:bCs/>
          <w:kern w:val="0"/>
          <w:sz w:val="24"/>
          <w:szCs w:val="24"/>
          <w:lang w:eastAsia="en-ZW"/>
        </w:rPr>
        <w:t xml:space="preserve">Economic </w:t>
      </w:r>
      <w:r w:rsidR="00DA6063" w:rsidRPr="00085B08">
        <w:rPr>
          <w:rFonts w:ascii="Tahoma" w:hAnsi="Tahoma" w:cs="Tahoma"/>
          <w:b/>
          <w:bCs/>
          <w:kern w:val="0"/>
          <w:sz w:val="24"/>
          <w:szCs w:val="24"/>
          <w:lang w:eastAsia="en-ZW"/>
        </w:rPr>
        <w:t>Diversification</w:t>
      </w:r>
      <w:r w:rsidR="00DA6063">
        <w:rPr>
          <w:rFonts w:ascii="Tahoma" w:hAnsi="Tahoma" w:cs="Tahoma"/>
          <w:kern w:val="0"/>
          <w:sz w:val="24"/>
          <w:szCs w:val="24"/>
          <w:lang w:eastAsia="en-ZW"/>
        </w:rPr>
        <w:t xml:space="preserve">: The country </w:t>
      </w:r>
      <w:r w:rsidR="008B1AC1">
        <w:rPr>
          <w:rFonts w:ascii="Tahoma" w:hAnsi="Tahoma" w:cs="Tahoma"/>
          <w:kern w:val="0"/>
          <w:sz w:val="24"/>
          <w:szCs w:val="24"/>
          <w:lang w:eastAsia="en-ZW"/>
        </w:rPr>
        <w:t>needs</w:t>
      </w:r>
      <w:r w:rsidR="00DA6063">
        <w:rPr>
          <w:rFonts w:ascii="Tahoma" w:hAnsi="Tahoma" w:cs="Tahoma"/>
          <w:kern w:val="0"/>
          <w:sz w:val="24"/>
          <w:szCs w:val="24"/>
          <w:lang w:eastAsia="en-ZW"/>
        </w:rPr>
        <w:t xml:space="preserve"> to </w:t>
      </w:r>
      <w:r w:rsidR="008B1AC1">
        <w:rPr>
          <w:rFonts w:ascii="Tahoma" w:hAnsi="Tahoma" w:cs="Tahoma"/>
          <w:kern w:val="0"/>
          <w:sz w:val="24"/>
          <w:szCs w:val="24"/>
          <w:lang w:eastAsia="en-ZW"/>
        </w:rPr>
        <w:t>focus on</w:t>
      </w:r>
      <w:r w:rsidR="00DA6063">
        <w:rPr>
          <w:rFonts w:ascii="Tahoma" w:hAnsi="Tahoma" w:cs="Tahoma"/>
          <w:kern w:val="0"/>
          <w:sz w:val="24"/>
          <w:szCs w:val="24"/>
          <w:lang w:eastAsia="en-ZW"/>
        </w:rPr>
        <w:t xml:space="preserve"> industrialisation </w:t>
      </w:r>
      <w:r w:rsidR="008B1AC1">
        <w:rPr>
          <w:rFonts w:ascii="Tahoma" w:hAnsi="Tahoma" w:cs="Tahoma"/>
          <w:kern w:val="0"/>
          <w:sz w:val="24"/>
          <w:szCs w:val="24"/>
          <w:lang w:eastAsia="en-ZW"/>
        </w:rPr>
        <w:t>rather than basing on resource extraction and agriculture.</w:t>
      </w:r>
      <w:r w:rsidR="00E100AD">
        <w:rPr>
          <w:rFonts w:ascii="Tahoma" w:hAnsi="Tahoma" w:cs="Tahoma"/>
          <w:kern w:val="0"/>
          <w:sz w:val="24"/>
          <w:szCs w:val="24"/>
          <w:lang w:eastAsia="en-ZW"/>
        </w:rPr>
        <w:t xml:space="preserve"> International commodity prices especially for agricultural commodities are falling both on a </w:t>
      </w:r>
      <w:r w:rsidR="00085B08">
        <w:rPr>
          <w:rFonts w:ascii="Tahoma" w:hAnsi="Tahoma" w:cs="Tahoma"/>
          <w:kern w:val="0"/>
          <w:sz w:val="24"/>
          <w:szCs w:val="24"/>
          <w:lang w:eastAsia="en-ZW"/>
        </w:rPr>
        <w:t>MoM</w:t>
      </w:r>
      <w:r w:rsidR="00E100AD">
        <w:rPr>
          <w:rFonts w:ascii="Tahoma" w:hAnsi="Tahoma" w:cs="Tahoma"/>
          <w:kern w:val="0"/>
          <w:sz w:val="24"/>
          <w:szCs w:val="24"/>
          <w:lang w:eastAsia="en-ZW"/>
        </w:rPr>
        <w:t xml:space="preserve">, YtD and YoY basis hence the economy need to industrialise and reduce dependency on agricultural commodities.  </w:t>
      </w:r>
      <w:r w:rsidR="008B1AC1">
        <w:rPr>
          <w:rFonts w:ascii="Tahoma" w:hAnsi="Tahoma" w:cs="Tahoma"/>
          <w:kern w:val="0"/>
          <w:sz w:val="24"/>
          <w:szCs w:val="24"/>
          <w:lang w:eastAsia="en-ZW"/>
        </w:rPr>
        <w:t xml:space="preserve"> The economy also needs to diversify its exports destination</w:t>
      </w:r>
      <w:r w:rsidR="00AE4C4E">
        <w:rPr>
          <w:rFonts w:ascii="Tahoma" w:hAnsi="Tahoma" w:cs="Tahoma"/>
          <w:kern w:val="0"/>
          <w:sz w:val="24"/>
          <w:szCs w:val="24"/>
          <w:lang w:eastAsia="en-ZW"/>
        </w:rPr>
        <w:t>.</w:t>
      </w:r>
    </w:p>
    <w:p w14:paraId="3A103845" w14:textId="77777777" w:rsidR="000F7929" w:rsidRDefault="000F7929" w:rsidP="00595E97">
      <w:pPr>
        <w:pStyle w:val="ListParagraph"/>
        <w:ind w:hanging="720"/>
        <w:jc w:val="both"/>
        <w:rPr>
          <w:rFonts w:ascii="Tahoma" w:hAnsi="Tahoma" w:cs="Tahoma"/>
          <w:sz w:val="24"/>
          <w:szCs w:val="24"/>
          <w:lang w:val="en-US"/>
        </w:rPr>
      </w:pPr>
    </w:p>
    <w:p w14:paraId="1B4B896F" w14:textId="1A28037A" w:rsidR="000F7929" w:rsidRDefault="000F7929" w:rsidP="000F7929">
      <w:pPr>
        <w:pStyle w:val="ListParagraph"/>
        <w:ind w:hanging="720"/>
        <w:jc w:val="both"/>
        <w:rPr>
          <w:rFonts w:ascii="Tahoma" w:hAnsi="Tahoma" w:cs="Tahoma"/>
          <w:sz w:val="24"/>
          <w:szCs w:val="24"/>
          <w:lang w:val="en-US"/>
        </w:rPr>
      </w:pPr>
      <w:r>
        <w:rPr>
          <w:rFonts w:ascii="Tahoma" w:hAnsi="Tahoma" w:cs="Tahoma"/>
          <w:sz w:val="24"/>
          <w:szCs w:val="24"/>
          <w:lang w:val="en-US"/>
        </w:rPr>
        <w:t>9.1.</w:t>
      </w:r>
      <w:r w:rsidR="00B52B54">
        <w:rPr>
          <w:rFonts w:ascii="Tahoma" w:hAnsi="Tahoma" w:cs="Tahoma"/>
          <w:sz w:val="24"/>
          <w:szCs w:val="24"/>
          <w:lang w:val="en-US"/>
        </w:rPr>
        <w:t>2</w:t>
      </w:r>
      <w:r>
        <w:rPr>
          <w:rFonts w:ascii="Tahoma" w:hAnsi="Tahoma" w:cs="Tahoma"/>
          <w:sz w:val="24"/>
          <w:szCs w:val="24"/>
          <w:lang w:val="en-US"/>
        </w:rPr>
        <w:tab/>
      </w:r>
      <w:r w:rsidRPr="00085B08">
        <w:rPr>
          <w:rFonts w:ascii="Tahoma" w:hAnsi="Tahoma" w:cs="Tahoma"/>
          <w:b/>
          <w:bCs/>
          <w:sz w:val="24"/>
          <w:szCs w:val="24"/>
          <w:lang w:val="en-US"/>
        </w:rPr>
        <w:t xml:space="preserve">Strategic </w:t>
      </w:r>
      <w:r w:rsidR="008B1AC1" w:rsidRPr="00085B08">
        <w:rPr>
          <w:rFonts w:ascii="Tahoma" w:hAnsi="Tahoma" w:cs="Tahoma"/>
          <w:b/>
          <w:bCs/>
          <w:sz w:val="24"/>
          <w:szCs w:val="24"/>
          <w:lang w:val="en-US"/>
        </w:rPr>
        <w:t>G</w:t>
      </w:r>
      <w:r w:rsidRPr="00085B08">
        <w:rPr>
          <w:rFonts w:ascii="Tahoma" w:hAnsi="Tahoma" w:cs="Tahoma"/>
          <w:b/>
          <w:bCs/>
          <w:sz w:val="24"/>
          <w:szCs w:val="24"/>
          <w:lang w:val="en-US"/>
        </w:rPr>
        <w:t xml:space="preserve">rain </w:t>
      </w:r>
      <w:r w:rsidR="008B1AC1" w:rsidRPr="00085B08">
        <w:rPr>
          <w:rFonts w:ascii="Tahoma" w:hAnsi="Tahoma" w:cs="Tahoma"/>
          <w:b/>
          <w:bCs/>
          <w:sz w:val="24"/>
          <w:szCs w:val="24"/>
          <w:lang w:val="en-US"/>
        </w:rPr>
        <w:t>R</w:t>
      </w:r>
      <w:r w:rsidRPr="00085B08">
        <w:rPr>
          <w:rFonts w:ascii="Tahoma" w:hAnsi="Tahoma" w:cs="Tahoma"/>
          <w:b/>
          <w:bCs/>
          <w:sz w:val="24"/>
          <w:szCs w:val="24"/>
          <w:lang w:val="en-US"/>
        </w:rPr>
        <w:t>eserves</w:t>
      </w:r>
      <w:r>
        <w:rPr>
          <w:rFonts w:ascii="Tahoma" w:hAnsi="Tahoma" w:cs="Tahoma"/>
          <w:sz w:val="24"/>
          <w:szCs w:val="24"/>
          <w:lang w:val="en-US"/>
        </w:rPr>
        <w:t>:</w:t>
      </w:r>
      <w:r w:rsidR="0089508C">
        <w:rPr>
          <w:rFonts w:ascii="Tahoma" w:hAnsi="Tahoma" w:cs="Tahoma"/>
          <w:sz w:val="24"/>
          <w:szCs w:val="24"/>
          <w:lang w:val="en-US"/>
        </w:rPr>
        <w:t xml:space="preserve"> The country needs to build strategic reserves that are </w:t>
      </w:r>
      <w:r w:rsidR="00085B08">
        <w:rPr>
          <w:rFonts w:ascii="Tahoma" w:hAnsi="Tahoma" w:cs="Tahoma"/>
          <w:sz w:val="24"/>
          <w:szCs w:val="24"/>
          <w:lang w:val="en-US"/>
        </w:rPr>
        <w:t>sufficient</w:t>
      </w:r>
      <w:r w:rsidR="0089508C">
        <w:rPr>
          <w:rFonts w:ascii="Tahoma" w:hAnsi="Tahoma" w:cs="Tahoma"/>
          <w:sz w:val="24"/>
          <w:szCs w:val="24"/>
          <w:lang w:val="en-US"/>
        </w:rPr>
        <w:t xml:space="preserve"> </w:t>
      </w:r>
      <w:r w:rsidR="00085B08">
        <w:rPr>
          <w:rFonts w:ascii="Tahoma" w:hAnsi="Tahoma" w:cs="Tahoma"/>
          <w:sz w:val="24"/>
          <w:szCs w:val="24"/>
          <w:lang w:val="en-US"/>
        </w:rPr>
        <w:t xml:space="preserve">to </w:t>
      </w:r>
      <w:r w:rsidR="0089508C">
        <w:rPr>
          <w:rFonts w:ascii="Tahoma" w:hAnsi="Tahoma" w:cs="Tahoma"/>
          <w:sz w:val="24"/>
          <w:szCs w:val="24"/>
          <w:lang w:val="en-US"/>
        </w:rPr>
        <w:t xml:space="preserve">sustain the economy in the </w:t>
      </w:r>
      <w:r w:rsidR="00085B08">
        <w:rPr>
          <w:rFonts w:ascii="Tahoma" w:hAnsi="Tahoma" w:cs="Tahoma"/>
          <w:sz w:val="24"/>
          <w:szCs w:val="24"/>
          <w:lang w:val="en-US"/>
        </w:rPr>
        <w:t>event</w:t>
      </w:r>
      <w:r w:rsidR="0089508C">
        <w:rPr>
          <w:rFonts w:ascii="Tahoma" w:hAnsi="Tahoma" w:cs="Tahoma"/>
          <w:sz w:val="24"/>
          <w:szCs w:val="24"/>
          <w:lang w:val="en-US"/>
        </w:rPr>
        <w:t xml:space="preserve"> of a natural </w:t>
      </w:r>
      <w:r w:rsidR="00EC7280">
        <w:rPr>
          <w:rFonts w:ascii="Tahoma" w:hAnsi="Tahoma" w:cs="Tahoma"/>
          <w:sz w:val="24"/>
          <w:szCs w:val="24"/>
          <w:lang w:val="en-US"/>
        </w:rPr>
        <w:t>hazard</w:t>
      </w:r>
      <w:r w:rsidR="00085B08">
        <w:rPr>
          <w:rFonts w:ascii="Tahoma" w:hAnsi="Tahoma" w:cs="Tahoma"/>
          <w:sz w:val="24"/>
          <w:szCs w:val="24"/>
          <w:lang w:val="en-US"/>
        </w:rPr>
        <w:t>s</w:t>
      </w:r>
      <w:r w:rsidR="0089508C">
        <w:rPr>
          <w:rFonts w:ascii="Tahoma" w:hAnsi="Tahoma" w:cs="Tahoma"/>
          <w:sz w:val="24"/>
          <w:szCs w:val="24"/>
          <w:lang w:val="en-US"/>
        </w:rPr>
        <w:t xml:space="preserve"> such El-Nino induced drought.</w:t>
      </w:r>
      <w:r w:rsidR="00A820F1">
        <w:rPr>
          <w:rFonts w:ascii="Tahoma" w:hAnsi="Tahoma" w:cs="Tahoma"/>
          <w:sz w:val="24"/>
          <w:szCs w:val="24"/>
          <w:lang w:val="en-US"/>
        </w:rPr>
        <w:t xml:space="preserve"> The government need</w:t>
      </w:r>
      <w:r w:rsidR="00085B08">
        <w:rPr>
          <w:rFonts w:ascii="Tahoma" w:hAnsi="Tahoma" w:cs="Tahoma"/>
          <w:sz w:val="24"/>
          <w:szCs w:val="24"/>
          <w:lang w:val="en-US"/>
        </w:rPr>
        <w:t>s</w:t>
      </w:r>
      <w:r w:rsidR="00A820F1">
        <w:rPr>
          <w:rFonts w:ascii="Tahoma" w:hAnsi="Tahoma" w:cs="Tahoma"/>
          <w:sz w:val="24"/>
          <w:szCs w:val="24"/>
          <w:lang w:val="en-US"/>
        </w:rPr>
        <w:t xml:space="preserve"> to resuscitate the Grain Marketing Board (GMB) through building Silos in all districts in the country as grain reservoir for the district. </w:t>
      </w:r>
    </w:p>
    <w:p w14:paraId="3BE41D0C" w14:textId="77777777" w:rsidR="000F7929" w:rsidRDefault="000F7929" w:rsidP="000F7929">
      <w:pPr>
        <w:pStyle w:val="ListParagraph"/>
        <w:ind w:hanging="720"/>
        <w:jc w:val="both"/>
        <w:rPr>
          <w:rFonts w:ascii="Tahoma" w:hAnsi="Tahoma" w:cs="Tahoma"/>
          <w:sz w:val="24"/>
          <w:szCs w:val="24"/>
          <w:lang w:val="en-US"/>
        </w:rPr>
      </w:pPr>
    </w:p>
    <w:p w14:paraId="2FEA598D" w14:textId="60EAFB49" w:rsidR="000F7929" w:rsidRPr="00085B08" w:rsidRDefault="000F7929" w:rsidP="00085B08">
      <w:pPr>
        <w:pStyle w:val="ListParagraph"/>
        <w:ind w:hanging="720"/>
        <w:jc w:val="both"/>
        <w:rPr>
          <w:lang w:val="en-US"/>
        </w:rPr>
      </w:pPr>
      <w:r>
        <w:rPr>
          <w:rFonts w:ascii="Tahoma" w:hAnsi="Tahoma" w:cs="Tahoma"/>
          <w:sz w:val="24"/>
          <w:szCs w:val="24"/>
          <w:lang w:val="en-US"/>
        </w:rPr>
        <w:t>9.1.</w:t>
      </w:r>
      <w:r w:rsidR="00B52B54">
        <w:rPr>
          <w:rFonts w:ascii="Tahoma" w:hAnsi="Tahoma" w:cs="Tahoma"/>
          <w:sz w:val="24"/>
          <w:szCs w:val="24"/>
          <w:lang w:val="en-US"/>
        </w:rPr>
        <w:t>3</w:t>
      </w:r>
      <w:r>
        <w:rPr>
          <w:rFonts w:ascii="Tahoma" w:hAnsi="Tahoma" w:cs="Tahoma"/>
          <w:sz w:val="24"/>
          <w:szCs w:val="24"/>
          <w:lang w:val="en-US"/>
        </w:rPr>
        <w:tab/>
      </w:r>
      <w:r w:rsidR="00DF46D7" w:rsidRPr="00085B08">
        <w:rPr>
          <w:rFonts w:ascii="Tahoma" w:hAnsi="Tahoma" w:cs="Tahoma"/>
          <w:b/>
          <w:bCs/>
          <w:sz w:val="24"/>
          <w:szCs w:val="24"/>
          <w:lang w:val="en-US"/>
        </w:rPr>
        <w:t>ZiG</w:t>
      </w:r>
      <w:r w:rsidRPr="00085B08">
        <w:rPr>
          <w:rFonts w:ascii="Tahoma" w:hAnsi="Tahoma" w:cs="Tahoma"/>
          <w:b/>
          <w:bCs/>
          <w:sz w:val="24"/>
          <w:szCs w:val="24"/>
          <w:lang w:val="en-US"/>
        </w:rPr>
        <w:t xml:space="preserve"> Stabilization</w:t>
      </w:r>
      <w:r>
        <w:rPr>
          <w:rFonts w:ascii="Tahoma" w:hAnsi="Tahoma" w:cs="Tahoma"/>
          <w:sz w:val="24"/>
          <w:szCs w:val="24"/>
          <w:lang w:val="en-US"/>
        </w:rPr>
        <w:t xml:space="preserve">: </w:t>
      </w:r>
      <w:r w:rsidR="00E25E5A">
        <w:rPr>
          <w:rFonts w:ascii="Tahoma" w:hAnsi="Tahoma" w:cs="Tahoma"/>
          <w:sz w:val="24"/>
          <w:szCs w:val="24"/>
          <w:lang w:val="en-US"/>
        </w:rPr>
        <w:t xml:space="preserve">The ZiG depreciated </w:t>
      </w:r>
      <w:r w:rsidR="00085B08">
        <w:rPr>
          <w:rFonts w:ascii="Tahoma" w:hAnsi="Tahoma" w:cs="Tahoma"/>
          <w:sz w:val="24"/>
          <w:szCs w:val="24"/>
          <w:lang w:val="en-US"/>
        </w:rPr>
        <w:t>against</w:t>
      </w:r>
      <w:r w:rsidR="00085B08">
        <w:rPr>
          <w:rFonts w:ascii="Tahoma" w:hAnsi="Tahoma" w:cs="Tahoma"/>
          <w:sz w:val="24"/>
          <w:szCs w:val="24"/>
          <w:lang w:val="en-US"/>
        </w:rPr>
        <w:t xml:space="preserve"> </w:t>
      </w:r>
      <w:r w:rsidR="00E25E5A">
        <w:rPr>
          <w:rFonts w:ascii="Tahoma" w:hAnsi="Tahoma" w:cs="Tahoma"/>
          <w:sz w:val="24"/>
          <w:szCs w:val="24"/>
          <w:lang w:val="en-US"/>
        </w:rPr>
        <w:t>all major currencies, thus, t</w:t>
      </w:r>
      <w:r w:rsidR="0089508C">
        <w:rPr>
          <w:rFonts w:ascii="Tahoma" w:hAnsi="Tahoma" w:cs="Tahoma"/>
          <w:sz w:val="24"/>
          <w:szCs w:val="24"/>
          <w:lang w:val="en-US"/>
        </w:rPr>
        <w:t>here is need for a continuous economic reforms including fiscal adjustment and rebuilding foreign exchange reserves</w:t>
      </w:r>
      <w:r w:rsidR="00C95D38">
        <w:rPr>
          <w:rFonts w:ascii="Tahoma" w:hAnsi="Tahoma" w:cs="Tahoma"/>
          <w:sz w:val="24"/>
          <w:szCs w:val="24"/>
          <w:lang w:val="en-US"/>
        </w:rPr>
        <w:t xml:space="preserve"> to reinforce the</w:t>
      </w:r>
      <w:r w:rsidR="00E25E5A">
        <w:rPr>
          <w:rFonts w:ascii="Tahoma" w:hAnsi="Tahoma" w:cs="Tahoma"/>
          <w:sz w:val="24"/>
          <w:szCs w:val="24"/>
          <w:lang w:val="en-US"/>
        </w:rPr>
        <w:t xml:space="preserve"> value</w:t>
      </w:r>
      <w:r w:rsidR="00C95D38">
        <w:rPr>
          <w:rFonts w:ascii="Tahoma" w:hAnsi="Tahoma" w:cs="Tahoma"/>
          <w:sz w:val="24"/>
          <w:szCs w:val="24"/>
          <w:lang w:val="en-US"/>
        </w:rPr>
        <w:t xml:space="preserve"> ZiG.</w:t>
      </w:r>
    </w:p>
    <w:p w14:paraId="4C7A4FB0" w14:textId="5723C694" w:rsidR="000F7929" w:rsidRDefault="000F7929" w:rsidP="00085B08">
      <w:pPr>
        <w:ind w:left="720" w:hanging="720"/>
        <w:jc w:val="both"/>
        <w:rPr>
          <w:rFonts w:ascii="Tahoma" w:hAnsi="Tahoma" w:cs="Tahoma"/>
          <w:sz w:val="24"/>
          <w:szCs w:val="24"/>
          <w:lang w:val="en-US"/>
        </w:rPr>
      </w:pPr>
      <w:r>
        <w:rPr>
          <w:rFonts w:ascii="Tahoma" w:hAnsi="Tahoma" w:cs="Tahoma"/>
          <w:sz w:val="24"/>
          <w:szCs w:val="24"/>
          <w:lang w:val="en-US"/>
        </w:rPr>
        <w:t>9.1.</w:t>
      </w:r>
      <w:r w:rsidR="00B52B54">
        <w:rPr>
          <w:rFonts w:ascii="Tahoma" w:hAnsi="Tahoma" w:cs="Tahoma"/>
          <w:sz w:val="24"/>
          <w:szCs w:val="24"/>
          <w:lang w:val="en-US"/>
        </w:rPr>
        <w:t>4</w:t>
      </w:r>
      <w:r>
        <w:rPr>
          <w:rFonts w:ascii="Tahoma" w:hAnsi="Tahoma" w:cs="Tahoma"/>
          <w:sz w:val="24"/>
          <w:szCs w:val="24"/>
          <w:lang w:val="en-US"/>
        </w:rPr>
        <w:tab/>
      </w:r>
      <w:r w:rsidR="00FC73A2" w:rsidRPr="00085B08">
        <w:rPr>
          <w:rFonts w:ascii="Tahoma" w:hAnsi="Tahoma" w:cs="Tahoma"/>
          <w:b/>
          <w:bCs/>
          <w:sz w:val="24"/>
          <w:szCs w:val="24"/>
          <w:lang w:val="en-US"/>
        </w:rPr>
        <w:t xml:space="preserve">Tracking </w:t>
      </w:r>
      <w:r w:rsidRPr="00085B08">
        <w:rPr>
          <w:rFonts w:ascii="Tahoma" w:hAnsi="Tahoma" w:cs="Tahoma"/>
          <w:b/>
          <w:bCs/>
          <w:sz w:val="24"/>
          <w:szCs w:val="24"/>
          <w:lang w:val="en-US"/>
        </w:rPr>
        <w:t>Inflation</w:t>
      </w:r>
      <w:r w:rsidR="00FC73A2" w:rsidRPr="00085B08">
        <w:rPr>
          <w:rFonts w:ascii="Tahoma" w:hAnsi="Tahoma" w:cs="Tahoma"/>
          <w:b/>
          <w:bCs/>
          <w:sz w:val="24"/>
          <w:szCs w:val="24"/>
          <w:lang w:val="en-US"/>
        </w:rPr>
        <w:t xml:space="preserve"> drivers</w:t>
      </w:r>
      <w:r>
        <w:rPr>
          <w:rFonts w:ascii="Tahoma" w:hAnsi="Tahoma" w:cs="Tahoma"/>
          <w:sz w:val="24"/>
          <w:szCs w:val="24"/>
          <w:lang w:val="en-US"/>
        </w:rPr>
        <w:t xml:space="preserve">: </w:t>
      </w:r>
      <w:r w:rsidR="007E26B5">
        <w:rPr>
          <w:rFonts w:ascii="Tahoma" w:hAnsi="Tahoma" w:cs="Tahoma"/>
          <w:sz w:val="24"/>
          <w:szCs w:val="24"/>
          <w:lang w:val="en-US"/>
        </w:rPr>
        <w:t>The</w:t>
      </w:r>
      <w:r w:rsidR="00085B08">
        <w:rPr>
          <w:rFonts w:ascii="Tahoma" w:hAnsi="Tahoma" w:cs="Tahoma"/>
          <w:sz w:val="24"/>
          <w:szCs w:val="24"/>
          <w:lang w:val="en-US"/>
        </w:rPr>
        <w:t>re</w:t>
      </w:r>
      <w:r w:rsidR="007E26B5">
        <w:rPr>
          <w:rFonts w:ascii="Tahoma" w:hAnsi="Tahoma" w:cs="Tahoma"/>
          <w:sz w:val="24"/>
          <w:szCs w:val="24"/>
          <w:lang w:val="en-US"/>
        </w:rPr>
        <w:t xml:space="preserve"> is need to monitor </w:t>
      </w:r>
      <w:r w:rsidR="00FC73A2">
        <w:rPr>
          <w:rFonts w:ascii="Tahoma" w:hAnsi="Tahoma" w:cs="Tahoma"/>
          <w:sz w:val="24"/>
          <w:szCs w:val="24"/>
          <w:lang w:val="en-US"/>
        </w:rPr>
        <w:t>t</w:t>
      </w:r>
      <w:r w:rsidR="00B91522">
        <w:rPr>
          <w:rFonts w:ascii="Tahoma" w:hAnsi="Tahoma" w:cs="Tahoma"/>
          <w:sz w:val="24"/>
          <w:szCs w:val="24"/>
          <w:lang w:val="en-US"/>
        </w:rPr>
        <w:t>he main contributor</w:t>
      </w:r>
      <w:r w:rsidR="00085B08">
        <w:rPr>
          <w:rFonts w:ascii="Tahoma" w:hAnsi="Tahoma" w:cs="Tahoma"/>
          <w:sz w:val="24"/>
          <w:szCs w:val="24"/>
          <w:lang w:val="en-US"/>
        </w:rPr>
        <w:t>s</w:t>
      </w:r>
      <w:r w:rsidR="00B91522">
        <w:rPr>
          <w:rFonts w:ascii="Tahoma" w:hAnsi="Tahoma" w:cs="Tahoma"/>
          <w:sz w:val="24"/>
          <w:szCs w:val="24"/>
          <w:lang w:val="en-US"/>
        </w:rPr>
        <w:t xml:space="preserve"> to inflation </w:t>
      </w:r>
      <w:r w:rsidR="00FC73A2">
        <w:rPr>
          <w:rFonts w:ascii="Tahoma" w:hAnsi="Tahoma" w:cs="Tahoma"/>
          <w:sz w:val="24"/>
          <w:szCs w:val="24"/>
          <w:lang w:val="en-US"/>
        </w:rPr>
        <w:t>which are</w:t>
      </w:r>
      <w:r w:rsidR="00B91522">
        <w:rPr>
          <w:rFonts w:ascii="Tahoma" w:hAnsi="Tahoma" w:cs="Tahoma"/>
          <w:sz w:val="24"/>
          <w:szCs w:val="24"/>
          <w:lang w:val="en-US"/>
        </w:rPr>
        <w:t xml:space="preserve"> housing, water, electricity, gas and other fuels with a weight of 27.62</w:t>
      </w:r>
      <w:r w:rsidR="00FC73A2">
        <w:rPr>
          <w:rFonts w:ascii="Tahoma" w:hAnsi="Tahoma" w:cs="Tahoma"/>
          <w:sz w:val="24"/>
          <w:szCs w:val="24"/>
          <w:lang w:val="en-US"/>
        </w:rPr>
        <w:t xml:space="preserve"> and </w:t>
      </w:r>
      <w:r w:rsidR="00B91522">
        <w:rPr>
          <w:rFonts w:ascii="Tahoma" w:hAnsi="Tahoma" w:cs="Tahoma"/>
          <w:sz w:val="24"/>
          <w:szCs w:val="24"/>
          <w:lang w:val="en-US"/>
        </w:rPr>
        <w:t>food and non-alcoholic beverages with a weight of 31.30.</w:t>
      </w:r>
    </w:p>
    <w:p w14:paraId="0B4FE822" w14:textId="77777777" w:rsidR="000F7929" w:rsidRDefault="000F7929" w:rsidP="000F7929">
      <w:pPr>
        <w:pStyle w:val="ListParagraph"/>
        <w:ind w:hanging="720"/>
        <w:jc w:val="both"/>
        <w:rPr>
          <w:rFonts w:ascii="Tahoma" w:hAnsi="Tahoma" w:cs="Tahoma"/>
          <w:sz w:val="24"/>
          <w:szCs w:val="24"/>
          <w:lang w:val="en-US"/>
        </w:rPr>
      </w:pPr>
      <w:r>
        <w:rPr>
          <w:rFonts w:ascii="Tahoma" w:hAnsi="Tahoma" w:cs="Tahoma"/>
          <w:sz w:val="24"/>
          <w:szCs w:val="24"/>
          <w:lang w:val="en-US"/>
        </w:rPr>
        <w:t>9.1.</w:t>
      </w:r>
      <w:r w:rsidR="00B52B54">
        <w:rPr>
          <w:rFonts w:ascii="Tahoma" w:hAnsi="Tahoma" w:cs="Tahoma"/>
          <w:sz w:val="24"/>
          <w:szCs w:val="24"/>
          <w:lang w:val="en-US"/>
        </w:rPr>
        <w:t>5</w:t>
      </w:r>
      <w:r>
        <w:rPr>
          <w:rFonts w:ascii="Tahoma" w:hAnsi="Tahoma" w:cs="Tahoma"/>
          <w:sz w:val="24"/>
          <w:szCs w:val="24"/>
          <w:lang w:val="en-US"/>
        </w:rPr>
        <w:tab/>
      </w:r>
      <w:r w:rsidRPr="00085B08">
        <w:rPr>
          <w:rFonts w:ascii="Tahoma" w:hAnsi="Tahoma" w:cs="Tahoma"/>
          <w:b/>
          <w:bCs/>
          <w:sz w:val="24"/>
          <w:szCs w:val="24"/>
          <w:lang w:val="en-US"/>
        </w:rPr>
        <w:t>Stock Market</w:t>
      </w:r>
      <w:r>
        <w:rPr>
          <w:rFonts w:ascii="Tahoma" w:hAnsi="Tahoma" w:cs="Tahoma"/>
          <w:sz w:val="24"/>
          <w:szCs w:val="24"/>
          <w:lang w:val="en-US"/>
        </w:rPr>
        <w:t xml:space="preserve">: </w:t>
      </w:r>
      <w:r w:rsidR="00030CEE">
        <w:rPr>
          <w:rFonts w:ascii="Tahoma" w:hAnsi="Tahoma" w:cs="Tahoma"/>
          <w:sz w:val="24"/>
          <w:szCs w:val="24"/>
          <w:lang w:val="en-US"/>
        </w:rPr>
        <w:t>The ZSE and VFEX gained some momentum in June 2024. There is need for a continuous improvement in stock market participation</w:t>
      </w:r>
      <w:r w:rsidR="002D42BB">
        <w:rPr>
          <w:rFonts w:ascii="Tahoma" w:hAnsi="Tahoma" w:cs="Tahoma"/>
          <w:sz w:val="24"/>
          <w:szCs w:val="24"/>
          <w:lang w:val="en-US"/>
        </w:rPr>
        <w:t xml:space="preserve"> through investment information dissemination to investors and potential investors. </w:t>
      </w:r>
      <w:r w:rsidR="00030CEE">
        <w:rPr>
          <w:rFonts w:ascii="Tahoma" w:hAnsi="Tahoma" w:cs="Tahoma"/>
          <w:sz w:val="24"/>
          <w:szCs w:val="24"/>
          <w:lang w:val="en-US"/>
        </w:rPr>
        <w:t xml:space="preserve"> </w:t>
      </w:r>
    </w:p>
    <w:p w14:paraId="138927FC" w14:textId="77777777" w:rsidR="000F7929" w:rsidRDefault="000F7929" w:rsidP="000F7929">
      <w:pPr>
        <w:pStyle w:val="ListParagraph"/>
        <w:ind w:hanging="720"/>
        <w:jc w:val="both"/>
        <w:rPr>
          <w:rFonts w:ascii="Tahoma" w:hAnsi="Tahoma" w:cs="Tahoma"/>
          <w:sz w:val="24"/>
          <w:szCs w:val="24"/>
          <w:lang w:val="en-US"/>
        </w:rPr>
      </w:pPr>
    </w:p>
    <w:p w14:paraId="0FCFBAE7" w14:textId="77777777" w:rsidR="000F7929" w:rsidRDefault="000F7929" w:rsidP="000F7929">
      <w:pPr>
        <w:pStyle w:val="ListParagraph"/>
        <w:ind w:hanging="720"/>
        <w:jc w:val="both"/>
        <w:rPr>
          <w:rFonts w:ascii="Tahoma" w:hAnsi="Tahoma" w:cs="Tahoma"/>
          <w:sz w:val="24"/>
          <w:szCs w:val="24"/>
          <w:lang w:val="en-US"/>
        </w:rPr>
      </w:pPr>
      <w:r>
        <w:rPr>
          <w:rFonts w:ascii="Tahoma" w:hAnsi="Tahoma" w:cs="Tahoma"/>
          <w:sz w:val="24"/>
          <w:szCs w:val="24"/>
          <w:lang w:val="en-US"/>
        </w:rPr>
        <w:t xml:space="preserve"> </w:t>
      </w:r>
    </w:p>
    <w:p w14:paraId="2F41E6EB" w14:textId="77777777" w:rsidR="000F7929" w:rsidRDefault="000F7929" w:rsidP="00595E97">
      <w:pPr>
        <w:pStyle w:val="ListParagraph"/>
        <w:ind w:hanging="720"/>
        <w:jc w:val="both"/>
        <w:rPr>
          <w:rFonts w:ascii="Tahoma" w:hAnsi="Tahoma" w:cs="Tahoma"/>
          <w:sz w:val="24"/>
          <w:szCs w:val="24"/>
          <w:lang w:val="en-US"/>
        </w:rPr>
      </w:pPr>
    </w:p>
    <w:p w14:paraId="0E44854A" w14:textId="77777777" w:rsidR="0007507E" w:rsidRDefault="0007507E" w:rsidP="00595E97">
      <w:pPr>
        <w:pStyle w:val="ListParagraph"/>
        <w:ind w:hanging="720"/>
        <w:jc w:val="both"/>
        <w:rPr>
          <w:rFonts w:ascii="Tahoma" w:hAnsi="Tahoma" w:cs="Tahoma"/>
          <w:sz w:val="24"/>
          <w:szCs w:val="24"/>
          <w:lang w:val="en-US"/>
        </w:rPr>
      </w:pPr>
    </w:p>
    <w:p w14:paraId="75BA1908" w14:textId="77777777" w:rsidR="0007507E" w:rsidRDefault="0007507E" w:rsidP="00595E97">
      <w:pPr>
        <w:pStyle w:val="ListParagraph"/>
        <w:ind w:hanging="720"/>
        <w:jc w:val="both"/>
        <w:rPr>
          <w:rFonts w:ascii="Tahoma" w:hAnsi="Tahoma" w:cs="Tahoma"/>
          <w:sz w:val="24"/>
          <w:szCs w:val="24"/>
          <w:lang w:val="en-US"/>
        </w:rPr>
      </w:pPr>
    </w:p>
    <w:p w14:paraId="7F5F4E19" w14:textId="77777777" w:rsidR="0007507E" w:rsidRDefault="0007507E" w:rsidP="003C7C0E">
      <w:pPr>
        <w:pStyle w:val="ListParagraph"/>
        <w:ind w:left="0"/>
        <w:jc w:val="both"/>
        <w:rPr>
          <w:rFonts w:ascii="Tahoma" w:hAnsi="Tahoma" w:cs="Tahoma"/>
          <w:sz w:val="24"/>
          <w:szCs w:val="24"/>
          <w:lang w:val="en-US"/>
        </w:rPr>
      </w:pPr>
    </w:p>
    <w:p w14:paraId="06442194" w14:textId="77777777" w:rsidR="003C7C0E" w:rsidRDefault="003C7C0E">
      <w:pPr>
        <w:pStyle w:val="Heading1"/>
      </w:pPr>
      <w:bookmarkStart w:id="64" w:name="_Toc171946097"/>
      <w:r>
        <w:lastRenderedPageBreak/>
        <w:t>10.0 References</w:t>
      </w:r>
      <w:bookmarkEnd w:id="64"/>
    </w:p>
    <w:p w14:paraId="7EC8CE0E" w14:textId="77777777" w:rsidR="003C7C0E" w:rsidRPr="006F66BD" w:rsidRDefault="003C7C0E" w:rsidP="00085B08">
      <w:pPr>
        <w:pStyle w:val="Bibliography"/>
        <w:ind w:left="1440" w:hanging="720"/>
        <w:jc w:val="both"/>
        <w:rPr>
          <w:rFonts w:ascii="Tahoma" w:hAnsi="Tahoma" w:cs="Tahoma"/>
          <w:noProof/>
          <w:kern w:val="0"/>
          <w:sz w:val="24"/>
          <w:szCs w:val="24"/>
        </w:rPr>
      </w:pPr>
      <w:r w:rsidRPr="006F66BD">
        <w:rPr>
          <w:rFonts w:ascii="Tahoma" w:hAnsi="Tahoma" w:cs="Tahoma"/>
          <w:noProof/>
          <w:sz w:val="24"/>
          <w:szCs w:val="24"/>
        </w:rPr>
        <w:t xml:space="preserve">Galt and Taggart. (2024). </w:t>
      </w:r>
      <w:r w:rsidRPr="006F66BD">
        <w:rPr>
          <w:rFonts w:ascii="Tahoma" w:hAnsi="Tahoma" w:cs="Tahoma"/>
          <w:i/>
          <w:iCs/>
          <w:noProof/>
          <w:sz w:val="24"/>
          <w:szCs w:val="24"/>
        </w:rPr>
        <w:t>Commodities Monthly Outlook.</w:t>
      </w:r>
      <w:r w:rsidRPr="006F66BD">
        <w:rPr>
          <w:rFonts w:ascii="Tahoma" w:hAnsi="Tahoma" w:cs="Tahoma"/>
          <w:noProof/>
          <w:sz w:val="24"/>
          <w:szCs w:val="24"/>
        </w:rPr>
        <w:t xml:space="preserve"> Galt &amp; Taggart.</w:t>
      </w:r>
    </w:p>
    <w:p w14:paraId="7895DE20" w14:textId="77777777" w:rsidR="003C7C0E" w:rsidRPr="006F66BD" w:rsidRDefault="003C7C0E" w:rsidP="00085B08">
      <w:pPr>
        <w:pStyle w:val="Bibliography"/>
        <w:ind w:left="1440" w:hanging="720"/>
        <w:jc w:val="both"/>
        <w:rPr>
          <w:rFonts w:ascii="Tahoma" w:hAnsi="Tahoma" w:cs="Tahoma"/>
          <w:noProof/>
          <w:sz w:val="24"/>
          <w:szCs w:val="24"/>
        </w:rPr>
      </w:pPr>
      <w:r w:rsidRPr="006F66BD">
        <w:rPr>
          <w:rFonts w:ascii="Tahoma" w:hAnsi="Tahoma" w:cs="Tahoma"/>
          <w:noProof/>
          <w:sz w:val="24"/>
          <w:szCs w:val="24"/>
        </w:rPr>
        <w:t xml:space="preserve">IMF. (2024). </w:t>
      </w:r>
      <w:r w:rsidRPr="006F66BD">
        <w:rPr>
          <w:rFonts w:ascii="Tahoma" w:hAnsi="Tahoma" w:cs="Tahoma"/>
          <w:i/>
          <w:iCs/>
          <w:noProof/>
          <w:sz w:val="24"/>
          <w:szCs w:val="24"/>
        </w:rPr>
        <w:t>World Economic outlook Update, April 2024.</w:t>
      </w:r>
      <w:r w:rsidRPr="006F66BD">
        <w:rPr>
          <w:rFonts w:ascii="Tahoma" w:hAnsi="Tahoma" w:cs="Tahoma"/>
          <w:noProof/>
          <w:sz w:val="24"/>
          <w:szCs w:val="24"/>
        </w:rPr>
        <w:t xml:space="preserve"> International Monetary Fund.</w:t>
      </w:r>
    </w:p>
    <w:p w14:paraId="28777952" w14:textId="77777777" w:rsidR="003C7C0E" w:rsidRPr="006F66BD" w:rsidRDefault="003C7C0E" w:rsidP="00085B08">
      <w:pPr>
        <w:pStyle w:val="Bibliography"/>
        <w:ind w:left="1440" w:hanging="720"/>
        <w:jc w:val="both"/>
        <w:rPr>
          <w:rFonts w:ascii="Tahoma" w:hAnsi="Tahoma" w:cs="Tahoma"/>
          <w:noProof/>
          <w:sz w:val="24"/>
          <w:szCs w:val="24"/>
        </w:rPr>
      </w:pPr>
      <w:r w:rsidRPr="006F66BD">
        <w:rPr>
          <w:rFonts w:ascii="Tahoma" w:hAnsi="Tahoma" w:cs="Tahoma"/>
          <w:noProof/>
          <w:sz w:val="24"/>
          <w:szCs w:val="24"/>
        </w:rPr>
        <w:t xml:space="preserve">RBZ. (2024). </w:t>
      </w:r>
      <w:r w:rsidRPr="006F66BD">
        <w:rPr>
          <w:rFonts w:ascii="Tahoma" w:hAnsi="Tahoma" w:cs="Tahoma"/>
          <w:i/>
          <w:iCs/>
          <w:noProof/>
          <w:sz w:val="24"/>
          <w:szCs w:val="24"/>
        </w:rPr>
        <w:t>Exchange Rates</w:t>
      </w:r>
      <w:r w:rsidRPr="006F66BD">
        <w:rPr>
          <w:rFonts w:ascii="Tahoma" w:hAnsi="Tahoma" w:cs="Tahoma"/>
          <w:noProof/>
          <w:sz w:val="24"/>
          <w:szCs w:val="24"/>
        </w:rPr>
        <w:t>. Retrieved from Reserve Bank of Zimbabwe: https://www.rbz.co.zw/index.php/research/markets/exchange-rates</w:t>
      </w:r>
    </w:p>
    <w:p w14:paraId="0A7616D5" w14:textId="77777777" w:rsidR="003C7C0E" w:rsidRPr="006F66BD" w:rsidRDefault="003C7C0E" w:rsidP="00085B08">
      <w:pPr>
        <w:pStyle w:val="Bibliography"/>
        <w:ind w:left="1440" w:hanging="720"/>
        <w:jc w:val="both"/>
        <w:rPr>
          <w:rFonts w:ascii="Tahoma" w:hAnsi="Tahoma" w:cs="Tahoma"/>
          <w:noProof/>
          <w:sz w:val="24"/>
          <w:szCs w:val="24"/>
        </w:rPr>
      </w:pPr>
      <w:r w:rsidRPr="006F66BD">
        <w:rPr>
          <w:rFonts w:ascii="Tahoma" w:hAnsi="Tahoma" w:cs="Tahoma"/>
          <w:noProof/>
          <w:sz w:val="24"/>
          <w:szCs w:val="24"/>
        </w:rPr>
        <w:t xml:space="preserve">RBZ. (2024). </w:t>
      </w:r>
      <w:r w:rsidRPr="006F66BD">
        <w:rPr>
          <w:rFonts w:ascii="Tahoma" w:hAnsi="Tahoma" w:cs="Tahoma"/>
          <w:i/>
          <w:iCs/>
          <w:noProof/>
          <w:sz w:val="24"/>
          <w:szCs w:val="24"/>
        </w:rPr>
        <w:t>Resolutions of the Monetary Policy Committe Meeting Held on 26 June 2024.</w:t>
      </w:r>
      <w:r w:rsidRPr="006F66BD">
        <w:rPr>
          <w:rFonts w:ascii="Tahoma" w:hAnsi="Tahoma" w:cs="Tahoma"/>
          <w:noProof/>
          <w:sz w:val="24"/>
          <w:szCs w:val="24"/>
        </w:rPr>
        <w:t xml:space="preserve"> Retrieved from Reserve Bank of Zimbabwe: https://www.rbz.co.zw/documents/press/2024/June/MPC_-_Monetary_Policy_Committee_Press_Statement_26_June_20241.pdf</w:t>
      </w:r>
    </w:p>
    <w:p w14:paraId="6F56AD43" w14:textId="77777777" w:rsidR="003C7C0E" w:rsidRPr="006F66BD" w:rsidRDefault="003C7C0E" w:rsidP="00085B08">
      <w:pPr>
        <w:pStyle w:val="Bibliography"/>
        <w:ind w:left="1440" w:hanging="720"/>
        <w:jc w:val="both"/>
        <w:rPr>
          <w:rFonts w:ascii="Tahoma" w:hAnsi="Tahoma" w:cs="Tahoma"/>
          <w:noProof/>
          <w:sz w:val="24"/>
          <w:szCs w:val="24"/>
        </w:rPr>
      </w:pPr>
      <w:r w:rsidRPr="006F66BD">
        <w:rPr>
          <w:rFonts w:ascii="Tahoma" w:hAnsi="Tahoma" w:cs="Tahoma"/>
          <w:noProof/>
          <w:sz w:val="24"/>
          <w:szCs w:val="24"/>
        </w:rPr>
        <w:t xml:space="preserve">Trading Economics. (2024). </w:t>
      </w:r>
      <w:r w:rsidRPr="006F66BD">
        <w:rPr>
          <w:rFonts w:ascii="Tahoma" w:hAnsi="Tahoma" w:cs="Tahoma"/>
          <w:i/>
          <w:iCs/>
          <w:noProof/>
          <w:sz w:val="24"/>
          <w:szCs w:val="24"/>
        </w:rPr>
        <w:t>Commodities</w:t>
      </w:r>
      <w:r w:rsidRPr="006F66BD">
        <w:rPr>
          <w:rFonts w:ascii="Tahoma" w:hAnsi="Tahoma" w:cs="Tahoma"/>
          <w:noProof/>
          <w:sz w:val="24"/>
          <w:szCs w:val="24"/>
        </w:rPr>
        <w:t>. Retrieved from Trading Economics: https://tradingeconomics.com/commodity/crude-oil</w:t>
      </w:r>
    </w:p>
    <w:p w14:paraId="6B41D2E8" w14:textId="77777777" w:rsidR="003C7C0E" w:rsidRPr="006F66BD" w:rsidRDefault="003C7C0E" w:rsidP="00085B08">
      <w:pPr>
        <w:pStyle w:val="Bibliography"/>
        <w:ind w:left="1440" w:hanging="720"/>
        <w:jc w:val="both"/>
        <w:rPr>
          <w:rFonts w:ascii="Tahoma" w:hAnsi="Tahoma" w:cs="Tahoma"/>
          <w:noProof/>
          <w:sz w:val="24"/>
          <w:szCs w:val="24"/>
        </w:rPr>
      </w:pPr>
      <w:r w:rsidRPr="006F66BD">
        <w:rPr>
          <w:rFonts w:ascii="Tahoma" w:hAnsi="Tahoma" w:cs="Tahoma"/>
          <w:noProof/>
          <w:sz w:val="24"/>
          <w:szCs w:val="24"/>
        </w:rPr>
        <w:t xml:space="preserve">VFEX. (2024). </w:t>
      </w:r>
      <w:r w:rsidRPr="006F66BD">
        <w:rPr>
          <w:rFonts w:ascii="Tahoma" w:hAnsi="Tahoma" w:cs="Tahoma"/>
          <w:i/>
          <w:iCs/>
          <w:noProof/>
          <w:sz w:val="24"/>
          <w:szCs w:val="24"/>
        </w:rPr>
        <w:t>Main Dashboard</w:t>
      </w:r>
      <w:r w:rsidRPr="006F66BD">
        <w:rPr>
          <w:rFonts w:ascii="Tahoma" w:hAnsi="Tahoma" w:cs="Tahoma"/>
          <w:noProof/>
          <w:sz w:val="24"/>
          <w:szCs w:val="24"/>
        </w:rPr>
        <w:t>. Retrieved from Victoria Falls Stock Exchange: https://www.vfex.exchange/</w:t>
      </w:r>
    </w:p>
    <w:p w14:paraId="5744F9F4" w14:textId="77777777" w:rsidR="003C7C0E" w:rsidRPr="006F66BD" w:rsidRDefault="003C7C0E" w:rsidP="00085B08">
      <w:pPr>
        <w:pStyle w:val="Bibliography"/>
        <w:ind w:left="1440" w:hanging="720"/>
        <w:jc w:val="both"/>
        <w:rPr>
          <w:rFonts w:ascii="Tahoma" w:hAnsi="Tahoma" w:cs="Tahoma"/>
          <w:noProof/>
          <w:sz w:val="24"/>
          <w:szCs w:val="24"/>
        </w:rPr>
      </w:pPr>
      <w:r w:rsidRPr="006F66BD">
        <w:rPr>
          <w:rFonts w:ascii="Tahoma" w:hAnsi="Tahoma" w:cs="Tahoma"/>
          <w:noProof/>
          <w:sz w:val="24"/>
          <w:szCs w:val="24"/>
        </w:rPr>
        <w:t xml:space="preserve">World Bank Group. (2024). </w:t>
      </w:r>
      <w:r w:rsidRPr="006F66BD">
        <w:rPr>
          <w:rFonts w:ascii="Tahoma" w:hAnsi="Tahoma" w:cs="Tahoma"/>
          <w:i/>
          <w:iCs/>
          <w:noProof/>
          <w:sz w:val="24"/>
          <w:szCs w:val="24"/>
        </w:rPr>
        <w:t>June 2024, Global Economic Prospects: A World Bank Group Flagship Report.</w:t>
      </w:r>
      <w:r w:rsidRPr="006F66BD">
        <w:rPr>
          <w:rFonts w:ascii="Tahoma" w:hAnsi="Tahoma" w:cs="Tahoma"/>
          <w:noProof/>
          <w:sz w:val="24"/>
          <w:szCs w:val="24"/>
        </w:rPr>
        <w:t xml:space="preserve"> World bank.</w:t>
      </w:r>
    </w:p>
    <w:p w14:paraId="0C35E03B" w14:textId="77777777" w:rsidR="003C7C0E" w:rsidRPr="006F66BD" w:rsidRDefault="003C7C0E" w:rsidP="00085B08">
      <w:pPr>
        <w:pStyle w:val="Bibliography"/>
        <w:ind w:left="1440" w:hanging="720"/>
        <w:jc w:val="both"/>
        <w:rPr>
          <w:rFonts w:ascii="Tahoma" w:hAnsi="Tahoma" w:cs="Tahoma"/>
          <w:noProof/>
          <w:sz w:val="24"/>
          <w:szCs w:val="24"/>
        </w:rPr>
      </w:pPr>
      <w:r w:rsidRPr="006F66BD">
        <w:rPr>
          <w:rFonts w:ascii="Tahoma" w:hAnsi="Tahoma" w:cs="Tahoma"/>
          <w:noProof/>
          <w:sz w:val="24"/>
          <w:szCs w:val="24"/>
        </w:rPr>
        <w:t xml:space="preserve">ZimStat. (2024). </w:t>
      </w:r>
      <w:r w:rsidRPr="006F66BD">
        <w:rPr>
          <w:rFonts w:ascii="Tahoma" w:hAnsi="Tahoma" w:cs="Tahoma"/>
          <w:i/>
          <w:iCs/>
          <w:noProof/>
          <w:sz w:val="24"/>
          <w:szCs w:val="24"/>
        </w:rPr>
        <w:t>Inflation Rates</w:t>
      </w:r>
      <w:r w:rsidRPr="006F66BD">
        <w:rPr>
          <w:rFonts w:ascii="Tahoma" w:hAnsi="Tahoma" w:cs="Tahoma"/>
          <w:noProof/>
          <w:sz w:val="24"/>
          <w:szCs w:val="24"/>
        </w:rPr>
        <w:t>. Retrieved from Zimbabwe Statistics Agency: https://www.zimstat.co.zw/</w:t>
      </w:r>
    </w:p>
    <w:p w14:paraId="09E80211" w14:textId="77777777" w:rsidR="003C7C0E" w:rsidRPr="006F66BD" w:rsidRDefault="003C7C0E" w:rsidP="00085B08">
      <w:pPr>
        <w:pStyle w:val="Bibliography"/>
        <w:ind w:left="1440" w:hanging="720"/>
        <w:jc w:val="both"/>
        <w:rPr>
          <w:rFonts w:ascii="Tahoma" w:hAnsi="Tahoma" w:cs="Tahoma"/>
          <w:noProof/>
          <w:sz w:val="24"/>
          <w:szCs w:val="24"/>
        </w:rPr>
      </w:pPr>
      <w:r w:rsidRPr="006F66BD">
        <w:rPr>
          <w:rFonts w:ascii="Tahoma" w:hAnsi="Tahoma" w:cs="Tahoma"/>
          <w:noProof/>
          <w:sz w:val="24"/>
          <w:szCs w:val="24"/>
        </w:rPr>
        <w:t xml:space="preserve">ZSE. (2024). </w:t>
      </w:r>
      <w:r w:rsidRPr="006F66BD">
        <w:rPr>
          <w:rFonts w:ascii="Tahoma" w:hAnsi="Tahoma" w:cs="Tahoma"/>
          <w:i/>
          <w:iCs/>
          <w:noProof/>
          <w:sz w:val="24"/>
          <w:szCs w:val="24"/>
        </w:rPr>
        <w:t>Main Dashboard</w:t>
      </w:r>
      <w:r w:rsidRPr="006F66BD">
        <w:rPr>
          <w:rFonts w:ascii="Tahoma" w:hAnsi="Tahoma" w:cs="Tahoma"/>
          <w:noProof/>
          <w:sz w:val="24"/>
          <w:szCs w:val="24"/>
        </w:rPr>
        <w:t>. Retrieved from Zimbabwe Stock Exchange: https://www.zse.co.zw/</w:t>
      </w:r>
    </w:p>
    <w:p w14:paraId="24A3F65B" w14:textId="77777777" w:rsidR="003C7C0E" w:rsidRDefault="003C7C0E" w:rsidP="003C7C0E"/>
    <w:p w14:paraId="412ED308" w14:textId="77777777" w:rsidR="003C7C0E" w:rsidRDefault="003C7C0E" w:rsidP="003C7C0E">
      <w:pPr>
        <w:pStyle w:val="ListParagraph"/>
        <w:ind w:left="0"/>
        <w:jc w:val="both"/>
        <w:rPr>
          <w:rFonts w:ascii="Tahoma" w:hAnsi="Tahoma" w:cs="Tahoma"/>
          <w:sz w:val="24"/>
          <w:szCs w:val="24"/>
          <w:lang w:val="en-US"/>
        </w:rPr>
      </w:pPr>
    </w:p>
    <w:p w14:paraId="3C62A8CE" w14:textId="77777777" w:rsidR="0007507E" w:rsidRDefault="0007507E" w:rsidP="00595E97">
      <w:pPr>
        <w:pStyle w:val="ListParagraph"/>
        <w:ind w:hanging="720"/>
        <w:jc w:val="both"/>
        <w:rPr>
          <w:rFonts w:ascii="Tahoma" w:hAnsi="Tahoma" w:cs="Tahoma"/>
          <w:sz w:val="24"/>
          <w:szCs w:val="24"/>
          <w:lang w:val="en-US"/>
        </w:rPr>
      </w:pPr>
    </w:p>
    <w:p w14:paraId="2FF2CAF1" w14:textId="77777777" w:rsidR="0007507E" w:rsidRDefault="0007507E" w:rsidP="00595E97">
      <w:pPr>
        <w:pStyle w:val="ListParagraph"/>
        <w:ind w:hanging="720"/>
        <w:jc w:val="both"/>
        <w:rPr>
          <w:rFonts w:ascii="Tahoma" w:hAnsi="Tahoma" w:cs="Tahoma"/>
          <w:sz w:val="24"/>
          <w:szCs w:val="24"/>
          <w:lang w:val="en-US"/>
        </w:rPr>
      </w:pPr>
    </w:p>
    <w:p w14:paraId="10604CCE" w14:textId="77777777" w:rsidR="0007507E" w:rsidRDefault="0007507E" w:rsidP="00595E97">
      <w:pPr>
        <w:pStyle w:val="ListParagraph"/>
        <w:ind w:hanging="720"/>
        <w:jc w:val="both"/>
        <w:rPr>
          <w:rFonts w:ascii="Tahoma" w:hAnsi="Tahoma" w:cs="Tahoma"/>
          <w:sz w:val="24"/>
          <w:szCs w:val="24"/>
          <w:lang w:val="en-US"/>
        </w:rPr>
      </w:pPr>
    </w:p>
    <w:p w14:paraId="596F38BA" w14:textId="77777777" w:rsidR="0007507E" w:rsidRDefault="0007507E" w:rsidP="00595E97">
      <w:pPr>
        <w:pStyle w:val="ListParagraph"/>
        <w:ind w:hanging="720"/>
        <w:jc w:val="both"/>
        <w:rPr>
          <w:rFonts w:ascii="Tahoma" w:hAnsi="Tahoma" w:cs="Tahoma"/>
          <w:sz w:val="24"/>
          <w:szCs w:val="24"/>
          <w:lang w:val="en-US"/>
        </w:rPr>
      </w:pPr>
    </w:p>
    <w:p w14:paraId="1AE012C3" w14:textId="77777777" w:rsidR="00C74887" w:rsidRDefault="00C74887" w:rsidP="00595E97">
      <w:pPr>
        <w:pStyle w:val="ListParagraph"/>
        <w:ind w:hanging="720"/>
        <w:jc w:val="both"/>
        <w:rPr>
          <w:rFonts w:ascii="Tahoma" w:hAnsi="Tahoma" w:cs="Tahoma"/>
          <w:sz w:val="24"/>
          <w:szCs w:val="24"/>
          <w:lang w:val="en-US"/>
        </w:rPr>
      </w:pPr>
    </w:p>
    <w:p w14:paraId="63AEA396" w14:textId="77777777" w:rsidR="00EF3AD6" w:rsidRPr="0008009F" w:rsidRDefault="0008009F" w:rsidP="0008009F">
      <w:pPr>
        <w:pStyle w:val="ListParagraph"/>
        <w:ind w:hanging="720"/>
        <w:jc w:val="right"/>
        <w:rPr>
          <w:rFonts w:ascii="Tahoma" w:hAnsi="Tahoma" w:cs="Tahoma"/>
          <w:sz w:val="24"/>
          <w:szCs w:val="24"/>
          <w:lang w:val="en-US"/>
        </w:rPr>
      </w:pPr>
      <w:r w:rsidRPr="0008009F">
        <w:rPr>
          <w:rFonts w:ascii="Tahoma" w:hAnsi="Tahoma" w:cs="Tahoma"/>
          <w:b/>
          <w:iCs/>
          <w:sz w:val="24"/>
          <w:szCs w:val="24"/>
          <w:lang w:val="en-US"/>
        </w:rPr>
        <w:t>NECF Secretariat, 202</w:t>
      </w:r>
      <w:r>
        <w:rPr>
          <w:rFonts w:ascii="Tahoma" w:hAnsi="Tahoma" w:cs="Tahoma"/>
          <w:b/>
          <w:iCs/>
          <w:sz w:val="24"/>
          <w:szCs w:val="24"/>
          <w:lang w:val="en-US"/>
        </w:rPr>
        <w:t>4</w:t>
      </w:r>
    </w:p>
    <w:sectPr w:rsidR="00EF3AD6" w:rsidRPr="0008009F" w:rsidSect="006D22C2">
      <w:head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6CEC62" w14:textId="77777777" w:rsidR="004D371E" w:rsidRDefault="004D371E" w:rsidP="00654F03">
      <w:pPr>
        <w:spacing w:after="0" w:line="240" w:lineRule="auto"/>
      </w:pPr>
      <w:r>
        <w:separator/>
      </w:r>
    </w:p>
    <w:p w14:paraId="3BB529B8" w14:textId="77777777" w:rsidR="004D371E" w:rsidRDefault="004D371E"/>
    <w:p w14:paraId="300E4193" w14:textId="77777777" w:rsidR="004D371E" w:rsidRDefault="004D371E" w:rsidP="00D751E8"/>
  </w:endnote>
  <w:endnote w:type="continuationSeparator" w:id="0">
    <w:p w14:paraId="62CEF3C8" w14:textId="77777777" w:rsidR="004D371E" w:rsidRDefault="004D371E" w:rsidP="00654F03">
      <w:pPr>
        <w:spacing w:after="0" w:line="240" w:lineRule="auto"/>
      </w:pPr>
      <w:r>
        <w:continuationSeparator/>
      </w:r>
    </w:p>
    <w:p w14:paraId="386B306D" w14:textId="77777777" w:rsidR="004D371E" w:rsidRDefault="004D371E"/>
    <w:p w14:paraId="032D873D" w14:textId="77777777" w:rsidR="004D371E" w:rsidRDefault="004D371E" w:rsidP="00D751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95ADF" w14:textId="77777777" w:rsidR="00022BFE" w:rsidRDefault="00022BFE" w:rsidP="00B357AC">
    <w:pPr>
      <w:pStyle w:val="Footer"/>
      <w:jc w:val="center"/>
    </w:pPr>
    <w:r>
      <w:t xml:space="preserve">Page | </w:t>
    </w:r>
    <w:r>
      <w:fldChar w:fldCharType="begin"/>
    </w:r>
    <w:r>
      <w:instrText xml:space="preserve"> PAGE   \* MERGEFORMAT </w:instrText>
    </w:r>
    <w:r>
      <w:fldChar w:fldCharType="separate"/>
    </w:r>
    <w:r w:rsidR="000313AF">
      <w:rPr>
        <w:noProof/>
      </w:rPr>
      <w:t>3</w:t>
    </w:r>
    <w:r>
      <w:rPr>
        <w:noProof/>
      </w:rPr>
      <w:fldChar w:fldCharType="end"/>
    </w:r>
    <w:r>
      <w:t xml:space="preserve"> </w:t>
    </w:r>
  </w:p>
  <w:p w14:paraId="548FE70A" w14:textId="77777777" w:rsidR="00022BFE" w:rsidRDefault="00022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560CC" w14:textId="77777777" w:rsidR="004D371E" w:rsidRDefault="004D371E" w:rsidP="00654F03">
      <w:pPr>
        <w:spacing w:after="0" w:line="240" w:lineRule="auto"/>
      </w:pPr>
      <w:r>
        <w:separator/>
      </w:r>
    </w:p>
    <w:p w14:paraId="4DDF3851" w14:textId="77777777" w:rsidR="004D371E" w:rsidRDefault="004D371E"/>
    <w:p w14:paraId="07805CD6" w14:textId="77777777" w:rsidR="004D371E" w:rsidRDefault="004D371E" w:rsidP="00D751E8"/>
  </w:footnote>
  <w:footnote w:type="continuationSeparator" w:id="0">
    <w:p w14:paraId="6C0E7A38" w14:textId="77777777" w:rsidR="004D371E" w:rsidRDefault="004D371E" w:rsidP="00654F03">
      <w:pPr>
        <w:spacing w:after="0" w:line="240" w:lineRule="auto"/>
      </w:pPr>
      <w:r>
        <w:continuationSeparator/>
      </w:r>
    </w:p>
    <w:p w14:paraId="0273AA69" w14:textId="77777777" w:rsidR="004D371E" w:rsidRDefault="004D371E"/>
    <w:p w14:paraId="2A5D3F8F" w14:textId="77777777" w:rsidR="004D371E" w:rsidRDefault="004D371E" w:rsidP="00D751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9091C" w14:textId="77777777" w:rsidR="00022BFE" w:rsidRDefault="00022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B558A"/>
    <w:multiLevelType w:val="multilevel"/>
    <w:tmpl w:val="E7CCFA1C"/>
    <w:lvl w:ilvl="0">
      <w:start w:val="7"/>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26AB1E4E"/>
    <w:multiLevelType w:val="hybridMultilevel"/>
    <w:tmpl w:val="A120BE0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2A4B3C36"/>
    <w:multiLevelType w:val="multilevel"/>
    <w:tmpl w:val="5BFEB694"/>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394137F8"/>
    <w:multiLevelType w:val="hybridMultilevel"/>
    <w:tmpl w:val="E1B8DD88"/>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65960895"/>
    <w:multiLevelType w:val="hybridMultilevel"/>
    <w:tmpl w:val="D0AAC91E"/>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7DD101F2"/>
    <w:multiLevelType w:val="hybridMultilevel"/>
    <w:tmpl w:val="9D2E818C"/>
    <w:lvl w:ilvl="0" w:tplc="3009000F">
      <w:start w:val="1"/>
      <w:numFmt w:val="decimal"/>
      <w:lvlText w:val="%1."/>
      <w:lvlJc w:val="left"/>
      <w:pPr>
        <w:ind w:left="720" w:hanging="360"/>
      </w:pPr>
    </w:lvl>
    <w:lvl w:ilvl="1" w:tplc="3009000F">
      <w:start w:val="1"/>
      <w:numFmt w:val="decimal"/>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951478407">
    <w:abstractNumId w:val="4"/>
  </w:num>
  <w:num w:numId="2" w16cid:durableId="1644575597">
    <w:abstractNumId w:val="5"/>
  </w:num>
  <w:num w:numId="3" w16cid:durableId="88427866">
    <w:abstractNumId w:val="1"/>
  </w:num>
  <w:num w:numId="4" w16cid:durableId="742027057">
    <w:abstractNumId w:val="2"/>
  </w:num>
  <w:num w:numId="5" w16cid:durableId="216862390">
    <w:abstractNumId w:val="3"/>
  </w:num>
  <w:num w:numId="6" w16cid:durableId="92240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48"/>
    <w:rsid w:val="0000057F"/>
    <w:rsid w:val="00003AB2"/>
    <w:rsid w:val="00004DDD"/>
    <w:rsid w:val="00010C2D"/>
    <w:rsid w:val="000123EE"/>
    <w:rsid w:val="000129B7"/>
    <w:rsid w:val="00013442"/>
    <w:rsid w:val="0001510C"/>
    <w:rsid w:val="00022BFE"/>
    <w:rsid w:val="00026A42"/>
    <w:rsid w:val="0003098D"/>
    <w:rsid w:val="00030CEE"/>
    <w:rsid w:val="00031044"/>
    <w:rsid w:val="000312F5"/>
    <w:rsid w:val="000313AF"/>
    <w:rsid w:val="00031E9A"/>
    <w:rsid w:val="0003407B"/>
    <w:rsid w:val="000346FD"/>
    <w:rsid w:val="0003672E"/>
    <w:rsid w:val="000376E5"/>
    <w:rsid w:val="0004125F"/>
    <w:rsid w:val="00041EA2"/>
    <w:rsid w:val="000469C1"/>
    <w:rsid w:val="00056CEF"/>
    <w:rsid w:val="0006371A"/>
    <w:rsid w:val="00066B05"/>
    <w:rsid w:val="000732CC"/>
    <w:rsid w:val="00074C3E"/>
    <w:rsid w:val="0007507E"/>
    <w:rsid w:val="0008009F"/>
    <w:rsid w:val="00083ABE"/>
    <w:rsid w:val="00085B08"/>
    <w:rsid w:val="0008600D"/>
    <w:rsid w:val="00086539"/>
    <w:rsid w:val="00086A1B"/>
    <w:rsid w:val="00090D37"/>
    <w:rsid w:val="00096221"/>
    <w:rsid w:val="000A2C99"/>
    <w:rsid w:val="000A5880"/>
    <w:rsid w:val="000B0C38"/>
    <w:rsid w:val="000B4023"/>
    <w:rsid w:val="000B622D"/>
    <w:rsid w:val="000B63CE"/>
    <w:rsid w:val="000B6AA5"/>
    <w:rsid w:val="000B790A"/>
    <w:rsid w:val="000C29DA"/>
    <w:rsid w:val="000C2D96"/>
    <w:rsid w:val="000C447C"/>
    <w:rsid w:val="000D22EE"/>
    <w:rsid w:val="000D4C34"/>
    <w:rsid w:val="000D5212"/>
    <w:rsid w:val="000E0195"/>
    <w:rsid w:val="000E455D"/>
    <w:rsid w:val="000F316D"/>
    <w:rsid w:val="000F32A6"/>
    <w:rsid w:val="000F38C3"/>
    <w:rsid w:val="000F54F6"/>
    <w:rsid w:val="000F7929"/>
    <w:rsid w:val="000F7BEA"/>
    <w:rsid w:val="001016F9"/>
    <w:rsid w:val="00101BC7"/>
    <w:rsid w:val="00101D9E"/>
    <w:rsid w:val="001029E1"/>
    <w:rsid w:val="00103E4D"/>
    <w:rsid w:val="00104DFE"/>
    <w:rsid w:val="00106B15"/>
    <w:rsid w:val="00106B69"/>
    <w:rsid w:val="00111B0D"/>
    <w:rsid w:val="0011335B"/>
    <w:rsid w:val="00115C8C"/>
    <w:rsid w:val="00117473"/>
    <w:rsid w:val="001217A1"/>
    <w:rsid w:val="00132EAF"/>
    <w:rsid w:val="001354A1"/>
    <w:rsid w:val="00137BB3"/>
    <w:rsid w:val="00145C78"/>
    <w:rsid w:val="00146D0A"/>
    <w:rsid w:val="00146D2D"/>
    <w:rsid w:val="00150B6E"/>
    <w:rsid w:val="00152873"/>
    <w:rsid w:val="00160959"/>
    <w:rsid w:val="00161D6E"/>
    <w:rsid w:val="00165A7C"/>
    <w:rsid w:val="00170788"/>
    <w:rsid w:val="00171A37"/>
    <w:rsid w:val="00172873"/>
    <w:rsid w:val="00174CBF"/>
    <w:rsid w:val="00181085"/>
    <w:rsid w:val="001810AD"/>
    <w:rsid w:val="00184FA3"/>
    <w:rsid w:val="0018530E"/>
    <w:rsid w:val="00187582"/>
    <w:rsid w:val="00190FD1"/>
    <w:rsid w:val="001946C3"/>
    <w:rsid w:val="001A0156"/>
    <w:rsid w:val="001A488A"/>
    <w:rsid w:val="001B5A7B"/>
    <w:rsid w:val="001B5C7B"/>
    <w:rsid w:val="001C160D"/>
    <w:rsid w:val="001C3F65"/>
    <w:rsid w:val="001C46C6"/>
    <w:rsid w:val="001C6200"/>
    <w:rsid w:val="001C6748"/>
    <w:rsid w:val="001F1A94"/>
    <w:rsid w:val="001F2D81"/>
    <w:rsid w:val="002019B5"/>
    <w:rsid w:val="00206550"/>
    <w:rsid w:val="00211AC2"/>
    <w:rsid w:val="002120A6"/>
    <w:rsid w:val="00223152"/>
    <w:rsid w:val="00223F21"/>
    <w:rsid w:val="0023756F"/>
    <w:rsid w:val="00243665"/>
    <w:rsid w:val="00243C51"/>
    <w:rsid w:val="002448A6"/>
    <w:rsid w:val="00244E77"/>
    <w:rsid w:val="00245AD4"/>
    <w:rsid w:val="00247F83"/>
    <w:rsid w:val="002525BF"/>
    <w:rsid w:val="0025382A"/>
    <w:rsid w:val="00253FAC"/>
    <w:rsid w:val="00254DF0"/>
    <w:rsid w:val="0025517A"/>
    <w:rsid w:val="002569B2"/>
    <w:rsid w:val="00265AEC"/>
    <w:rsid w:val="002668B7"/>
    <w:rsid w:val="00280519"/>
    <w:rsid w:val="00281EE3"/>
    <w:rsid w:val="00286562"/>
    <w:rsid w:val="00286DD4"/>
    <w:rsid w:val="00287F5F"/>
    <w:rsid w:val="00296FDF"/>
    <w:rsid w:val="002A3CAC"/>
    <w:rsid w:val="002B2FE8"/>
    <w:rsid w:val="002B6209"/>
    <w:rsid w:val="002B7529"/>
    <w:rsid w:val="002C6020"/>
    <w:rsid w:val="002D3BAB"/>
    <w:rsid w:val="002D42BB"/>
    <w:rsid w:val="002D478F"/>
    <w:rsid w:val="002E1398"/>
    <w:rsid w:val="002E3ED2"/>
    <w:rsid w:val="002E6010"/>
    <w:rsid w:val="002F1AD6"/>
    <w:rsid w:val="002F3502"/>
    <w:rsid w:val="00300BB3"/>
    <w:rsid w:val="003015C7"/>
    <w:rsid w:val="00307F4A"/>
    <w:rsid w:val="0031015F"/>
    <w:rsid w:val="00313C3E"/>
    <w:rsid w:val="0031428C"/>
    <w:rsid w:val="00314D22"/>
    <w:rsid w:val="00320F64"/>
    <w:rsid w:val="00324047"/>
    <w:rsid w:val="00325ECA"/>
    <w:rsid w:val="003270C4"/>
    <w:rsid w:val="00331834"/>
    <w:rsid w:val="00332F5E"/>
    <w:rsid w:val="00335FD6"/>
    <w:rsid w:val="00352C0D"/>
    <w:rsid w:val="00360073"/>
    <w:rsid w:val="00362187"/>
    <w:rsid w:val="00364947"/>
    <w:rsid w:val="003756E7"/>
    <w:rsid w:val="00377FEB"/>
    <w:rsid w:val="00382F7E"/>
    <w:rsid w:val="00385A53"/>
    <w:rsid w:val="00386A89"/>
    <w:rsid w:val="003944CA"/>
    <w:rsid w:val="00395F28"/>
    <w:rsid w:val="003976F2"/>
    <w:rsid w:val="003A5E3C"/>
    <w:rsid w:val="003B500E"/>
    <w:rsid w:val="003C1D2F"/>
    <w:rsid w:val="003C3CA1"/>
    <w:rsid w:val="003C5DC8"/>
    <w:rsid w:val="003C7C0E"/>
    <w:rsid w:val="003D0C8C"/>
    <w:rsid w:val="003D1B81"/>
    <w:rsid w:val="003D3E43"/>
    <w:rsid w:val="003D7035"/>
    <w:rsid w:val="003D7E2A"/>
    <w:rsid w:val="003E051C"/>
    <w:rsid w:val="003E2138"/>
    <w:rsid w:val="003E301F"/>
    <w:rsid w:val="003F123A"/>
    <w:rsid w:val="003F1F46"/>
    <w:rsid w:val="0040072A"/>
    <w:rsid w:val="004052E4"/>
    <w:rsid w:val="00405F3C"/>
    <w:rsid w:val="0041581E"/>
    <w:rsid w:val="00417DAD"/>
    <w:rsid w:val="00421D20"/>
    <w:rsid w:val="00424F97"/>
    <w:rsid w:val="00427C53"/>
    <w:rsid w:val="00427CDA"/>
    <w:rsid w:val="00431F13"/>
    <w:rsid w:val="00437E4E"/>
    <w:rsid w:val="00442387"/>
    <w:rsid w:val="00445ADE"/>
    <w:rsid w:val="004542F6"/>
    <w:rsid w:val="00455958"/>
    <w:rsid w:val="00455BB9"/>
    <w:rsid w:val="004563C8"/>
    <w:rsid w:val="00460D78"/>
    <w:rsid w:val="004624DA"/>
    <w:rsid w:val="00466CF2"/>
    <w:rsid w:val="00474E3B"/>
    <w:rsid w:val="004761DA"/>
    <w:rsid w:val="00476766"/>
    <w:rsid w:val="00477E68"/>
    <w:rsid w:val="0048248B"/>
    <w:rsid w:val="0048527C"/>
    <w:rsid w:val="00491236"/>
    <w:rsid w:val="00492502"/>
    <w:rsid w:val="00494824"/>
    <w:rsid w:val="00495C20"/>
    <w:rsid w:val="00496A39"/>
    <w:rsid w:val="004B15EE"/>
    <w:rsid w:val="004B3C36"/>
    <w:rsid w:val="004C4484"/>
    <w:rsid w:val="004C7E36"/>
    <w:rsid w:val="004D2836"/>
    <w:rsid w:val="004D371E"/>
    <w:rsid w:val="004D4E48"/>
    <w:rsid w:val="004E5DF5"/>
    <w:rsid w:val="004E71C0"/>
    <w:rsid w:val="004F153F"/>
    <w:rsid w:val="004F4308"/>
    <w:rsid w:val="004F680D"/>
    <w:rsid w:val="0051154E"/>
    <w:rsid w:val="005135DD"/>
    <w:rsid w:val="00514497"/>
    <w:rsid w:val="00515620"/>
    <w:rsid w:val="00516FE0"/>
    <w:rsid w:val="00525461"/>
    <w:rsid w:val="00530EE9"/>
    <w:rsid w:val="00535D08"/>
    <w:rsid w:val="00543B7F"/>
    <w:rsid w:val="00546CD8"/>
    <w:rsid w:val="00550A4C"/>
    <w:rsid w:val="00555C23"/>
    <w:rsid w:val="00562318"/>
    <w:rsid w:val="005632D6"/>
    <w:rsid w:val="00563B95"/>
    <w:rsid w:val="005645F7"/>
    <w:rsid w:val="00564B53"/>
    <w:rsid w:val="00565580"/>
    <w:rsid w:val="00567040"/>
    <w:rsid w:val="0056797E"/>
    <w:rsid w:val="005708CC"/>
    <w:rsid w:val="00572287"/>
    <w:rsid w:val="0057438A"/>
    <w:rsid w:val="0057611D"/>
    <w:rsid w:val="00577520"/>
    <w:rsid w:val="005833C4"/>
    <w:rsid w:val="00595E97"/>
    <w:rsid w:val="00596876"/>
    <w:rsid w:val="00597BF2"/>
    <w:rsid w:val="005A041F"/>
    <w:rsid w:val="005A05DE"/>
    <w:rsid w:val="005A1CCE"/>
    <w:rsid w:val="005A42D0"/>
    <w:rsid w:val="005A44FC"/>
    <w:rsid w:val="005A77BC"/>
    <w:rsid w:val="005A7E05"/>
    <w:rsid w:val="005B491C"/>
    <w:rsid w:val="005B67F0"/>
    <w:rsid w:val="005C07A4"/>
    <w:rsid w:val="005C2848"/>
    <w:rsid w:val="005C6375"/>
    <w:rsid w:val="005D1A74"/>
    <w:rsid w:val="005D76CA"/>
    <w:rsid w:val="005E45D1"/>
    <w:rsid w:val="005E7FCC"/>
    <w:rsid w:val="005F16B4"/>
    <w:rsid w:val="005F2050"/>
    <w:rsid w:val="005F30E0"/>
    <w:rsid w:val="005F45A5"/>
    <w:rsid w:val="005F4E8D"/>
    <w:rsid w:val="005F5AF8"/>
    <w:rsid w:val="00601473"/>
    <w:rsid w:val="006046B2"/>
    <w:rsid w:val="00610CF9"/>
    <w:rsid w:val="0062024E"/>
    <w:rsid w:val="00621AD9"/>
    <w:rsid w:val="00624B94"/>
    <w:rsid w:val="006271AB"/>
    <w:rsid w:val="0063529F"/>
    <w:rsid w:val="00637AE0"/>
    <w:rsid w:val="00642C66"/>
    <w:rsid w:val="0064604B"/>
    <w:rsid w:val="00647E48"/>
    <w:rsid w:val="00647FF8"/>
    <w:rsid w:val="006503EF"/>
    <w:rsid w:val="00653B58"/>
    <w:rsid w:val="00654F03"/>
    <w:rsid w:val="00656EBE"/>
    <w:rsid w:val="0065787E"/>
    <w:rsid w:val="00660AE3"/>
    <w:rsid w:val="0066487F"/>
    <w:rsid w:val="00665449"/>
    <w:rsid w:val="0066679D"/>
    <w:rsid w:val="006671C9"/>
    <w:rsid w:val="00670A4D"/>
    <w:rsid w:val="00670F3B"/>
    <w:rsid w:val="00670FF1"/>
    <w:rsid w:val="00675296"/>
    <w:rsid w:val="00682520"/>
    <w:rsid w:val="0068792E"/>
    <w:rsid w:val="00694B57"/>
    <w:rsid w:val="00697921"/>
    <w:rsid w:val="006A397F"/>
    <w:rsid w:val="006A3BF9"/>
    <w:rsid w:val="006A628E"/>
    <w:rsid w:val="006A6773"/>
    <w:rsid w:val="006B3019"/>
    <w:rsid w:val="006B3D94"/>
    <w:rsid w:val="006B5677"/>
    <w:rsid w:val="006B5C5F"/>
    <w:rsid w:val="006B6F31"/>
    <w:rsid w:val="006C744B"/>
    <w:rsid w:val="006D22C2"/>
    <w:rsid w:val="006D57D8"/>
    <w:rsid w:val="006D7B79"/>
    <w:rsid w:val="006E4498"/>
    <w:rsid w:val="006E5CA8"/>
    <w:rsid w:val="006E5F38"/>
    <w:rsid w:val="006F1347"/>
    <w:rsid w:val="006F52AC"/>
    <w:rsid w:val="006F66BD"/>
    <w:rsid w:val="006F7725"/>
    <w:rsid w:val="00700AAA"/>
    <w:rsid w:val="00711F6D"/>
    <w:rsid w:val="0071392A"/>
    <w:rsid w:val="00714516"/>
    <w:rsid w:val="00715890"/>
    <w:rsid w:val="007209A1"/>
    <w:rsid w:val="00721162"/>
    <w:rsid w:val="00721CC2"/>
    <w:rsid w:val="00723630"/>
    <w:rsid w:val="007245DF"/>
    <w:rsid w:val="0073192D"/>
    <w:rsid w:val="00731D17"/>
    <w:rsid w:val="00732393"/>
    <w:rsid w:val="00732CDB"/>
    <w:rsid w:val="0073364A"/>
    <w:rsid w:val="0074450F"/>
    <w:rsid w:val="00747DDF"/>
    <w:rsid w:val="00750E65"/>
    <w:rsid w:val="0075339B"/>
    <w:rsid w:val="00761C54"/>
    <w:rsid w:val="007625FE"/>
    <w:rsid w:val="0076325F"/>
    <w:rsid w:val="00763A9E"/>
    <w:rsid w:val="0076540F"/>
    <w:rsid w:val="007723FC"/>
    <w:rsid w:val="007746E2"/>
    <w:rsid w:val="0077695D"/>
    <w:rsid w:val="00781066"/>
    <w:rsid w:val="007829BA"/>
    <w:rsid w:val="007841AD"/>
    <w:rsid w:val="00790899"/>
    <w:rsid w:val="00793F8C"/>
    <w:rsid w:val="00796FAC"/>
    <w:rsid w:val="007A3D03"/>
    <w:rsid w:val="007A3E1D"/>
    <w:rsid w:val="007B3539"/>
    <w:rsid w:val="007B3908"/>
    <w:rsid w:val="007B3F1B"/>
    <w:rsid w:val="007B43A5"/>
    <w:rsid w:val="007C0100"/>
    <w:rsid w:val="007C0EE4"/>
    <w:rsid w:val="007C3AF3"/>
    <w:rsid w:val="007D2866"/>
    <w:rsid w:val="007D2FF3"/>
    <w:rsid w:val="007E1E9C"/>
    <w:rsid w:val="007E26B5"/>
    <w:rsid w:val="007E39CC"/>
    <w:rsid w:val="007F2795"/>
    <w:rsid w:val="007F2AD2"/>
    <w:rsid w:val="007F7CE4"/>
    <w:rsid w:val="008012AA"/>
    <w:rsid w:val="00804E08"/>
    <w:rsid w:val="00815F2D"/>
    <w:rsid w:val="008174D1"/>
    <w:rsid w:val="00817BA6"/>
    <w:rsid w:val="008237EF"/>
    <w:rsid w:val="00823AEF"/>
    <w:rsid w:val="00825361"/>
    <w:rsid w:val="008256D2"/>
    <w:rsid w:val="00826D84"/>
    <w:rsid w:val="008372AF"/>
    <w:rsid w:val="00840D04"/>
    <w:rsid w:val="008474B3"/>
    <w:rsid w:val="00851D39"/>
    <w:rsid w:val="008522A9"/>
    <w:rsid w:val="00853E84"/>
    <w:rsid w:val="0085444B"/>
    <w:rsid w:val="00857FD6"/>
    <w:rsid w:val="00860F23"/>
    <w:rsid w:val="00863A17"/>
    <w:rsid w:val="00867523"/>
    <w:rsid w:val="00872EF1"/>
    <w:rsid w:val="008767BC"/>
    <w:rsid w:val="008865D2"/>
    <w:rsid w:val="008904B8"/>
    <w:rsid w:val="00891F8B"/>
    <w:rsid w:val="0089508C"/>
    <w:rsid w:val="008A3AD2"/>
    <w:rsid w:val="008A6BBF"/>
    <w:rsid w:val="008A7422"/>
    <w:rsid w:val="008B17C7"/>
    <w:rsid w:val="008B1AC1"/>
    <w:rsid w:val="008B2E08"/>
    <w:rsid w:val="008C157D"/>
    <w:rsid w:val="008D0614"/>
    <w:rsid w:val="008E1069"/>
    <w:rsid w:val="008E12C7"/>
    <w:rsid w:val="008F4843"/>
    <w:rsid w:val="0090162B"/>
    <w:rsid w:val="00902FBD"/>
    <w:rsid w:val="0090418A"/>
    <w:rsid w:val="00906D64"/>
    <w:rsid w:val="0091755A"/>
    <w:rsid w:val="009241BD"/>
    <w:rsid w:val="009271BB"/>
    <w:rsid w:val="00930242"/>
    <w:rsid w:val="0093090F"/>
    <w:rsid w:val="009379B9"/>
    <w:rsid w:val="00943A82"/>
    <w:rsid w:val="0094561A"/>
    <w:rsid w:val="00945E19"/>
    <w:rsid w:val="00946E24"/>
    <w:rsid w:val="00963BCE"/>
    <w:rsid w:val="00972E0C"/>
    <w:rsid w:val="009744EB"/>
    <w:rsid w:val="00974680"/>
    <w:rsid w:val="00975533"/>
    <w:rsid w:val="009766D1"/>
    <w:rsid w:val="00976EA8"/>
    <w:rsid w:val="00977371"/>
    <w:rsid w:val="00982CFF"/>
    <w:rsid w:val="00984949"/>
    <w:rsid w:val="00990B3E"/>
    <w:rsid w:val="0099115D"/>
    <w:rsid w:val="009916D5"/>
    <w:rsid w:val="00997574"/>
    <w:rsid w:val="009A1C8E"/>
    <w:rsid w:val="009B052B"/>
    <w:rsid w:val="009C0034"/>
    <w:rsid w:val="009C3F8A"/>
    <w:rsid w:val="009D2297"/>
    <w:rsid w:val="009D2B26"/>
    <w:rsid w:val="009D3EE9"/>
    <w:rsid w:val="009D473A"/>
    <w:rsid w:val="009E0AFC"/>
    <w:rsid w:val="009E0D68"/>
    <w:rsid w:val="009E1523"/>
    <w:rsid w:val="009E206D"/>
    <w:rsid w:val="009E324E"/>
    <w:rsid w:val="009E4A5D"/>
    <w:rsid w:val="009E5E72"/>
    <w:rsid w:val="009E62AF"/>
    <w:rsid w:val="009F03CB"/>
    <w:rsid w:val="009F0698"/>
    <w:rsid w:val="009F4C6F"/>
    <w:rsid w:val="009F5CE5"/>
    <w:rsid w:val="009F69E5"/>
    <w:rsid w:val="009F6F2D"/>
    <w:rsid w:val="009F7A4B"/>
    <w:rsid w:val="00A02DA1"/>
    <w:rsid w:val="00A03033"/>
    <w:rsid w:val="00A054C3"/>
    <w:rsid w:val="00A12048"/>
    <w:rsid w:val="00A123CC"/>
    <w:rsid w:val="00A15789"/>
    <w:rsid w:val="00A16BE8"/>
    <w:rsid w:val="00A21CB5"/>
    <w:rsid w:val="00A23DC9"/>
    <w:rsid w:val="00A31AE0"/>
    <w:rsid w:val="00A3277F"/>
    <w:rsid w:val="00A43157"/>
    <w:rsid w:val="00A44693"/>
    <w:rsid w:val="00A4641E"/>
    <w:rsid w:val="00A51547"/>
    <w:rsid w:val="00A521E9"/>
    <w:rsid w:val="00A54384"/>
    <w:rsid w:val="00A571B2"/>
    <w:rsid w:val="00A5720C"/>
    <w:rsid w:val="00A5731E"/>
    <w:rsid w:val="00A63272"/>
    <w:rsid w:val="00A64F64"/>
    <w:rsid w:val="00A6586D"/>
    <w:rsid w:val="00A65D00"/>
    <w:rsid w:val="00A74A5F"/>
    <w:rsid w:val="00A758E2"/>
    <w:rsid w:val="00A761D1"/>
    <w:rsid w:val="00A76C61"/>
    <w:rsid w:val="00A7764C"/>
    <w:rsid w:val="00A820F1"/>
    <w:rsid w:val="00A8286A"/>
    <w:rsid w:val="00A86549"/>
    <w:rsid w:val="00A90DAA"/>
    <w:rsid w:val="00A913CF"/>
    <w:rsid w:val="00A92C33"/>
    <w:rsid w:val="00A92D41"/>
    <w:rsid w:val="00A937B8"/>
    <w:rsid w:val="00AA0759"/>
    <w:rsid w:val="00AA284A"/>
    <w:rsid w:val="00AA3A3B"/>
    <w:rsid w:val="00AA4A6E"/>
    <w:rsid w:val="00AB0BD6"/>
    <w:rsid w:val="00AB4D3A"/>
    <w:rsid w:val="00AB665D"/>
    <w:rsid w:val="00AB7531"/>
    <w:rsid w:val="00AC0D70"/>
    <w:rsid w:val="00AC3249"/>
    <w:rsid w:val="00AC3BAD"/>
    <w:rsid w:val="00AC4BB6"/>
    <w:rsid w:val="00AC62CB"/>
    <w:rsid w:val="00AC77F7"/>
    <w:rsid w:val="00AD7826"/>
    <w:rsid w:val="00AE068D"/>
    <w:rsid w:val="00AE4A62"/>
    <w:rsid w:val="00AE4C1F"/>
    <w:rsid w:val="00AE4C4E"/>
    <w:rsid w:val="00AF211E"/>
    <w:rsid w:val="00AF44CA"/>
    <w:rsid w:val="00AF6FB2"/>
    <w:rsid w:val="00B00382"/>
    <w:rsid w:val="00B02A7C"/>
    <w:rsid w:val="00B1678A"/>
    <w:rsid w:val="00B17B93"/>
    <w:rsid w:val="00B20E1F"/>
    <w:rsid w:val="00B21A1F"/>
    <w:rsid w:val="00B268D1"/>
    <w:rsid w:val="00B30DA8"/>
    <w:rsid w:val="00B357AC"/>
    <w:rsid w:val="00B36FB5"/>
    <w:rsid w:val="00B37BF8"/>
    <w:rsid w:val="00B37DC1"/>
    <w:rsid w:val="00B42282"/>
    <w:rsid w:val="00B459DB"/>
    <w:rsid w:val="00B500DB"/>
    <w:rsid w:val="00B501A2"/>
    <w:rsid w:val="00B52354"/>
    <w:rsid w:val="00B52B54"/>
    <w:rsid w:val="00B533D2"/>
    <w:rsid w:val="00B57B19"/>
    <w:rsid w:val="00B646B4"/>
    <w:rsid w:val="00B65977"/>
    <w:rsid w:val="00B66407"/>
    <w:rsid w:val="00B673FB"/>
    <w:rsid w:val="00B74727"/>
    <w:rsid w:val="00B80293"/>
    <w:rsid w:val="00B80637"/>
    <w:rsid w:val="00B83700"/>
    <w:rsid w:val="00B860C5"/>
    <w:rsid w:val="00B90E60"/>
    <w:rsid w:val="00B90F27"/>
    <w:rsid w:val="00B91522"/>
    <w:rsid w:val="00B93EEE"/>
    <w:rsid w:val="00B968F0"/>
    <w:rsid w:val="00B97DEF"/>
    <w:rsid w:val="00BA281B"/>
    <w:rsid w:val="00BA3693"/>
    <w:rsid w:val="00BA580D"/>
    <w:rsid w:val="00BA6671"/>
    <w:rsid w:val="00BB097C"/>
    <w:rsid w:val="00BB6E27"/>
    <w:rsid w:val="00BC5A90"/>
    <w:rsid w:val="00BC5E57"/>
    <w:rsid w:val="00BD45F4"/>
    <w:rsid w:val="00BE1203"/>
    <w:rsid w:val="00BE12FE"/>
    <w:rsid w:val="00BE1F73"/>
    <w:rsid w:val="00BE25EC"/>
    <w:rsid w:val="00BE64E8"/>
    <w:rsid w:val="00BF02CC"/>
    <w:rsid w:val="00BF3E47"/>
    <w:rsid w:val="00BF7149"/>
    <w:rsid w:val="00C00CE3"/>
    <w:rsid w:val="00C03AF8"/>
    <w:rsid w:val="00C06295"/>
    <w:rsid w:val="00C07FC0"/>
    <w:rsid w:val="00C15AC0"/>
    <w:rsid w:val="00C15C2B"/>
    <w:rsid w:val="00C26C2E"/>
    <w:rsid w:val="00C26D0C"/>
    <w:rsid w:val="00C3466F"/>
    <w:rsid w:val="00C35A81"/>
    <w:rsid w:val="00C43994"/>
    <w:rsid w:val="00C456DD"/>
    <w:rsid w:val="00C505A0"/>
    <w:rsid w:val="00C52811"/>
    <w:rsid w:val="00C52828"/>
    <w:rsid w:val="00C52C3C"/>
    <w:rsid w:val="00C52D80"/>
    <w:rsid w:val="00C5355A"/>
    <w:rsid w:val="00C539D8"/>
    <w:rsid w:val="00C53DD7"/>
    <w:rsid w:val="00C54991"/>
    <w:rsid w:val="00C56F60"/>
    <w:rsid w:val="00C629A1"/>
    <w:rsid w:val="00C6411B"/>
    <w:rsid w:val="00C65CC6"/>
    <w:rsid w:val="00C66097"/>
    <w:rsid w:val="00C67132"/>
    <w:rsid w:val="00C67198"/>
    <w:rsid w:val="00C73F3A"/>
    <w:rsid w:val="00C74887"/>
    <w:rsid w:val="00C75970"/>
    <w:rsid w:val="00C766D0"/>
    <w:rsid w:val="00C82267"/>
    <w:rsid w:val="00C840CA"/>
    <w:rsid w:val="00C87EA9"/>
    <w:rsid w:val="00C928EA"/>
    <w:rsid w:val="00C93843"/>
    <w:rsid w:val="00C94F65"/>
    <w:rsid w:val="00C95D38"/>
    <w:rsid w:val="00CA0358"/>
    <w:rsid w:val="00CA19E2"/>
    <w:rsid w:val="00CB0647"/>
    <w:rsid w:val="00CB6A80"/>
    <w:rsid w:val="00CB73B4"/>
    <w:rsid w:val="00CB78E8"/>
    <w:rsid w:val="00CC0A83"/>
    <w:rsid w:val="00CC1429"/>
    <w:rsid w:val="00CC34C5"/>
    <w:rsid w:val="00CC5C99"/>
    <w:rsid w:val="00CD41A9"/>
    <w:rsid w:val="00CD54F7"/>
    <w:rsid w:val="00CD7410"/>
    <w:rsid w:val="00CE68CE"/>
    <w:rsid w:val="00CF1F80"/>
    <w:rsid w:val="00CF53E2"/>
    <w:rsid w:val="00CF7A33"/>
    <w:rsid w:val="00D0095B"/>
    <w:rsid w:val="00D02F71"/>
    <w:rsid w:val="00D10063"/>
    <w:rsid w:val="00D23E29"/>
    <w:rsid w:val="00D24E19"/>
    <w:rsid w:val="00D250BF"/>
    <w:rsid w:val="00D2512D"/>
    <w:rsid w:val="00D30418"/>
    <w:rsid w:val="00D31BED"/>
    <w:rsid w:val="00D37A58"/>
    <w:rsid w:val="00D37B9E"/>
    <w:rsid w:val="00D4107C"/>
    <w:rsid w:val="00D46304"/>
    <w:rsid w:val="00D46F37"/>
    <w:rsid w:val="00D478BF"/>
    <w:rsid w:val="00D51BD2"/>
    <w:rsid w:val="00D5422A"/>
    <w:rsid w:val="00D5747C"/>
    <w:rsid w:val="00D63077"/>
    <w:rsid w:val="00D64D53"/>
    <w:rsid w:val="00D66089"/>
    <w:rsid w:val="00D66735"/>
    <w:rsid w:val="00D67263"/>
    <w:rsid w:val="00D70A94"/>
    <w:rsid w:val="00D724A7"/>
    <w:rsid w:val="00D746AA"/>
    <w:rsid w:val="00D751E8"/>
    <w:rsid w:val="00D81672"/>
    <w:rsid w:val="00D8200D"/>
    <w:rsid w:val="00D849E0"/>
    <w:rsid w:val="00D861FB"/>
    <w:rsid w:val="00D91A7C"/>
    <w:rsid w:val="00D93647"/>
    <w:rsid w:val="00D93B0D"/>
    <w:rsid w:val="00D93E18"/>
    <w:rsid w:val="00D95FE1"/>
    <w:rsid w:val="00D9640B"/>
    <w:rsid w:val="00D97A60"/>
    <w:rsid w:val="00DA458A"/>
    <w:rsid w:val="00DA4812"/>
    <w:rsid w:val="00DA5ADC"/>
    <w:rsid w:val="00DA6063"/>
    <w:rsid w:val="00DB2373"/>
    <w:rsid w:val="00DB2E6D"/>
    <w:rsid w:val="00DB2E84"/>
    <w:rsid w:val="00DB40B1"/>
    <w:rsid w:val="00DB437E"/>
    <w:rsid w:val="00DB4775"/>
    <w:rsid w:val="00DB67ED"/>
    <w:rsid w:val="00DC04A4"/>
    <w:rsid w:val="00DC4765"/>
    <w:rsid w:val="00DC5CBE"/>
    <w:rsid w:val="00DC7E5C"/>
    <w:rsid w:val="00DC7FB3"/>
    <w:rsid w:val="00DD3406"/>
    <w:rsid w:val="00DE5B29"/>
    <w:rsid w:val="00DF0399"/>
    <w:rsid w:val="00DF45B9"/>
    <w:rsid w:val="00DF46D7"/>
    <w:rsid w:val="00E0023D"/>
    <w:rsid w:val="00E01071"/>
    <w:rsid w:val="00E01DCE"/>
    <w:rsid w:val="00E05443"/>
    <w:rsid w:val="00E05AFB"/>
    <w:rsid w:val="00E100AD"/>
    <w:rsid w:val="00E103FD"/>
    <w:rsid w:val="00E12C8C"/>
    <w:rsid w:val="00E148D0"/>
    <w:rsid w:val="00E176F5"/>
    <w:rsid w:val="00E220C4"/>
    <w:rsid w:val="00E22B52"/>
    <w:rsid w:val="00E24D4D"/>
    <w:rsid w:val="00E25542"/>
    <w:rsid w:val="00E25E5A"/>
    <w:rsid w:val="00E31148"/>
    <w:rsid w:val="00E32789"/>
    <w:rsid w:val="00E36073"/>
    <w:rsid w:val="00E36299"/>
    <w:rsid w:val="00E36CF6"/>
    <w:rsid w:val="00E4218B"/>
    <w:rsid w:val="00E44341"/>
    <w:rsid w:val="00E53413"/>
    <w:rsid w:val="00E5407F"/>
    <w:rsid w:val="00E54A43"/>
    <w:rsid w:val="00E57953"/>
    <w:rsid w:val="00E57C56"/>
    <w:rsid w:val="00E62FD6"/>
    <w:rsid w:val="00E65B67"/>
    <w:rsid w:val="00E65FAE"/>
    <w:rsid w:val="00E65FDE"/>
    <w:rsid w:val="00E709C2"/>
    <w:rsid w:val="00E71E67"/>
    <w:rsid w:val="00E724A6"/>
    <w:rsid w:val="00E76009"/>
    <w:rsid w:val="00E76846"/>
    <w:rsid w:val="00E80DFA"/>
    <w:rsid w:val="00E821BC"/>
    <w:rsid w:val="00E861B5"/>
    <w:rsid w:val="00E90960"/>
    <w:rsid w:val="00E923FE"/>
    <w:rsid w:val="00E943B5"/>
    <w:rsid w:val="00EB1B60"/>
    <w:rsid w:val="00EB1E82"/>
    <w:rsid w:val="00EB3B35"/>
    <w:rsid w:val="00EC05CD"/>
    <w:rsid w:val="00EC074A"/>
    <w:rsid w:val="00EC6C43"/>
    <w:rsid w:val="00EC7280"/>
    <w:rsid w:val="00EE2480"/>
    <w:rsid w:val="00EE339B"/>
    <w:rsid w:val="00EE6387"/>
    <w:rsid w:val="00EF0A5F"/>
    <w:rsid w:val="00EF15A0"/>
    <w:rsid w:val="00EF25BB"/>
    <w:rsid w:val="00EF37FE"/>
    <w:rsid w:val="00EF38D0"/>
    <w:rsid w:val="00EF3AD6"/>
    <w:rsid w:val="00F00CB6"/>
    <w:rsid w:val="00F06BF0"/>
    <w:rsid w:val="00F226F3"/>
    <w:rsid w:val="00F22A6E"/>
    <w:rsid w:val="00F27F0F"/>
    <w:rsid w:val="00F335FD"/>
    <w:rsid w:val="00F340C5"/>
    <w:rsid w:val="00F46929"/>
    <w:rsid w:val="00F471BC"/>
    <w:rsid w:val="00F50599"/>
    <w:rsid w:val="00F50A35"/>
    <w:rsid w:val="00F5173C"/>
    <w:rsid w:val="00F51CA1"/>
    <w:rsid w:val="00F5266F"/>
    <w:rsid w:val="00F5598A"/>
    <w:rsid w:val="00F570D8"/>
    <w:rsid w:val="00F6081E"/>
    <w:rsid w:val="00F6183C"/>
    <w:rsid w:val="00F6371C"/>
    <w:rsid w:val="00F64E19"/>
    <w:rsid w:val="00F65CAE"/>
    <w:rsid w:val="00F67469"/>
    <w:rsid w:val="00F71C25"/>
    <w:rsid w:val="00F80F39"/>
    <w:rsid w:val="00F80F54"/>
    <w:rsid w:val="00F84DF8"/>
    <w:rsid w:val="00F84FC8"/>
    <w:rsid w:val="00F863CE"/>
    <w:rsid w:val="00F94586"/>
    <w:rsid w:val="00F94945"/>
    <w:rsid w:val="00F95202"/>
    <w:rsid w:val="00FA366A"/>
    <w:rsid w:val="00FA3C4E"/>
    <w:rsid w:val="00FA7297"/>
    <w:rsid w:val="00FB01E1"/>
    <w:rsid w:val="00FC1C6C"/>
    <w:rsid w:val="00FC4690"/>
    <w:rsid w:val="00FC703F"/>
    <w:rsid w:val="00FC71BF"/>
    <w:rsid w:val="00FC73A2"/>
    <w:rsid w:val="00FD5EE2"/>
    <w:rsid w:val="00FE31EE"/>
    <w:rsid w:val="00FE4782"/>
    <w:rsid w:val="00FE6C9F"/>
    <w:rsid w:val="00FF0FB8"/>
    <w:rsid w:val="00FF16B2"/>
    <w:rsid w:val="00FF2011"/>
    <w:rsid w:val="00FF5A5A"/>
    <w:rsid w:val="00FF783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AE2F1"/>
  <w15:chartTrackingRefBased/>
  <w15:docId w15:val="{4F1ED2D4-F87D-48B5-BDA6-A1B33575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ZW" w:eastAsia="en-Z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22"/>
    <w:pPr>
      <w:spacing w:after="160" w:line="259" w:lineRule="auto"/>
    </w:pPr>
    <w:rPr>
      <w:kern w:val="2"/>
      <w:sz w:val="22"/>
      <w:szCs w:val="22"/>
      <w:lang w:eastAsia="en-US"/>
    </w:rPr>
  </w:style>
  <w:style w:type="paragraph" w:styleId="Heading1">
    <w:name w:val="heading 1"/>
    <w:basedOn w:val="Normal"/>
    <w:next w:val="Normal"/>
    <w:link w:val="Heading1Char"/>
    <w:uiPriority w:val="9"/>
    <w:qFormat/>
    <w:rsid w:val="004542F6"/>
    <w:pPr>
      <w:keepNext/>
      <w:keepLines/>
      <w:spacing w:before="240" w:after="0"/>
      <w:outlineLvl w:val="0"/>
    </w:pPr>
    <w:rPr>
      <w:rFonts w:ascii="Tahoma" w:eastAsia="Times New Roman" w:hAnsi="Tahoma"/>
      <w:b/>
      <w:sz w:val="24"/>
      <w:szCs w:val="32"/>
    </w:rPr>
  </w:style>
  <w:style w:type="paragraph" w:styleId="Heading2">
    <w:name w:val="heading 2"/>
    <w:basedOn w:val="Normal"/>
    <w:next w:val="Normal"/>
    <w:link w:val="Heading2Char"/>
    <w:uiPriority w:val="9"/>
    <w:unhideWhenUsed/>
    <w:qFormat/>
    <w:rsid w:val="00EE6387"/>
    <w:pPr>
      <w:keepNext/>
      <w:keepLines/>
      <w:spacing w:before="40" w:after="0"/>
      <w:outlineLvl w:val="1"/>
    </w:pPr>
    <w:rPr>
      <w:rFonts w:ascii="Tahoma" w:eastAsia="Times New Roman" w:hAnsi="Tahoma"/>
      <w:sz w:val="24"/>
      <w:szCs w:val="26"/>
    </w:rPr>
  </w:style>
  <w:style w:type="paragraph" w:styleId="Heading3">
    <w:name w:val="heading 3"/>
    <w:basedOn w:val="Normal"/>
    <w:next w:val="Normal"/>
    <w:link w:val="Heading3Char"/>
    <w:uiPriority w:val="9"/>
    <w:unhideWhenUsed/>
    <w:qFormat/>
    <w:rsid w:val="00721CC2"/>
    <w:pPr>
      <w:keepNext/>
      <w:spacing w:before="240" w:after="60"/>
      <w:outlineLvl w:val="2"/>
    </w:pPr>
    <w:rPr>
      <w:rFonts w:ascii="Tahoma" w:eastAsia="Times New Roman" w:hAnsi="Tahoma"/>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1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3114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eader">
    <w:name w:val="header"/>
    <w:basedOn w:val="Normal"/>
    <w:link w:val="HeaderChar"/>
    <w:uiPriority w:val="99"/>
    <w:unhideWhenUsed/>
    <w:rsid w:val="00654F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F03"/>
  </w:style>
  <w:style w:type="paragraph" w:styleId="Footer">
    <w:name w:val="footer"/>
    <w:basedOn w:val="Normal"/>
    <w:link w:val="FooterChar"/>
    <w:uiPriority w:val="99"/>
    <w:unhideWhenUsed/>
    <w:rsid w:val="00654F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F03"/>
  </w:style>
  <w:style w:type="character" w:customStyle="1" w:styleId="Heading1Char">
    <w:name w:val="Heading 1 Char"/>
    <w:link w:val="Heading1"/>
    <w:uiPriority w:val="9"/>
    <w:rsid w:val="004542F6"/>
    <w:rPr>
      <w:rFonts w:ascii="Tahoma" w:eastAsia="Times New Roman" w:hAnsi="Tahoma"/>
      <w:b/>
      <w:kern w:val="2"/>
      <w:sz w:val="24"/>
      <w:szCs w:val="32"/>
      <w:lang w:eastAsia="en-US"/>
    </w:rPr>
  </w:style>
  <w:style w:type="character" w:customStyle="1" w:styleId="Heading2Char">
    <w:name w:val="Heading 2 Char"/>
    <w:link w:val="Heading2"/>
    <w:uiPriority w:val="9"/>
    <w:rsid w:val="00EE6387"/>
    <w:rPr>
      <w:rFonts w:ascii="Tahoma" w:eastAsia="Times New Roman" w:hAnsi="Tahoma"/>
      <w:kern w:val="2"/>
      <w:sz w:val="24"/>
      <w:szCs w:val="26"/>
      <w:lang w:eastAsia="en-US"/>
    </w:rPr>
  </w:style>
  <w:style w:type="paragraph" w:styleId="Caption">
    <w:name w:val="caption"/>
    <w:basedOn w:val="Normal"/>
    <w:next w:val="Normal"/>
    <w:uiPriority w:val="35"/>
    <w:unhideWhenUsed/>
    <w:qFormat/>
    <w:rsid w:val="00BC5A90"/>
    <w:pPr>
      <w:spacing w:after="200" w:line="240" w:lineRule="auto"/>
    </w:pPr>
    <w:rPr>
      <w:i/>
      <w:iCs/>
      <w:color w:val="44546A"/>
      <w:sz w:val="18"/>
      <w:szCs w:val="18"/>
    </w:rPr>
  </w:style>
  <w:style w:type="paragraph" w:styleId="TableofFigures">
    <w:name w:val="table of figures"/>
    <w:basedOn w:val="Normal"/>
    <w:next w:val="Normal"/>
    <w:uiPriority w:val="99"/>
    <w:unhideWhenUsed/>
    <w:rsid w:val="003C1D2F"/>
    <w:pPr>
      <w:spacing w:after="0"/>
    </w:pPr>
  </w:style>
  <w:style w:type="character" w:styleId="Hyperlink">
    <w:name w:val="Hyperlink"/>
    <w:uiPriority w:val="99"/>
    <w:unhideWhenUsed/>
    <w:rsid w:val="003C1D2F"/>
    <w:rPr>
      <w:color w:val="0563C1"/>
      <w:u w:val="single"/>
    </w:rPr>
  </w:style>
  <w:style w:type="paragraph" w:styleId="TOCHeading">
    <w:name w:val="TOC Heading"/>
    <w:basedOn w:val="Heading1"/>
    <w:next w:val="Normal"/>
    <w:uiPriority w:val="39"/>
    <w:unhideWhenUsed/>
    <w:qFormat/>
    <w:rsid w:val="00DA458A"/>
    <w:pPr>
      <w:outlineLvl w:val="9"/>
    </w:pPr>
    <w:rPr>
      <w:kern w:val="0"/>
      <w:lang w:val="en-US"/>
    </w:rPr>
  </w:style>
  <w:style w:type="paragraph" w:styleId="TOC1">
    <w:name w:val="toc 1"/>
    <w:basedOn w:val="Normal"/>
    <w:next w:val="Normal"/>
    <w:autoRedefine/>
    <w:uiPriority w:val="39"/>
    <w:unhideWhenUsed/>
    <w:rsid w:val="00C07FC0"/>
    <w:pPr>
      <w:spacing w:after="100"/>
    </w:pPr>
  </w:style>
  <w:style w:type="paragraph" w:styleId="TOC2">
    <w:name w:val="toc 2"/>
    <w:basedOn w:val="Normal"/>
    <w:next w:val="Normal"/>
    <w:autoRedefine/>
    <w:uiPriority w:val="39"/>
    <w:unhideWhenUsed/>
    <w:rsid w:val="00D46F37"/>
    <w:pPr>
      <w:tabs>
        <w:tab w:val="left" w:pos="880"/>
        <w:tab w:val="right" w:leader="dot" w:pos="9016"/>
      </w:tabs>
      <w:spacing w:after="100"/>
      <w:ind w:left="220"/>
    </w:pPr>
    <w:rPr>
      <w:rFonts w:ascii="Tahoma" w:hAnsi="Tahoma" w:cs="Tahoma"/>
      <w:b/>
      <w:noProof/>
      <w:sz w:val="24"/>
      <w:szCs w:val="24"/>
      <w:lang w:val="en-US"/>
    </w:rPr>
  </w:style>
  <w:style w:type="paragraph" w:styleId="ListParagraph">
    <w:name w:val="List Paragraph"/>
    <w:basedOn w:val="Normal"/>
    <w:uiPriority w:val="34"/>
    <w:qFormat/>
    <w:rsid w:val="00FC703F"/>
    <w:pPr>
      <w:ind w:left="720"/>
      <w:contextualSpacing/>
    </w:pPr>
  </w:style>
  <w:style w:type="paragraph" w:styleId="Revision">
    <w:name w:val="Revision"/>
    <w:hidden/>
    <w:uiPriority w:val="99"/>
    <w:semiHidden/>
    <w:rsid w:val="00300BB3"/>
    <w:rPr>
      <w:kern w:val="2"/>
      <w:sz w:val="22"/>
      <w:szCs w:val="22"/>
      <w:lang w:eastAsia="en-US"/>
    </w:rPr>
  </w:style>
  <w:style w:type="character" w:styleId="CommentReference">
    <w:name w:val="annotation reference"/>
    <w:uiPriority w:val="99"/>
    <w:semiHidden/>
    <w:unhideWhenUsed/>
    <w:rsid w:val="00300BB3"/>
    <w:rPr>
      <w:sz w:val="16"/>
      <w:szCs w:val="16"/>
    </w:rPr>
  </w:style>
  <w:style w:type="paragraph" w:styleId="CommentText">
    <w:name w:val="annotation text"/>
    <w:basedOn w:val="Normal"/>
    <w:link w:val="CommentTextChar"/>
    <w:uiPriority w:val="99"/>
    <w:unhideWhenUsed/>
    <w:rsid w:val="00300BB3"/>
    <w:pPr>
      <w:spacing w:line="240" w:lineRule="auto"/>
    </w:pPr>
    <w:rPr>
      <w:sz w:val="20"/>
      <w:szCs w:val="20"/>
    </w:rPr>
  </w:style>
  <w:style w:type="character" w:customStyle="1" w:styleId="CommentTextChar">
    <w:name w:val="Comment Text Char"/>
    <w:link w:val="CommentText"/>
    <w:uiPriority w:val="99"/>
    <w:rsid w:val="00300BB3"/>
    <w:rPr>
      <w:sz w:val="20"/>
      <w:szCs w:val="20"/>
    </w:rPr>
  </w:style>
  <w:style w:type="paragraph" w:styleId="CommentSubject">
    <w:name w:val="annotation subject"/>
    <w:basedOn w:val="CommentText"/>
    <w:next w:val="CommentText"/>
    <w:link w:val="CommentSubjectChar"/>
    <w:uiPriority w:val="99"/>
    <w:semiHidden/>
    <w:unhideWhenUsed/>
    <w:rsid w:val="00300BB3"/>
    <w:rPr>
      <w:b/>
      <w:bCs/>
    </w:rPr>
  </w:style>
  <w:style w:type="character" w:customStyle="1" w:styleId="CommentSubjectChar">
    <w:name w:val="Comment Subject Char"/>
    <w:link w:val="CommentSubject"/>
    <w:uiPriority w:val="99"/>
    <w:semiHidden/>
    <w:rsid w:val="00300BB3"/>
    <w:rPr>
      <w:b/>
      <w:bCs/>
      <w:sz w:val="20"/>
      <w:szCs w:val="20"/>
    </w:rPr>
  </w:style>
  <w:style w:type="paragraph" w:styleId="BalloonText">
    <w:name w:val="Balloon Text"/>
    <w:basedOn w:val="Normal"/>
    <w:link w:val="BalloonTextChar"/>
    <w:uiPriority w:val="99"/>
    <w:semiHidden/>
    <w:unhideWhenUsed/>
    <w:rsid w:val="0069792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97921"/>
    <w:rPr>
      <w:rFonts w:ascii="Segoe UI" w:hAnsi="Segoe UI" w:cs="Segoe UI"/>
      <w:kern w:val="2"/>
      <w:sz w:val="18"/>
      <w:szCs w:val="18"/>
      <w:lang w:eastAsia="en-US"/>
    </w:rPr>
  </w:style>
  <w:style w:type="paragraph" w:styleId="NoSpacing">
    <w:name w:val="No Spacing"/>
    <w:uiPriority w:val="1"/>
    <w:qFormat/>
    <w:rsid w:val="00721CC2"/>
    <w:rPr>
      <w:rFonts w:ascii="Tahoma" w:hAnsi="Tahoma"/>
      <w:b/>
      <w:kern w:val="2"/>
      <w:sz w:val="24"/>
      <w:szCs w:val="22"/>
      <w:lang w:eastAsia="en-US"/>
    </w:rPr>
  </w:style>
  <w:style w:type="table" w:styleId="PlainTable1">
    <w:name w:val="Plain Table 1"/>
    <w:basedOn w:val="TableNormal"/>
    <w:uiPriority w:val="41"/>
    <w:rsid w:val="00DC5CBE"/>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Heading3Char">
    <w:name w:val="Heading 3 Char"/>
    <w:link w:val="Heading3"/>
    <w:uiPriority w:val="9"/>
    <w:rsid w:val="00721CC2"/>
    <w:rPr>
      <w:rFonts w:ascii="Tahoma" w:eastAsia="Times New Roman" w:hAnsi="Tahoma" w:cs="Times New Roman"/>
      <w:b/>
      <w:bCs/>
      <w:kern w:val="2"/>
      <w:sz w:val="24"/>
      <w:szCs w:val="26"/>
      <w:lang w:eastAsia="en-US"/>
    </w:rPr>
  </w:style>
  <w:style w:type="paragraph" w:customStyle="1" w:styleId="ListofFigures">
    <w:name w:val="List of Figures"/>
    <w:basedOn w:val="Caption"/>
    <w:next w:val="Caption"/>
    <w:qFormat/>
    <w:rsid w:val="00750E65"/>
    <w:pPr>
      <w:tabs>
        <w:tab w:val="right" w:leader="dot" w:pos="9016"/>
      </w:tabs>
    </w:pPr>
    <w:rPr>
      <w:rFonts w:ascii="Tahoma" w:hAnsi="Tahoma" w:cs="Tahoma"/>
      <w:b/>
      <w:i w:val="0"/>
      <w:noProof/>
      <w:color w:val="auto"/>
      <w:sz w:val="24"/>
    </w:rPr>
  </w:style>
  <w:style w:type="paragraph" w:customStyle="1" w:styleId="ListofTables">
    <w:name w:val="List of Tables"/>
    <w:basedOn w:val="Caption"/>
    <w:next w:val="Caption"/>
    <w:qFormat/>
    <w:rsid w:val="0001510C"/>
    <w:pPr>
      <w:keepNext/>
      <w:spacing w:after="0"/>
    </w:pPr>
    <w:rPr>
      <w:rFonts w:ascii="Tahoma" w:hAnsi="Tahoma" w:cs="Tahoma"/>
      <w:b/>
      <w:i w:val="0"/>
      <w:color w:val="auto"/>
      <w:sz w:val="24"/>
      <w:szCs w:val="24"/>
    </w:rPr>
  </w:style>
  <w:style w:type="paragraph" w:styleId="Bibliography">
    <w:name w:val="Bibliography"/>
    <w:basedOn w:val="Normal"/>
    <w:next w:val="Normal"/>
    <w:uiPriority w:val="37"/>
    <w:unhideWhenUsed/>
    <w:rsid w:val="003C7C0E"/>
  </w:style>
  <w:style w:type="table" w:styleId="GridTable4-Accent1">
    <w:name w:val="Grid Table 4 Accent 1"/>
    <w:basedOn w:val="TableNormal"/>
    <w:uiPriority w:val="49"/>
    <w:rsid w:val="0073364A"/>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45601">
      <w:bodyDiv w:val="1"/>
      <w:marLeft w:val="0"/>
      <w:marRight w:val="0"/>
      <w:marTop w:val="0"/>
      <w:marBottom w:val="0"/>
      <w:divBdr>
        <w:top w:val="none" w:sz="0" w:space="0" w:color="auto"/>
        <w:left w:val="none" w:sz="0" w:space="0" w:color="auto"/>
        <w:bottom w:val="none" w:sz="0" w:space="0" w:color="auto"/>
        <w:right w:val="none" w:sz="0" w:space="0" w:color="auto"/>
      </w:divBdr>
    </w:div>
    <w:div w:id="168833991">
      <w:bodyDiv w:val="1"/>
      <w:marLeft w:val="0"/>
      <w:marRight w:val="0"/>
      <w:marTop w:val="0"/>
      <w:marBottom w:val="0"/>
      <w:divBdr>
        <w:top w:val="none" w:sz="0" w:space="0" w:color="auto"/>
        <w:left w:val="none" w:sz="0" w:space="0" w:color="auto"/>
        <w:bottom w:val="none" w:sz="0" w:space="0" w:color="auto"/>
        <w:right w:val="none" w:sz="0" w:space="0" w:color="auto"/>
      </w:divBdr>
    </w:div>
    <w:div w:id="276839923">
      <w:bodyDiv w:val="1"/>
      <w:marLeft w:val="0"/>
      <w:marRight w:val="0"/>
      <w:marTop w:val="0"/>
      <w:marBottom w:val="0"/>
      <w:divBdr>
        <w:top w:val="none" w:sz="0" w:space="0" w:color="auto"/>
        <w:left w:val="none" w:sz="0" w:space="0" w:color="auto"/>
        <w:bottom w:val="none" w:sz="0" w:space="0" w:color="auto"/>
        <w:right w:val="none" w:sz="0" w:space="0" w:color="auto"/>
      </w:divBdr>
    </w:div>
    <w:div w:id="352079526">
      <w:bodyDiv w:val="1"/>
      <w:marLeft w:val="0"/>
      <w:marRight w:val="0"/>
      <w:marTop w:val="0"/>
      <w:marBottom w:val="0"/>
      <w:divBdr>
        <w:top w:val="none" w:sz="0" w:space="0" w:color="auto"/>
        <w:left w:val="none" w:sz="0" w:space="0" w:color="auto"/>
        <w:bottom w:val="none" w:sz="0" w:space="0" w:color="auto"/>
        <w:right w:val="none" w:sz="0" w:space="0" w:color="auto"/>
      </w:divBdr>
    </w:div>
    <w:div w:id="404883050">
      <w:bodyDiv w:val="1"/>
      <w:marLeft w:val="0"/>
      <w:marRight w:val="0"/>
      <w:marTop w:val="0"/>
      <w:marBottom w:val="0"/>
      <w:divBdr>
        <w:top w:val="none" w:sz="0" w:space="0" w:color="auto"/>
        <w:left w:val="none" w:sz="0" w:space="0" w:color="auto"/>
        <w:bottom w:val="none" w:sz="0" w:space="0" w:color="auto"/>
        <w:right w:val="none" w:sz="0" w:space="0" w:color="auto"/>
      </w:divBdr>
    </w:div>
    <w:div w:id="420298280">
      <w:bodyDiv w:val="1"/>
      <w:marLeft w:val="0"/>
      <w:marRight w:val="0"/>
      <w:marTop w:val="0"/>
      <w:marBottom w:val="0"/>
      <w:divBdr>
        <w:top w:val="none" w:sz="0" w:space="0" w:color="auto"/>
        <w:left w:val="none" w:sz="0" w:space="0" w:color="auto"/>
        <w:bottom w:val="none" w:sz="0" w:space="0" w:color="auto"/>
        <w:right w:val="none" w:sz="0" w:space="0" w:color="auto"/>
      </w:divBdr>
    </w:div>
    <w:div w:id="562762955">
      <w:bodyDiv w:val="1"/>
      <w:marLeft w:val="0"/>
      <w:marRight w:val="0"/>
      <w:marTop w:val="0"/>
      <w:marBottom w:val="0"/>
      <w:divBdr>
        <w:top w:val="none" w:sz="0" w:space="0" w:color="auto"/>
        <w:left w:val="none" w:sz="0" w:space="0" w:color="auto"/>
        <w:bottom w:val="none" w:sz="0" w:space="0" w:color="auto"/>
        <w:right w:val="none" w:sz="0" w:space="0" w:color="auto"/>
      </w:divBdr>
    </w:div>
    <w:div w:id="636909022">
      <w:bodyDiv w:val="1"/>
      <w:marLeft w:val="0"/>
      <w:marRight w:val="0"/>
      <w:marTop w:val="0"/>
      <w:marBottom w:val="0"/>
      <w:divBdr>
        <w:top w:val="none" w:sz="0" w:space="0" w:color="auto"/>
        <w:left w:val="none" w:sz="0" w:space="0" w:color="auto"/>
        <w:bottom w:val="none" w:sz="0" w:space="0" w:color="auto"/>
        <w:right w:val="none" w:sz="0" w:space="0" w:color="auto"/>
      </w:divBdr>
    </w:div>
    <w:div w:id="666250830">
      <w:bodyDiv w:val="1"/>
      <w:marLeft w:val="0"/>
      <w:marRight w:val="0"/>
      <w:marTop w:val="0"/>
      <w:marBottom w:val="0"/>
      <w:divBdr>
        <w:top w:val="none" w:sz="0" w:space="0" w:color="auto"/>
        <w:left w:val="none" w:sz="0" w:space="0" w:color="auto"/>
        <w:bottom w:val="none" w:sz="0" w:space="0" w:color="auto"/>
        <w:right w:val="none" w:sz="0" w:space="0" w:color="auto"/>
      </w:divBdr>
    </w:div>
    <w:div w:id="699284679">
      <w:bodyDiv w:val="1"/>
      <w:marLeft w:val="0"/>
      <w:marRight w:val="0"/>
      <w:marTop w:val="0"/>
      <w:marBottom w:val="0"/>
      <w:divBdr>
        <w:top w:val="none" w:sz="0" w:space="0" w:color="auto"/>
        <w:left w:val="none" w:sz="0" w:space="0" w:color="auto"/>
        <w:bottom w:val="none" w:sz="0" w:space="0" w:color="auto"/>
        <w:right w:val="none" w:sz="0" w:space="0" w:color="auto"/>
      </w:divBdr>
    </w:div>
    <w:div w:id="749349085">
      <w:bodyDiv w:val="1"/>
      <w:marLeft w:val="0"/>
      <w:marRight w:val="0"/>
      <w:marTop w:val="0"/>
      <w:marBottom w:val="0"/>
      <w:divBdr>
        <w:top w:val="none" w:sz="0" w:space="0" w:color="auto"/>
        <w:left w:val="none" w:sz="0" w:space="0" w:color="auto"/>
        <w:bottom w:val="none" w:sz="0" w:space="0" w:color="auto"/>
        <w:right w:val="none" w:sz="0" w:space="0" w:color="auto"/>
      </w:divBdr>
    </w:div>
    <w:div w:id="857887673">
      <w:bodyDiv w:val="1"/>
      <w:marLeft w:val="0"/>
      <w:marRight w:val="0"/>
      <w:marTop w:val="0"/>
      <w:marBottom w:val="0"/>
      <w:divBdr>
        <w:top w:val="none" w:sz="0" w:space="0" w:color="auto"/>
        <w:left w:val="none" w:sz="0" w:space="0" w:color="auto"/>
        <w:bottom w:val="none" w:sz="0" w:space="0" w:color="auto"/>
        <w:right w:val="none" w:sz="0" w:space="0" w:color="auto"/>
      </w:divBdr>
    </w:div>
    <w:div w:id="966933962">
      <w:bodyDiv w:val="1"/>
      <w:marLeft w:val="0"/>
      <w:marRight w:val="0"/>
      <w:marTop w:val="0"/>
      <w:marBottom w:val="0"/>
      <w:divBdr>
        <w:top w:val="none" w:sz="0" w:space="0" w:color="auto"/>
        <w:left w:val="none" w:sz="0" w:space="0" w:color="auto"/>
        <w:bottom w:val="none" w:sz="0" w:space="0" w:color="auto"/>
        <w:right w:val="none" w:sz="0" w:space="0" w:color="auto"/>
      </w:divBdr>
    </w:div>
    <w:div w:id="989095941">
      <w:bodyDiv w:val="1"/>
      <w:marLeft w:val="0"/>
      <w:marRight w:val="0"/>
      <w:marTop w:val="0"/>
      <w:marBottom w:val="0"/>
      <w:divBdr>
        <w:top w:val="none" w:sz="0" w:space="0" w:color="auto"/>
        <w:left w:val="none" w:sz="0" w:space="0" w:color="auto"/>
        <w:bottom w:val="none" w:sz="0" w:space="0" w:color="auto"/>
        <w:right w:val="none" w:sz="0" w:space="0" w:color="auto"/>
      </w:divBdr>
    </w:div>
    <w:div w:id="1068575386">
      <w:bodyDiv w:val="1"/>
      <w:marLeft w:val="0"/>
      <w:marRight w:val="0"/>
      <w:marTop w:val="0"/>
      <w:marBottom w:val="0"/>
      <w:divBdr>
        <w:top w:val="none" w:sz="0" w:space="0" w:color="auto"/>
        <w:left w:val="none" w:sz="0" w:space="0" w:color="auto"/>
        <w:bottom w:val="none" w:sz="0" w:space="0" w:color="auto"/>
        <w:right w:val="none" w:sz="0" w:space="0" w:color="auto"/>
      </w:divBdr>
    </w:div>
    <w:div w:id="1356347157">
      <w:bodyDiv w:val="1"/>
      <w:marLeft w:val="0"/>
      <w:marRight w:val="0"/>
      <w:marTop w:val="0"/>
      <w:marBottom w:val="0"/>
      <w:divBdr>
        <w:top w:val="none" w:sz="0" w:space="0" w:color="auto"/>
        <w:left w:val="none" w:sz="0" w:space="0" w:color="auto"/>
        <w:bottom w:val="none" w:sz="0" w:space="0" w:color="auto"/>
        <w:right w:val="none" w:sz="0" w:space="0" w:color="auto"/>
      </w:divBdr>
    </w:div>
    <w:div w:id="1385564205">
      <w:bodyDiv w:val="1"/>
      <w:marLeft w:val="0"/>
      <w:marRight w:val="0"/>
      <w:marTop w:val="0"/>
      <w:marBottom w:val="0"/>
      <w:divBdr>
        <w:top w:val="none" w:sz="0" w:space="0" w:color="auto"/>
        <w:left w:val="none" w:sz="0" w:space="0" w:color="auto"/>
        <w:bottom w:val="none" w:sz="0" w:space="0" w:color="auto"/>
        <w:right w:val="none" w:sz="0" w:space="0" w:color="auto"/>
      </w:divBdr>
    </w:div>
    <w:div w:id="1386291095">
      <w:bodyDiv w:val="1"/>
      <w:marLeft w:val="0"/>
      <w:marRight w:val="0"/>
      <w:marTop w:val="0"/>
      <w:marBottom w:val="0"/>
      <w:divBdr>
        <w:top w:val="none" w:sz="0" w:space="0" w:color="auto"/>
        <w:left w:val="none" w:sz="0" w:space="0" w:color="auto"/>
        <w:bottom w:val="none" w:sz="0" w:space="0" w:color="auto"/>
        <w:right w:val="none" w:sz="0" w:space="0" w:color="auto"/>
      </w:divBdr>
    </w:div>
    <w:div w:id="1387488587">
      <w:bodyDiv w:val="1"/>
      <w:marLeft w:val="0"/>
      <w:marRight w:val="0"/>
      <w:marTop w:val="0"/>
      <w:marBottom w:val="0"/>
      <w:divBdr>
        <w:top w:val="none" w:sz="0" w:space="0" w:color="auto"/>
        <w:left w:val="none" w:sz="0" w:space="0" w:color="auto"/>
        <w:bottom w:val="none" w:sz="0" w:space="0" w:color="auto"/>
        <w:right w:val="none" w:sz="0" w:space="0" w:color="auto"/>
      </w:divBdr>
    </w:div>
    <w:div w:id="1527214596">
      <w:bodyDiv w:val="1"/>
      <w:marLeft w:val="0"/>
      <w:marRight w:val="0"/>
      <w:marTop w:val="0"/>
      <w:marBottom w:val="0"/>
      <w:divBdr>
        <w:top w:val="none" w:sz="0" w:space="0" w:color="auto"/>
        <w:left w:val="none" w:sz="0" w:space="0" w:color="auto"/>
        <w:bottom w:val="none" w:sz="0" w:space="0" w:color="auto"/>
        <w:right w:val="none" w:sz="0" w:space="0" w:color="auto"/>
      </w:divBdr>
    </w:div>
    <w:div w:id="1538086052">
      <w:bodyDiv w:val="1"/>
      <w:marLeft w:val="0"/>
      <w:marRight w:val="0"/>
      <w:marTop w:val="0"/>
      <w:marBottom w:val="0"/>
      <w:divBdr>
        <w:top w:val="none" w:sz="0" w:space="0" w:color="auto"/>
        <w:left w:val="none" w:sz="0" w:space="0" w:color="auto"/>
        <w:bottom w:val="none" w:sz="0" w:space="0" w:color="auto"/>
        <w:right w:val="none" w:sz="0" w:space="0" w:color="auto"/>
      </w:divBdr>
    </w:div>
    <w:div w:id="1565408065">
      <w:bodyDiv w:val="1"/>
      <w:marLeft w:val="0"/>
      <w:marRight w:val="0"/>
      <w:marTop w:val="0"/>
      <w:marBottom w:val="0"/>
      <w:divBdr>
        <w:top w:val="none" w:sz="0" w:space="0" w:color="auto"/>
        <w:left w:val="none" w:sz="0" w:space="0" w:color="auto"/>
        <w:bottom w:val="none" w:sz="0" w:space="0" w:color="auto"/>
        <w:right w:val="none" w:sz="0" w:space="0" w:color="auto"/>
      </w:divBdr>
    </w:div>
    <w:div w:id="1565918106">
      <w:bodyDiv w:val="1"/>
      <w:marLeft w:val="0"/>
      <w:marRight w:val="0"/>
      <w:marTop w:val="0"/>
      <w:marBottom w:val="0"/>
      <w:divBdr>
        <w:top w:val="none" w:sz="0" w:space="0" w:color="auto"/>
        <w:left w:val="none" w:sz="0" w:space="0" w:color="auto"/>
        <w:bottom w:val="none" w:sz="0" w:space="0" w:color="auto"/>
        <w:right w:val="none" w:sz="0" w:space="0" w:color="auto"/>
      </w:divBdr>
    </w:div>
    <w:div w:id="1580823591">
      <w:bodyDiv w:val="1"/>
      <w:marLeft w:val="0"/>
      <w:marRight w:val="0"/>
      <w:marTop w:val="0"/>
      <w:marBottom w:val="0"/>
      <w:divBdr>
        <w:top w:val="none" w:sz="0" w:space="0" w:color="auto"/>
        <w:left w:val="none" w:sz="0" w:space="0" w:color="auto"/>
        <w:bottom w:val="none" w:sz="0" w:space="0" w:color="auto"/>
        <w:right w:val="none" w:sz="0" w:space="0" w:color="auto"/>
      </w:divBdr>
    </w:div>
    <w:div w:id="1699500445">
      <w:bodyDiv w:val="1"/>
      <w:marLeft w:val="0"/>
      <w:marRight w:val="0"/>
      <w:marTop w:val="0"/>
      <w:marBottom w:val="0"/>
      <w:divBdr>
        <w:top w:val="none" w:sz="0" w:space="0" w:color="auto"/>
        <w:left w:val="none" w:sz="0" w:space="0" w:color="auto"/>
        <w:bottom w:val="none" w:sz="0" w:space="0" w:color="auto"/>
        <w:right w:val="none" w:sz="0" w:space="0" w:color="auto"/>
      </w:divBdr>
    </w:div>
    <w:div w:id="1938171479">
      <w:bodyDiv w:val="1"/>
      <w:marLeft w:val="0"/>
      <w:marRight w:val="0"/>
      <w:marTop w:val="0"/>
      <w:marBottom w:val="0"/>
      <w:divBdr>
        <w:top w:val="none" w:sz="0" w:space="0" w:color="auto"/>
        <w:left w:val="none" w:sz="0" w:space="0" w:color="auto"/>
        <w:bottom w:val="none" w:sz="0" w:space="0" w:color="auto"/>
        <w:right w:val="none" w:sz="0" w:space="0" w:color="auto"/>
      </w:divBdr>
    </w:div>
    <w:div w:id="1941915993">
      <w:bodyDiv w:val="1"/>
      <w:marLeft w:val="0"/>
      <w:marRight w:val="0"/>
      <w:marTop w:val="0"/>
      <w:marBottom w:val="0"/>
      <w:divBdr>
        <w:top w:val="none" w:sz="0" w:space="0" w:color="auto"/>
        <w:left w:val="none" w:sz="0" w:space="0" w:color="auto"/>
        <w:bottom w:val="none" w:sz="0" w:space="0" w:color="auto"/>
        <w:right w:val="none" w:sz="0" w:space="0" w:color="auto"/>
      </w:divBdr>
    </w:div>
    <w:div w:id="207639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chart" Target="charts/char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Economics\Desktop\Monthly%20Economic%20Bulletin\MEB%20Database.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embeddings/oleObject1.bin"/></Relationships>
</file>

<file path=word/charts/_rels/chart3.xml.rels><?xml version="1.0" encoding="UTF-8" standalone="yes"?>
<Relationships xmlns="http://schemas.openxmlformats.org/package/2006/relationships"><Relationship Id="rId3" Type="http://schemas.openxmlformats.org/officeDocument/2006/relationships/oleObject" Target="file:///C:\Users\Economics\Desktop\Monthly%20Economic%20Bulletin\MEB%20Databas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'[MEB Database.xlsx]Global Inflation'!$B$52</c:f>
              <c:strCache>
                <c:ptCount val="1"/>
                <c:pt idx="0">
                  <c:v>Global Inflation rate</c:v>
                </c:pt>
              </c:strCache>
            </c:strRef>
          </c:tx>
          <c:spPr>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t="100000"/>
              </a:path>
              <a:tileRect r="-100000" b="-100000"/>
            </a:gradFill>
            <a:ln>
              <a:noFill/>
            </a:ln>
            <a:effectLst/>
          </c:spPr>
          <c:invertIfNegative val="0"/>
          <c:dLbls>
            <c:dLbl>
              <c:idx val="0"/>
              <c:layout>
                <c:manualLayout>
                  <c:x val="2.7777777777777523E-3"/>
                  <c:y val="0.1203703703703703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E47-4573-8CB5-7D8942DDFDA3}"/>
                </c:ext>
              </c:extLst>
            </c:dLbl>
            <c:dLbl>
              <c:idx val="1"/>
              <c:layout>
                <c:manualLayout>
                  <c:x val="-2.7777777777778798E-3"/>
                  <c:y val="9.72222222222222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E47-4573-8CB5-7D8942DDFDA3}"/>
                </c:ext>
              </c:extLst>
            </c:dLbl>
            <c:dLbl>
              <c:idx val="2"/>
              <c:layout>
                <c:manualLayout>
                  <c:x val="0"/>
                  <c:y val="0.111111111111111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E47-4573-8CB5-7D8942DDFDA3}"/>
                </c:ext>
              </c:extLst>
            </c:dLbl>
            <c:spPr>
              <a:noFill/>
              <a:ln>
                <a:solidFill>
                  <a:schemeClr val="tx1"/>
                </a:solid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rgbClr val="00B050"/>
                </a:solidFill>
                <a:prstDash val="sysDash"/>
              </a:ln>
              <a:effectLst/>
            </c:spPr>
            <c:trendlineType val="linear"/>
            <c:dispRSqr val="0"/>
            <c:dispEq val="0"/>
          </c:trendline>
          <c:cat>
            <c:numRef>
              <c:f>'[MEB Database.xlsx]Global Inflation'!$A$53:$A$55</c:f>
              <c:numCache>
                <c:formatCode>General</c:formatCode>
                <c:ptCount val="3"/>
                <c:pt idx="0">
                  <c:v>2024</c:v>
                </c:pt>
                <c:pt idx="1">
                  <c:v>2025</c:v>
                </c:pt>
                <c:pt idx="2">
                  <c:v>2026</c:v>
                </c:pt>
              </c:numCache>
            </c:numRef>
          </c:cat>
          <c:val>
            <c:numRef>
              <c:f>'[MEB Database.xlsx]Global Inflation'!$B$53:$B$55</c:f>
              <c:numCache>
                <c:formatCode>General</c:formatCode>
                <c:ptCount val="3"/>
                <c:pt idx="0">
                  <c:v>3.5</c:v>
                </c:pt>
                <c:pt idx="1">
                  <c:v>2.9</c:v>
                </c:pt>
                <c:pt idx="2">
                  <c:v>2.8</c:v>
                </c:pt>
              </c:numCache>
            </c:numRef>
          </c:val>
          <c:extLst>
            <c:ext xmlns:c16="http://schemas.microsoft.com/office/drawing/2014/chart" uri="{C3380CC4-5D6E-409C-BE32-E72D297353CC}">
              <c16:uniqueId val="{00000004-CE47-4573-8CB5-7D8942DDFDA3}"/>
            </c:ext>
          </c:extLst>
        </c:ser>
        <c:dLbls>
          <c:showLegendKey val="0"/>
          <c:showVal val="0"/>
          <c:showCatName val="0"/>
          <c:showSerName val="0"/>
          <c:showPercent val="0"/>
          <c:showBubbleSize val="0"/>
        </c:dLbls>
        <c:gapWidth val="219"/>
        <c:axId val="1414318463"/>
        <c:axId val="1414310303"/>
      </c:barChart>
      <c:catAx>
        <c:axId val="1414318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4310303"/>
        <c:crosses val="autoZero"/>
        <c:auto val="1"/>
        <c:lblAlgn val="ctr"/>
        <c:lblOffset val="100"/>
        <c:noMultiLvlLbl val="0"/>
      </c:catAx>
      <c:valAx>
        <c:axId val="141431030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43184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'[MEB Database.xlsx]Zim GDP'!$B$36</c:f>
              <c:strCache>
                <c:ptCount val="1"/>
                <c:pt idx="0">
                  <c:v>Zimbabwe Economic Gowth (World Bank, June 2024</c:v>
                </c:pt>
              </c:strCache>
            </c:strRef>
          </c:tx>
          <c:spPr>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100000" t="100000"/>
              </a:path>
              <a:tileRect r="-100000" b="-10000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'[MEB Database.xlsx]Zim GDP'!$A$37:$A$39</c:f>
              <c:numCache>
                <c:formatCode>General</c:formatCode>
                <c:ptCount val="3"/>
                <c:pt idx="0">
                  <c:v>2024</c:v>
                </c:pt>
                <c:pt idx="1">
                  <c:v>2025</c:v>
                </c:pt>
                <c:pt idx="2">
                  <c:v>2026</c:v>
                </c:pt>
              </c:numCache>
            </c:numRef>
          </c:cat>
          <c:val>
            <c:numRef>
              <c:f>'[MEB Database.xlsx]Zim GDP'!$B$37:$B$39</c:f>
              <c:numCache>
                <c:formatCode>General</c:formatCode>
                <c:ptCount val="3"/>
                <c:pt idx="0">
                  <c:v>3.3</c:v>
                </c:pt>
                <c:pt idx="1">
                  <c:v>3.6</c:v>
                </c:pt>
                <c:pt idx="2">
                  <c:v>3.5</c:v>
                </c:pt>
              </c:numCache>
            </c:numRef>
          </c:val>
          <c:extLst>
            <c:ext xmlns:c16="http://schemas.microsoft.com/office/drawing/2014/chart" uri="{C3380CC4-5D6E-409C-BE32-E72D297353CC}">
              <c16:uniqueId val="{00000000-09CD-4E21-A76D-D6248E76287C}"/>
            </c:ext>
          </c:extLst>
        </c:ser>
        <c:ser>
          <c:idx val="1"/>
          <c:order val="1"/>
          <c:tx>
            <c:strRef>
              <c:f>'[MEB Database.xlsx]Zim GDP'!$C$36</c:f>
              <c:strCache>
                <c:ptCount val="1"/>
                <c:pt idx="0">
                  <c:v>IMF, WEO April 2024</c:v>
                </c:pt>
              </c:strCache>
            </c:strRef>
          </c:tx>
          <c:spPr>
            <a:gradFill flip="none" rotWithShape="1">
              <a:gsLst>
                <a:gs pos="0">
                  <a:srgbClr val="00B050">
                    <a:shade val="30000"/>
                    <a:satMod val="115000"/>
                  </a:srgbClr>
                </a:gs>
                <a:gs pos="50000">
                  <a:srgbClr val="00B050">
                    <a:shade val="67500"/>
                    <a:satMod val="115000"/>
                  </a:srgbClr>
                </a:gs>
                <a:gs pos="100000">
                  <a:srgbClr val="00B050">
                    <a:shade val="100000"/>
                    <a:satMod val="115000"/>
                  </a:srgbClr>
                </a:gs>
              </a:gsLst>
              <a:path path="circle">
                <a:fillToRect l="100000" t="100000"/>
              </a:path>
              <a:tileRect r="-100000" b="-10000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'[MEB Database.xlsx]Zim GDP'!$A$37:$A$39</c:f>
              <c:numCache>
                <c:formatCode>General</c:formatCode>
                <c:ptCount val="3"/>
                <c:pt idx="0">
                  <c:v>2024</c:v>
                </c:pt>
                <c:pt idx="1">
                  <c:v>2025</c:v>
                </c:pt>
                <c:pt idx="2">
                  <c:v>2026</c:v>
                </c:pt>
              </c:numCache>
            </c:numRef>
          </c:cat>
          <c:val>
            <c:numRef>
              <c:f>'[MEB Database.xlsx]Zim GDP'!$C$37:$C$39</c:f>
              <c:numCache>
                <c:formatCode>0.00</c:formatCode>
                <c:ptCount val="3"/>
                <c:pt idx="0">
                  <c:v>3.2</c:v>
                </c:pt>
                <c:pt idx="1">
                  <c:v>3.2</c:v>
                </c:pt>
              </c:numCache>
            </c:numRef>
          </c:val>
          <c:extLst>
            <c:ext xmlns:c16="http://schemas.microsoft.com/office/drawing/2014/chart" uri="{C3380CC4-5D6E-409C-BE32-E72D297353CC}">
              <c16:uniqueId val="{00000001-09CD-4E21-A76D-D6248E76287C}"/>
            </c:ext>
          </c:extLst>
        </c:ser>
        <c:dLbls>
          <c:dLblPos val="outEnd"/>
          <c:showLegendKey val="0"/>
          <c:showVal val="1"/>
          <c:showCatName val="0"/>
          <c:showSerName val="0"/>
          <c:showPercent val="0"/>
          <c:showBubbleSize val="0"/>
        </c:dLbls>
        <c:gapWidth val="219"/>
        <c:overlap val="-27"/>
        <c:axId val="245396895"/>
        <c:axId val="245410815"/>
      </c:barChart>
      <c:catAx>
        <c:axId val="245396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410815"/>
        <c:crosses val="autoZero"/>
        <c:auto val="1"/>
        <c:lblAlgn val="ctr"/>
        <c:lblOffset val="100"/>
        <c:noMultiLvlLbl val="0"/>
      </c:catAx>
      <c:valAx>
        <c:axId val="24541081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396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lineChart>
        <c:grouping val="standard"/>
        <c:varyColors val="0"/>
        <c:ser>
          <c:idx val="0"/>
          <c:order val="0"/>
          <c:tx>
            <c:strRef>
              <c:f>'[MEB Database.xlsx]Zim Inflation'!$B$200</c:f>
              <c:strCache>
                <c:ptCount val="1"/>
                <c:pt idx="0">
                  <c:v>Inflation rate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inear"/>
            <c:dispRSqr val="0"/>
            <c:dispEq val="0"/>
          </c:trendline>
          <c:cat>
            <c:numRef>
              <c:f>'[MEB Database.xlsx]Zim Inflation'!$A$201:$A$213</c:f>
              <c:numCache>
                <c:formatCode>mmm\-yy</c:formatCode>
                <c:ptCount val="13"/>
                <c:pt idx="0">
                  <c:v>45078</c:v>
                </c:pt>
                <c:pt idx="1">
                  <c:v>45108</c:v>
                </c:pt>
                <c:pt idx="2">
                  <c:v>45139</c:v>
                </c:pt>
                <c:pt idx="3">
                  <c:v>45170</c:v>
                </c:pt>
                <c:pt idx="4">
                  <c:v>45200</c:v>
                </c:pt>
                <c:pt idx="5">
                  <c:v>45231</c:v>
                </c:pt>
                <c:pt idx="6">
                  <c:v>45261</c:v>
                </c:pt>
                <c:pt idx="7">
                  <c:v>45292</c:v>
                </c:pt>
                <c:pt idx="8">
                  <c:v>45323</c:v>
                </c:pt>
                <c:pt idx="9">
                  <c:v>45352</c:v>
                </c:pt>
                <c:pt idx="10">
                  <c:v>45383</c:v>
                </c:pt>
                <c:pt idx="11">
                  <c:v>45413</c:v>
                </c:pt>
                <c:pt idx="12">
                  <c:v>45471</c:v>
                </c:pt>
              </c:numCache>
            </c:numRef>
          </c:cat>
          <c:val>
            <c:numRef>
              <c:f>'[MEB Database.xlsx]Zim Inflation'!$B$201:$B$213</c:f>
              <c:numCache>
                <c:formatCode>#,##0.00</c:formatCode>
                <c:ptCount val="13"/>
                <c:pt idx="0">
                  <c:v>12.103556447084429</c:v>
                </c:pt>
                <c:pt idx="1">
                  <c:v>1.0262104235433611</c:v>
                </c:pt>
                <c:pt idx="2">
                  <c:v>-1.3412743186660521</c:v>
                </c:pt>
                <c:pt idx="3">
                  <c:v>0.9549029123539583</c:v>
                </c:pt>
                <c:pt idx="4">
                  <c:v>2.4574345383066714</c:v>
                </c:pt>
                <c:pt idx="5">
                  <c:v>4.5416295575921168</c:v>
                </c:pt>
                <c:pt idx="6">
                  <c:v>4.7022767338570759</c:v>
                </c:pt>
                <c:pt idx="7">
                  <c:v>6.5816182040896223</c:v>
                </c:pt>
                <c:pt idx="8">
                  <c:v>5.3893275634551543</c:v>
                </c:pt>
                <c:pt idx="9">
                  <c:v>4.887508641983402</c:v>
                </c:pt>
                <c:pt idx="10">
                  <c:v>2.9389895786218005</c:v>
                </c:pt>
                <c:pt idx="11">
                  <c:v>-0.6</c:v>
                </c:pt>
                <c:pt idx="12">
                  <c:v>-0.2</c:v>
                </c:pt>
              </c:numCache>
            </c:numRef>
          </c:val>
          <c:smooth val="0"/>
          <c:extLst>
            <c:ext xmlns:c16="http://schemas.microsoft.com/office/drawing/2014/chart" uri="{C3380CC4-5D6E-409C-BE32-E72D297353CC}">
              <c16:uniqueId val="{00000000-EDEB-43BD-A310-80560453171F}"/>
            </c:ext>
          </c:extLst>
        </c:ser>
        <c:dLbls>
          <c:dLblPos val="t"/>
          <c:showLegendKey val="0"/>
          <c:showVal val="1"/>
          <c:showCatName val="0"/>
          <c:showSerName val="0"/>
          <c:showPercent val="0"/>
          <c:showBubbleSize val="0"/>
        </c:dLbls>
        <c:marker val="1"/>
        <c:smooth val="0"/>
        <c:axId val="1746081888"/>
        <c:axId val="1746082848"/>
      </c:lineChart>
      <c:dateAx>
        <c:axId val="1746081888"/>
        <c:scaling>
          <c:orientation val="minMax"/>
        </c:scaling>
        <c:delete val="0"/>
        <c:axPos val="b"/>
        <c:numFmt formatCode="mmm\-yy"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6082848"/>
        <c:crosses val="autoZero"/>
        <c:auto val="1"/>
        <c:lblOffset val="100"/>
        <c:baseTimeUnit val="months"/>
      </c:dateAx>
      <c:valAx>
        <c:axId val="17460828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6081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IMF24</b:Tag>
    <b:SourceType>Report</b:SourceType>
    <b:Guid>{95D296F9-A007-4E48-B9F0-4BE3CCF45431}</b:Guid>
    <b:Author>
      <b:Author>
        <b:Corporate>IMF</b:Corporate>
      </b:Author>
    </b:Author>
    <b:Title>World Economic outlook Update, April 2024</b:Title>
    <b:Year>2024</b:Year>
    <b:Publisher>International Monetary Fund</b:Publisher>
    <b:RefOrder>1</b:RefOrder>
  </b:Source>
  <b:Source>
    <b:Tag>RBZ24</b:Tag>
    <b:SourceType>InternetSite</b:SourceType>
    <b:Guid>{131591B7-3098-4E06-B9DB-40C9AD93D63A}</b:Guid>
    <b:Title>Exchange Rates</b:Title>
    <b:Year>2024</b:Year>
    <b:Author>
      <b:Author>
        <b:Corporate>RBZ</b:Corporate>
      </b:Author>
    </b:Author>
    <b:InternetSiteTitle>Reserve Bank of Zimbabwe</b:InternetSiteTitle>
    <b:URL>https://www.rbz.co.zw/index.php/research/markets/exchange-rates</b:URL>
    <b:RefOrder>2</b:RefOrder>
  </b:Source>
  <b:Source>
    <b:Tag>Tra24</b:Tag>
    <b:SourceType>InternetSite</b:SourceType>
    <b:Guid>{8F5E9987-C62C-47B0-8A36-1187F2EFE3CE}</b:Guid>
    <b:Author>
      <b:Author>
        <b:Corporate>Trading Economics</b:Corporate>
      </b:Author>
    </b:Author>
    <b:Title>Commodities</b:Title>
    <b:InternetSiteTitle>Trading  Economics</b:InternetSiteTitle>
    <b:Year>2024</b:Year>
    <b:URL>https://tradingeconomics.com/commodity/crude-oil</b:URL>
    <b:RefOrder>3</b:RefOrder>
  </b:Source>
  <b:Source>
    <b:Tag>VFE24</b:Tag>
    <b:SourceType>InternetSite</b:SourceType>
    <b:Guid>{1E964840-8E12-4650-8E6C-64330FB07471}</b:Guid>
    <b:Author>
      <b:Author>
        <b:Corporate>VFEX</b:Corporate>
      </b:Author>
    </b:Author>
    <b:Title>Main Dashboard</b:Title>
    <b:InternetSiteTitle>Victoria Falls Stock Exchange</b:InternetSiteTitle>
    <b:Year>2024</b:Year>
    <b:URL>https://www.vfex.exchange/</b:URL>
    <b:RefOrder>4</b:RefOrder>
  </b:Source>
  <b:Source>
    <b:Tag>ZSE24</b:Tag>
    <b:SourceType>InternetSite</b:SourceType>
    <b:Guid>{40B098F4-EC97-445A-813A-899416F4B52B}</b:Guid>
    <b:Author>
      <b:Author>
        <b:Corporate>ZSE</b:Corporate>
      </b:Author>
    </b:Author>
    <b:Title>Main Dashboard</b:Title>
    <b:InternetSiteTitle>Zimbabwe Stock Exchange</b:InternetSiteTitle>
    <b:Year>2024</b:Year>
    <b:URL>https://www.zse.co.zw/</b:URL>
    <b:RefOrder>5</b:RefOrder>
  </b:Source>
  <b:Source>
    <b:Tag>Zim24</b:Tag>
    <b:SourceType>InternetSite</b:SourceType>
    <b:Guid>{4C57281A-E62E-4D20-922B-C504FA489846}</b:Guid>
    <b:Author>
      <b:Author>
        <b:Corporate>ZimStat</b:Corporate>
      </b:Author>
    </b:Author>
    <b:Title>Inflation Rates</b:Title>
    <b:InternetSiteTitle>Zimbabwe Statistics Agency</b:InternetSiteTitle>
    <b:Year>2024</b:Year>
    <b:URL>https://www.zimstat.co.zw/</b:URL>
    <b:RefOrder>6</b:RefOrder>
  </b:Source>
  <b:Source>
    <b:Tag>Wor24</b:Tag>
    <b:SourceType>Report</b:SourceType>
    <b:Guid>{2344754A-CF3B-4064-90E3-9FEFC00CB02B}</b:Guid>
    <b:Title>June 2024, Global Economic Prospects: A World Bank Group Flagship Report</b:Title>
    <b:Year>2024</b:Year>
    <b:Author>
      <b:Author>
        <b:Corporate>World Bank Group</b:Corporate>
      </b:Author>
    </b:Author>
    <b:Publisher>World bank</b:Publisher>
    <b:RefOrder>7</b:RefOrder>
  </b:Source>
  <b:Source>
    <b:Tag>RBZ241</b:Tag>
    <b:SourceType>DocumentFromInternetSite</b:SourceType>
    <b:Guid>{468FACD3-B5C0-4761-8C38-46FDB15B36AF}</b:Guid>
    <b:Year>2024</b:Year>
    <b:Author>
      <b:Author>
        <b:Corporate>RBZ</b:Corporate>
      </b:Author>
    </b:Author>
    <b:InternetSiteTitle>Reserve Bank of Zimbabwe</b:InternetSiteTitle>
    <b:URL>https://www.rbz.co.zw/documents/press/2024/June/MPC_-_Monetary_Policy_Committee_Press_Statement_26_June_20241.pdf</b:URL>
    <b:Title>Resolutions of the Monetary Policy Committe Meeting Held on 26 June 2024</b:Title>
    <b:RefOrder>8</b:RefOrder>
  </b:Source>
  <b:Source>
    <b:Tag>Gal24</b:Tag>
    <b:SourceType>Report</b:SourceType>
    <b:Guid>{797CC947-BEFB-4652-BB2C-68677CD140C1}</b:Guid>
    <b:Title>Commodities Monthly Outlook</b:Title>
    <b:Year>2024</b:Year>
    <b:Author>
      <b:Author>
        <b:Corporate>Galt and Taggart</b:Corporate>
      </b:Author>
    </b:Author>
    <b:Publisher>Galt &amp; Taggart</b:Publisher>
    <b:RefOrder>9</b:RefOrder>
  </b:Source>
</b:Sources>
</file>

<file path=customXml/itemProps1.xml><?xml version="1.0" encoding="utf-8"?>
<ds:datastoreItem xmlns:ds="http://schemas.openxmlformats.org/officeDocument/2006/customXml" ds:itemID="{E2C0D547-6874-4BAF-A537-42BA173FD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13</Pages>
  <Words>2448</Words>
  <Characters>13959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16375</CharactersWithSpaces>
  <SharedDoc>false</SharedDoc>
  <HLinks>
    <vt:vector size="168" baseType="variant">
      <vt:variant>
        <vt:i4>1900594</vt:i4>
      </vt:variant>
      <vt:variant>
        <vt:i4>170</vt:i4>
      </vt:variant>
      <vt:variant>
        <vt:i4>0</vt:i4>
      </vt:variant>
      <vt:variant>
        <vt:i4>5</vt:i4>
      </vt:variant>
      <vt:variant>
        <vt:lpwstr/>
      </vt:variant>
      <vt:variant>
        <vt:lpwstr>_Toc171944604</vt:lpwstr>
      </vt:variant>
      <vt:variant>
        <vt:i4>1900594</vt:i4>
      </vt:variant>
      <vt:variant>
        <vt:i4>164</vt:i4>
      </vt:variant>
      <vt:variant>
        <vt:i4>0</vt:i4>
      </vt:variant>
      <vt:variant>
        <vt:i4>5</vt:i4>
      </vt:variant>
      <vt:variant>
        <vt:lpwstr/>
      </vt:variant>
      <vt:variant>
        <vt:lpwstr>_Toc171944603</vt:lpwstr>
      </vt:variant>
      <vt:variant>
        <vt:i4>1900594</vt:i4>
      </vt:variant>
      <vt:variant>
        <vt:i4>158</vt:i4>
      </vt:variant>
      <vt:variant>
        <vt:i4>0</vt:i4>
      </vt:variant>
      <vt:variant>
        <vt:i4>5</vt:i4>
      </vt:variant>
      <vt:variant>
        <vt:lpwstr/>
      </vt:variant>
      <vt:variant>
        <vt:lpwstr>_Toc171944602</vt:lpwstr>
      </vt:variant>
      <vt:variant>
        <vt:i4>2031665</vt:i4>
      </vt:variant>
      <vt:variant>
        <vt:i4>149</vt:i4>
      </vt:variant>
      <vt:variant>
        <vt:i4>0</vt:i4>
      </vt:variant>
      <vt:variant>
        <vt:i4>5</vt:i4>
      </vt:variant>
      <vt:variant>
        <vt:lpwstr/>
      </vt:variant>
      <vt:variant>
        <vt:lpwstr>_Toc171944521</vt:lpwstr>
      </vt:variant>
      <vt:variant>
        <vt:i4>2031665</vt:i4>
      </vt:variant>
      <vt:variant>
        <vt:i4>143</vt:i4>
      </vt:variant>
      <vt:variant>
        <vt:i4>0</vt:i4>
      </vt:variant>
      <vt:variant>
        <vt:i4>5</vt:i4>
      </vt:variant>
      <vt:variant>
        <vt:lpwstr/>
      </vt:variant>
      <vt:variant>
        <vt:lpwstr>_Toc171944520</vt:lpwstr>
      </vt:variant>
      <vt:variant>
        <vt:i4>1835057</vt:i4>
      </vt:variant>
      <vt:variant>
        <vt:i4>137</vt:i4>
      </vt:variant>
      <vt:variant>
        <vt:i4>0</vt:i4>
      </vt:variant>
      <vt:variant>
        <vt:i4>5</vt:i4>
      </vt:variant>
      <vt:variant>
        <vt:lpwstr/>
      </vt:variant>
      <vt:variant>
        <vt:lpwstr>_Toc171944519</vt:lpwstr>
      </vt:variant>
      <vt:variant>
        <vt:i4>1835057</vt:i4>
      </vt:variant>
      <vt:variant>
        <vt:i4>131</vt:i4>
      </vt:variant>
      <vt:variant>
        <vt:i4>0</vt:i4>
      </vt:variant>
      <vt:variant>
        <vt:i4>5</vt:i4>
      </vt:variant>
      <vt:variant>
        <vt:lpwstr/>
      </vt:variant>
      <vt:variant>
        <vt:lpwstr>_Toc171944518</vt:lpwstr>
      </vt:variant>
      <vt:variant>
        <vt:i4>1835057</vt:i4>
      </vt:variant>
      <vt:variant>
        <vt:i4>125</vt:i4>
      </vt:variant>
      <vt:variant>
        <vt:i4>0</vt:i4>
      </vt:variant>
      <vt:variant>
        <vt:i4>5</vt:i4>
      </vt:variant>
      <vt:variant>
        <vt:lpwstr/>
      </vt:variant>
      <vt:variant>
        <vt:lpwstr>_Toc171944517</vt:lpwstr>
      </vt:variant>
      <vt:variant>
        <vt:i4>1835057</vt:i4>
      </vt:variant>
      <vt:variant>
        <vt:i4>119</vt:i4>
      </vt:variant>
      <vt:variant>
        <vt:i4>0</vt:i4>
      </vt:variant>
      <vt:variant>
        <vt:i4>5</vt:i4>
      </vt:variant>
      <vt:variant>
        <vt:lpwstr/>
      </vt:variant>
      <vt:variant>
        <vt:lpwstr>_Toc171944516</vt:lpwstr>
      </vt:variant>
      <vt:variant>
        <vt:i4>1835057</vt:i4>
      </vt:variant>
      <vt:variant>
        <vt:i4>113</vt:i4>
      </vt:variant>
      <vt:variant>
        <vt:i4>0</vt:i4>
      </vt:variant>
      <vt:variant>
        <vt:i4>5</vt:i4>
      </vt:variant>
      <vt:variant>
        <vt:lpwstr/>
      </vt:variant>
      <vt:variant>
        <vt:lpwstr>_Toc171944515</vt:lpwstr>
      </vt:variant>
      <vt:variant>
        <vt:i4>1441844</vt:i4>
      </vt:variant>
      <vt:variant>
        <vt:i4>104</vt:i4>
      </vt:variant>
      <vt:variant>
        <vt:i4>0</vt:i4>
      </vt:variant>
      <vt:variant>
        <vt:i4>5</vt:i4>
      </vt:variant>
      <vt:variant>
        <vt:lpwstr/>
      </vt:variant>
      <vt:variant>
        <vt:lpwstr>_Toc171946097</vt:lpwstr>
      </vt:variant>
      <vt:variant>
        <vt:i4>1441844</vt:i4>
      </vt:variant>
      <vt:variant>
        <vt:i4>98</vt:i4>
      </vt:variant>
      <vt:variant>
        <vt:i4>0</vt:i4>
      </vt:variant>
      <vt:variant>
        <vt:i4>5</vt:i4>
      </vt:variant>
      <vt:variant>
        <vt:lpwstr/>
      </vt:variant>
      <vt:variant>
        <vt:lpwstr>_Toc171946096</vt:lpwstr>
      </vt:variant>
      <vt:variant>
        <vt:i4>1441844</vt:i4>
      </vt:variant>
      <vt:variant>
        <vt:i4>92</vt:i4>
      </vt:variant>
      <vt:variant>
        <vt:i4>0</vt:i4>
      </vt:variant>
      <vt:variant>
        <vt:i4>5</vt:i4>
      </vt:variant>
      <vt:variant>
        <vt:lpwstr/>
      </vt:variant>
      <vt:variant>
        <vt:lpwstr>_Toc171946095</vt:lpwstr>
      </vt:variant>
      <vt:variant>
        <vt:i4>1441844</vt:i4>
      </vt:variant>
      <vt:variant>
        <vt:i4>86</vt:i4>
      </vt:variant>
      <vt:variant>
        <vt:i4>0</vt:i4>
      </vt:variant>
      <vt:variant>
        <vt:i4>5</vt:i4>
      </vt:variant>
      <vt:variant>
        <vt:lpwstr/>
      </vt:variant>
      <vt:variant>
        <vt:lpwstr>_Toc171946094</vt:lpwstr>
      </vt:variant>
      <vt:variant>
        <vt:i4>1441844</vt:i4>
      </vt:variant>
      <vt:variant>
        <vt:i4>80</vt:i4>
      </vt:variant>
      <vt:variant>
        <vt:i4>0</vt:i4>
      </vt:variant>
      <vt:variant>
        <vt:i4>5</vt:i4>
      </vt:variant>
      <vt:variant>
        <vt:lpwstr/>
      </vt:variant>
      <vt:variant>
        <vt:lpwstr>_Toc171946093</vt:lpwstr>
      </vt:variant>
      <vt:variant>
        <vt:i4>1441844</vt:i4>
      </vt:variant>
      <vt:variant>
        <vt:i4>74</vt:i4>
      </vt:variant>
      <vt:variant>
        <vt:i4>0</vt:i4>
      </vt:variant>
      <vt:variant>
        <vt:i4>5</vt:i4>
      </vt:variant>
      <vt:variant>
        <vt:lpwstr/>
      </vt:variant>
      <vt:variant>
        <vt:lpwstr>_Toc171946092</vt:lpwstr>
      </vt:variant>
      <vt:variant>
        <vt:i4>1441844</vt:i4>
      </vt:variant>
      <vt:variant>
        <vt:i4>68</vt:i4>
      </vt:variant>
      <vt:variant>
        <vt:i4>0</vt:i4>
      </vt:variant>
      <vt:variant>
        <vt:i4>5</vt:i4>
      </vt:variant>
      <vt:variant>
        <vt:lpwstr/>
      </vt:variant>
      <vt:variant>
        <vt:lpwstr>_Toc171946091</vt:lpwstr>
      </vt:variant>
      <vt:variant>
        <vt:i4>1441844</vt:i4>
      </vt:variant>
      <vt:variant>
        <vt:i4>62</vt:i4>
      </vt:variant>
      <vt:variant>
        <vt:i4>0</vt:i4>
      </vt:variant>
      <vt:variant>
        <vt:i4>5</vt:i4>
      </vt:variant>
      <vt:variant>
        <vt:lpwstr/>
      </vt:variant>
      <vt:variant>
        <vt:lpwstr>_Toc171946090</vt:lpwstr>
      </vt:variant>
      <vt:variant>
        <vt:i4>1507380</vt:i4>
      </vt:variant>
      <vt:variant>
        <vt:i4>56</vt:i4>
      </vt:variant>
      <vt:variant>
        <vt:i4>0</vt:i4>
      </vt:variant>
      <vt:variant>
        <vt:i4>5</vt:i4>
      </vt:variant>
      <vt:variant>
        <vt:lpwstr/>
      </vt:variant>
      <vt:variant>
        <vt:lpwstr>_Toc171946089</vt:lpwstr>
      </vt:variant>
      <vt:variant>
        <vt:i4>1507380</vt:i4>
      </vt:variant>
      <vt:variant>
        <vt:i4>50</vt:i4>
      </vt:variant>
      <vt:variant>
        <vt:i4>0</vt:i4>
      </vt:variant>
      <vt:variant>
        <vt:i4>5</vt:i4>
      </vt:variant>
      <vt:variant>
        <vt:lpwstr/>
      </vt:variant>
      <vt:variant>
        <vt:lpwstr>_Toc171946088</vt:lpwstr>
      </vt:variant>
      <vt:variant>
        <vt:i4>1507380</vt:i4>
      </vt:variant>
      <vt:variant>
        <vt:i4>44</vt:i4>
      </vt:variant>
      <vt:variant>
        <vt:i4>0</vt:i4>
      </vt:variant>
      <vt:variant>
        <vt:i4>5</vt:i4>
      </vt:variant>
      <vt:variant>
        <vt:lpwstr/>
      </vt:variant>
      <vt:variant>
        <vt:lpwstr>_Toc171946087</vt:lpwstr>
      </vt:variant>
      <vt:variant>
        <vt:i4>1507380</vt:i4>
      </vt:variant>
      <vt:variant>
        <vt:i4>38</vt:i4>
      </vt:variant>
      <vt:variant>
        <vt:i4>0</vt:i4>
      </vt:variant>
      <vt:variant>
        <vt:i4>5</vt:i4>
      </vt:variant>
      <vt:variant>
        <vt:lpwstr/>
      </vt:variant>
      <vt:variant>
        <vt:lpwstr>_Toc171946086</vt:lpwstr>
      </vt:variant>
      <vt:variant>
        <vt:i4>1507380</vt:i4>
      </vt:variant>
      <vt:variant>
        <vt:i4>32</vt:i4>
      </vt:variant>
      <vt:variant>
        <vt:i4>0</vt:i4>
      </vt:variant>
      <vt:variant>
        <vt:i4>5</vt:i4>
      </vt:variant>
      <vt:variant>
        <vt:lpwstr/>
      </vt:variant>
      <vt:variant>
        <vt:lpwstr>_Toc171946085</vt:lpwstr>
      </vt:variant>
      <vt:variant>
        <vt:i4>1507380</vt:i4>
      </vt:variant>
      <vt:variant>
        <vt:i4>26</vt:i4>
      </vt:variant>
      <vt:variant>
        <vt:i4>0</vt:i4>
      </vt:variant>
      <vt:variant>
        <vt:i4>5</vt:i4>
      </vt:variant>
      <vt:variant>
        <vt:lpwstr/>
      </vt:variant>
      <vt:variant>
        <vt:lpwstr>_Toc171946084</vt:lpwstr>
      </vt:variant>
      <vt:variant>
        <vt:i4>1507380</vt:i4>
      </vt:variant>
      <vt:variant>
        <vt:i4>20</vt:i4>
      </vt:variant>
      <vt:variant>
        <vt:i4>0</vt:i4>
      </vt:variant>
      <vt:variant>
        <vt:i4>5</vt:i4>
      </vt:variant>
      <vt:variant>
        <vt:lpwstr/>
      </vt:variant>
      <vt:variant>
        <vt:lpwstr>_Toc171946083</vt:lpwstr>
      </vt:variant>
      <vt:variant>
        <vt:i4>1507380</vt:i4>
      </vt:variant>
      <vt:variant>
        <vt:i4>14</vt:i4>
      </vt:variant>
      <vt:variant>
        <vt:i4>0</vt:i4>
      </vt:variant>
      <vt:variant>
        <vt:i4>5</vt:i4>
      </vt:variant>
      <vt:variant>
        <vt:lpwstr/>
      </vt:variant>
      <vt:variant>
        <vt:lpwstr>_Toc171946082</vt:lpwstr>
      </vt:variant>
      <vt:variant>
        <vt:i4>1507380</vt:i4>
      </vt:variant>
      <vt:variant>
        <vt:i4>8</vt:i4>
      </vt:variant>
      <vt:variant>
        <vt:i4>0</vt:i4>
      </vt:variant>
      <vt:variant>
        <vt:i4>5</vt:i4>
      </vt:variant>
      <vt:variant>
        <vt:lpwstr/>
      </vt:variant>
      <vt:variant>
        <vt:lpwstr>_Toc171946081</vt:lpwstr>
      </vt:variant>
      <vt:variant>
        <vt:i4>1507380</vt:i4>
      </vt:variant>
      <vt:variant>
        <vt:i4>2</vt:i4>
      </vt:variant>
      <vt:variant>
        <vt:i4>0</vt:i4>
      </vt:variant>
      <vt:variant>
        <vt:i4>5</vt:i4>
      </vt:variant>
      <vt:variant>
        <vt:lpwstr/>
      </vt:variant>
      <vt:variant>
        <vt:lpwstr>_Toc171946080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Gowere</dc:creator>
  <cp:keywords/>
  <dc:description/>
  <cp:lastModifiedBy>Gabriel Gowere</cp:lastModifiedBy>
  <cp:revision>3</cp:revision>
  <dcterms:created xsi:type="dcterms:W3CDTF">2024-07-16T07:55:00Z</dcterms:created>
  <dcterms:modified xsi:type="dcterms:W3CDTF">2024-07-18T09:34:00Z</dcterms:modified>
</cp:coreProperties>
</file>