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B1691"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6ADDA1DF"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5397E91D" w14:textId="5C50CE66" w:rsidR="00B357AC" w:rsidRPr="00796E2E" w:rsidRDefault="000515F8"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r w:rsidRPr="00796E2E">
        <w:rPr>
          <w:rFonts w:ascii="Tahoma" w:hAnsi="Tahoma" w:cs="Tahoma"/>
          <w:noProof/>
          <w:sz w:val="24"/>
          <w:szCs w:val="24"/>
          <w:lang w:eastAsia="en-ZW"/>
        </w:rPr>
        <w:drawing>
          <wp:inline distT="0" distB="0" distL="0" distR="0" wp14:anchorId="493A6F46" wp14:editId="4B38C7AB">
            <wp:extent cx="3133725" cy="189547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05D6D62E"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1DE3519E"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r w:rsidRPr="00796E2E">
        <w:rPr>
          <w:rFonts w:ascii="Tahoma" w:hAnsi="Tahoma" w:cs="Tahoma"/>
          <w:b/>
          <w:sz w:val="32"/>
          <w:szCs w:val="32"/>
        </w:rPr>
        <w:t>NATIONAL ECONOMIC CONSULTATIVE FORUM</w:t>
      </w:r>
    </w:p>
    <w:p w14:paraId="34BEE900"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1AFD6D3C"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07544E2C" w14:textId="77777777" w:rsidR="00B357AC" w:rsidRPr="00796E2E"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r w:rsidRPr="00796E2E">
        <w:rPr>
          <w:rFonts w:ascii="Tahoma" w:hAnsi="Tahoma" w:cs="Tahoma"/>
          <w:b/>
          <w:sz w:val="32"/>
          <w:szCs w:val="32"/>
        </w:rPr>
        <w:t>MONTHLY</w:t>
      </w:r>
      <w:r w:rsidR="00B357AC" w:rsidRPr="00796E2E">
        <w:rPr>
          <w:rFonts w:ascii="Tahoma" w:hAnsi="Tahoma" w:cs="Tahoma"/>
          <w:b/>
          <w:sz w:val="32"/>
          <w:szCs w:val="32"/>
        </w:rPr>
        <w:t xml:space="preserve"> ECONOMIC BULLETIN </w:t>
      </w:r>
    </w:p>
    <w:p w14:paraId="4847AA60"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00600E27"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000BA984" w14:textId="14319CED" w:rsidR="00B357AC" w:rsidRPr="00796E2E" w:rsidRDefault="002828D7"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r>
        <w:rPr>
          <w:rFonts w:ascii="Tahoma" w:hAnsi="Tahoma" w:cs="Tahoma"/>
          <w:b/>
          <w:sz w:val="32"/>
          <w:szCs w:val="32"/>
        </w:rPr>
        <w:t>MAY</w:t>
      </w:r>
      <w:r w:rsidR="00B357AC" w:rsidRPr="00796E2E">
        <w:rPr>
          <w:rFonts w:ascii="Tahoma" w:hAnsi="Tahoma" w:cs="Tahoma"/>
          <w:b/>
          <w:sz w:val="32"/>
          <w:szCs w:val="32"/>
        </w:rPr>
        <w:t xml:space="preserve"> 202</w:t>
      </w:r>
      <w:r w:rsidR="00DB67ED" w:rsidRPr="00796E2E">
        <w:rPr>
          <w:rFonts w:ascii="Tahoma" w:hAnsi="Tahoma" w:cs="Tahoma"/>
          <w:b/>
          <w:sz w:val="32"/>
          <w:szCs w:val="32"/>
        </w:rPr>
        <w:t>4</w:t>
      </w:r>
    </w:p>
    <w:p w14:paraId="5A72DB09"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rPr>
      </w:pPr>
    </w:p>
    <w:p w14:paraId="0349C552"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40239ED3"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3190DBCC"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1D4CF51B" w14:textId="77777777" w:rsidR="00B357AC" w:rsidRPr="00796E2E" w:rsidRDefault="00B357AC" w:rsidP="00B357AC">
      <w:pPr>
        <w:rPr>
          <w:rFonts w:ascii="Tahoma" w:hAnsi="Tahoma" w:cs="Tahoma"/>
          <w:sz w:val="24"/>
          <w:szCs w:val="24"/>
        </w:rPr>
        <w:sectPr w:rsidR="00B357AC" w:rsidRPr="00796E2E" w:rsidSect="00EF15A0">
          <w:footerReference w:type="default" r:id="rId9"/>
          <w:pgSz w:w="11906" w:h="16838"/>
          <w:pgMar w:top="1440" w:right="1440" w:bottom="1440" w:left="1440" w:header="708" w:footer="708" w:gutter="0"/>
          <w:cols w:space="708"/>
          <w:titlePg/>
          <w:docGrid w:linePitch="360"/>
        </w:sectPr>
      </w:pPr>
    </w:p>
    <w:p w14:paraId="2C63D80A" w14:textId="77777777" w:rsidR="007E39CC" w:rsidRPr="00C5148E" w:rsidRDefault="007E39CC" w:rsidP="007E39CC">
      <w:pPr>
        <w:pStyle w:val="Heading1"/>
        <w:spacing w:before="0" w:after="240"/>
        <w:rPr>
          <w:rFonts w:cs="Tahoma"/>
          <w:bCs/>
          <w:color w:val="000000"/>
          <w:szCs w:val="24"/>
        </w:rPr>
      </w:pPr>
      <w:bookmarkStart w:id="0" w:name="_Toc166607888"/>
      <w:bookmarkStart w:id="1" w:name="_Toc169612893"/>
      <w:r w:rsidRPr="00C5148E">
        <w:rPr>
          <w:rFonts w:cs="Tahoma"/>
          <w:bCs/>
          <w:color w:val="000000"/>
          <w:szCs w:val="24"/>
        </w:rPr>
        <w:lastRenderedPageBreak/>
        <w:t>Executive Summary</w:t>
      </w:r>
      <w:bookmarkEnd w:id="0"/>
      <w:bookmarkEnd w:id="1"/>
      <w:r w:rsidRPr="00C5148E">
        <w:rPr>
          <w:rFonts w:cs="Tahoma"/>
          <w:bCs/>
          <w:color w:val="000000"/>
          <w:szCs w:val="24"/>
        </w:rPr>
        <w:t xml:space="preserve"> </w:t>
      </w:r>
    </w:p>
    <w:p w14:paraId="0D63B933" w14:textId="10FC675E" w:rsidR="007E39CC" w:rsidRPr="00C5148E" w:rsidRDefault="007E39CC" w:rsidP="007E39CC">
      <w:pPr>
        <w:jc w:val="both"/>
        <w:rPr>
          <w:rFonts w:ascii="Tahoma" w:hAnsi="Tahoma" w:cs="Tahoma"/>
          <w:sz w:val="24"/>
          <w:szCs w:val="24"/>
        </w:rPr>
      </w:pPr>
      <w:r w:rsidRPr="00C5148E">
        <w:rPr>
          <w:rFonts w:ascii="Tahoma" w:hAnsi="Tahoma" w:cs="Tahoma"/>
          <w:sz w:val="24"/>
          <w:szCs w:val="24"/>
        </w:rPr>
        <w:t xml:space="preserve">This bulletin focuses on economic developments for the month ending </w:t>
      </w:r>
      <w:r w:rsidR="00CB78E8" w:rsidRPr="00C5148E">
        <w:rPr>
          <w:rFonts w:ascii="Tahoma" w:hAnsi="Tahoma" w:cs="Tahoma"/>
          <w:sz w:val="24"/>
          <w:szCs w:val="24"/>
        </w:rPr>
        <w:t>3</w:t>
      </w:r>
      <w:r w:rsidR="00CC7A97" w:rsidRPr="00C5148E">
        <w:rPr>
          <w:rFonts w:ascii="Tahoma" w:hAnsi="Tahoma" w:cs="Tahoma"/>
          <w:sz w:val="24"/>
          <w:szCs w:val="24"/>
        </w:rPr>
        <w:t>1 May</w:t>
      </w:r>
      <w:r w:rsidR="00CB78E8" w:rsidRPr="00C5148E">
        <w:rPr>
          <w:rFonts w:ascii="Tahoma" w:hAnsi="Tahoma" w:cs="Tahoma"/>
          <w:sz w:val="24"/>
          <w:szCs w:val="24"/>
        </w:rPr>
        <w:t xml:space="preserve"> </w:t>
      </w:r>
      <w:r w:rsidRPr="00C5148E">
        <w:rPr>
          <w:rFonts w:ascii="Tahoma" w:hAnsi="Tahoma" w:cs="Tahoma"/>
          <w:sz w:val="24"/>
          <w:szCs w:val="24"/>
        </w:rPr>
        <w:t xml:space="preserve">2024 that </w:t>
      </w:r>
      <w:r w:rsidR="00B8178B" w:rsidRPr="00C5148E">
        <w:rPr>
          <w:rFonts w:ascii="Tahoma" w:hAnsi="Tahoma" w:cs="Tahoma"/>
          <w:sz w:val="24"/>
          <w:szCs w:val="24"/>
        </w:rPr>
        <w:t>include</w:t>
      </w:r>
      <w:r w:rsidRPr="00C5148E">
        <w:rPr>
          <w:rFonts w:ascii="Tahoma" w:hAnsi="Tahoma" w:cs="Tahoma"/>
          <w:sz w:val="24"/>
          <w:szCs w:val="24"/>
        </w:rPr>
        <w:t xml:space="preserve"> Zimbabwe Gross Domestic Product (GDP) growth updates, merchandise trade developments, exchange rate developments, inflation developments, monetary developments and stock market developments as well as world economic developments and international commodity prices. </w:t>
      </w:r>
    </w:p>
    <w:p w14:paraId="49807F10" w14:textId="7B4B4B69" w:rsidR="00F120F8" w:rsidRDefault="00F4237D" w:rsidP="00F120F8">
      <w:pPr>
        <w:jc w:val="both"/>
        <w:rPr>
          <w:rFonts w:ascii="Tahoma" w:hAnsi="Tahoma" w:cs="Tahoma"/>
          <w:sz w:val="24"/>
          <w:szCs w:val="24"/>
        </w:rPr>
      </w:pPr>
      <w:r w:rsidRPr="00C5148E">
        <w:rPr>
          <w:rFonts w:ascii="Tahoma" w:eastAsia="Times New Roman" w:hAnsi="Tahoma" w:cs="Tahoma"/>
          <w:sz w:val="24"/>
          <w:szCs w:val="24"/>
          <w:lang w:val="en-ZW"/>
        </w:rPr>
        <w:t xml:space="preserve">During the </w:t>
      </w:r>
      <w:r w:rsidR="00F120F8">
        <w:rPr>
          <w:rFonts w:ascii="Tahoma" w:eastAsia="Times New Roman" w:hAnsi="Tahoma" w:cs="Tahoma"/>
          <w:sz w:val="24"/>
          <w:szCs w:val="24"/>
          <w:lang w:val="en-ZW"/>
        </w:rPr>
        <w:t>period under review</w:t>
      </w:r>
      <w:r w:rsidRPr="00C5148E">
        <w:rPr>
          <w:rFonts w:ascii="Tahoma" w:eastAsia="Times New Roman" w:hAnsi="Tahoma" w:cs="Tahoma"/>
          <w:sz w:val="24"/>
          <w:szCs w:val="24"/>
          <w:lang w:val="en-ZW"/>
        </w:rPr>
        <w:t>,</w:t>
      </w:r>
      <w:r w:rsidR="003B6879">
        <w:rPr>
          <w:rFonts w:ascii="Tahoma" w:eastAsia="Times New Roman" w:hAnsi="Tahoma" w:cs="Tahoma"/>
          <w:sz w:val="24"/>
          <w:szCs w:val="24"/>
          <w:lang w:val="en-ZW"/>
        </w:rPr>
        <w:t xml:space="preserve"> </w:t>
      </w:r>
      <w:bookmarkStart w:id="2" w:name="_Hlk169605044"/>
      <w:r w:rsidR="00F120F8">
        <w:rPr>
          <w:rFonts w:ascii="Tahoma" w:eastAsia="Times New Roman" w:hAnsi="Tahoma" w:cs="Tahoma"/>
          <w:sz w:val="24"/>
          <w:szCs w:val="24"/>
          <w:lang w:val="en-ZW"/>
        </w:rPr>
        <w:t xml:space="preserve">the global economy </w:t>
      </w:r>
      <w:r w:rsidR="003B6879" w:rsidRPr="009E30F1">
        <w:rPr>
          <w:rFonts w:ascii="Tahoma" w:hAnsi="Tahoma" w:cs="Tahoma"/>
          <w:sz w:val="24"/>
          <w:szCs w:val="24"/>
        </w:rPr>
        <w:t xml:space="preserve">is expected to grow </w:t>
      </w:r>
      <w:r w:rsidR="00F120F8">
        <w:rPr>
          <w:rFonts w:ascii="Tahoma" w:hAnsi="Tahoma" w:cs="Tahoma"/>
          <w:sz w:val="24"/>
          <w:szCs w:val="24"/>
        </w:rPr>
        <w:t xml:space="preserve">by </w:t>
      </w:r>
      <w:r w:rsidR="003B6879" w:rsidRPr="009E30F1">
        <w:rPr>
          <w:rFonts w:ascii="Tahoma" w:hAnsi="Tahoma" w:cs="Tahoma"/>
          <w:sz w:val="24"/>
          <w:szCs w:val="24"/>
        </w:rPr>
        <w:t>2.9% in 2024</w:t>
      </w:r>
      <w:r w:rsidR="00F120F8">
        <w:rPr>
          <w:rFonts w:ascii="Tahoma" w:hAnsi="Tahoma" w:cs="Tahoma"/>
          <w:sz w:val="24"/>
          <w:szCs w:val="24"/>
        </w:rPr>
        <w:t xml:space="preserve"> </w:t>
      </w:r>
      <w:r w:rsidR="003B6879">
        <w:rPr>
          <w:rFonts w:ascii="Tahoma" w:hAnsi="Tahoma" w:cs="Tahoma"/>
          <w:sz w:val="24"/>
          <w:szCs w:val="24"/>
        </w:rPr>
        <w:t>slightly down from 3.1% in 2023,</w:t>
      </w:r>
      <w:r w:rsidR="003B6879" w:rsidRPr="009E30F1">
        <w:rPr>
          <w:rFonts w:ascii="Tahoma" w:hAnsi="Tahoma" w:cs="Tahoma"/>
          <w:sz w:val="24"/>
          <w:szCs w:val="24"/>
        </w:rPr>
        <w:t xml:space="preserve"> driven by resilient employment and income growth</w:t>
      </w:r>
      <w:r w:rsidR="00F120F8" w:rsidRPr="00F120F8">
        <w:rPr>
          <w:rFonts w:ascii="Tahoma" w:hAnsi="Tahoma" w:cs="Tahoma"/>
          <w:sz w:val="24"/>
          <w:szCs w:val="24"/>
        </w:rPr>
        <w:t xml:space="preserve"> </w:t>
      </w:r>
      <w:r w:rsidR="00F120F8">
        <w:rPr>
          <w:rFonts w:ascii="Tahoma" w:hAnsi="Tahoma" w:cs="Tahoma"/>
          <w:sz w:val="24"/>
          <w:szCs w:val="24"/>
        </w:rPr>
        <w:t xml:space="preserve">(Euromonitor International </w:t>
      </w:r>
      <w:r w:rsidR="00324843">
        <w:rPr>
          <w:rFonts w:ascii="Tahoma" w:hAnsi="Tahoma" w:cs="Tahoma"/>
          <w:sz w:val="24"/>
          <w:szCs w:val="24"/>
        </w:rPr>
        <w:t xml:space="preserve">Second Quarter </w:t>
      </w:r>
      <w:r w:rsidR="00F120F8">
        <w:rPr>
          <w:rFonts w:ascii="Tahoma" w:hAnsi="Tahoma" w:cs="Tahoma"/>
          <w:sz w:val="24"/>
          <w:szCs w:val="24"/>
        </w:rPr>
        <w:t>Global Economic</w:t>
      </w:r>
      <w:r w:rsidR="00C31B7E">
        <w:rPr>
          <w:rFonts w:ascii="Tahoma" w:hAnsi="Tahoma" w:cs="Tahoma"/>
          <w:sz w:val="24"/>
          <w:szCs w:val="24"/>
        </w:rPr>
        <w:t xml:space="preserve"> Prospects </w:t>
      </w:r>
      <w:r w:rsidR="00F120F8">
        <w:rPr>
          <w:rFonts w:ascii="Tahoma" w:hAnsi="Tahoma" w:cs="Tahoma"/>
          <w:sz w:val="24"/>
          <w:szCs w:val="24"/>
        </w:rPr>
        <w:t>2024). In terms of outlook, global growth is expected to maintain 3.1% in 2025</w:t>
      </w:r>
      <w:r w:rsidR="003B6879" w:rsidRPr="009E30F1">
        <w:rPr>
          <w:rFonts w:ascii="Tahoma" w:hAnsi="Tahoma" w:cs="Tahoma"/>
          <w:sz w:val="24"/>
          <w:szCs w:val="24"/>
        </w:rPr>
        <w:t xml:space="preserve"> as economic conditions normalize</w:t>
      </w:r>
      <w:r w:rsidR="00F120F8">
        <w:rPr>
          <w:rFonts w:ascii="Tahoma" w:hAnsi="Tahoma" w:cs="Tahoma"/>
          <w:sz w:val="24"/>
          <w:szCs w:val="24"/>
        </w:rPr>
        <w:t>.</w:t>
      </w:r>
      <w:r w:rsidR="003B6879">
        <w:rPr>
          <w:rFonts w:ascii="Tahoma" w:hAnsi="Tahoma" w:cs="Tahoma"/>
          <w:sz w:val="24"/>
          <w:szCs w:val="24"/>
        </w:rPr>
        <w:t xml:space="preserve"> </w:t>
      </w:r>
    </w:p>
    <w:bookmarkEnd w:id="2"/>
    <w:p w14:paraId="6A9BF9D8" w14:textId="7D73D1E0" w:rsidR="00F4237D" w:rsidRPr="00C5148E" w:rsidRDefault="00F4237D" w:rsidP="00DD595D">
      <w:pPr>
        <w:jc w:val="both"/>
        <w:rPr>
          <w:rFonts w:ascii="Tahoma" w:eastAsia="Times New Roman" w:hAnsi="Tahoma" w:cs="Tahoma"/>
          <w:sz w:val="24"/>
          <w:szCs w:val="24"/>
          <w:lang w:val="en-ZW"/>
        </w:rPr>
      </w:pPr>
      <w:r w:rsidRPr="00C5148E">
        <w:rPr>
          <w:rFonts w:ascii="Tahoma" w:eastAsia="Times New Roman" w:hAnsi="Tahoma" w:cs="Tahoma"/>
          <w:sz w:val="24"/>
          <w:szCs w:val="24"/>
          <w:lang w:val="en-ZW"/>
        </w:rPr>
        <w:t xml:space="preserve">In May 2024, commodity prices </w:t>
      </w:r>
      <w:r w:rsidR="00F120F8">
        <w:rPr>
          <w:rFonts w:ascii="Tahoma" w:eastAsia="Times New Roman" w:hAnsi="Tahoma" w:cs="Tahoma"/>
          <w:sz w:val="24"/>
          <w:szCs w:val="24"/>
          <w:lang w:val="en-ZW"/>
        </w:rPr>
        <w:t>maintained and upward trajectory from the previous month</w:t>
      </w:r>
      <w:r w:rsidRPr="00C5148E">
        <w:rPr>
          <w:rFonts w:ascii="Tahoma" w:eastAsia="Times New Roman" w:hAnsi="Tahoma" w:cs="Tahoma"/>
          <w:sz w:val="24"/>
          <w:szCs w:val="24"/>
          <w:lang w:val="en-ZW"/>
        </w:rPr>
        <w:t xml:space="preserve">. </w:t>
      </w:r>
      <w:bookmarkStart w:id="3" w:name="_Hlk169606491"/>
      <w:r w:rsidR="00F120F8">
        <w:rPr>
          <w:rFonts w:ascii="Tahoma" w:eastAsia="Times New Roman" w:hAnsi="Tahoma" w:cs="Tahoma"/>
          <w:sz w:val="24"/>
          <w:szCs w:val="24"/>
          <w:lang w:val="en-ZW"/>
        </w:rPr>
        <w:t>Prices of n</w:t>
      </w:r>
      <w:r w:rsidRPr="00C5148E">
        <w:rPr>
          <w:rFonts w:ascii="Tahoma" w:eastAsia="Times New Roman" w:hAnsi="Tahoma" w:cs="Tahoma"/>
          <w:sz w:val="24"/>
          <w:szCs w:val="24"/>
          <w:lang w:val="en-ZW"/>
        </w:rPr>
        <w:t xml:space="preserve">atural gas, </w:t>
      </w:r>
      <w:r w:rsidR="00F120F8">
        <w:rPr>
          <w:rFonts w:ascii="Tahoma" w:eastAsia="Times New Roman" w:hAnsi="Tahoma" w:cs="Tahoma"/>
          <w:sz w:val="24"/>
          <w:szCs w:val="24"/>
          <w:lang w:val="en-ZW"/>
        </w:rPr>
        <w:t>a</w:t>
      </w:r>
      <w:r w:rsidR="00F120F8" w:rsidRPr="00C5148E">
        <w:rPr>
          <w:rFonts w:ascii="Tahoma" w:eastAsia="Times New Roman" w:hAnsi="Tahoma" w:cs="Tahoma"/>
          <w:sz w:val="24"/>
          <w:szCs w:val="24"/>
          <w:lang w:val="en-ZW"/>
        </w:rPr>
        <w:t xml:space="preserve">luminium, copper, nickel, gold, soyabeans and wheat </w:t>
      </w:r>
      <w:r w:rsidRPr="00C5148E">
        <w:rPr>
          <w:rFonts w:ascii="Tahoma" w:eastAsia="Times New Roman" w:hAnsi="Tahoma" w:cs="Tahoma"/>
          <w:sz w:val="24"/>
          <w:szCs w:val="24"/>
          <w:lang w:val="en-ZW"/>
        </w:rPr>
        <w:t xml:space="preserve">registered </w:t>
      </w:r>
      <w:r w:rsidR="00F120F8">
        <w:rPr>
          <w:rFonts w:ascii="Tahoma" w:eastAsia="Times New Roman" w:hAnsi="Tahoma" w:cs="Tahoma"/>
          <w:sz w:val="24"/>
          <w:szCs w:val="24"/>
          <w:lang w:val="en-ZW"/>
        </w:rPr>
        <w:t>an increase</w:t>
      </w:r>
      <w:r w:rsidRPr="00C5148E">
        <w:rPr>
          <w:rFonts w:ascii="Tahoma" w:eastAsia="Times New Roman" w:hAnsi="Tahoma" w:cs="Tahoma"/>
          <w:sz w:val="24"/>
          <w:szCs w:val="24"/>
          <w:lang w:val="en-ZW"/>
        </w:rPr>
        <w:t xml:space="preserve"> while crude oil, cotton and corn registered a </w:t>
      </w:r>
      <w:r w:rsidR="00F120F8">
        <w:rPr>
          <w:rFonts w:ascii="Tahoma" w:eastAsia="Times New Roman" w:hAnsi="Tahoma" w:cs="Tahoma"/>
          <w:sz w:val="24"/>
          <w:szCs w:val="24"/>
          <w:lang w:val="en-ZW"/>
        </w:rPr>
        <w:t>decline</w:t>
      </w:r>
      <w:r w:rsidRPr="00C5148E">
        <w:rPr>
          <w:rFonts w:ascii="Tahoma" w:eastAsia="Times New Roman" w:hAnsi="Tahoma" w:cs="Tahoma"/>
          <w:sz w:val="24"/>
          <w:szCs w:val="24"/>
          <w:lang w:val="en-ZW"/>
        </w:rPr>
        <w:t xml:space="preserve"> in May 2024</w:t>
      </w:r>
      <w:bookmarkEnd w:id="3"/>
      <w:r w:rsidRPr="00C5148E">
        <w:rPr>
          <w:rFonts w:ascii="Tahoma" w:eastAsia="Times New Roman" w:hAnsi="Tahoma" w:cs="Tahoma"/>
          <w:sz w:val="24"/>
          <w:szCs w:val="24"/>
          <w:lang w:val="en-ZW"/>
        </w:rPr>
        <w:t xml:space="preserve">. </w:t>
      </w:r>
    </w:p>
    <w:p w14:paraId="7CCCC342" w14:textId="3D9356C5" w:rsidR="00F4237D" w:rsidRPr="00C5148E" w:rsidRDefault="00F4237D" w:rsidP="00DD595D">
      <w:pPr>
        <w:jc w:val="both"/>
        <w:rPr>
          <w:rFonts w:ascii="Tahoma" w:eastAsia="Times New Roman" w:hAnsi="Tahoma" w:cs="Tahoma"/>
          <w:sz w:val="24"/>
          <w:szCs w:val="24"/>
          <w:lang w:val="en-ZW"/>
        </w:rPr>
      </w:pPr>
      <w:bookmarkStart w:id="4" w:name="_Hlk169606847"/>
      <w:r w:rsidRPr="00C5148E">
        <w:rPr>
          <w:rFonts w:ascii="Tahoma" w:eastAsia="Times New Roman" w:hAnsi="Tahoma" w:cs="Tahoma"/>
          <w:sz w:val="24"/>
          <w:szCs w:val="24"/>
          <w:lang w:val="en-ZW"/>
        </w:rPr>
        <w:t>By the time of compiling this report,</w:t>
      </w:r>
      <w:r w:rsidR="00F120F8">
        <w:rPr>
          <w:rFonts w:ascii="Tahoma" w:eastAsia="Times New Roman" w:hAnsi="Tahoma" w:cs="Tahoma"/>
          <w:sz w:val="24"/>
          <w:szCs w:val="24"/>
          <w:lang w:val="en-ZW"/>
        </w:rPr>
        <w:t xml:space="preserve"> the Zimbabwe National Statistical Agency (</w:t>
      </w:r>
      <w:r w:rsidRPr="00C5148E">
        <w:rPr>
          <w:rFonts w:ascii="Tahoma" w:eastAsia="Times New Roman" w:hAnsi="Tahoma" w:cs="Tahoma"/>
          <w:sz w:val="24"/>
          <w:szCs w:val="24"/>
          <w:lang w:val="en-ZW"/>
        </w:rPr>
        <w:t>ZimStat</w:t>
      </w:r>
      <w:r w:rsidR="00F120F8">
        <w:rPr>
          <w:rFonts w:ascii="Tahoma" w:eastAsia="Times New Roman" w:hAnsi="Tahoma" w:cs="Tahoma"/>
          <w:sz w:val="24"/>
          <w:szCs w:val="24"/>
          <w:lang w:val="en-ZW"/>
        </w:rPr>
        <w:t>)</w:t>
      </w:r>
      <w:r w:rsidRPr="00C5148E">
        <w:rPr>
          <w:rFonts w:ascii="Tahoma" w:eastAsia="Times New Roman" w:hAnsi="Tahoma" w:cs="Tahoma"/>
          <w:sz w:val="24"/>
          <w:szCs w:val="24"/>
          <w:lang w:val="en-ZW"/>
        </w:rPr>
        <w:t xml:space="preserve"> had not published the merchandise trade data for the month of May 2024, thus the </w:t>
      </w:r>
      <w:r w:rsidR="005320DB">
        <w:rPr>
          <w:rFonts w:ascii="Tahoma" w:eastAsia="Times New Roman" w:hAnsi="Tahoma" w:cs="Tahoma"/>
          <w:sz w:val="24"/>
          <w:szCs w:val="24"/>
          <w:lang w:val="en-ZW"/>
        </w:rPr>
        <w:t>analysis</w:t>
      </w:r>
      <w:r w:rsidR="00F120F8">
        <w:rPr>
          <w:rFonts w:ascii="Tahoma" w:eastAsia="Times New Roman" w:hAnsi="Tahoma" w:cs="Tahoma"/>
          <w:sz w:val="24"/>
          <w:szCs w:val="24"/>
          <w:lang w:val="en-ZW"/>
        </w:rPr>
        <w:t xml:space="preserve"> for merchandise trade remains unchange</w:t>
      </w:r>
      <w:r w:rsidR="005320DB">
        <w:rPr>
          <w:rFonts w:ascii="Tahoma" w:eastAsia="Times New Roman" w:hAnsi="Tahoma" w:cs="Tahoma"/>
          <w:sz w:val="24"/>
          <w:szCs w:val="24"/>
          <w:lang w:val="en-ZW"/>
        </w:rPr>
        <w:t>d</w:t>
      </w:r>
      <w:r w:rsidR="00F120F8">
        <w:rPr>
          <w:rFonts w:ascii="Tahoma" w:eastAsia="Times New Roman" w:hAnsi="Tahoma" w:cs="Tahoma"/>
          <w:sz w:val="24"/>
          <w:szCs w:val="24"/>
          <w:lang w:val="en-ZW"/>
        </w:rPr>
        <w:t xml:space="preserve"> from the </w:t>
      </w:r>
      <w:r w:rsidR="005320DB">
        <w:rPr>
          <w:rFonts w:ascii="Tahoma" w:eastAsia="Times New Roman" w:hAnsi="Tahoma" w:cs="Tahoma"/>
          <w:sz w:val="24"/>
          <w:szCs w:val="24"/>
          <w:lang w:val="en-ZW"/>
        </w:rPr>
        <w:t>April</w:t>
      </w:r>
      <w:r w:rsidRPr="00C5148E">
        <w:rPr>
          <w:rFonts w:ascii="Tahoma" w:eastAsia="Times New Roman" w:hAnsi="Tahoma" w:cs="Tahoma"/>
          <w:sz w:val="24"/>
          <w:szCs w:val="24"/>
          <w:lang w:val="en-ZW"/>
        </w:rPr>
        <w:t xml:space="preserve"> 2024</w:t>
      </w:r>
      <w:r w:rsidR="005320DB">
        <w:rPr>
          <w:rFonts w:ascii="Tahoma" w:eastAsia="Times New Roman" w:hAnsi="Tahoma" w:cs="Tahoma"/>
          <w:sz w:val="24"/>
          <w:szCs w:val="24"/>
          <w:lang w:val="en-ZW"/>
        </w:rPr>
        <w:t xml:space="preserve"> Economic Bulletin</w:t>
      </w:r>
      <w:r w:rsidRPr="00C5148E">
        <w:rPr>
          <w:rFonts w:ascii="Tahoma" w:eastAsia="Times New Roman" w:hAnsi="Tahoma" w:cs="Tahoma"/>
          <w:sz w:val="24"/>
          <w:szCs w:val="24"/>
          <w:lang w:val="en-ZW"/>
        </w:rPr>
        <w:t xml:space="preserve">. </w:t>
      </w:r>
      <w:bookmarkEnd w:id="4"/>
    </w:p>
    <w:p w14:paraId="4FD69955" w14:textId="5874A113" w:rsidR="005320DB" w:rsidRDefault="005320DB" w:rsidP="0097453E">
      <w:pPr>
        <w:jc w:val="both"/>
        <w:rPr>
          <w:rFonts w:ascii="Tahoma" w:eastAsia="Times New Roman" w:hAnsi="Tahoma" w:cs="Tahoma"/>
          <w:sz w:val="24"/>
          <w:szCs w:val="24"/>
          <w:lang w:val="en-ZW"/>
        </w:rPr>
      </w:pPr>
      <w:r>
        <w:rPr>
          <w:rFonts w:ascii="Tahoma" w:eastAsia="Times New Roman" w:hAnsi="Tahoma" w:cs="Tahoma"/>
          <w:sz w:val="24"/>
          <w:szCs w:val="24"/>
          <w:lang w:val="en-ZW"/>
        </w:rPr>
        <w:t>Meanwhile, the Zimbabwe Gold</w:t>
      </w:r>
      <w:r w:rsidR="00F4237D" w:rsidRPr="00C5148E">
        <w:rPr>
          <w:rFonts w:ascii="Tahoma" w:eastAsia="Times New Roman" w:hAnsi="Tahoma" w:cs="Tahoma"/>
          <w:sz w:val="24"/>
          <w:szCs w:val="24"/>
          <w:lang w:val="en-ZW"/>
        </w:rPr>
        <w:t xml:space="preserve"> (ZiG) appreciated by 0.84% and 1.35% against the USD and ZAR respectively </w:t>
      </w:r>
      <w:proofErr w:type="gramStart"/>
      <w:r w:rsidR="00F4237D" w:rsidRPr="00C5148E">
        <w:rPr>
          <w:rFonts w:ascii="Tahoma" w:eastAsia="Times New Roman" w:hAnsi="Tahoma" w:cs="Tahoma"/>
          <w:sz w:val="24"/>
          <w:szCs w:val="24"/>
          <w:lang w:val="en-ZW"/>
        </w:rPr>
        <w:t>on a monthly basis</w:t>
      </w:r>
      <w:proofErr w:type="gramEnd"/>
      <w:r w:rsidR="00F4237D" w:rsidRPr="00C5148E">
        <w:rPr>
          <w:rFonts w:ascii="Tahoma" w:eastAsia="Times New Roman" w:hAnsi="Tahoma" w:cs="Tahoma"/>
          <w:sz w:val="24"/>
          <w:szCs w:val="24"/>
          <w:lang w:val="en-ZW"/>
        </w:rPr>
        <w:t>, however ZiG depreciated by 0.63% against GBP and by 0.26</w:t>
      </w:r>
      <w:r>
        <w:rPr>
          <w:rFonts w:ascii="Tahoma" w:eastAsia="Times New Roman" w:hAnsi="Tahoma" w:cs="Tahoma"/>
          <w:sz w:val="24"/>
          <w:szCs w:val="24"/>
          <w:lang w:val="en-ZW"/>
        </w:rPr>
        <w:t>%</w:t>
      </w:r>
      <w:r w:rsidR="00F4237D" w:rsidRPr="00C5148E">
        <w:rPr>
          <w:rFonts w:ascii="Tahoma" w:eastAsia="Times New Roman" w:hAnsi="Tahoma" w:cs="Tahoma"/>
          <w:sz w:val="24"/>
          <w:szCs w:val="24"/>
          <w:lang w:val="en-ZW"/>
        </w:rPr>
        <w:t xml:space="preserve"> against the EUR. On Year-to-date </w:t>
      </w:r>
      <w:r>
        <w:rPr>
          <w:rFonts w:ascii="Tahoma" w:eastAsia="Times New Roman" w:hAnsi="Tahoma" w:cs="Tahoma"/>
          <w:sz w:val="24"/>
          <w:szCs w:val="24"/>
          <w:lang w:val="en-ZW"/>
        </w:rPr>
        <w:t xml:space="preserve">(YtD) basis </w:t>
      </w:r>
      <w:r w:rsidR="00F4237D" w:rsidRPr="00C5148E">
        <w:rPr>
          <w:rFonts w:ascii="Tahoma" w:eastAsia="Times New Roman" w:hAnsi="Tahoma" w:cs="Tahoma"/>
          <w:sz w:val="24"/>
          <w:szCs w:val="24"/>
          <w:lang w:val="en-ZW"/>
        </w:rPr>
        <w:t xml:space="preserve">and Year-on-year </w:t>
      </w:r>
      <w:r>
        <w:rPr>
          <w:rFonts w:ascii="Tahoma" w:eastAsia="Times New Roman" w:hAnsi="Tahoma" w:cs="Tahoma"/>
          <w:sz w:val="24"/>
          <w:szCs w:val="24"/>
          <w:lang w:val="en-ZW"/>
        </w:rPr>
        <w:t xml:space="preserve">(YoY) </w:t>
      </w:r>
      <w:r w:rsidR="00F4237D" w:rsidRPr="00C5148E">
        <w:rPr>
          <w:rFonts w:ascii="Tahoma" w:eastAsia="Times New Roman" w:hAnsi="Tahoma" w:cs="Tahoma"/>
          <w:sz w:val="24"/>
          <w:szCs w:val="24"/>
          <w:lang w:val="en-ZW"/>
        </w:rPr>
        <w:t>basis</w:t>
      </w:r>
      <w:r>
        <w:rPr>
          <w:rFonts w:ascii="Tahoma" w:eastAsia="Times New Roman" w:hAnsi="Tahoma" w:cs="Tahoma"/>
          <w:sz w:val="24"/>
          <w:szCs w:val="24"/>
          <w:lang w:val="en-ZW"/>
        </w:rPr>
        <w:t>,</w:t>
      </w:r>
      <w:r w:rsidR="00F4237D" w:rsidRPr="00C5148E">
        <w:rPr>
          <w:rFonts w:ascii="Tahoma" w:eastAsia="Times New Roman" w:hAnsi="Tahoma" w:cs="Tahoma"/>
          <w:sz w:val="24"/>
          <w:szCs w:val="24"/>
          <w:lang w:val="en-ZW"/>
        </w:rPr>
        <w:t xml:space="preserve"> the ZiG lost value against all major currencies. </w:t>
      </w:r>
    </w:p>
    <w:p w14:paraId="566BBB7A" w14:textId="75AC302B" w:rsidR="00F4237D" w:rsidRPr="00C5148E" w:rsidRDefault="005320DB" w:rsidP="00DD595D">
      <w:pPr>
        <w:jc w:val="both"/>
        <w:rPr>
          <w:rFonts w:ascii="Tahoma" w:eastAsia="Times New Roman" w:hAnsi="Tahoma" w:cs="Tahoma"/>
          <w:sz w:val="24"/>
          <w:szCs w:val="24"/>
          <w:lang w:val="en-ZW"/>
        </w:rPr>
      </w:pPr>
      <w:r>
        <w:rPr>
          <w:rFonts w:ascii="Tahoma" w:eastAsia="Times New Roman" w:hAnsi="Tahoma" w:cs="Tahoma"/>
          <w:sz w:val="24"/>
          <w:szCs w:val="24"/>
          <w:lang w:val="en-ZW"/>
        </w:rPr>
        <w:t xml:space="preserve">Regarding cross rates developments, </w:t>
      </w:r>
      <w:r w:rsidRPr="00DD595D">
        <w:rPr>
          <w:rFonts w:ascii="Tahoma" w:eastAsia="Times New Roman" w:hAnsi="Tahoma" w:cs="Tahoma"/>
          <w:sz w:val="24"/>
          <w:szCs w:val="24"/>
          <w:lang w:val="en-ZW"/>
        </w:rPr>
        <w:t>o</w:t>
      </w:r>
      <w:r w:rsidR="00F4237D" w:rsidRPr="005320DB">
        <w:rPr>
          <w:rFonts w:ascii="Tahoma" w:eastAsia="Times New Roman" w:hAnsi="Tahoma" w:cs="Tahoma"/>
          <w:sz w:val="24"/>
          <w:szCs w:val="24"/>
          <w:lang w:val="en-ZW"/>
        </w:rPr>
        <w:t>n</w:t>
      </w:r>
      <w:r w:rsidRPr="00DD595D">
        <w:rPr>
          <w:rFonts w:ascii="Tahoma" w:eastAsia="Times New Roman" w:hAnsi="Tahoma" w:cs="Tahoma"/>
          <w:sz w:val="24"/>
          <w:szCs w:val="24"/>
          <w:lang w:val="en-ZW"/>
        </w:rPr>
        <w:t xml:space="preserve"> a</w:t>
      </w:r>
      <w:r w:rsidR="00F4237D" w:rsidRPr="005320DB">
        <w:rPr>
          <w:rFonts w:ascii="Tahoma" w:eastAsia="Times New Roman" w:hAnsi="Tahoma" w:cs="Tahoma"/>
          <w:sz w:val="24"/>
          <w:szCs w:val="24"/>
          <w:lang w:val="en-ZW"/>
        </w:rPr>
        <w:t xml:space="preserve"> </w:t>
      </w:r>
      <w:r>
        <w:rPr>
          <w:rFonts w:ascii="Tahoma" w:eastAsia="Times New Roman" w:hAnsi="Tahoma" w:cs="Tahoma"/>
          <w:sz w:val="24"/>
          <w:szCs w:val="24"/>
          <w:lang w:val="en-ZW"/>
        </w:rPr>
        <w:t>m</w:t>
      </w:r>
      <w:r w:rsidR="00F4237D" w:rsidRPr="005320DB">
        <w:rPr>
          <w:rFonts w:ascii="Tahoma" w:eastAsia="Times New Roman" w:hAnsi="Tahoma" w:cs="Tahoma"/>
          <w:sz w:val="24"/>
          <w:szCs w:val="24"/>
          <w:lang w:val="en-ZW"/>
        </w:rPr>
        <w:t>onth-on-month</w:t>
      </w:r>
      <w:r>
        <w:rPr>
          <w:rFonts w:ascii="Tahoma" w:eastAsia="Times New Roman" w:hAnsi="Tahoma" w:cs="Tahoma"/>
          <w:sz w:val="24"/>
          <w:szCs w:val="24"/>
          <w:lang w:val="en-ZW"/>
        </w:rPr>
        <w:t xml:space="preserve"> (MoM)</w:t>
      </w:r>
      <w:r w:rsidR="00F4237D" w:rsidRPr="005320DB">
        <w:rPr>
          <w:rFonts w:ascii="Tahoma" w:eastAsia="Times New Roman" w:hAnsi="Tahoma" w:cs="Tahoma"/>
          <w:sz w:val="24"/>
          <w:szCs w:val="24"/>
          <w:lang w:val="en-ZW"/>
        </w:rPr>
        <w:t xml:space="preserve"> basis, the USD lost value against the GBP and EUR by 1.45% and 1.10%</w:t>
      </w:r>
      <w:r>
        <w:rPr>
          <w:rFonts w:ascii="Tahoma" w:eastAsia="Times New Roman" w:hAnsi="Tahoma" w:cs="Tahoma"/>
          <w:sz w:val="24"/>
          <w:szCs w:val="24"/>
          <w:lang w:val="en-ZW"/>
        </w:rPr>
        <w:t>,</w:t>
      </w:r>
      <w:r w:rsidR="00F4237D" w:rsidRPr="005320DB">
        <w:rPr>
          <w:rFonts w:ascii="Tahoma" w:eastAsia="Times New Roman" w:hAnsi="Tahoma" w:cs="Tahoma"/>
          <w:sz w:val="24"/>
          <w:szCs w:val="24"/>
          <w:lang w:val="en-ZW"/>
        </w:rPr>
        <w:t xml:space="preserve"> respectively however, the USD appreciated against the ZAR by 0.50%.</w:t>
      </w:r>
    </w:p>
    <w:p w14:paraId="7E0424F0" w14:textId="5560985F" w:rsidR="00F4237D" w:rsidRPr="00DD595D" w:rsidRDefault="005320DB" w:rsidP="00DD595D">
      <w:pPr>
        <w:jc w:val="both"/>
        <w:rPr>
          <w:rFonts w:ascii="Tahoma" w:eastAsia="Times New Roman" w:hAnsi="Tahoma" w:cs="Tahoma"/>
          <w:sz w:val="24"/>
          <w:szCs w:val="24"/>
        </w:rPr>
      </w:pPr>
      <w:r>
        <w:rPr>
          <w:rFonts w:ascii="Tahoma" w:eastAsia="Times New Roman" w:hAnsi="Tahoma" w:cs="Tahoma"/>
          <w:sz w:val="24"/>
          <w:szCs w:val="24"/>
          <w:lang w:val="en-ZW"/>
        </w:rPr>
        <w:t>In terms of inflation, during the period under review</w:t>
      </w:r>
      <w:r w:rsidR="00F4237D" w:rsidRPr="00C5148E">
        <w:rPr>
          <w:rFonts w:ascii="Tahoma" w:eastAsia="Times New Roman" w:hAnsi="Tahoma" w:cs="Tahoma"/>
          <w:sz w:val="24"/>
          <w:szCs w:val="24"/>
          <w:lang w:val="en-ZW"/>
        </w:rPr>
        <w:t xml:space="preserve">, the economy </w:t>
      </w:r>
      <w:proofErr w:type="gramStart"/>
      <w:r>
        <w:rPr>
          <w:rFonts w:ascii="Tahoma" w:eastAsia="Times New Roman" w:hAnsi="Tahoma" w:cs="Tahoma"/>
          <w:sz w:val="24"/>
          <w:szCs w:val="24"/>
          <w:lang w:val="en-ZW"/>
        </w:rPr>
        <w:t>entered into</w:t>
      </w:r>
      <w:proofErr w:type="gramEnd"/>
      <w:r w:rsidR="00F4237D" w:rsidRPr="00C5148E">
        <w:rPr>
          <w:rFonts w:ascii="Tahoma" w:eastAsia="Times New Roman" w:hAnsi="Tahoma" w:cs="Tahoma"/>
          <w:sz w:val="24"/>
          <w:szCs w:val="24"/>
          <w:lang w:val="en-ZW"/>
        </w:rPr>
        <w:t xml:space="preserve"> </w:t>
      </w:r>
      <w:r>
        <w:rPr>
          <w:rFonts w:ascii="Tahoma" w:eastAsia="Times New Roman" w:hAnsi="Tahoma" w:cs="Tahoma"/>
          <w:sz w:val="24"/>
          <w:szCs w:val="24"/>
          <w:lang w:val="en-ZW"/>
        </w:rPr>
        <w:t xml:space="preserve">a </w:t>
      </w:r>
      <w:r w:rsidR="00F4237D" w:rsidRPr="00C5148E">
        <w:rPr>
          <w:rFonts w:ascii="Tahoma" w:eastAsia="Times New Roman" w:hAnsi="Tahoma" w:cs="Tahoma"/>
          <w:sz w:val="24"/>
          <w:szCs w:val="24"/>
          <w:lang w:val="en-ZW"/>
        </w:rPr>
        <w:t xml:space="preserve">deflation </w:t>
      </w:r>
      <w:r>
        <w:rPr>
          <w:rFonts w:ascii="Tahoma" w:eastAsia="Times New Roman" w:hAnsi="Tahoma" w:cs="Tahoma"/>
          <w:sz w:val="24"/>
          <w:szCs w:val="24"/>
          <w:lang w:val="en-ZW"/>
        </w:rPr>
        <w:t xml:space="preserve">mode with an inflation rate </w:t>
      </w:r>
      <w:r w:rsidR="00F4237D" w:rsidRPr="00C5148E">
        <w:rPr>
          <w:rFonts w:ascii="Tahoma" w:eastAsia="Times New Roman" w:hAnsi="Tahoma" w:cs="Tahoma"/>
          <w:sz w:val="24"/>
          <w:szCs w:val="24"/>
          <w:lang w:val="en-ZW"/>
        </w:rPr>
        <w:t xml:space="preserve">of -0.6% </w:t>
      </w:r>
      <w:r>
        <w:rPr>
          <w:rFonts w:ascii="Tahoma" w:eastAsia="Times New Roman" w:hAnsi="Tahoma" w:cs="Tahoma"/>
          <w:sz w:val="24"/>
          <w:szCs w:val="24"/>
          <w:lang w:val="en-ZW"/>
        </w:rPr>
        <w:t xml:space="preserve">from </w:t>
      </w:r>
      <w:r w:rsidR="00F4237D" w:rsidRPr="00C5148E">
        <w:rPr>
          <w:rFonts w:ascii="Tahoma" w:eastAsia="Times New Roman" w:hAnsi="Tahoma" w:cs="Tahoma"/>
          <w:sz w:val="24"/>
          <w:szCs w:val="24"/>
          <w:lang w:val="en-ZW"/>
        </w:rPr>
        <w:t xml:space="preserve">2.94% </w:t>
      </w:r>
      <w:r>
        <w:rPr>
          <w:rFonts w:ascii="Tahoma" w:eastAsia="Times New Roman" w:hAnsi="Tahoma" w:cs="Tahoma"/>
          <w:sz w:val="24"/>
          <w:szCs w:val="24"/>
          <w:lang w:val="en-ZW"/>
        </w:rPr>
        <w:t xml:space="preserve">registered </w:t>
      </w:r>
      <w:r w:rsidR="00F4237D" w:rsidRPr="00C5148E">
        <w:rPr>
          <w:rFonts w:ascii="Tahoma" w:eastAsia="Times New Roman" w:hAnsi="Tahoma" w:cs="Tahoma"/>
          <w:sz w:val="24"/>
          <w:szCs w:val="24"/>
          <w:lang w:val="en-ZW"/>
        </w:rPr>
        <w:t>in April 2024.</w:t>
      </w:r>
      <w:r w:rsidR="0081305A">
        <w:rPr>
          <w:rFonts w:ascii="Tahoma" w:eastAsia="Times New Roman" w:hAnsi="Tahoma" w:cs="Tahoma"/>
          <w:sz w:val="24"/>
          <w:szCs w:val="24"/>
          <w:lang w:val="en-ZW"/>
        </w:rPr>
        <w:t xml:space="preserve"> </w:t>
      </w:r>
      <w:r w:rsidR="0081305A" w:rsidRPr="0081305A">
        <w:rPr>
          <w:rFonts w:ascii="Tahoma" w:eastAsia="Times New Roman" w:hAnsi="Tahoma" w:cs="Tahoma"/>
          <w:sz w:val="24"/>
          <w:szCs w:val="24"/>
        </w:rPr>
        <w:t>The sharp decline in monthly inflation reflects continues tight monetary stance taken by the Reserve Bank of Zimbabwe (RBZ) since the introduction of the new monetary policy measures on the 5</w:t>
      </w:r>
      <w:r w:rsidR="0081305A" w:rsidRPr="0081305A">
        <w:rPr>
          <w:rFonts w:ascii="Tahoma" w:eastAsia="Times New Roman" w:hAnsi="Tahoma" w:cs="Tahoma"/>
          <w:sz w:val="24"/>
          <w:szCs w:val="24"/>
          <w:vertAlign w:val="superscript"/>
        </w:rPr>
        <w:t>th</w:t>
      </w:r>
      <w:r w:rsidR="0081305A" w:rsidRPr="0081305A">
        <w:rPr>
          <w:rFonts w:ascii="Tahoma" w:eastAsia="Times New Roman" w:hAnsi="Tahoma" w:cs="Tahoma"/>
          <w:sz w:val="24"/>
          <w:szCs w:val="24"/>
        </w:rPr>
        <w:t xml:space="preserve"> of April 2024.</w:t>
      </w:r>
      <w:r w:rsidR="0081305A">
        <w:rPr>
          <w:rFonts w:ascii="Tahoma" w:eastAsia="Times New Roman" w:hAnsi="Tahoma" w:cs="Tahoma"/>
          <w:sz w:val="24"/>
          <w:szCs w:val="24"/>
        </w:rPr>
        <w:t xml:space="preserve"> </w:t>
      </w:r>
      <w:r w:rsidR="00F4237D" w:rsidRPr="00C5148E">
        <w:rPr>
          <w:rFonts w:ascii="Tahoma" w:eastAsia="Times New Roman" w:hAnsi="Tahoma" w:cs="Tahoma"/>
          <w:sz w:val="24"/>
          <w:szCs w:val="24"/>
          <w:lang w:val="en-ZW"/>
        </w:rPr>
        <w:t xml:space="preserve">The main inflation drivers in </w:t>
      </w:r>
      <w:r>
        <w:rPr>
          <w:rFonts w:ascii="Tahoma" w:eastAsia="Times New Roman" w:hAnsi="Tahoma" w:cs="Tahoma"/>
          <w:sz w:val="24"/>
          <w:szCs w:val="24"/>
          <w:lang w:val="en-ZW"/>
        </w:rPr>
        <w:t xml:space="preserve">the month of </w:t>
      </w:r>
      <w:r w:rsidR="00F4237D" w:rsidRPr="00C5148E">
        <w:rPr>
          <w:rFonts w:ascii="Tahoma" w:eastAsia="Times New Roman" w:hAnsi="Tahoma" w:cs="Tahoma"/>
          <w:sz w:val="24"/>
          <w:szCs w:val="24"/>
          <w:lang w:val="en-ZW"/>
        </w:rPr>
        <w:t>May 2024 are food and non-alcoholic beverages contributing a weight of 31.30 and housing, water, electricity, gas and other fuels with a weight of 27.62.</w:t>
      </w:r>
    </w:p>
    <w:p w14:paraId="000A016E" w14:textId="1F8A5BF3" w:rsidR="00F4237D" w:rsidRPr="00C5148E" w:rsidRDefault="00F4237D" w:rsidP="00DD595D">
      <w:pPr>
        <w:jc w:val="both"/>
        <w:rPr>
          <w:rFonts w:ascii="Tahoma" w:eastAsia="Times New Roman" w:hAnsi="Tahoma" w:cs="Tahoma"/>
          <w:kern w:val="0"/>
          <w:sz w:val="24"/>
          <w:szCs w:val="24"/>
          <w:lang w:val="en-ZW" w:eastAsia="en-ZW"/>
        </w:rPr>
      </w:pPr>
      <w:bookmarkStart w:id="5" w:name="_Hlk169608095"/>
      <w:r w:rsidRPr="00C5148E">
        <w:rPr>
          <w:rFonts w:ascii="Tahoma" w:eastAsia="Times New Roman" w:hAnsi="Tahoma" w:cs="Tahoma"/>
          <w:kern w:val="0"/>
          <w:sz w:val="24"/>
          <w:szCs w:val="24"/>
          <w:lang w:val="en-ZW" w:eastAsia="en-ZW"/>
        </w:rPr>
        <w:t>The RBZ had not yet published data on M3</w:t>
      </w:r>
      <w:r w:rsidR="005320DB">
        <w:rPr>
          <w:rFonts w:ascii="Tahoma" w:eastAsia="Times New Roman" w:hAnsi="Tahoma" w:cs="Tahoma"/>
          <w:kern w:val="0"/>
          <w:sz w:val="24"/>
          <w:szCs w:val="24"/>
          <w:lang w:val="en-ZW" w:eastAsia="en-ZW"/>
        </w:rPr>
        <w:t xml:space="preserve"> and interest rates</w:t>
      </w:r>
      <w:r w:rsidRPr="00C5148E">
        <w:rPr>
          <w:rFonts w:ascii="Tahoma" w:eastAsia="Times New Roman" w:hAnsi="Tahoma" w:cs="Tahoma"/>
          <w:kern w:val="0"/>
          <w:sz w:val="24"/>
          <w:szCs w:val="24"/>
          <w:lang w:val="en-ZW" w:eastAsia="en-ZW"/>
        </w:rPr>
        <w:t xml:space="preserve"> for May 2024 when the </w:t>
      </w:r>
      <w:r w:rsidR="005320DB">
        <w:rPr>
          <w:rFonts w:ascii="Tahoma" w:eastAsia="Times New Roman" w:hAnsi="Tahoma" w:cs="Tahoma"/>
          <w:kern w:val="0"/>
          <w:sz w:val="24"/>
          <w:szCs w:val="24"/>
          <w:lang w:val="en-ZW" w:eastAsia="en-ZW"/>
        </w:rPr>
        <w:t>bulletin</w:t>
      </w:r>
      <w:r w:rsidR="005320DB" w:rsidRPr="00C5148E">
        <w:rPr>
          <w:rFonts w:ascii="Tahoma" w:eastAsia="Times New Roman" w:hAnsi="Tahoma" w:cs="Tahoma"/>
          <w:kern w:val="0"/>
          <w:sz w:val="24"/>
          <w:szCs w:val="24"/>
          <w:lang w:val="en-ZW" w:eastAsia="en-ZW"/>
        </w:rPr>
        <w:t xml:space="preserve"> </w:t>
      </w:r>
      <w:r w:rsidRPr="00C5148E">
        <w:rPr>
          <w:rFonts w:ascii="Tahoma" w:eastAsia="Times New Roman" w:hAnsi="Tahoma" w:cs="Tahoma"/>
          <w:kern w:val="0"/>
          <w:sz w:val="24"/>
          <w:szCs w:val="24"/>
          <w:lang w:val="en-ZW" w:eastAsia="en-ZW"/>
        </w:rPr>
        <w:t xml:space="preserve">was compiled, thus the analysis </w:t>
      </w:r>
      <w:r w:rsidR="005320DB">
        <w:rPr>
          <w:rFonts w:ascii="Tahoma" w:eastAsia="Times New Roman" w:hAnsi="Tahoma" w:cs="Tahoma"/>
          <w:kern w:val="0"/>
          <w:sz w:val="24"/>
          <w:szCs w:val="24"/>
          <w:lang w:val="en-ZW" w:eastAsia="en-ZW"/>
        </w:rPr>
        <w:t xml:space="preserve">remains unchanged from the April 2024 Economic Bulletin. </w:t>
      </w:r>
    </w:p>
    <w:bookmarkEnd w:id="5"/>
    <w:p w14:paraId="4C96E46F" w14:textId="12EC87AA" w:rsidR="007440DF" w:rsidRDefault="005320DB" w:rsidP="005320DB">
      <w:pPr>
        <w:jc w:val="both"/>
        <w:rPr>
          <w:rFonts w:ascii="Tahoma" w:eastAsia="Times New Roman" w:hAnsi="Tahoma" w:cs="Tahoma"/>
          <w:sz w:val="24"/>
          <w:szCs w:val="24"/>
          <w:lang w:val="en-ZW"/>
        </w:rPr>
      </w:pPr>
      <w:r>
        <w:rPr>
          <w:rFonts w:ascii="Tahoma" w:eastAsia="Times New Roman" w:hAnsi="Tahoma" w:cs="Tahoma"/>
          <w:sz w:val="24"/>
          <w:szCs w:val="24"/>
          <w:lang w:val="en-ZW"/>
        </w:rPr>
        <w:t>During the period under review, t</w:t>
      </w:r>
      <w:r w:rsidR="00F4237D" w:rsidRPr="00C5148E">
        <w:rPr>
          <w:rFonts w:ascii="Tahoma" w:eastAsia="Times New Roman" w:hAnsi="Tahoma" w:cs="Tahoma"/>
          <w:sz w:val="24"/>
          <w:szCs w:val="24"/>
          <w:lang w:val="en-ZW"/>
        </w:rPr>
        <w:t>he Zimbabwe Stock Exchange (ZSE) recoded a bullish trend. The All-share index, Top 10 Index and Market Capitalization gained by 2.28%, 5.76% and 2.7%</w:t>
      </w:r>
      <w:r>
        <w:rPr>
          <w:rFonts w:ascii="Tahoma" w:eastAsia="Times New Roman" w:hAnsi="Tahoma" w:cs="Tahoma"/>
          <w:sz w:val="24"/>
          <w:szCs w:val="24"/>
          <w:lang w:val="en-ZW"/>
        </w:rPr>
        <w:t xml:space="preserve">, </w:t>
      </w:r>
      <w:r w:rsidR="00F4237D" w:rsidRPr="00C5148E">
        <w:rPr>
          <w:rFonts w:ascii="Tahoma" w:eastAsia="Times New Roman" w:hAnsi="Tahoma" w:cs="Tahoma"/>
          <w:sz w:val="24"/>
          <w:szCs w:val="24"/>
          <w:lang w:val="en-ZW"/>
        </w:rPr>
        <w:t>respectively</w:t>
      </w:r>
      <w:r>
        <w:rPr>
          <w:rFonts w:ascii="Tahoma" w:eastAsia="Times New Roman" w:hAnsi="Tahoma" w:cs="Tahoma"/>
          <w:sz w:val="24"/>
          <w:szCs w:val="24"/>
          <w:lang w:val="en-ZW"/>
        </w:rPr>
        <w:t xml:space="preserve"> while the </w:t>
      </w:r>
      <w:r w:rsidR="00F4237D" w:rsidRPr="00C5148E">
        <w:rPr>
          <w:rFonts w:ascii="Tahoma" w:eastAsia="Times New Roman" w:hAnsi="Tahoma" w:cs="Tahoma"/>
          <w:sz w:val="24"/>
          <w:szCs w:val="24"/>
          <w:lang w:val="en-ZW"/>
        </w:rPr>
        <w:t xml:space="preserve">Value Traded declined by 62.56%. </w:t>
      </w:r>
      <w:r>
        <w:rPr>
          <w:rFonts w:ascii="Tahoma" w:eastAsia="Times New Roman" w:hAnsi="Tahoma" w:cs="Tahoma"/>
          <w:sz w:val="24"/>
          <w:szCs w:val="24"/>
          <w:lang w:val="en-ZW"/>
        </w:rPr>
        <w:t xml:space="preserve">On the </w:t>
      </w:r>
      <w:r>
        <w:rPr>
          <w:rFonts w:ascii="Tahoma" w:eastAsia="Times New Roman" w:hAnsi="Tahoma" w:cs="Tahoma"/>
          <w:sz w:val="24"/>
          <w:szCs w:val="24"/>
          <w:lang w:val="en-ZW"/>
        </w:rPr>
        <w:lastRenderedPageBreak/>
        <w:t xml:space="preserve">other hand, </w:t>
      </w:r>
      <w:r w:rsidR="00F4237D" w:rsidRPr="00C5148E">
        <w:rPr>
          <w:rFonts w:ascii="Tahoma" w:eastAsia="Times New Roman" w:hAnsi="Tahoma" w:cs="Tahoma"/>
          <w:sz w:val="24"/>
          <w:szCs w:val="24"/>
          <w:lang w:val="en-ZW"/>
        </w:rPr>
        <w:t>the Victoria Falls Stock Exchange (VFEX)</w:t>
      </w:r>
      <w:r>
        <w:rPr>
          <w:rFonts w:ascii="Tahoma" w:eastAsia="Times New Roman" w:hAnsi="Tahoma" w:cs="Tahoma"/>
          <w:sz w:val="24"/>
          <w:szCs w:val="24"/>
          <w:lang w:val="en-ZW"/>
        </w:rPr>
        <w:t xml:space="preserve"> registered a bearish trend</w:t>
      </w:r>
      <w:r w:rsidR="00F4237D" w:rsidRPr="00C5148E">
        <w:rPr>
          <w:rFonts w:ascii="Tahoma" w:eastAsia="Times New Roman" w:hAnsi="Tahoma" w:cs="Tahoma"/>
          <w:sz w:val="24"/>
          <w:szCs w:val="24"/>
          <w:lang w:val="en-ZW"/>
        </w:rPr>
        <w:t xml:space="preserve">. </w:t>
      </w:r>
      <w:r>
        <w:rPr>
          <w:rFonts w:ascii="Tahoma" w:eastAsia="Times New Roman" w:hAnsi="Tahoma" w:cs="Tahoma"/>
          <w:sz w:val="24"/>
          <w:szCs w:val="24"/>
          <w:lang w:val="en-ZW"/>
        </w:rPr>
        <w:t xml:space="preserve">The </w:t>
      </w:r>
      <w:r w:rsidRPr="00C5148E">
        <w:rPr>
          <w:rFonts w:ascii="Tahoma" w:eastAsia="Times New Roman" w:hAnsi="Tahoma" w:cs="Tahoma"/>
          <w:sz w:val="24"/>
          <w:szCs w:val="24"/>
          <w:lang w:val="en-ZW"/>
        </w:rPr>
        <w:t xml:space="preserve">market capitalization </w:t>
      </w:r>
      <w:r>
        <w:rPr>
          <w:rFonts w:ascii="Tahoma" w:eastAsia="Times New Roman" w:hAnsi="Tahoma" w:cs="Tahoma"/>
          <w:sz w:val="24"/>
          <w:szCs w:val="24"/>
          <w:lang w:val="en-ZW"/>
        </w:rPr>
        <w:t xml:space="preserve">and the </w:t>
      </w:r>
      <w:r w:rsidR="00F4237D" w:rsidRPr="00C5148E">
        <w:rPr>
          <w:rFonts w:ascii="Tahoma" w:eastAsia="Times New Roman" w:hAnsi="Tahoma" w:cs="Tahoma"/>
          <w:sz w:val="24"/>
          <w:szCs w:val="24"/>
          <w:lang w:val="en-ZW"/>
        </w:rPr>
        <w:t xml:space="preserve">All-Share Index fell by </w:t>
      </w:r>
      <w:r w:rsidR="00FA6C18" w:rsidRPr="00C5148E">
        <w:rPr>
          <w:rFonts w:ascii="Tahoma" w:eastAsia="Times New Roman" w:hAnsi="Tahoma" w:cs="Tahoma"/>
          <w:sz w:val="24"/>
          <w:szCs w:val="24"/>
          <w:lang w:val="en-ZW"/>
        </w:rPr>
        <w:t>5.01%</w:t>
      </w:r>
      <w:r w:rsidR="00FA6C18">
        <w:rPr>
          <w:rFonts w:ascii="Tahoma" w:eastAsia="Times New Roman" w:hAnsi="Tahoma" w:cs="Tahoma"/>
          <w:sz w:val="24"/>
          <w:szCs w:val="24"/>
          <w:lang w:val="en-ZW"/>
        </w:rPr>
        <w:t xml:space="preserve"> and</w:t>
      </w:r>
      <w:r w:rsidR="00FA6C18" w:rsidRPr="00C5148E">
        <w:rPr>
          <w:rFonts w:ascii="Tahoma" w:eastAsia="Times New Roman" w:hAnsi="Tahoma" w:cs="Tahoma"/>
          <w:sz w:val="24"/>
          <w:szCs w:val="24"/>
          <w:lang w:val="en-ZW"/>
        </w:rPr>
        <w:t xml:space="preserve"> </w:t>
      </w:r>
      <w:r w:rsidR="00F4237D" w:rsidRPr="00C5148E">
        <w:rPr>
          <w:rFonts w:ascii="Tahoma" w:eastAsia="Times New Roman" w:hAnsi="Tahoma" w:cs="Tahoma"/>
          <w:sz w:val="24"/>
          <w:szCs w:val="24"/>
          <w:lang w:val="en-ZW"/>
        </w:rPr>
        <w:t xml:space="preserve">2.35%, </w:t>
      </w:r>
      <w:r w:rsidR="00FA6C18">
        <w:rPr>
          <w:rFonts w:ascii="Tahoma" w:eastAsia="Times New Roman" w:hAnsi="Tahoma" w:cs="Tahoma"/>
          <w:sz w:val="24"/>
          <w:szCs w:val="24"/>
          <w:lang w:val="en-ZW"/>
        </w:rPr>
        <w:t xml:space="preserve">respectively. </w:t>
      </w:r>
    </w:p>
    <w:p w14:paraId="79E44E17" w14:textId="77777777" w:rsidR="007440DF" w:rsidRDefault="007440DF">
      <w:pPr>
        <w:spacing w:after="0" w:line="240" w:lineRule="auto"/>
        <w:rPr>
          <w:rFonts w:ascii="Tahoma" w:eastAsia="Times New Roman" w:hAnsi="Tahoma" w:cs="Tahoma"/>
          <w:sz w:val="24"/>
          <w:szCs w:val="24"/>
          <w:lang w:val="en-ZW"/>
        </w:rPr>
      </w:pPr>
      <w:r>
        <w:rPr>
          <w:rFonts w:ascii="Tahoma" w:eastAsia="Times New Roman" w:hAnsi="Tahoma" w:cs="Tahoma"/>
          <w:sz w:val="24"/>
          <w:szCs w:val="24"/>
          <w:lang w:val="en-ZW"/>
        </w:rPr>
        <w:br w:type="page"/>
      </w:r>
    </w:p>
    <w:p w14:paraId="5AAC7C06" w14:textId="709E67FD" w:rsidR="00D46F37" w:rsidRPr="00DD595D" w:rsidRDefault="00D46F37" w:rsidP="00DD595D">
      <w:pPr>
        <w:rPr>
          <w:rFonts w:cs="Tahoma"/>
          <w:bCs/>
          <w:szCs w:val="24"/>
        </w:rPr>
      </w:pPr>
      <w:r w:rsidRPr="00DD595D">
        <w:rPr>
          <w:rFonts w:ascii="Tahoma" w:hAnsi="Tahoma" w:cs="Tahoma"/>
          <w:b/>
          <w:bCs/>
          <w:sz w:val="24"/>
          <w:szCs w:val="24"/>
        </w:rPr>
        <w:lastRenderedPageBreak/>
        <w:t>Table of Contents</w:t>
      </w:r>
    </w:p>
    <w:p w14:paraId="72339032" w14:textId="21CDE871" w:rsidR="007440DF" w:rsidRPr="00DD595D" w:rsidRDefault="00D46F37">
      <w:pPr>
        <w:pStyle w:val="TOC1"/>
        <w:tabs>
          <w:tab w:val="right" w:leader="dot" w:pos="9016"/>
        </w:tabs>
        <w:rPr>
          <w:rFonts w:ascii="Tahoma" w:eastAsiaTheme="minorEastAsia" w:hAnsi="Tahoma" w:cs="Tahoma"/>
          <w:noProof/>
          <w:sz w:val="24"/>
          <w:szCs w:val="24"/>
          <w:lang w:val="en-ZW" w:eastAsia="en-ZW"/>
          <w14:ligatures w14:val="standardContextual"/>
        </w:rPr>
      </w:pPr>
      <w:r w:rsidRPr="007440DF">
        <w:rPr>
          <w:rFonts w:ascii="Tahoma" w:hAnsi="Tahoma" w:cs="Tahoma"/>
          <w:sz w:val="24"/>
          <w:szCs w:val="24"/>
        </w:rPr>
        <w:fldChar w:fldCharType="begin"/>
      </w:r>
      <w:r w:rsidRPr="007440DF">
        <w:rPr>
          <w:rFonts w:ascii="Tahoma" w:hAnsi="Tahoma" w:cs="Tahoma"/>
          <w:sz w:val="24"/>
          <w:szCs w:val="24"/>
        </w:rPr>
        <w:instrText xml:space="preserve"> TOC \o "1-3" \h \z \u </w:instrText>
      </w:r>
      <w:r w:rsidRPr="007440DF">
        <w:rPr>
          <w:rFonts w:ascii="Tahoma" w:hAnsi="Tahoma" w:cs="Tahoma"/>
          <w:sz w:val="24"/>
          <w:szCs w:val="24"/>
        </w:rPr>
        <w:fldChar w:fldCharType="separate"/>
      </w:r>
      <w:hyperlink w:anchor="_Toc169612893" w:history="1">
        <w:r w:rsidR="007440DF" w:rsidRPr="00DD595D">
          <w:rPr>
            <w:rStyle w:val="Hyperlink"/>
            <w:rFonts w:ascii="Tahoma" w:hAnsi="Tahoma" w:cs="Tahoma"/>
            <w:noProof/>
            <w:sz w:val="24"/>
            <w:szCs w:val="24"/>
          </w:rPr>
          <w:t>Executive Summary</w:t>
        </w:r>
        <w:r w:rsidR="007440DF" w:rsidRPr="00DD595D">
          <w:rPr>
            <w:rFonts w:ascii="Tahoma" w:hAnsi="Tahoma" w:cs="Tahoma"/>
            <w:noProof/>
            <w:webHidden/>
            <w:sz w:val="24"/>
            <w:szCs w:val="24"/>
          </w:rPr>
          <w:tab/>
        </w:r>
        <w:r w:rsidR="007440DF" w:rsidRPr="00DD595D">
          <w:rPr>
            <w:rFonts w:ascii="Tahoma" w:hAnsi="Tahoma" w:cs="Tahoma"/>
            <w:noProof/>
            <w:webHidden/>
            <w:sz w:val="24"/>
            <w:szCs w:val="24"/>
          </w:rPr>
          <w:fldChar w:fldCharType="begin"/>
        </w:r>
        <w:r w:rsidR="007440DF" w:rsidRPr="00DD595D">
          <w:rPr>
            <w:rFonts w:ascii="Tahoma" w:hAnsi="Tahoma" w:cs="Tahoma"/>
            <w:noProof/>
            <w:webHidden/>
            <w:sz w:val="24"/>
            <w:szCs w:val="24"/>
          </w:rPr>
          <w:instrText xml:space="preserve"> PAGEREF _Toc169612893 \h </w:instrText>
        </w:r>
        <w:r w:rsidR="007440DF" w:rsidRPr="00DD595D">
          <w:rPr>
            <w:rFonts w:ascii="Tahoma" w:hAnsi="Tahoma" w:cs="Tahoma"/>
            <w:noProof/>
            <w:webHidden/>
            <w:sz w:val="24"/>
            <w:szCs w:val="24"/>
          </w:rPr>
        </w:r>
        <w:r w:rsidR="007440DF" w:rsidRPr="00DD595D">
          <w:rPr>
            <w:rFonts w:ascii="Tahoma" w:hAnsi="Tahoma" w:cs="Tahoma"/>
            <w:noProof/>
            <w:webHidden/>
            <w:sz w:val="24"/>
            <w:szCs w:val="24"/>
          </w:rPr>
          <w:fldChar w:fldCharType="separate"/>
        </w:r>
        <w:r w:rsidR="007440DF" w:rsidRPr="00DD595D">
          <w:rPr>
            <w:rFonts w:ascii="Tahoma" w:hAnsi="Tahoma" w:cs="Tahoma"/>
            <w:noProof/>
            <w:webHidden/>
            <w:sz w:val="24"/>
            <w:szCs w:val="24"/>
          </w:rPr>
          <w:t>i</w:t>
        </w:r>
        <w:r w:rsidR="007440DF" w:rsidRPr="00DD595D">
          <w:rPr>
            <w:rFonts w:ascii="Tahoma" w:hAnsi="Tahoma" w:cs="Tahoma"/>
            <w:noProof/>
            <w:webHidden/>
            <w:sz w:val="24"/>
            <w:szCs w:val="24"/>
          </w:rPr>
          <w:fldChar w:fldCharType="end"/>
        </w:r>
      </w:hyperlink>
    </w:p>
    <w:p w14:paraId="3F2FD2A3" w14:textId="6BABCB23"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894" w:history="1">
        <w:r w:rsidRPr="00DD595D">
          <w:rPr>
            <w:rStyle w:val="Hyperlink"/>
            <w:rFonts w:ascii="Tahoma" w:hAnsi="Tahoma" w:cs="Tahoma"/>
            <w:noProof/>
            <w:sz w:val="24"/>
            <w:szCs w:val="24"/>
          </w:rPr>
          <w:t>1.0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World Economic Developments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_Toc169612894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1</w:t>
        </w:r>
        <w:r w:rsidRPr="00DD595D">
          <w:rPr>
            <w:rFonts w:ascii="Tahoma" w:hAnsi="Tahoma" w:cs="Tahoma"/>
            <w:noProof/>
            <w:webHidden/>
            <w:sz w:val="24"/>
            <w:szCs w:val="24"/>
          </w:rPr>
          <w:fldChar w:fldCharType="end"/>
        </w:r>
      </w:hyperlink>
    </w:p>
    <w:p w14:paraId="28B09673" w14:textId="1C1DFC11" w:rsidR="007440DF" w:rsidRPr="00DD595D" w:rsidRDefault="007440DF">
      <w:pPr>
        <w:pStyle w:val="TOC2"/>
        <w:rPr>
          <w:rFonts w:eastAsiaTheme="minorEastAsia"/>
          <w:b w:val="0"/>
          <w:lang w:val="en-ZW" w:eastAsia="en-ZW"/>
          <w14:ligatures w14:val="standardContextual"/>
        </w:rPr>
      </w:pPr>
      <w:hyperlink w:anchor="_Toc169612895" w:history="1">
        <w:r w:rsidRPr="00DD595D">
          <w:rPr>
            <w:rStyle w:val="Hyperlink"/>
            <w:b w:val="0"/>
          </w:rPr>
          <w:t>1.1</w:t>
        </w:r>
        <w:r>
          <w:rPr>
            <w:rStyle w:val="Hyperlink"/>
            <w:b w:val="0"/>
          </w:rPr>
          <w:t xml:space="preserve"> </w:t>
        </w:r>
        <w:r w:rsidRPr="00DD595D">
          <w:rPr>
            <w:rStyle w:val="Hyperlink"/>
            <w:b w:val="0"/>
          </w:rPr>
          <w:t>World Growth Prospects</w:t>
        </w:r>
        <w:r w:rsidRPr="00DD595D">
          <w:rPr>
            <w:b w:val="0"/>
            <w:webHidden/>
          </w:rPr>
          <w:tab/>
        </w:r>
        <w:r w:rsidRPr="00DD595D">
          <w:rPr>
            <w:b w:val="0"/>
            <w:webHidden/>
          </w:rPr>
          <w:fldChar w:fldCharType="begin"/>
        </w:r>
        <w:r w:rsidRPr="00DD595D">
          <w:rPr>
            <w:b w:val="0"/>
            <w:webHidden/>
          </w:rPr>
          <w:instrText xml:space="preserve"> PAGEREF _Toc169612895 \h </w:instrText>
        </w:r>
        <w:r w:rsidRPr="00DD595D">
          <w:rPr>
            <w:b w:val="0"/>
            <w:webHidden/>
          </w:rPr>
        </w:r>
        <w:r w:rsidRPr="00DD595D">
          <w:rPr>
            <w:b w:val="0"/>
            <w:webHidden/>
          </w:rPr>
          <w:fldChar w:fldCharType="separate"/>
        </w:r>
        <w:r w:rsidRPr="00DD595D">
          <w:rPr>
            <w:b w:val="0"/>
            <w:webHidden/>
          </w:rPr>
          <w:t>1</w:t>
        </w:r>
        <w:r w:rsidRPr="00DD595D">
          <w:rPr>
            <w:b w:val="0"/>
            <w:webHidden/>
          </w:rPr>
          <w:fldChar w:fldCharType="end"/>
        </w:r>
      </w:hyperlink>
    </w:p>
    <w:p w14:paraId="19888E73" w14:textId="51796354" w:rsidR="007440DF" w:rsidRPr="00DD595D" w:rsidRDefault="007440DF">
      <w:pPr>
        <w:pStyle w:val="TOC2"/>
        <w:rPr>
          <w:rFonts w:eastAsiaTheme="minorEastAsia"/>
          <w:b w:val="0"/>
          <w:lang w:val="en-ZW" w:eastAsia="en-ZW"/>
          <w14:ligatures w14:val="standardContextual"/>
        </w:rPr>
      </w:pPr>
      <w:hyperlink w:anchor="_Toc169612896" w:history="1">
        <w:r w:rsidRPr="00DD595D">
          <w:rPr>
            <w:rStyle w:val="Hyperlink"/>
            <w:b w:val="0"/>
          </w:rPr>
          <w:t>1.2</w:t>
        </w:r>
        <w:r>
          <w:rPr>
            <w:rFonts w:eastAsiaTheme="minorEastAsia"/>
            <w:b w:val="0"/>
            <w:lang w:val="en-ZW" w:eastAsia="en-ZW"/>
            <w14:ligatures w14:val="standardContextual"/>
          </w:rPr>
          <w:t xml:space="preserve"> </w:t>
        </w:r>
        <w:r w:rsidRPr="00DD595D">
          <w:rPr>
            <w:rStyle w:val="Hyperlink"/>
            <w:b w:val="0"/>
          </w:rPr>
          <w:t>Global Inflation Developments</w:t>
        </w:r>
        <w:r w:rsidRPr="00DD595D">
          <w:rPr>
            <w:b w:val="0"/>
            <w:webHidden/>
          </w:rPr>
          <w:tab/>
        </w:r>
        <w:r w:rsidRPr="00DD595D">
          <w:rPr>
            <w:b w:val="0"/>
            <w:webHidden/>
          </w:rPr>
          <w:fldChar w:fldCharType="begin"/>
        </w:r>
        <w:r w:rsidRPr="00DD595D">
          <w:rPr>
            <w:b w:val="0"/>
            <w:webHidden/>
          </w:rPr>
          <w:instrText xml:space="preserve"> PAGEREF _Toc169612896 \h </w:instrText>
        </w:r>
        <w:r w:rsidRPr="00DD595D">
          <w:rPr>
            <w:b w:val="0"/>
            <w:webHidden/>
          </w:rPr>
        </w:r>
        <w:r w:rsidRPr="00DD595D">
          <w:rPr>
            <w:b w:val="0"/>
            <w:webHidden/>
          </w:rPr>
          <w:fldChar w:fldCharType="separate"/>
        </w:r>
        <w:r w:rsidRPr="00DD595D">
          <w:rPr>
            <w:b w:val="0"/>
            <w:webHidden/>
          </w:rPr>
          <w:t>2</w:t>
        </w:r>
        <w:r w:rsidRPr="00DD595D">
          <w:rPr>
            <w:b w:val="0"/>
            <w:webHidden/>
          </w:rPr>
          <w:fldChar w:fldCharType="end"/>
        </w:r>
      </w:hyperlink>
    </w:p>
    <w:p w14:paraId="26CD8EFF" w14:textId="316C7ED4" w:rsidR="007440DF" w:rsidRPr="00DD595D" w:rsidRDefault="007440DF">
      <w:pPr>
        <w:pStyle w:val="TOC2"/>
        <w:rPr>
          <w:rFonts w:eastAsiaTheme="minorEastAsia"/>
          <w:b w:val="0"/>
          <w:lang w:val="en-ZW" w:eastAsia="en-ZW"/>
          <w14:ligatures w14:val="standardContextual"/>
        </w:rPr>
      </w:pPr>
      <w:hyperlink w:anchor="_Toc169612897" w:history="1">
        <w:r w:rsidRPr="00DD595D">
          <w:rPr>
            <w:rStyle w:val="Hyperlink"/>
            <w:b w:val="0"/>
          </w:rPr>
          <w:t>2.0</w:t>
        </w:r>
        <w:r>
          <w:rPr>
            <w:rFonts w:eastAsiaTheme="minorEastAsia"/>
            <w:b w:val="0"/>
            <w:lang w:val="en-ZW" w:eastAsia="en-ZW"/>
            <w14:ligatures w14:val="standardContextual"/>
          </w:rPr>
          <w:t xml:space="preserve"> </w:t>
        </w:r>
        <w:r w:rsidRPr="00DD595D">
          <w:rPr>
            <w:rStyle w:val="Hyperlink"/>
            <w:b w:val="0"/>
          </w:rPr>
          <w:t>International Commodity Prices</w:t>
        </w:r>
        <w:r w:rsidRPr="00DD595D">
          <w:rPr>
            <w:b w:val="0"/>
            <w:webHidden/>
          </w:rPr>
          <w:tab/>
        </w:r>
        <w:r w:rsidRPr="00DD595D">
          <w:rPr>
            <w:b w:val="0"/>
            <w:webHidden/>
          </w:rPr>
          <w:fldChar w:fldCharType="begin"/>
        </w:r>
        <w:r w:rsidRPr="00DD595D">
          <w:rPr>
            <w:b w:val="0"/>
            <w:webHidden/>
          </w:rPr>
          <w:instrText xml:space="preserve"> PAGEREF _Toc169612897 \h </w:instrText>
        </w:r>
        <w:r w:rsidRPr="00DD595D">
          <w:rPr>
            <w:b w:val="0"/>
            <w:webHidden/>
          </w:rPr>
        </w:r>
        <w:r w:rsidRPr="00DD595D">
          <w:rPr>
            <w:b w:val="0"/>
            <w:webHidden/>
          </w:rPr>
          <w:fldChar w:fldCharType="separate"/>
        </w:r>
        <w:r w:rsidRPr="00DD595D">
          <w:rPr>
            <w:b w:val="0"/>
            <w:webHidden/>
          </w:rPr>
          <w:t>2</w:t>
        </w:r>
        <w:r w:rsidRPr="00DD595D">
          <w:rPr>
            <w:b w:val="0"/>
            <w:webHidden/>
          </w:rPr>
          <w:fldChar w:fldCharType="end"/>
        </w:r>
      </w:hyperlink>
    </w:p>
    <w:p w14:paraId="36F38F79" w14:textId="06A24611"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898" w:history="1">
        <w:r w:rsidRPr="00DD595D">
          <w:rPr>
            <w:rStyle w:val="Hyperlink"/>
            <w:rFonts w:ascii="Tahoma" w:hAnsi="Tahoma" w:cs="Tahoma"/>
            <w:noProof/>
            <w:sz w:val="24"/>
            <w:szCs w:val="24"/>
          </w:rPr>
          <w:t>3.0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Zimbabwe GDP Growth Update</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_Toc169612898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3</w:t>
        </w:r>
        <w:r w:rsidRPr="00DD595D">
          <w:rPr>
            <w:rFonts w:ascii="Tahoma" w:hAnsi="Tahoma" w:cs="Tahoma"/>
            <w:noProof/>
            <w:webHidden/>
            <w:sz w:val="24"/>
            <w:szCs w:val="24"/>
          </w:rPr>
          <w:fldChar w:fldCharType="end"/>
        </w:r>
      </w:hyperlink>
    </w:p>
    <w:p w14:paraId="38D3EFB2" w14:textId="390AECD3"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899" w:history="1">
        <w:r w:rsidRPr="00DD595D">
          <w:rPr>
            <w:rStyle w:val="Hyperlink"/>
            <w:rFonts w:ascii="Tahoma" w:hAnsi="Tahoma" w:cs="Tahoma"/>
            <w:noProof/>
            <w:sz w:val="24"/>
            <w:szCs w:val="24"/>
          </w:rPr>
          <w:t>4.0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Merchandise Trade Developments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_Toc169612899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3</w:t>
        </w:r>
        <w:r w:rsidRPr="00DD595D">
          <w:rPr>
            <w:rFonts w:ascii="Tahoma" w:hAnsi="Tahoma" w:cs="Tahoma"/>
            <w:noProof/>
            <w:webHidden/>
            <w:sz w:val="24"/>
            <w:szCs w:val="24"/>
          </w:rPr>
          <w:fldChar w:fldCharType="end"/>
        </w:r>
      </w:hyperlink>
    </w:p>
    <w:p w14:paraId="359F583B" w14:textId="4729F880"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900" w:history="1">
        <w:r w:rsidRPr="00DD595D">
          <w:rPr>
            <w:rStyle w:val="Hyperlink"/>
            <w:rFonts w:ascii="Tahoma" w:hAnsi="Tahoma" w:cs="Tahoma"/>
            <w:noProof/>
            <w:sz w:val="24"/>
            <w:szCs w:val="24"/>
          </w:rPr>
          <w:t>5.0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Exchange Rate Developments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_Toc169612900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3</w:t>
        </w:r>
        <w:r w:rsidRPr="00DD595D">
          <w:rPr>
            <w:rFonts w:ascii="Tahoma" w:hAnsi="Tahoma" w:cs="Tahoma"/>
            <w:noProof/>
            <w:webHidden/>
            <w:sz w:val="24"/>
            <w:szCs w:val="24"/>
          </w:rPr>
          <w:fldChar w:fldCharType="end"/>
        </w:r>
      </w:hyperlink>
    </w:p>
    <w:p w14:paraId="3D089DBC" w14:textId="1833C9B7" w:rsidR="007440DF" w:rsidRPr="00DD595D" w:rsidRDefault="007440DF">
      <w:pPr>
        <w:pStyle w:val="TOC2"/>
        <w:rPr>
          <w:rFonts w:eastAsiaTheme="minorEastAsia"/>
          <w:b w:val="0"/>
          <w:lang w:val="en-ZW" w:eastAsia="en-ZW"/>
          <w14:ligatures w14:val="standardContextual"/>
        </w:rPr>
      </w:pPr>
      <w:hyperlink w:anchor="_Toc169612901" w:history="1">
        <w:r w:rsidRPr="00DD595D">
          <w:rPr>
            <w:rStyle w:val="Hyperlink"/>
            <w:b w:val="0"/>
          </w:rPr>
          <w:t>5.1</w:t>
        </w:r>
        <w:r>
          <w:rPr>
            <w:rFonts w:eastAsiaTheme="minorEastAsia"/>
            <w:b w:val="0"/>
            <w:lang w:val="en-ZW" w:eastAsia="en-ZW"/>
            <w14:ligatures w14:val="standardContextual"/>
          </w:rPr>
          <w:t xml:space="preserve"> </w:t>
        </w:r>
        <w:r w:rsidRPr="00DD595D">
          <w:rPr>
            <w:rStyle w:val="Hyperlink"/>
            <w:b w:val="0"/>
          </w:rPr>
          <w:t>ZiG Exchange Rate Developments</w:t>
        </w:r>
        <w:r w:rsidRPr="00DD595D">
          <w:rPr>
            <w:b w:val="0"/>
            <w:webHidden/>
          </w:rPr>
          <w:tab/>
        </w:r>
        <w:r w:rsidRPr="00DD595D">
          <w:rPr>
            <w:b w:val="0"/>
            <w:webHidden/>
          </w:rPr>
          <w:fldChar w:fldCharType="begin"/>
        </w:r>
        <w:r w:rsidRPr="00DD595D">
          <w:rPr>
            <w:b w:val="0"/>
            <w:webHidden/>
          </w:rPr>
          <w:instrText xml:space="preserve"> PAGEREF _Toc169612901 \h </w:instrText>
        </w:r>
        <w:r w:rsidRPr="00DD595D">
          <w:rPr>
            <w:b w:val="0"/>
            <w:webHidden/>
          </w:rPr>
        </w:r>
        <w:r w:rsidRPr="00DD595D">
          <w:rPr>
            <w:b w:val="0"/>
            <w:webHidden/>
          </w:rPr>
          <w:fldChar w:fldCharType="separate"/>
        </w:r>
        <w:r w:rsidRPr="00DD595D">
          <w:rPr>
            <w:b w:val="0"/>
            <w:webHidden/>
          </w:rPr>
          <w:t>3</w:t>
        </w:r>
        <w:r w:rsidRPr="00DD595D">
          <w:rPr>
            <w:b w:val="0"/>
            <w:webHidden/>
          </w:rPr>
          <w:fldChar w:fldCharType="end"/>
        </w:r>
      </w:hyperlink>
    </w:p>
    <w:p w14:paraId="0E980805" w14:textId="563DA601" w:rsidR="007440DF" w:rsidRPr="00DD595D" w:rsidRDefault="007440DF">
      <w:pPr>
        <w:pStyle w:val="TOC2"/>
        <w:rPr>
          <w:rFonts w:eastAsiaTheme="minorEastAsia"/>
          <w:b w:val="0"/>
          <w:lang w:val="en-ZW" w:eastAsia="en-ZW"/>
          <w14:ligatures w14:val="standardContextual"/>
        </w:rPr>
      </w:pPr>
      <w:hyperlink w:anchor="_Toc169612902" w:history="1">
        <w:r w:rsidRPr="00DD595D">
          <w:rPr>
            <w:rStyle w:val="Hyperlink"/>
            <w:b w:val="0"/>
          </w:rPr>
          <w:t>5.2</w:t>
        </w:r>
        <w:r>
          <w:rPr>
            <w:rFonts w:eastAsiaTheme="minorEastAsia"/>
            <w:b w:val="0"/>
            <w:lang w:val="en-ZW" w:eastAsia="en-ZW"/>
            <w14:ligatures w14:val="standardContextual"/>
          </w:rPr>
          <w:t xml:space="preserve"> </w:t>
        </w:r>
        <w:r w:rsidRPr="00DD595D">
          <w:rPr>
            <w:rStyle w:val="Hyperlink"/>
            <w:b w:val="0"/>
          </w:rPr>
          <w:t>Cross Rate Developments</w:t>
        </w:r>
        <w:r w:rsidRPr="00DD595D">
          <w:rPr>
            <w:b w:val="0"/>
            <w:webHidden/>
          </w:rPr>
          <w:tab/>
        </w:r>
        <w:r w:rsidRPr="00DD595D">
          <w:rPr>
            <w:b w:val="0"/>
            <w:webHidden/>
          </w:rPr>
          <w:fldChar w:fldCharType="begin"/>
        </w:r>
        <w:r w:rsidRPr="00DD595D">
          <w:rPr>
            <w:b w:val="0"/>
            <w:webHidden/>
          </w:rPr>
          <w:instrText xml:space="preserve"> PAGEREF _Toc169612902 \h </w:instrText>
        </w:r>
        <w:r w:rsidRPr="00DD595D">
          <w:rPr>
            <w:b w:val="0"/>
            <w:webHidden/>
          </w:rPr>
        </w:r>
        <w:r w:rsidRPr="00DD595D">
          <w:rPr>
            <w:b w:val="0"/>
            <w:webHidden/>
          </w:rPr>
          <w:fldChar w:fldCharType="separate"/>
        </w:r>
        <w:r w:rsidRPr="00DD595D">
          <w:rPr>
            <w:b w:val="0"/>
            <w:webHidden/>
          </w:rPr>
          <w:t>3</w:t>
        </w:r>
        <w:r w:rsidRPr="00DD595D">
          <w:rPr>
            <w:b w:val="0"/>
            <w:webHidden/>
          </w:rPr>
          <w:fldChar w:fldCharType="end"/>
        </w:r>
      </w:hyperlink>
    </w:p>
    <w:p w14:paraId="79786FAB" w14:textId="5B89CA2B"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903" w:history="1">
        <w:r w:rsidRPr="00DD595D">
          <w:rPr>
            <w:rStyle w:val="Hyperlink"/>
            <w:rFonts w:ascii="Tahoma" w:hAnsi="Tahoma" w:cs="Tahoma"/>
            <w:noProof/>
            <w:sz w:val="24"/>
            <w:szCs w:val="24"/>
          </w:rPr>
          <w:t>6.0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Inflation Developments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_Toc169612903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4</w:t>
        </w:r>
        <w:r w:rsidRPr="00DD595D">
          <w:rPr>
            <w:rFonts w:ascii="Tahoma" w:hAnsi="Tahoma" w:cs="Tahoma"/>
            <w:noProof/>
            <w:webHidden/>
            <w:sz w:val="24"/>
            <w:szCs w:val="24"/>
          </w:rPr>
          <w:fldChar w:fldCharType="end"/>
        </w:r>
      </w:hyperlink>
    </w:p>
    <w:p w14:paraId="1C60FABE" w14:textId="0BD78734"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904" w:history="1">
        <w:r w:rsidRPr="00DD595D">
          <w:rPr>
            <w:rStyle w:val="Hyperlink"/>
            <w:rFonts w:ascii="Tahoma" w:hAnsi="Tahoma" w:cs="Tahoma"/>
            <w:noProof/>
            <w:sz w:val="24"/>
            <w:szCs w:val="24"/>
          </w:rPr>
          <w:t>7.0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Monetary Developments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_Toc169612904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5</w:t>
        </w:r>
        <w:r w:rsidRPr="00DD595D">
          <w:rPr>
            <w:rFonts w:ascii="Tahoma" w:hAnsi="Tahoma" w:cs="Tahoma"/>
            <w:noProof/>
            <w:webHidden/>
            <w:sz w:val="24"/>
            <w:szCs w:val="24"/>
          </w:rPr>
          <w:fldChar w:fldCharType="end"/>
        </w:r>
      </w:hyperlink>
    </w:p>
    <w:p w14:paraId="4F801C2C" w14:textId="7D2C4203" w:rsidR="007440DF" w:rsidRPr="00DD595D" w:rsidRDefault="007440DF">
      <w:pPr>
        <w:pStyle w:val="TOC2"/>
        <w:rPr>
          <w:rFonts w:eastAsiaTheme="minorEastAsia"/>
          <w:b w:val="0"/>
          <w:lang w:val="en-ZW" w:eastAsia="en-ZW"/>
          <w14:ligatures w14:val="standardContextual"/>
        </w:rPr>
      </w:pPr>
      <w:hyperlink w:anchor="_Toc169612905" w:history="1">
        <w:r w:rsidRPr="00DD595D">
          <w:rPr>
            <w:rStyle w:val="Hyperlink"/>
            <w:b w:val="0"/>
          </w:rPr>
          <w:t>7.1</w:t>
        </w:r>
        <w:r>
          <w:rPr>
            <w:rFonts w:eastAsiaTheme="minorEastAsia"/>
            <w:b w:val="0"/>
            <w:lang w:val="en-ZW" w:eastAsia="en-ZW"/>
            <w14:ligatures w14:val="standardContextual"/>
          </w:rPr>
          <w:t xml:space="preserve"> </w:t>
        </w:r>
        <w:r w:rsidRPr="00DD595D">
          <w:rPr>
            <w:rStyle w:val="Hyperlink"/>
            <w:b w:val="0"/>
          </w:rPr>
          <w:t>Money Supply and Interest Rates</w:t>
        </w:r>
        <w:r w:rsidRPr="00DD595D">
          <w:rPr>
            <w:b w:val="0"/>
            <w:webHidden/>
          </w:rPr>
          <w:tab/>
        </w:r>
        <w:r w:rsidRPr="00DD595D">
          <w:rPr>
            <w:b w:val="0"/>
            <w:webHidden/>
          </w:rPr>
          <w:fldChar w:fldCharType="begin"/>
        </w:r>
        <w:r w:rsidRPr="00DD595D">
          <w:rPr>
            <w:b w:val="0"/>
            <w:webHidden/>
          </w:rPr>
          <w:instrText xml:space="preserve"> PAGEREF _Toc169612905 \h </w:instrText>
        </w:r>
        <w:r w:rsidRPr="00DD595D">
          <w:rPr>
            <w:b w:val="0"/>
            <w:webHidden/>
          </w:rPr>
        </w:r>
        <w:r w:rsidRPr="00DD595D">
          <w:rPr>
            <w:b w:val="0"/>
            <w:webHidden/>
          </w:rPr>
          <w:fldChar w:fldCharType="separate"/>
        </w:r>
        <w:r w:rsidRPr="00DD595D">
          <w:rPr>
            <w:b w:val="0"/>
            <w:webHidden/>
          </w:rPr>
          <w:t>5</w:t>
        </w:r>
        <w:r w:rsidRPr="00DD595D">
          <w:rPr>
            <w:b w:val="0"/>
            <w:webHidden/>
          </w:rPr>
          <w:fldChar w:fldCharType="end"/>
        </w:r>
      </w:hyperlink>
    </w:p>
    <w:p w14:paraId="00C592F7" w14:textId="1C2C7B32"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906" w:history="1">
        <w:r w:rsidRPr="00DD595D">
          <w:rPr>
            <w:rStyle w:val="Hyperlink"/>
            <w:rFonts w:ascii="Tahoma" w:hAnsi="Tahoma" w:cs="Tahoma"/>
            <w:noProof/>
            <w:sz w:val="24"/>
            <w:szCs w:val="24"/>
          </w:rPr>
          <w:t>8.0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Stock Market Developments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_Toc169612906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5</w:t>
        </w:r>
        <w:r w:rsidRPr="00DD595D">
          <w:rPr>
            <w:rFonts w:ascii="Tahoma" w:hAnsi="Tahoma" w:cs="Tahoma"/>
            <w:noProof/>
            <w:webHidden/>
            <w:sz w:val="24"/>
            <w:szCs w:val="24"/>
          </w:rPr>
          <w:fldChar w:fldCharType="end"/>
        </w:r>
      </w:hyperlink>
    </w:p>
    <w:p w14:paraId="36A3AC14" w14:textId="7E7308EE" w:rsidR="007440DF" w:rsidRPr="00DD595D" w:rsidRDefault="007440DF">
      <w:pPr>
        <w:pStyle w:val="TOC2"/>
        <w:rPr>
          <w:rFonts w:eastAsiaTheme="minorEastAsia"/>
          <w:b w:val="0"/>
          <w:lang w:val="en-ZW" w:eastAsia="en-ZW"/>
          <w14:ligatures w14:val="standardContextual"/>
        </w:rPr>
      </w:pPr>
      <w:hyperlink w:anchor="_Toc169612907" w:history="1">
        <w:r w:rsidRPr="00DD595D">
          <w:rPr>
            <w:rStyle w:val="Hyperlink"/>
            <w:b w:val="0"/>
          </w:rPr>
          <w:t>8.1</w:t>
        </w:r>
        <w:r>
          <w:rPr>
            <w:rFonts w:eastAsiaTheme="minorEastAsia"/>
            <w:b w:val="0"/>
            <w:lang w:val="en-ZW" w:eastAsia="en-ZW"/>
            <w14:ligatures w14:val="standardContextual"/>
          </w:rPr>
          <w:t xml:space="preserve"> </w:t>
        </w:r>
        <w:r w:rsidRPr="00DD595D">
          <w:rPr>
            <w:rStyle w:val="Hyperlink"/>
            <w:b w:val="0"/>
          </w:rPr>
          <w:t>Zimbabwe Stock Exchange</w:t>
        </w:r>
        <w:r w:rsidRPr="00DD595D">
          <w:rPr>
            <w:b w:val="0"/>
            <w:webHidden/>
          </w:rPr>
          <w:tab/>
        </w:r>
        <w:r w:rsidRPr="00DD595D">
          <w:rPr>
            <w:b w:val="0"/>
            <w:webHidden/>
          </w:rPr>
          <w:fldChar w:fldCharType="begin"/>
        </w:r>
        <w:r w:rsidRPr="00DD595D">
          <w:rPr>
            <w:b w:val="0"/>
            <w:webHidden/>
          </w:rPr>
          <w:instrText xml:space="preserve"> PAGEREF _Toc169612907 \h </w:instrText>
        </w:r>
        <w:r w:rsidRPr="00DD595D">
          <w:rPr>
            <w:b w:val="0"/>
            <w:webHidden/>
          </w:rPr>
        </w:r>
        <w:r w:rsidRPr="00DD595D">
          <w:rPr>
            <w:b w:val="0"/>
            <w:webHidden/>
          </w:rPr>
          <w:fldChar w:fldCharType="separate"/>
        </w:r>
        <w:r w:rsidRPr="00DD595D">
          <w:rPr>
            <w:b w:val="0"/>
            <w:webHidden/>
          </w:rPr>
          <w:t>5</w:t>
        </w:r>
        <w:r w:rsidRPr="00DD595D">
          <w:rPr>
            <w:b w:val="0"/>
            <w:webHidden/>
          </w:rPr>
          <w:fldChar w:fldCharType="end"/>
        </w:r>
      </w:hyperlink>
    </w:p>
    <w:p w14:paraId="400D4466" w14:textId="3BEB786A" w:rsidR="007440DF" w:rsidRPr="00DD595D" w:rsidRDefault="007440DF">
      <w:pPr>
        <w:pStyle w:val="TOC2"/>
        <w:rPr>
          <w:rFonts w:eastAsiaTheme="minorEastAsia"/>
          <w:b w:val="0"/>
          <w:lang w:val="en-ZW" w:eastAsia="en-ZW"/>
          <w14:ligatures w14:val="standardContextual"/>
        </w:rPr>
      </w:pPr>
      <w:hyperlink w:anchor="_Toc169612908" w:history="1">
        <w:r w:rsidRPr="00DD595D">
          <w:rPr>
            <w:rStyle w:val="Hyperlink"/>
            <w:b w:val="0"/>
          </w:rPr>
          <w:t>8.2</w:t>
        </w:r>
        <w:r>
          <w:rPr>
            <w:rFonts w:eastAsiaTheme="minorEastAsia"/>
            <w:b w:val="0"/>
            <w:lang w:val="en-ZW" w:eastAsia="en-ZW"/>
            <w14:ligatures w14:val="standardContextual"/>
          </w:rPr>
          <w:t xml:space="preserve"> </w:t>
        </w:r>
        <w:r w:rsidRPr="00DD595D">
          <w:rPr>
            <w:rStyle w:val="Hyperlink"/>
            <w:b w:val="0"/>
          </w:rPr>
          <w:t>Victoria Falls Stock Exchange</w:t>
        </w:r>
        <w:r w:rsidRPr="00DD595D">
          <w:rPr>
            <w:b w:val="0"/>
            <w:webHidden/>
          </w:rPr>
          <w:tab/>
        </w:r>
        <w:r w:rsidRPr="00DD595D">
          <w:rPr>
            <w:b w:val="0"/>
            <w:webHidden/>
          </w:rPr>
          <w:fldChar w:fldCharType="begin"/>
        </w:r>
        <w:r w:rsidRPr="00DD595D">
          <w:rPr>
            <w:b w:val="0"/>
            <w:webHidden/>
          </w:rPr>
          <w:instrText xml:space="preserve"> PAGEREF _Toc169612908 \h </w:instrText>
        </w:r>
        <w:r w:rsidRPr="00DD595D">
          <w:rPr>
            <w:b w:val="0"/>
            <w:webHidden/>
          </w:rPr>
        </w:r>
        <w:r w:rsidRPr="00DD595D">
          <w:rPr>
            <w:b w:val="0"/>
            <w:webHidden/>
          </w:rPr>
          <w:fldChar w:fldCharType="separate"/>
        </w:r>
        <w:r w:rsidRPr="00DD595D">
          <w:rPr>
            <w:b w:val="0"/>
            <w:webHidden/>
          </w:rPr>
          <w:t>6</w:t>
        </w:r>
        <w:r w:rsidRPr="00DD595D">
          <w:rPr>
            <w:b w:val="0"/>
            <w:webHidden/>
          </w:rPr>
          <w:fldChar w:fldCharType="end"/>
        </w:r>
      </w:hyperlink>
    </w:p>
    <w:p w14:paraId="5805C6C8" w14:textId="6F1CC1C5"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909" w:history="1">
        <w:r w:rsidRPr="00DD595D">
          <w:rPr>
            <w:rStyle w:val="Hyperlink"/>
            <w:rFonts w:ascii="Tahoma" w:hAnsi="Tahoma" w:cs="Tahoma"/>
            <w:noProof/>
            <w:sz w:val="24"/>
            <w:szCs w:val="24"/>
          </w:rPr>
          <w:t>9.0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Recommendations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_Toc169612909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6</w:t>
        </w:r>
        <w:r w:rsidRPr="00DD595D">
          <w:rPr>
            <w:rFonts w:ascii="Tahoma" w:hAnsi="Tahoma" w:cs="Tahoma"/>
            <w:noProof/>
            <w:webHidden/>
            <w:sz w:val="24"/>
            <w:szCs w:val="24"/>
          </w:rPr>
          <w:fldChar w:fldCharType="end"/>
        </w:r>
      </w:hyperlink>
    </w:p>
    <w:p w14:paraId="70A7DCAA" w14:textId="1F33397E" w:rsidR="007440DF" w:rsidRPr="00DD595D" w:rsidRDefault="007440DF">
      <w:pPr>
        <w:pStyle w:val="TOC1"/>
        <w:tabs>
          <w:tab w:val="left" w:pos="720"/>
          <w:tab w:val="right" w:leader="dot" w:pos="9016"/>
        </w:tabs>
        <w:rPr>
          <w:rFonts w:ascii="Tahoma" w:eastAsiaTheme="minorEastAsia" w:hAnsi="Tahoma" w:cs="Tahoma"/>
          <w:noProof/>
          <w:sz w:val="24"/>
          <w:szCs w:val="24"/>
          <w:lang w:val="en-ZW" w:eastAsia="en-ZW"/>
          <w14:ligatures w14:val="standardContextual"/>
        </w:rPr>
      </w:pPr>
      <w:hyperlink w:anchor="_Toc169612910" w:history="1">
        <w:r w:rsidRPr="00DD595D">
          <w:rPr>
            <w:rStyle w:val="Hyperlink"/>
            <w:rFonts w:ascii="Tahoma" w:hAnsi="Tahoma" w:cs="Tahoma"/>
            <w:noProof/>
            <w:sz w:val="24"/>
            <w:szCs w:val="24"/>
          </w:rPr>
          <w:t>10.0</w:t>
        </w:r>
        <w:r>
          <w:rPr>
            <w:rFonts w:ascii="Tahoma" w:eastAsiaTheme="minorEastAsia" w:hAnsi="Tahoma" w:cs="Tahoma"/>
            <w:noProof/>
            <w:sz w:val="24"/>
            <w:szCs w:val="24"/>
            <w:lang w:val="en-ZW" w:eastAsia="en-ZW"/>
            <w14:ligatures w14:val="standardContextual"/>
          </w:rPr>
          <w:t xml:space="preserve"> </w:t>
        </w:r>
        <w:r w:rsidRPr="00DD595D">
          <w:rPr>
            <w:rStyle w:val="Hyperlink"/>
            <w:rFonts w:ascii="Tahoma" w:hAnsi="Tahoma" w:cs="Tahoma"/>
            <w:noProof/>
            <w:sz w:val="24"/>
            <w:szCs w:val="24"/>
          </w:rPr>
          <w:t>References</w:t>
        </w:r>
        <w:r w:rsidRPr="00DD595D">
          <w:rPr>
            <w:rFonts w:ascii="Tahoma" w:hAnsi="Tahoma" w:cs="Tahoma"/>
            <w:noProof/>
            <w:webHidden/>
            <w:sz w:val="24"/>
            <w:szCs w:val="24"/>
          </w:rPr>
          <w:tab/>
        </w:r>
        <w:r w:rsidRPr="00DD595D">
          <w:rPr>
            <w:rFonts w:ascii="Tahoma" w:hAnsi="Tahoma" w:cs="Tahoma"/>
            <w:noProof/>
            <w:webHidden/>
            <w:sz w:val="24"/>
            <w:szCs w:val="24"/>
          </w:rPr>
          <w:fldChar w:fldCharType="begin"/>
        </w:r>
        <w:r w:rsidRPr="00DD595D">
          <w:rPr>
            <w:rFonts w:ascii="Tahoma" w:hAnsi="Tahoma" w:cs="Tahoma"/>
            <w:noProof/>
            <w:webHidden/>
            <w:sz w:val="24"/>
            <w:szCs w:val="24"/>
          </w:rPr>
          <w:instrText xml:space="preserve"> PAGEREF _Toc169612910 \h </w:instrText>
        </w:r>
        <w:r w:rsidRPr="00DD595D">
          <w:rPr>
            <w:rFonts w:ascii="Tahoma" w:hAnsi="Tahoma" w:cs="Tahoma"/>
            <w:noProof/>
            <w:webHidden/>
            <w:sz w:val="24"/>
            <w:szCs w:val="24"/>
          </w:rPr>
        </w:r>
        <w:r w:rsidRPr="00DD595D">
          <w:rPr>
            <w:rFonts w:ascii="Tahoma" w:hAnsi="Tahoma" w:cs="Tahoma"/>
            <w:noProof/>
            <w:webHidden/>
            <w:sz w:val="24"/>
            <w:szCs w:val="24"/>
          </w:rPr>
          <w:fldChar w:fldCharType="separate"/>
        </w:r>
        <w:r w:rsidRPr="00DD595D">
          <w:rPr>
            <w:rFonts w:ascii="Tahoma" w:hAnsi="Tahoma" w:cs="Tahoma"/>
            <w:noProof/>
            <w:webHidden/>
            <w:sz w:val="24"/>
            <w:szCs w:val="24"/>
          </w:rPr>
          <w:t>8</w:t>
        </w:r>
        <w:r w:rsidRPr="00DD595D">
          <w:rPr>
            <w:rFonts w:ascii="Tahoma" w:hAnsi="Tahoma" w:cs="Tahoma"/>
            <w:noProof/>
            <w:webHidden/>
            <w:sz w:val="24"/>
            <w:szCs w:val="24"/>
          </w:rPr>
          <w:fldChar w:fldCharType="end"/>
        </w:r>
      </w:hyperlink>
    </w:p>
    <w:p w14:paraId="71DC4FF1" w14:textId="741F86DC" w:rsidR="00D46F37" w:rsidRPr="00C5148E" w:rsidRDefault="00D46F37">
      <w:pPr>
        <w:rPr>
          <w:rFonts w:ascii="Tahoma" w:hAnsi="Tahoma" w:cs="Tahoma"/>
          <w:sz w:val="24"/>
          <w:szCs w:val="24"/>
        </w:rPr>
      </w:pPr>
      <w:r w:rsidRPr="00DD595D">
        <w:rPr>
          <w:rFonts w:ascii="Tahoma" w:hAnsi="Tahoma" w:cs="Tahoma"/>
          <w:sz w:val="24"/>
          <w:szCs w:val="24"/>
        </w:rPr>
        <w:fldChar w:fldCharType="end"/>
      </w:r>
    </w:p>
    <w:p w14:paraId="2BF3B57B" w14:textId="77777777" w:rsidR="00D46F37" w:rsidRPr="00C5148E" w:rsidRDefault="00D46F37" w:rsidP="00D46F37">
      <w:pPr>
        <w:rPr>
          <w:rFonts w:ascii="Tahoma" w:hAnsi="Tahoma" w:cs="Tahoma"/>
          <w:sz w:val="24"/>
          <w:szCs w:val="24"/>
        </w:rPr>
      </w:pPr>
    </w:p>
    <w:p w14:paraId="3F85FCEF" w14:textId="77777777" w:rsidR="00D46F37" w:rsidRPr="00C5148E" w:rsidRDefault="00D46F37" w:rsidP="00D46F37">
      <w:pPr>
        <w:rPr>
          <w:rFonts w:ascii="Tahoma" w:hAnsi="Tahoma" w:cs="Tahoma"/>
          <w:sz w:val="24"/>
          <w:szCs w:val="24"/>
        </w:rPr>
      </w:pPr>
    </w:p>
    <w:p w14:paraId="12454115" w14:textId="77777777" w:rsidR="00D46F37" w:rsidRPr="00C5148E" w:rsidRDefault="00D46F37" w:rsidP="00D46F37">
      <w:pPr>
        <w:rPr>
          <w:rFonts w:ascii="Tahoma" w:hAnsi="Tahoma" w:cs="Tahoma"/>
          <w:sz w:val="24"/>
          <w:szCs w:val="24"/>
        </w:rPr>
      </w:pPr>
    </w:p>
    <w:p w14:paraId="05DE7775" w14:textId="77777777" w:rsidR="00D46F37" w:rsidRPr="00C5148E" w:rsidRDefault="00D46F37" w:rsidP="00D46F37">
      <w:pPr>
        <w:rPr>
          <w:rFonts w:ascii="Tahoma" w:hAnsi="Tahoma" w:cs="Tahoma"/>
          <w:sz w:val="24"/>
          <w:szCs w:val="24"/>
        </w:rPr>
      </w:pPr>
    </w:p>
    <w:p w14:paraId="42997927" w14:textId="77777777" w:rsidR="00D46F37" w:rsidRPr="00C5148E" w:rsidRDefault="00D46F37" w:rsidP="00D46F37">
      <w:pPr>
        <w:rPr>
          <w:rFonts w:ascii="Tahoma" w:hAnsi="Tahoma" w:cs="Tahoma"/>
          <w:sz w:val="24"/>
          <w:szCs w:val="24"/>
        </w:rPr>
      </w:pPr>
    </w:p>
    <w:p w14:paraId="14C9A91C" w14:textId="77777777" w:rsidR="00D46F37" w:rsidRPr="00C5148E" w:rsidRDefault="00D46F37" w:rsidP="00D46F37">
      <w:pPr>
        <w:rPr>
          <w:rFonts w:ascii="Tahoma" w:hAnsi="Tahoma" w:cs="Tahoma"/>
          <w:sz w:val="24"/>
          <w:szCs w:val="24"/>
        </w:rPr>
      </w:pPr>
    </w:p>
    <w:p w14:paraId="176945C8" w14:textId="77777777" w:rsidR="00D46F37" w:rsidRPr="00C5148E" w:rsidRDefault="00D46F37" w:rsidP="00D46F37">
      <w:pPr>
        <w:rPr>
          <w:rFonts w:ascii="Tahoma" w:hAnsi="Tahoma" w:cs="Tahoma"/>
          <w:sz w:val="24"/>
          <w:szCs w:val="24"/>
        </w:rPr>
      </w:pPr>
    </w:p>
    <w:p w14:paraId="3CA6BC62" w14:textId="77777777" w:rsidR="00D46F37" w:rsidRPr="00C5148E" w:rsidRDefault="00D46F37" w:rsidP="00D46F37">
      <w:pPr>
        <w:rPr>
          <w:rFonts w:ascii="Tahoma" w:hAnsi="Tahoma" w:cs="Tahoma"/>
          <w:sz w:val="24"/>
          <w:szCs w:val="24"/>
        </w:rPr>
      </w:pPr>
    </w:p>
    <w:p w14:paraId="77660776" w14:textId="77777777" w:rsidR="004C677E" w:rsidRPr="00C5148E" w:rsidRDefault="004C677E" w:rsidP="00D46F37">
      <w:pPr>
        <w:rPr>
          <w:rFonts w:ascii="Tahoma" w:hAnsi="Tahoma" w:cs="Tahoma"/>
          <w:sz w:val="24"/>
          <w:szCs w:val="24"/>
        </w:rPr>
      </w:pPr>
    </w:p>
    <w:p w14:paraId="233C5B3D" w14:textId="77777777" w:rsidR="00750E65" w:rsidRDefault="00750E65" w:rsidP="00C15AC0">
      <w:pPr>
        <w:rPr>
          <w:rFonts w:ascii="Tahoma" w:hAnsi="Tahoma" w:cs="Tahoma"/>
          <w:sz w:val="24"/>
          <w:szCs w:val="24"/>
        </w:rPr>
      </w:pPr>
    </w:p>
    <w:p w14:paraId="6241FE55" w14:textId="77777777" w:rsidR="007440DF" w:rsidRDefault="007440DF" w:rsidP="00C15AC0">
      <w:pPr>
        <w:rPr>
          <w:rFonts w:ascii="Tahoma" w:hAnsi="Tahoma" w:cs="Tahoma"/>
          <w:sz w:val="24"/>
          <w:szCs w:val="24"/>
        </w:rPr>
      </w:pPr>
    </w:p>
    <w:p w14:paraId="340374A7" w14:textId="77777777" w:rsidR="007A149B" w:rsidRPr="00C5148E" w:rsidRDefault="007A149B" w:rsidP="00C15AC0">
      <w:pPr>
        <w:rPr>
          <w:rFonts w:ascii="Tahoma" w:hAnsi="Tahoma" w:cs="Tahoma"/>
          <w:sz w:val="24"/>
          <w:szCs w:val="24"/>
        </w:rPr>
      </w:pPr>
    </w:p>
    <w:p w14:paraId="5D84FBC4" w14:textId="5E2BD536" w:rsidR="00892705" w:rsidRPr="00C5148E" w:rsidRDefault="00F67469" w:rsidP="00892705">
      <w:pPr>
        <w:rPr>
          <w:rFonts w:ascii="Tahoma" w:hAnsi="Tahoma" w:cs="Tahoma"/>
          <w:b/>
          <w:color w:val="000000"/>
          <w:sz w:val="24"/>
          <w:szCs w:val="24"/>
        </w:rPr>
      </w:pPr>
      <w:r w:rsidRPr="00C5148E">
        <w:rPr>
          <w:rFonts w:ascii="Tahoma" w:hAnsi="Tahoma" w:cs="Tahoma"/>
          <w:b/>
          <w:color w:val="000000"/>
          <w:sz w:val="24"/>
          <w:szCs w:val="24"/>
        </w:rPr>
        <w:lastRenderedPageBreak/>
        <w:t xml:space="preserve">List of </w:t>
      </w:r>
      <w:r w:rsidR="009744EB" w:rsidRPr="00C5148E">
        <w:rPr>
          <w:rFonts w:ascii="Tahoma" w:hAnsi="Tahoma" w:cs="Tahoma"/>
          <w:b/>
          <w:color w:val="000000"/>
          <w:sz w:val="24"/>
          <w:szCs w:val="24"/>
        </w:rPr>
        <w:t>Tables</w:t>
      </w:r>
    </w:p>
    <w:p w14:paraId="5ED5BCEE" w14:textId="3602BE64" w:rsidR="007440DF" w:rsidRPr="00CB7E88" w:rsidRDefault="00892705">
      <w:pPr>
        <w:pStyle w:val="TableofFigures"/>
        <w:tabs>
          <w:tab w:val="right" w:leader="dot" w:pos="9016"/>
        </w:tabs>
        <w:rPr>
          <w:rFonts w:asciiTheme="minorHAnsi" w:eastAsiaTheme="minorEastAsia" w:hAnsiTheme="minorHAnsi" w:cstheme="minorBidi"/>
          <w:b w:val="0"/>
          <w:bCs/>
          <w:noProof/>
          <w:szCs w:val="24"/>
          <w:lang w:val="en-ZW" w:eastAsia="en-ZW"/>
          <w14:ligatures w14:val="standardContextual"/>
        </w:rPr>
      </w:pPr>
      <w:r w:rsidRPr="00C5148E">
        <w:rPr>
          <w:rFonts w:cs="Tahoma"/>
          <w:bCs/>
          <w:szCs w:val="24"/>
        </w:rPr>
        <w:fldChar w:fldCharType="begin"/>
      </w:r>
      <w:r w:rsidRPr="00C5148E">
        <w:rPr>
          <w:rFonts w:cs="Tahoma"/>
          <w:bCs/>
          <w:szCs w:val="24"/>
        </w:rPr>
        <w:instrText xml:space="preserve"> TOC \h \z \t "List of Tables" \c </w:instrText>
      </w:r>
      <w:r w:rsidRPr="00C5148E">
        <w:rPr>
          <w:rFonts w:cs="Tahoma"/>
          <w:bCs/>
          <w:szCs w:val="24"/>
        </w:rPr>
        <w:fldChar w:fldCharType="separate"/>
      </w:r>
      <w:hyperlink w:anchor="_Toc169612983" w:history="1">
        <w:r w:rsidR="007440DF" w:rsidRPr="00DD595D">
          <w:rPr>
            <w:rStyle w:val="Hyperlink"/>
            <w:b w:val="0"/>
            <w:bCs/>
            <w:noProof/>
          </w:rPr>
          <w:t>Table 1: Commodity Price Movements – Month Ending 31 May 2024</w:t>
        </w:r>
        <w:r w:rsidR="007440DF" w:rsidRPr="00DD595D">
          <w:rPr>
            <w:b w:val="0"/>
            <w:bCs/>
            <w:noProof/>
            <w:webHidden/>
          </w:rPr>
          <w:tab/>
        </w:r>
        <w:r w:rsidR="007440DF" w:rsidRPr="00DD595D">
          <w:rPr>
            <w:b w:val="0"/>
            <w:bCs/>
            <w:noProof/>
            <w:webHidden/>
          </w:rPr>
          <w:fldChar w:fldCharType="begin"/>
        </w:r>
        <w:r w:rsidR="007440DF" w:rsidRPr="00DD595D">
          <w:rPr>
            <w:b w:val="0"/>
            <w:bCs/>
            <w:noProof/>
            <w:webHidden/>
          </w:rPr>
          <w:instrText xml:space="preserve"> PAGEREF _Toc169612983 \h </w:instrText>
        </w:r>
        <w:r w:rsidR="007440DF" w:rsidRPr="00DD595D">
          <w:rPr>
            <w:b w:val="0"/>
            <w:bCs/>
            <w:noProof/>
            <w:webHidden/>
          </w:rPr>
        </w:r>
        <w:r w:rsidR="007440DF" w:rsidRPr="00DD595D">
          <w:rPr>
            <w:b w:val="0"/>
            <w:bCs/>
            <w:noProof/>
            <w:webHidden/>
          </w:rPr>
          <w:fldChar w:fldCharType="separate"/>
        </w:r>
        <w:r w:rsidR="007440DF" w:rsidRPr="00DD595D">
          <w:rPr>
            <w:b w:val="0"/>
            <w:bCs/>
            <w:noProof/>
            <w:webHidden/>
          </w:rPr>
          <w:t>2</w:t>
        </w:r>
        <w:r w:rsidR="007440DF" w:rsidRPr="00DD595D">
          <w:rPr>
            <w:b w:val="0"/>
            <w:bCs/>
            <w:noProof/>
            <w:webHidden/>
          </w:rPr>
          <w:fldChar w:fldCharType="end"/>
        </w:r>
      </w:hyperlink>
    </w:p>
    <w:p w14:paraId="48BDE8E0" w14:textId="7FADABF2" w:rsidR="007440DF" w:rsidRPr="00CB7E88" w:rsidRDefault="007440DF">
      <w:pPr>
        <w:pStyle w:val="TableofFigures"/>
        <w:tabs>
          <w:tab w:val="right" w:leader="dot" w:pos="9016"/>
        </w:tabs>
        <w:rPr>
          <w:rFonts w:asciiTheme="minorHAnsi" w:eastAsiaTheme="minorEastAsia" w:hAnsiTheme="minorHAnsi" w:cstheme="minorBidi"/>
          <w:b w:val="0"/>
          <w:bCs/>
          <w:noProof/>
          <w:szCs w:val="24"/>
          <w:lang w:val="en-ZW" w:eastAsia="en-ZW"/>
          <w14:ligatures w14:val="standardContextual"/>
        </w:rPr>
      </w:pPr>
      <w:hyperlink w:anchor="_Toc169612984" w:history="1">
        <w:r w:rsidRPr="00DD595D">
          <w:rPr>
            <w:rStyle w:val="Hyperlink"/>
            <w:b w:val="0"/>
            <w:bCs/>
            <w:noProof/>
          </w:rPr>
          <w:t>Table 2: ZiG Exchange Rate Movements – Month Ending 31 May 2024</w:t>
        </w:r>
        <w:r w:rsidRPr="00DD595D">
          <w:rPr>
            <w:b w:val="0"/>
            <w:bCs/>
            <w:noProof/>
            <w:webHidden/>
          </w:rPr>
          <w:tab/>
        </w:r>
        <w:r w:rsidRPr="00DD595D">
          <w:rPr>
            <w:b w:val="0"/>
            <w:bCs/>
            <w:noProof/>
            <w:webHidden/>
          </w:rPr>
          <w:fldChar w:fldCharType="begin"/>
        </w:r>
        <w:r w:rsidRPr="00DD595D">
          <w:rPr>
            <w:b w:val="0"/>
            <w:bCs/>
            <w:noProof/>
            <w:webHidden/>
          </w:rPr>
          <w:instrText xml:space="preserve"> PAGEREF _Toc169612984 \h </w:instrText>
        </w:r>
        <w:r w:rsidRPr="00DD595D">
          <w:rPr>
            <w:b w:val="0"/>
            <w:bCs/>
            <w:noProof/>
            <w:webHidden/>
          </w:rPr>
        </w:r>
        <w:r w:rsidRPr="00DD595D">
          <w:rPr>
            <w:b w:val="0"/>
            <w:bCs/>
            <w:noProof/>
            <w:webHidden/>
          </w:rPr>
          <w:fldChar w:fldCharType="separate"/>
        </w:r>
        <w:r w:rsidRPr="00DD595D">
          <w:rPr>
            <w:b w:val="0"/>
            <w:bCs/>
            <w:noProof/>
            <w:webHidden/>
          </w:rPr>
          <w:t>3</w:t>
        </w:r>
        <w:r w:rsidRPr="00DD595D">
          <w:rPr>
            <w:b w:val="0"/>
            <w:bCs/>
            <w:noProof/>
            <w:webHidden/>
          </w:rPr>
          <w:fldChar w:fldCharType="end"/>
        </w:r>
      </w:hyperlink>
    </w:p>
    <w:p w14:paraId="389BC13A" w14:textId="4F0CF3F3" w:rsidR="007440DF" w:rsidRPr="00CB7E88" w:rsidRDefault="007440DF">
      <w:pPr>
        <w:pStyle w:val="TableofFigures"/>
        <w:tabs>
          <w:tab w:val="right" w:leader="dot" w:pos="9016"/>
        </w:tabs>
        <w:rPr>
          <w:rFonts w:asciiTheme="minorHAnsi" w:eastAsiaTheme="minorEastAsia" w:hAnsiTheme="minorHAnsi" w:cstheme="minorBidi"/>
          <w:b w:val="0"/>
          <w:bCs/>
          <w:noProof/>
          <w:szCs w:val="24"/>
          <w:lang w:val="en-ZW" w:eastAsia="en-ZW"/>
          <w14:ligatures w14:val="standardContextual"/>
        </w:rPr>
      </w:pPr>
      <w:hyperlink w:anchor="_Toc169612985" w:history="1">
        <w:r w:rsidRPr="00DD595D">
          <w:rPr>
            <w:rStyle w:val="Hyperlink"/>
            <w:b w:val="0"/>
            <w:bCs/>
            <w:noProof/>
          </w:rPr>
          <w:t>Table 3: USD Exchange Rate Movements – Month Ended 31 May 2024</w:t>
        </w:r>
        <w:r w:rsidRPr="00DD595D">
          <w:rPr>
            <w:b w:val="0"/>
            <w:bCs/>
            <w:noProof/>
            <w:webHidden/>
          </w:rPr>
          <w:tab/>
        </w:r>
        <w:r w:rsidRPr="00DD595D">
          <w:rPr>
            <w:b w:val="0"/>
            <w:bCs/>
            <w:noProof/>
            <w:webHidden/>
          </w:rPr>
          <w:fldChar w:fldCharType="begin"/>
        </w:r>
        <w:r w:rsidRPr="00DD595D">
          <w:rPr>
            <w:b w:val="0"/>
            <w:bCs/>
            <w:noProof/>
            <w:webHidden/>
          </w:rPr>
          <w:instrText xml:space="preserve"> PAGEREF _Toc169612985 \h </w:instrText>
        </w:r>
        <w:r w:rsidRPr="00DD595D">
          <w:rPr>
            <w:b w:val="0"/>
            <w:bCs/>
            <w:noProof/>
            <w:webHidden/>
          </w:rPr>
        </w:r>
        <w:r w:rsidRPr="00DD595D">
          <w:rPr>
            <w:b w:val="0"/>
            <w:bCs/>
            <w:noProof/>
            <w:webHidden/>
          </w:rPr>
          <w:fldChar w:fldCharType="separate"/>
        </w:r>
        <w:r w:rsidRPr="00DD595D">
          <w:rPr>
            <w:b w:val="0"/>
            <w:bCs/>
            <w:noProof/>
            <w:webHidden/>
          </w:rPr>
          <w:t>4</w:t>
        </w:r>
        <w:r w:rsidRPr="00DD595D">
          <w:rPr>
            <w:b w:val="0"/>
            <w:bCs/>
            <w:noProof/>
            <w:webHidden/>
          </w:rPr>
          <w:fldChar w:fldCharType="end"/>
        </w:r>
      </w:hyperlink>
    </w:p>
    <w:p w14:paraId="4A509E78" w14:textId="3E3930F4" w:rsidR="007440DF" w:rsidRPr="00CB7E88" w:rsidRDefault="007440DF">
      <w:pPr>
        <w:pStyle w:val="TableofFigures"/>
        <w:tabs>
          <w:tab w:val="right" w:leader="dot" w:pos="9016"/>
        </w:tabs>
        <w:rPr>
          <w:rFonts w:asciiTheme="minorHAnsi" w:eastAsiaTheme="minorEastAsia" w:hAnsiTheme="minorHAnsi" w:cstheme="minorBidi"/>
          <w:b w:val="0"/>
          <w:bCs/>
          <w:noProof/>
          <w:szCs w:val="24"/>
          <w:lang w:val="en-ZW" w:eastAsia="en-ZW"/>
          <w14:ligatures w14:val="standardContextual"/>
        </w:rPr>
      </w:pPr>
      <w:hyperlink w:anchor="_Toc169612986" w:history="1">
        <w:r w:rsidRPr="00DD595D">
          <w:rPr>
            <w:rStyle w:val="Hyperlink"/>
            <w:b w:val="0"/>
            <w:bCs/>
            <w:noProof/>
          </w:rPr>
          <w:t>Table 4: Monthly Inflation for May 2024</w:t>
        </w:r>
        <w:r w:rsidRPr="00DD595D">
          <w:rPr>
            <w:b w:val="0"/>
            <w:bCs/>
            <w:noProof/>
            <w:webHidden/>
          </w:rPr>
          <w:tab/>
        </w:r>
        <w:r w:rsidRPr="00DD595D">
          <w:rPr>
            <w:b w:val="0"/>
            <w:bCs/>
            <w:noProof/>
            <w:webHidden/>
          </w:rPr>
          <w:fldChar w:fldCharType="begin"/>
        </w:r>
        <w:r w:rsidRPr="00DD595D">
          <w:rPr>
            <w:b w:val="0"/>
            <w:bCs/>
            <w:noProof/>
            <w:webHidden/>
          </w:rPr>
          <w:instrText xml:space="preserve"> PAGEREF _Toc169612986 \h </w:instrText>
        </w:r>
        <w:r w:rsidRPr="00DD595D">
          <w:rPr>
            <w:b w:val="0"/>
            <w:bCs/>
            <w:noProof/>
            <w:webHidden/>
          </w:rPr>
        </w:r>
        <w:r w:rsidRPr="00DD595D">
          <w:rPr>
            <w:b w:val="0"/>
            <w:bCs/>
            <w:noProof/>
            <w:webHidden/>
          </w:rPr>
          <w:fldChar w:fldCharType="separate"/>
        </w:r>
        <w:r w:rsidRPr="00DD595D">
          <w:rPr>
            <w:b w:val="0"/>
            <w:bCs/>
            <w:noProof/>
            <w:webHidden/>
          </w:rPr>
          <w:t>5</w:t>
        </w:r>
        <w:r w:rsidRPr="00DD595D">
          <w:rPr>
            <w:b w:val="0"/>
            <w:bCs/>
            <w:noProof/>
            <w:webHidden/>
          </w:rPr>
          <w:fldChar w:fldCharType="end"/>
        </w:r>
      </w:hyperlink>
    </w:p>
    <w:p w14:paraId="11DC379D" w14:textId="765CAB0F" w:rsidR="007440DF" w:rsidRPr="00CB7E88" w:rsidRDefault="007440DF">
      <w:pPr>
        <w:pStyle w:val="TableofFigures"/>
        <w:tabs>
          <w:tab w:val="right" w:leader="dot" w:pos="9016"/>
        </w:tabs>
        <w:rPr>
          <w:rFonts w:asciiTheme="minorHAnsi" w:eastAsiaTheme="minorEastAsia" w:hAnsiTheme="minorHAnsi" w:cstheme="minorBidi"/>
          <w:b w:val="0"/>
          <w:bCs/>
          <w:noProof/>
          <w:szCs w:val="24"/>
          <w:lang w:val="en-ZW" w:eastAsia="en-ZW"/>
          <w14:ligatures w14:val="standardContextual"/>
        </w:rPr>
      </w:pPr>
      <w:hyperlink w:anchor="_Toc169612987" w:history="1">
        <w:r w:rsidRPr="00DD595D">
          <w:rPr>
            <w:rStyle w:val="Hyperlink"/>
            <w:b w:val="0"/>
            <w:bCs/>
            <w:noProof/>
          </w:rPr>
          <w:t>Table 5: Zimbabwe Stock Exchange Movements</w:t>
        </w:r>
        <w:r w:rsidRPr="00DD595D">
          <w:rPr>
            <w:b w:val="0"/>
            <w:bCs/>
            <w:noProof/>
            <w:webHidden/>
          </w:rPr>
          <w:tab/>
        </w:r>
        <w:r w:rsidRPr="00DD595D">
          <w:rPr>
            <w:b w:val="0"/>
            <w:bCs/>
            <w:noProof/>
            <w:webHidden/>
          </w:rPr>
          <w:fldChar w:fldCharType="begin"/>
        </w:r>
        <w:r w:rsidRPr="00DD595D">
          <w:rPr>
            <w:b w:val="0"/>
            <w:bCs/>
            <w:noProof/>
            <w:webHidden/>
          </w:rPr>
          <w:instrText xml:space="preserve"> PAGEREF _Toc169612987 \h </w:instrText>
        </w:r>
        <w:r w:rsidRPr="00DD595D">
          <w:rPr>
            <w:b w:val="0"/>
            <w:bCs/>
            <w:noProof/>
            <w:webHidden/>
          </w:rPr>
        </w:r>
        <w:r w:rsidRPr="00DD595D">
          <w:rPr>
            <w:b w:val="0"/>
            <w:bCs/>
            <w:noProof/>
            <w:webHidden/>
          </w:rPr>
          <w:fldChar w:fldCharType="separate"/>
        </w:r>
        <w:r w:rsidRPr="00DD595D">
          <w:rPr>
            <w:b w:val="0"/>
            <w:bCs/>
            <w:noProof/>
            <w:webHidden/>
          </w:rPr>
          <w:t>6</w:t>
        </w:r>
        <w:r w:rsidRPr="00DD595D">
          <w:rPr>
            <w:b w:val="0"/>
            <w:bCs/>
            <w:noProof/>
            <w:webHidden/>
          </w:rPr>
          <w:fldChar w:fldCharType="end"/>
        </w:r>
      </w:hyperlink>
    </w:p>
    <w:p w14:paraId="484E4997" w14:textId="6103FADE" w:rsidR="007440DF" w:rsidRPr="00CB7E88" w:rsidRDefault="007440DF">
      <w:pPr>
        <w:pStyle w:val="TableofFigures"/>
        <w:tabs>
          <w:tab w:val="right" w:leader="dot" w:pos="9016"/>
        </w:tabs>
        <w:rPr>
          <w:rFonts w:asciiTheme="minorHAnsi" w:eastAsiaTheme="minorEastAsia" w:hAnsiTheme="minorHAnsi" w:cstheme="minorBidi"/>
          <w:b w:val="0"/>
          <w:bCs/>
          <w:noProof/>
          <w:szCs w:val="24"/>
          <w:lang w:val="en-ZW" w:eastAsia="en-ZW"/>
          <w14:ligatures w14:val="standardContextual"/>
        </w:rPr>
      </w:pPr>
      <w:hyperlink w:anchor="_Toc169612988" w:history="1">
        <w:r w:rsidRPr="00DD595D">
          <w:rPr>
            <w:rStyle w:val="Hyperlink"/>
            <w:b w:val="0"/>
            <w:bCs/>
            <w:noProof/>
          </w:rPr>
          <w:t>Table 6: Victoria Falls Stock Exchange Movements</w:t>
        </w:r>
        <w:r w:rsidRPr="00DD595D">
          <w:rPr>
            <w:b w:val="0"/>
            <w:bCs/>
            <w:noProof/>
            <w:webHidden/>
          </w:rPr>
          <w:tab/>
        </w:r>
        <w:r w:rsidRPr="00DD595D">
          <w:rPr>
            <w:b w:val="0"/>
            <w:bCs/>
            <w:noProof/>
            <w:webHidden/>
          </w:rPr>
          <w:fldChar w:fldCharType="begin"/>
        </w:r>
        <w:r w:rsidRPr="00DD595D">
          <w:rPr>
            <w:b w:val="0"/>
            <w:bCs/>
            <w:noProof/>
            <w:webHidden/>
          </w:rPr>
          <w:instrText xml:space="preserve"> PAGEREF _Toc169612988 \h </w:instrText>
        </w:r>
        <w:r w:rsidRPr="00DD595D">
          <w:rPr>
            <w:b w:val="0"/>
            <w:bCs/>
            <w:noProof/>
            <w:webHidden/>
          </w:rPr>
        </w:r>
        <w:r w:rsidRPr="00DD595D">
          <w:rPr>
            <w:b w:val="0"/>
            <w:bCs/>
            <w:noProof/>
            <w:webHidden/>
          </w:rPr>
          <w:fldChar w:fldCharType="separate"/>
        </w:r>
        <w:r w:rsidRPr="00DD595D">
          <w:rPr>
            <w:b w:val="0"/>
            <w:bCs/>
            <w:noProof/>
            <w:webHidden/>
          </w:rPr>
          <w:t>6</w:t>
        </w:r>
        <w:r w:rsidRPr="00DD595D">
          <w:rPr>
            <w:b w:val="0"/>
            <w:bCs/>
            <w:noProof/>
            <w:webHidden/>
          </w:rPr>
          <w:fldChar w:fldCharType="end"/>
        </w:r>
      </w:hyperlink>
    </w:p>
    <w:p w14:paraId="0056F34F" w14:textId="78CBA129" w:rsidR="00892705" w:rsidRPr="00C5148E" w:rsidRDefault="00892705" w:rsidP="00892705">
      <w:pPr>
        <w:rPr>
          <w:rFonts w:ascii="Tahoma" w:hAnsi="Tahoma" w:cs="Tahoma"/>
          <w:bCs/>
          <w:sz w:val="24"/>
          <w:szCs w:val="24"/>
        </w:rPr>
      </w:pPr>
      <w:r w:rsidRPr="00C5148E">
        <w:rPr>
          <w:rFonts w:ascii="Tahoma" w:hAnsi="Tahoma" w:cs="Tahoma"/>
          <w:bCs/>
          <w:sz w:val="24"/>
          <w:szCs w:val="24"/>
        </w:rPr>
        <w:fldChar w:fldCharType="end"/>
      </w:r>
    </w:p>
    <w:p w14:paraId="233C5BCC" w14:textId="349AF2DC" w:rsidR="00DA458A" w:rsidRPr="00C5148E" w:rsidRDefault="00DA458A">
      <w:pPr>
        <w:rPr>
          <w:rFonts w:ascii="Tahoma" w:hAnsi="Tahoma" w:cs="Tahoma"/>
          <w:bCs/>
          <w:sz w:val="24"/>
          <w:szCs w:val="24"/>
        </w:rPr>
      </w:pPr>
    </w:p>
    <w:p w14:paraId="47927771" w14:textId="79E01B44" w:rsidR="000129B7" w:rsidRPr="00C5148E" w:rsidRDefault="00654F03" w:rsidP="0080107D">
      <w:pPr>
        <w:rPr>
          <w:rFonts w:ascii="Tahoma" w:hAnsi="Tahoma" w:cs="Tahoma"/>
          <w:b/>
          <w:bCs/>
          <w:sz w:val="24"/>
          <w:szCs w:val="24"/>
        </w:rPr>
      </w:pPr>
      <w:r w:rsidRPr="00C5148E">
        <w:rPr>
          <w:rFonts w:ascii="Tahoma" w:hAnsi="Tahoma" w:cs="Tahoma"/>
          <w:sz w:val="24"/>
          <w:szCs w:val="24"/>
        </w:rPr>
        <w:br w:type="page"/>
      </w:r>
      <w:r w:rsidR="00E76009" w:rsidRPr="00C5148E">
        <w:rPr>
          <w:rFonts w:ascii="Tahoma" w:hAnsi="Tahoma" w:cs="Tahoma"/>
          <w:b/>
          <w:bCs/>
          <w:sz w:val="24"/>
          <w:szCs w:val="24"/>
        </w:rPr>
        <w:lastRenderedPageBreak/>
        <w:t>List of Figure</w:t>
      </w:r>
      <w:r w:rsidR="002D12BD" w:rsidRPr="00C5148E">
        <w:rPr>
          <w:rFonts w:ascii="Tahoma" w:hAnsi="Tahoma" w:cs="Tahoma"/>
          <w:b/>
          <w:bCs/>
          <w:sz w:val="24"/>
          <w:szCs w:val="24"/>
        </w:rPr>
        <w:t>s</w:t>
      </w:r>
    </w:p>
    <w:p w14:paraId="4018FB76" w14:textId="38450D3E" w:rsidR="00CB7E88" w:rsidRPr="00CB7E88" w:rsidRDefault="003238AB">
      <w:pPr>
        <w:pStyle w:val="TableofFigures"/>
        <w:tabs>
          <w:tab w:val="right" w:leader="dot" w:pos="9016"/>
        </w:tabs>
        <w:rPr>
          <w:rFonts w:asciiTheme="minorHAnsi" w:eastAsiaTheme="minorEastAsia" w:hAnsiTheme="minorHAnsi" w:cstheme="minorBidi"/>
          <w:b w:val="0"/>
          <w:bCs/>
          <w:noProof/>
          <w:szCs w:val="24"/>
          <w:lang w:val="en-ZW" w:eastAsia="en-ZW"/>
          <w14:ligatures w14:val="standardContextual"/>
        </w:rPr>
      </w:pPr>
      <w:r w:rsidRPr="00C5148E">
        <w:rPr>
          <w:rFonts w:cs="Tahoma"/>
          <w:color w:val="000000"/>
          <w:szCs w:val="24"/>
        </w:rPr>
        <w:fldChar w:fldCharType="begin"/>
      </w:r>
      <w:r w:rsidRPr="00C5148E">
        <w:rPr>
          <w:rFonts w:cs="Tahoma"/>
          <w:color w:val="000000"/>
          <w:szCs w:val="24"/>
        </w:rPr>
        <w:instrText xml:space="preserve"> TOC \h \z \t "List of Figures" \c </w:instrText>
      </w:r>
      <w:r w:rsidRPr="00C5148E">
        <w:rPr>
          <w:rFonts w:cs="Tahoma"/>
          <w:color w:val="000000"/>
          <w:szCs w:val="24"/>
        </w:rPr>
        <w:fldChar w:fldCharType="separate"/>
      </w:r>
      <w:hyperlink w:anchor="_Toc169613010" w:history="1">
        <w:r w:rsidR="00CB7E88" w:rsidRPr="00DD595D">
          <w:rPr>
            <w:rStyle w:val="Hyperlink"/>
            <w:b w:val="0"/>
            <w:bCs/>
            <w:noProof/>
          </w:rPr>
          <w:t>Figure 1: Global Economic Growth Developments</w:t>
        </w:r>
        <w:r w:rsidR="00CB7E88" w:rsidRPr="00DD595D">
          <w:rPr>
            <w:b w:val="0"/>
            <w:bCs/>
            <w:noProof/>
            <w:webHidden/>
          </w:rPr>
          <w:tab/>
        </w:r>
        <w:r w:rsidR="00CB7E88" w:rsidRPr="00DD595D">
          <w:rPr>
            <w:b w:val="0"/>
            <w:bCs/>
            <w:noProof/>
            <w:webHidden/>
          </w:rPr>
          <w:fldChar w:fldCharType="begin"/>
        </w:r>
        <w:r w:rsidR="00CB7E88" w:rsidRPr="00DD595D">
          <w:rPr>
            <w:b w:val="0"/>
            <w:bCs/>
            <w:noProof/>
            <w:webHidden/>
          </w:rPr>
          <w:instrText xml:space="preserve"> PAGEREF _Toc169613010 \h </w:instrText>
        </w:r>
        <w:r w:rsidR="00CB7E88" w:rsidRPr="00DD595D">
          <w:rPr>
            <w:b w:val="0"/>
            <w:bCs/>
            <w:noProof/>
            <w:webHidden/>
          </w:rPr>
        </w:r>
        <w:r w:rsidR="00CB7E88" w:rsidRPr="00DD595D">
          <w:rPr>
            <w:b w:val="0"/>
            <w:bCs/>
            <w:noProof/>
            <w:webHidden/>
          </w:rPr>
          <w:fldChar w:fldCharType="separate"/>
        </w:r>
        <w:r w:rsidR="00CB7E88" w:rsidRPr="00DD595D">
          <w:rPr>
            <w:b w:val="0"/>
            <w:bCs/>
            <w:noProof/>
            <w:webHidden/>
          </w:rPr>
          <w:t>1</w:t>
        </w:r>
        <w:r w:rsidR="00CB7E88" w:rsidRPr="00DD595D">
          <w:rPr>
            <w:b w:val="0"/>
            <w:bCs/>
            <w:noProof/>
            <w:webHidden/>
          </w:rPr>
          <w:fldChar w:fldCharType="end"/>
        </w:r>
      </w:hyperlink>
    </w:p>
    <w:p w14:paraId="1973B7DC" w14:textId="78D94513" w:rsidR="00CB7E88" w:rsidRDefault="00CB7E88">
      <w:pPr>
        <w:pStyle w:val="TableofFigures"/>
        <w:tabs>
          <w:tab w:val="right" w:leader="dot" w:pos="9016"/>
        </w:tabs>
        <w:rPr>
          <w:rFonts w:asciiTheme="minorHAnsi" w:eastAsiaTheme="minorEastAsia" w:hAnsiTheme="minorHAnsi" w:cstheme="minorBidi"/>
          <w:b w:val="0"/>
          <w:noProof/>
          <w:szCs w:val="24"/>
          <w:lang w:val="en-ZW" w:eastAsia="en-ZW"/>
          <w14:ligatures w14:val="standardContextual"/>
        </w:rPr>
      </w:pPr>
      <w:hyperlink w:anchor="_Toc169613011" w:history="1">
        <w:r w:rsidRPr="00DD595D">
          <w:rPr>
            <w:rStyle w:val="Hyperlink"/>
            <w:b w:val="0"/>
            <w:bCs/>
            <w:noProof/>
          </w:rPr>
          <w:t>Figure 2: Month-on-Month Inflation Outturn</w:t>
        </w:r>
        <w:r w:rsidRPr="00DD595D">
          <w:rPr>
            <w:b w:val="0"/>
            <w:bCs/>
            <w:noProof/>
            <w:webHidden/>
          </w:rPr>
          <w:tab/>
        </w:r>
        <w:r w:rsidRPr="00DD595D">
          <w:rPr>
            <w:b w:val="0"/>
            <w:bCs/>
            <w:noProof/>
            <w:webHidden/>
          </w:rPr>
          <w:fldChar w:fldCharType="begin"/>
        </w:r>
        <w:r w:rsidRPr="00DD595D">
          <w:rPr>
            <w:b w:val="0"/>
            <w:bCs/>
            <w:noProof/>
            <w:webHidden/>
          </w:rPr>
          <w:instrText xml:space="preserve"> PAGEREF _Toc169613011 \h </w:instrText>
        </w:r>
        <w:r w:rsidRPr="00DD595D">
          <w:rPr>
            <w:b w:val="0"/>
            <w:bCs/>
            <w:noProof/>
            <w:webHidden/>
          </w:rPr>
        </w:r>
        <w:r w:rsidRPr="00DD595D">
          <w:rPr>
            <w:b w:val="0"/>
            <w:bCs/>
            <w:noProof/>
            <w:webHidden/>
          </w:rPr>
          <w:fldChar w:fldCharType="separate"/>
        </w:r>
        <w:r w:rsidRPr="00DD595D">
          <w:rPr>
            <w:b w:val="0"/>
            <w:bCs/>
            <w:noProof/>
            <w:webHidden/>
          </w:rPr>
          <w:t>4</w:t>
        </w:r>
        <w:r w:rsidRPr="00DD595D">
          <w:rPr>
            <w:b w:val="0"/>
            <w:bCs/>
            <w:noProof/>
            <w:webHidden/>
          </w:rPr>
          <w:fldChar w:fldCharType="end"/>
        </w:r>
      </w:hyperlink>
    </w:p>
    <w:p w14:paraId="6801FCD8" w14:textId="5A6748F5" w:rsidR="003238AB" w:rsidRPr="00C5148E" w:rsidRDefault="003238AB" w:rsidP="0080107D">
      <w:pPr>
        <w:rPr>
          <w:rFonts w:ascii="Tahoma" w:hAnsi="Tahoma" w:cs="Tahoma"/>
          <w:color w:val="000000"/>
          <w:sz w:val="24"/>
          <w:szCs w:val="24"/>
        </w:rPr>
        <w:sectPr w:rsidR="003238AB" w:rsidRPr="00C5148E" w:rsidSect="00EF15A0">
          <w:pgSz w:w="11906" w:h="16838"/>
          <w:pgMar w:top="1440" w:right="1440" w:bottom="1440" w:left="1440" w:header="708" w:footer="708" w:gutter="0"/>
          <w:pgNumType w:fmt="lowerRoman" w:start="1"/>
          <w:cols w:space="708"/>
          <w:docGrid w:linePitch="360"/>
        </w:sectPr>
      </w:pPr>
      <w:r w:rsidRPr="00C5148E">
        <w:rPr>
          <w:rFonts w:ascii="Tahoma" w:hAnsi="Tahoma" w:cs="Tahoma"/>
          <w:color w:val="000000"/>
          <w:sz w:val="24"/>
          <w:szCs w:val="24"/>
        </w:rPr>
        <w:fldChar w:fldCharType="end"/>
      </w:r>
    </w:p>
    <w:p w14:paraId="2F4DC702" w14:textId="77777777" w:rsidR="007A3E1D" w:rsidRPr="00C5148E" w:rsidRDefault="004F680D" w:rsidP="004C677E">
      <w:pPr>
        <w:pStyle w:val="Heading1"/>
        <w:spacing w:before="0" w:after="240"/>
        <w:rPr>
          <w:rFonts w:cs="Tahoma"/>
          <w:szCs w:val="24"/>
        </w:rPr>
      </w:pPr>
      <w:bookmarkStart w:id="6" w:name="_Toc166607889"/>
      <w:bookmarkStart w:id="7" w:name="_Toc169612894"/>
      <w:r w:rsidRPr="00C5148E">
        <w:rPr>
          <w:rFonts w:cs="Tahoma"/>
          <w:szCs w:val="24"/>
        </w:rPr>
        <w:lastRenderedPageBreak/>
        <w:t>1.0</w:t>
      </w:r>
      <w:r w:rsidRPr="00C5148E">
        <w:rPr>
          <w:rFonts w:cs="Tahoma"/>
          <w:szCs w:val="24"/>
        </w:rPr>
        <w:tab/>
      </w:r>
      <w:r w:rsidR="00E0023D" w:rsidRPr="00C5148E">
        <w:rPr>
          <w:rFonts w:cs="Tahoma"/>
          <w:szCs w:val="24"/>
        </w:rPr>
        <w:t xml:space="preserve">World Economic </w:t>
      </w:r>
      <w:r w:rsidR="007A3E1D" w:rsidRPr="00C5148E">
        <w:rPr>
          <w:rFonts w:cs="Tahoma"/>
          <w:szCs w:val="24"/>
        </w:rPr>
        <w:t>Developments</w:t>
      </w:r>
      <w:bookmarkEnd w:id="6"/>
      <w:bookmarkEnd w:id="7"/>
      <w:r w:rsidR="007A3E1D" w:rsidRPr="00C5148E">
        <w:rPr>
          <w:rFonts w:cs="Tahoma"/>
          <w:szCs w:val="24"/>
        </w:rPr>
        <w:t xml:space="preserve"> </w:t>
      </w:r>
    </w:p>
    <w:p w14:paraId="55D857B7" w14:textId="7AB1D862" w:rsidR="00E0023D" w:rsidRPr="00C5148E" w:rsidRDefault="004F680D" w:rsidP="00BC5A90">
      <w:pPr>
        <w:pStyle w:val="Heading2"/>
        <w:spacing w:before="0" w:after="240" w:line="240" w:lineRule="auto"/>
        <w:rPr>
          <w:rFonts w:cs="Tahoma"/>
          <w:b/>
          <w:color w:val="000000"/>
          <w:szCs w:val="24"/>
        </w:rPr>
      </w:pPr>
      <w:bookmarkStart w:id="8" w:name="_Toc166607890"/>
      <w:bookmarkStart w:id="9" w:name="_Toc169612895"/>
      <w:r w:rsidRPr="00C5148E">
        <w:rPr>
          <w:rFonts w:cs="Tahoma"/>
          <w:b/>
          <w:color w:val="000000"/>
          <w:szCs w:val="24"/>
        </w:rPr>
        <w:t xml:space="preserve">1.1 </w:t>
      </w:r>
      <w:r w:rsidRPr="00C5148E">
        <w:rPr>
          <w:rFonts w:cs="Tahoma"/>
          <w:b/>
          <w:color w:val="000000"/>
          <w:szCs w:val="24"/>
        </w:rPr>
        <w:tab/>
      </w:r>
      <w:bookmarkEnd w:id="8"/>
      <w:r w:rsidR="00B82F73" w:rsidRPr="00C5148E">
        <w:rPr>
          <w:rFonts w:cs="Tahoma"/>
          <w:b/>
          <w:color w:val="000000"/>
          <w:szCs w:val="24"/>
        </w:rPr>
        <w:t>World Growth Prospects</w:t>
      </w:r>
      <w:bookmarkEnd w:id="9"/>
      <w:r w:rsidR="00B82F73" w:rsidRPr="00C5148E">
        <w:rPr>
          <w:rFonts w:cs="Tahoma"/>
          <w:b/>
          <w:color w:val="000000"/>
          <w:szCs w:val="24"/>
        </w:rPr>
        <w:t xml:space="preserve"> </w:t>
      </w:r>
    </w:p>
    <w:p w14:paraId="63F30DE9" w14:textId="2CED90A1" w:rsidR="00B708DA" w:rsidRPr="00B708DA" w:rsidRDefault="004F680D" w:rsidP="00B708DA">
      <w:pPr>
        <w:ind w:left="720" w:hanging="720"/>
        <w:jc w:val="both"/>
        <w:rPr>
          <w:rFonts w:ascii="Tahoma" w:hAnsi="Tahoma" w:cs="Tahoma"/>
          <w:sz w:val="24"/>
          <w:szCs w:val="24"/>
        </w:rPr>
      </w:pPr>
      <w:r w:rsidRPr="00C5148E">
        <w:rPr>
          <w:rFonts w:ascii="Tahoma" w:hAnsi="Tahoma" w:cs="Tahoma"/>
          <w:sz w:val="24"/>
          <w:szCs w:val="24"/>
        </w:rPr>
        <w:t>1.1.1</w:t>
      </w:r>
      <w:r w:rsidR="001F2D81" w:rsidRPr="00C5148E">
        <w:rPr>
          <w:rFonts w:ascii="Tahoma" w:hAnsi="Tahoma" w:cs="Tahoma"/>
          <w:sz w:val="24"/>
          <w:szCs w:val="24"/>
        </w:rPr>
        <w:t xml:space="preserve"> </w:t>
      </w:r>
      <w:r w:rsidR="00DC5CBE" w:rsidRPr="00C5148E">
        <w:rPr>
          <w:rFonts w:ascii="Tahoma" w:hAnsi="Tahoma" w:cs="Tahoma"/>
          <w:sz w:val="24"/>
          <w:szCs w:val="24"/>
        </w:rPr>
        <w:tab/>
      </w:r>
      <w:bookmarkStart w:id="10" w:name="_Hlk168658229"/>
      <w:r w:rsidR="00A44415">
        <w:rPr>
          <w:rFonts w:ascii="Tahoma" w:hAnsi="Tahoma" w:cs="Tahoma"/>
          <w:sz w:val="24"/>
          <w:szCs w:val="24"/>
        </w:rPr>
        <w:t>T</w:t>
      </w:r>
      <w:r w:rsidR="00B708DA" w:rsidRPr="00B708DA">
        <w:rPr>
          <w:rFonts w:ascii="Tahoma" w:hAnsi="Tahoma" w:cs="Tahoma"/>
          <w:sz w:val="24"/>
          <w:szCs w:val="24"/>
          <w:lang w:val="en-ZW"/>
        </w:rPr>
        <w:t xml:space="preserve">he global economy </w:t>
      </w:r>
      <w:r w:rsidR="00B708DA" w:rsidRPr="00B708DA">
        <w:rPr>
          <w:rFonts w:ascii="Tahoma" w:hAnsi="Tahoma" w:cs="Tahoma"/>
          <w:sz w:val="24"/>
          <w:szCs w:val="24"/>
        </w:rPr>
        <w:t xml:space="preserve">is expected to grow by 2.9% in 2024 slightly down from 3.1% in 2023, driven by resilient employment and income growth (Euromonitor International Global Economic, Second Quarter 2024). In terms of outlook, global growth is expected to maintain 3.1% in 2025 as economic conditions normalize. </w:t>
      </w:r>
      <w:r w:rsidR="00B708DA">
        <w:rPr>
          <w:rFonts w:ascii="Tahoma" w:hAnsi="Tahoma" w:cs="Tahoma"/>
          <w:sz w:val="24"/>
          <w:szCs w:val="24"/>
        </w:rPr>
        <w:t xml:space="preserve">These forecasts slightly differ from the IMF World Economic Outlook </w:t>
      </w:r>
      <w:r w:rsidR="00B876B5">
        <w:rPr>
          <w:rFonts w:ascii="Tahoma" w:hAnsi="Tahoma" w:cs="Tahoma"/>
          <w:sz w:val="24"/>
          <w:szCs w:val="24"/>
        </w:rPr>
        <w:t xml:space="preserve">April 2024 </w:t>
      </w:r>
      <w:r w:rsidR="00B708DA">
        <w:rPr>
          <w:rFonts w:ascii="Tahoma" w:hAnsi="Tahoma" w:cs="Tahoma"/>
          <w:sz w:val="24"/>
          <w:szCs w:val="24"/>
        </w:rPr>
        <w:t xml:space="preserve">projections (see Figure 1). </w:t>
      </w:r>
    </w:p>
    <w:p w14:paraId="42450B07" w14:textId="0CDFA730" w:rsidR="003B08F0" w:rsidRDefault="00332A81" w:rsidP="00E10A0E">
      <w:pPr>
        <w:pStyle w:val="ListofFigures"/>
      </w:pPr>
      <w:bookmarkStart w:id="11" w:name="_Hlk166602890"/>
      <w:bookmarkStart w:id="12" w:name="_Toc169613010"/>
      <w:bookmarkEnd w:id="10"/>
      <w:r>
        <w:t>Figure</w:t>
      </w:r>
      <w:r w:rsidR="003B08F0" w:rsidRPr="00AE334A">
        <w:t xml:space="preserve"> 1: Global Economic Growth Developments</w:t>
      </w:r>
      <w:bookmarkEnd w:id="12"/>
    </w:p>
    <w:p w14:paraId="6DF4D8DA" w14:textId="1A9EFA1D" w:rsidR="00907A06" w:rsidRPr="00907A06" w:rsidRDefault="00907A06" w:rsidP="00DD595D">
      <w:pPr>
        <w:pStyle w:val="Caption"/>
      </w:pPr>
      <w:r>
        <w:rPr>
          <w:noProof/>
        </w:rPr>
        <w:drawing>
          <wp:inline distT="0" distB="0" distL="0" distR="0" wp14:anchorId="5FEDE98C" wp14:editId="14BCF57F">
            <wp:extent cx="5731510" cy="2790825"/>
            <wp:effectExtent l="0" t="0" r="2540" b="9525"/>
            <wp:docPr id="1243222829" name="Chart 1">
              <a:extLst xmlns:a="http://schemas.openxmlformats.org/drawingml/2006/main">
                <a:ext uri="{FF2B5EF4-FFF2-40B4-BE49-F238E27FC236}">
                  <a16:creationId xmlns:a16="http://schemas.microsoft.com/office/drawing/2014/main" id="{E3BD4F37-1DD7-2411-E8E7-9705A54F7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C11BE" w14:textId="713734E0" w:rsidR="00D15770" w:rsidRPr="00907A06" w:rsidRDefault="00A44415" w:rsidP="00DD595D">
      <w:pPr>
        <w:jc w:val="both"/>
        <w:rPr>
          <w:rFonts w:ascii="Tahoma" w:hAnsi="Tahoma" w:cs="Tahoma"/>
          <w:i/>
          <w:iCs/>
          <w:sz w:val="24"/>
          <w:szCs w:val="24"/>
        </w:rPr>
      </w:pPr>
      <w:r w:rsidRPr="00907A06">
        <w:rPr>
          <w:rFonts w:ascii="Tahoma" w:hAnsi="Tahoma" w:cs="Tahoma"/>
          <w:i/>
          <w:iCs/>
          <w:sz w:val="24"/>
          <w:szCs w:val="24"/>
        </w:rPr>
        <w:t xml:space="preserve">Euromonitor International 2024 Q2 Global Economic Forecasts and </w:t>
      </w:r>
      <w:r w:rsidR="00D15770" w:rsidRPr="00907A06">
        <w:rPr>
          <w:rFonts w:ascii="Tahoma" w:hAnsi="Tahoma" w:cs="Tahoma"/>
          <w:i/>
          <w:iCs/>
          <w:sz w:val="24"/>
          <w:szCs w:val="24"/>
        </w:rPr>
        <w:t xml:space="preserve">IMF </w:t>
      </w:r>
      <w:r w:rsidR="00907A06" w:rsidRPr="00DD595D">
        <w:rPr>
          <w:rFonts w:ascii="Tahoma" w:hAnsi="Tahoma" w:cs="Tahoma"/>
          <w:i/>
          <w:iCs/>
          <w:sz w:val="24"/>
          <w:szCs w:val="24"/>
        </w:rPr>
        <w:t xml:space="preserve">WEO </w:t>
      </w:r>
      <w:r w:rsidRPr="00907A06">
        <w:rPr>
          <w:rFonts w:ascii="Tahoma" w:hAnsi="Tahoma" w:cs="Tahoma"/>
          <w:i/>
          <w:iCs/>
          <w:sz w:val="24"/>
          <w:szCs w:val="24"/>
        </w:rPr>
        <w:t>April 2024</w:t>
      </w:r>
      <w:r w:rsidR="00907A06" w:rsidRPr="00DD595D">
        <w:rPr>
          <w:rFonts w:ascii="Tahoma" w:hAnsi="Tahoma" w:cs="Tahoma"/>
          <w:i/>
          <w:iCs/>
          <w:sz w:val="24"/>
          <w:szCs w:val="24"/>
        </w:rPr>
        <w:t xml:space="preserve"> Report </w:t>
      </w:r>
      <w:r w:rsidRPr="00907A06">
        <w:rPr>
          <w:rFonts w:ascii="Tahoma" w:hAnsi="Tahoma" w:cs="Tahoma"/>
          <w:i/>
          <w:iCs/>
          <w:sz w:val="24"/>
          <w:szCs w:val="24"/>
        </w:rPr>
        <w:t xml:space="preserve"> </w:t>
      </w:r>
    </w:p>
    <w:bookmarkEnd w:id="11"/>
    <w:p w14:paraId="25E155AF" w14:textId="4F71E3DA" w:rsidR="00AE334A" w:rsidRPr="00AE334A" w:rsidRDefault="004F680D" w:rsidP="00357EBE">
      <w:pPr>
        <w:ind w:left="720" w:hanging="720"/>
        <w:jc w:val="both"/>
        <w:rPr>
          <w:rFonts w:ascii="Tahoma" w:hAnsi="Tahoma" w:cs="Tahoma"/>
          <w:b/>
          <w:bCs/>
          <w:sz w:val="24"/>
          <w:szCs w:val="24"/>
        </w:rPr>
      </w:pPr>
      <w:r w:rsidRPr="00C5148E">
        <w:rPr>
          <w:rFonts w:ascii="Tahoma" w:hAnsi="Tahoma" w:cs="Tahoma"/>
          <w:sz w:val="24"/>
          <w:szCs w:val="24"/>
        </w:rPr>
        <w:t>1.1.</w:t>
      </w:r>
      <w:r w:rsidR="004C677E" w:rsidRPr="00C5148E">
        <w:rPr>
          <w:rFonts w:ascii="Tahoma" w:hAnsi="Tahoma" w:cs="Tahoma"/>
          <w:sz w:val="24"/>
          <w:szCs w:val="24"/>
        </w:rPr>
        <w:t>2</w:t>
      </w:r>
      <w:r w:rsidRPr="00C5148E">
        <w:rPr>
          <w:rFonts w:ascii="Tahoma" w:hAnsi="Tahoma" w:cs="Tahoma"/>
          <w:sz w:val="24"/>
          <w:szCs w:val="24"/>
        </w:rPr>
        <w:tab/>
      </w:r>
      <w:r w:rsidR="00357EBE">
        <w:rPr>
          <w:rFonts w:ascii="Tahoma" w:hAnsi="Tahoma" w:cs="Tahoma"/>
          <w:sz w:val="24"/>
          <w:szCs w:val="24"/>
        </w:rPr>
        <w:t xml:space="preserve">According to </w:t>
      </w:r>
      <w:r w:rsidR="00A44415">
        <w:rPr>
          <w:rFonts w:ascii="Tahoma" w:hAnsi="Tahoma" w:cs="Tahoma"/>
          <w:sz w:val="24"/>
          <w:szCs w:val="24"/>
        </w:rPr>
        <w:t xml:space="preserve">the </w:t>
      </w:r>
      <w:r w:rsidR="00357EBE">
        <w:rPr>
          <w:rFonts w:ascii="Tahoma" w:hAnsi="Tahoma" w:cs="Tahoma"/>
          <w:sz w:val="24"/>
          <w:szCs w:val="24"/>
        </w:rPr>
        <w:t>Euromonitor International</w:t>
      </w:r>
      <w:r w:rsidR="00A44415">
        <w:rPr>
          <w:rFonts w:ascii="Tahoma" w:hAnsi="Tahoma" w:cs="Tahoma"/>
          <w:sz w:val="24"/>
          <w:szCs w:val="24"/>
        </w:rPr>
        <w:t xml:space="preserve"> 2024 Q2 Global Economic Forecasts,</w:t>
      </w:r>
      <w:r w:rsidR="00357EBE">
        <w:rPr>
          <w:rFonts w:ascii="Tahoma" w:hAnsi="Tahoma" w:cs="Tahoma"/>
          <w:sz w:val="24"/>
          <w:szCs w:val="24"/>
        </w:rPr>
        <w:t xml:space="preserve"> major economies are stabilising. </w:t>
      </w:r>
      <w:r w:rsidR="00357EBE" w:rsidRPr="00357EBE">
        <w:rPr>
          <w:rFonts w:ascii="Tahoma" w:hAnsi="Tahoma" w:cs="Tahoma"/>
          <w:sz w:val="24"/>
          <w:szCs w:val="24"/>
        </w:rPr>
        <w:t xml:space="preserve">The US economy has shown resilience in </w:t>
      </w:r>
      <w:r w:rsidR="00A44415">
        <w:rPr>
          <w:rFonts w:ascii="Tahoma" w:hAnsi="Tahoma" w:cs="Tahoma"/>
          <w:sz w:val="24"/>
          <w:szCs w:val="24"/>
        </w:rPr>
        <w:t>the first quarter of</w:t>
      </w:r>
      <w:r w:rsidR="00A44415" w:rsidRPr="00357EBE">
        <w:rPr>
          <w:rFonts w:ascii="Tahoma" w:hAnsi="Tahoma" w:cs="Tahoma"/>
          <w:sz w:val="24"/>
          <w:szCs w:val="24"/>
        </w:rPr>
        <w:t xml:space="preserve"> </w:t>
      </w:r>
      <w:r w:rsidR="00357EBE" w:rsidRPr="00357EBE">
        <w:rPr>
          <w:rFonts w:ascii="Tahoma" w:hAnsi="Tahoma" w:cs="Tahoma"/>
          <w:sz w:val="24"/>
          <w:szCs w:val="24"/>
        </w:rPr>
        <w:t>2024, leading to an upgraded real GDP growth forecast of 2.1% for 2024, despite ongoing challenges including high interest rates, inflation, and consumer debt. Elsewhere, the Eurozone's growth is expected to remain low in 2024 at 0.7%, while China's growth forecast has been revised upward to 4.7% in 2024, driven by stronger investments, but still faces restraints from a lingering real estate crisis and subdued private consumption.</w:t>
      </w:r>
    </w:p>
    <w:p w14:paraId="0C6F42C7" w14:textId="093010E1" w:rsidR="00A521E9" w:rsidRPr="00C5148E" w:rsidRDefault="004F680D" w:rsidP="00A521E9">
      <w:pPr>
        <w:ind w:left="720" w:hanging="720"/>
        <w:jc w:val="both"/>
        <w:rPr>
          <w:rFonts w:ascii="Tahoma" w:hAnsi="Tahoma" w:cs="Tahoma"/>
          <w:sz w:val="24"/>
          <w:szCs w:val="24"/>
        </w:rPr>
      </w:pPr>
      <w:r w:rsidRPr="00C5148E">
        <w:rPr>
          <w:rFonts w:ascii="Tahoma" w:hAnsi="Tahoma" w:cs="Tahoma"/>
          <w:sz w:val="24"/>
          <w:szCs w:val="24"/>
        </w:rPr>
        <w:t>1.1.</w:t>
      </w:r>
      <w:r w:rsidR="004C677E" w:rsidRPr="00C5148E">
        <w:rPr>
          <w:rFonts w:ascii="Tahoma" w:hAnsi="Tahoma" w:cs="Tahoma"/>
          <w:sz w:val="24"/>
          <w:szCs w:val="24"/>
        </w:rPr>
        <w:t>3</w:t>
      </w:r>
      <w:r w:rsidRPr="00C5148E">
        <w:rPr>
          <w:rFonts w:ascii="Tahoma" w:hAnsi="Tahoma" w:cs="Tahoma"/>
          <w:sz w:val="24"/>
          <w:szCs w:val="24"/>
        </w:rPr>
        <w:tab/>
      </w:r>
      <w:bookmarkStart w:id="13" w:name="_Hlk168659246"/>
      <w:r w:rsidR="003A3D01">
        <w:rPr>
          <w:rFonts w:ascii="Tahoma" w:hAnsi="Tahoma" w:cs="Tahoma"/>
          <w:sz w:val="24"/>
          <w:szCs w:val="24"/>
        </w:rPr>
        <w:t>A steady</w:t>
      </w:r>
      <w:r w:rsidR="003A3D01" w:rsidRPr="003A3D01">
        <w:rPr>
          <w:rFonts w:ascii="Tahoma" w:hAnsi="Tahoma" w:cs="Tahoma"/>
          <w:sz w:val="24"/>
          <w:szCs w:val="24"/>
        </w:rPr>
        <w:t xml:space="preserve"> growth in developing and rising economies</w:t>
      </w:r>
      <w:r w:rsidR="003A3D01">
        <w:rPr>
          <w:rFonts w:ascii="Tahoma" w:hAnsi="Tahoma" w:cs="Tahoma"/>
          <w:sz w:val="24"/>
          <w:szCs w:val="24"/>
        </w:rPr>
        <w:t xml:space="preserve"> is expected</w:t>
      </w:r>
      <w:r w:rsidR="003A3D01" w:rsidRPr="003A3D01">
        <w:rPr>
          <w:rFonts w:ascii="Tahoma" w:hAnsi="Tahoma" w:cs="Tahoma"/>
          <w:sz w:val="24"/>
          <w:szCs w:val="24"/>
        </w:rPr>
        <w:t>, with minor regional disparities.</w:t>
      </w:r>
      <w:r w:rsidR="003A3D01">
        <w:rPr>
          <w:rFonts w:ascii="Tahoma" w:hAnsi="Tahoma" w:cs="Tahoma"/>
          <w:sz w:val="24"/>
          <w:szCs w:val="24"/>
        </w:rPr>
        <w:t xml:space="preserve"> </w:t>
      </w:r>
      <w:r w:rsidR="00302566" w:rsidRPr="00302566">
        <w:rPr>
          <w:rFonts w:ascii="Tahoma" w:hAnsi="Tahoma" w:cs="Tahoma"/>
          <w:sz w:val="24"/>
          <w:szCs w:val="24"/>
        </w:rPr>
        <w:t xml:space="preserve">Emerging and developing economies are expected to outperform advanced economies in 2024, with a real GDP growth rate of 4.0% compared to 1.4% in advanced economies, led by strong growth in emerging Asian countries such as India, Indonesia, Vietnam, and the Philippines. However, growth will be subdued in some Latin American markets, including </w:t>
      </w:r>
      <w:r w:rsidR="00302566" w:rsidRPr="00302566">
        <w:rPr>
          <w:rFonts w:ascii="Tahoma" w:hAnsi="Tahoma" w:cs="Tahoma"/>
          <w:sz w:val="24"/>
          <w:szCs w:val="24"/>
        </w:rPr>
        <w:lastRenderedPageBreak/>
        <w:t>Mexico and Brazil, due to softening domestic and external demand, fiscal consolidation, and tight monetary policy.</w:t>
      </w:r>
      <w:bookmarkStart w:id="14" w:name="_Hlk168659278"/>
      <w:bookmarkEnd w:id="13"/>
    </w:p>
    <w:p w14:paraId="632D4CA9" w14:textId="77777777" w:rsidR="007A3E1D" w:rsidRPr="00C5148E" w:rsidRDefault="004F680D" w:rsidP="00BC5A90">
      <w:pPr>
        <w:pStyle w:val="Heading2"/>
        <w:spacing w:before="0" w:after="240" w:line="240" w:lineRule="auto"/>
        <w:rPr>
          <w:rFonts w:cs="Tahoma"/>
          <w:b/>
          <w:color w:val="000000"/>
          <w:szCs w:val="24"/>
        </w:rPr>
      </w:pPr>
      <w:bookmarkStart w:id="15" w:name="_Toc166607891"/>
      <w:bookmarkStart w:id="16" w:name="_Toc169612896"/>
      <w:bookmarkEnd w:id="14"/>
      <w:r w:rsidRPr="00C5148E">
        <w:rPr>
          <w:rFonts w:cs="Tahoma"/>
          <w:b/>
          <w:color w:val="000000"/>
          <w:szCs w:val="24"/>
        </w:rPr>
        <w:t>1.2</w:t>
      </w:r>
      <w:r w:rsidRPr="00C5148E">
        <w:rPr>
          <w:rFonts w:cs="Tahoma"/>
          <w:b/>
          <w:color w:val="000000"/>
          <w:szCs w:val="24"/>
        </w:rPr>
        <w:tab/>
      </w:r>
      <w:r w:rsidR="007A3E1D" w:rsidRPr="00C5148E">
        <w:rPr>
          <w:rFonts w:cs="Tahoma"/>
          <w:b/>
          <w:color w:val="000000"/>
          <w:szCs w:val="24"/>
        </w:rPr>
        <w:t>Global Inflation Developments</w:t>
      </w:r>
      <w:bookmarkEnd w:id="15"/>
      <w:bookmarkEnd w:id="16"/>
      <w:r w:rsidR="007A3E1D" w:rsidRPr="00C5148E">
        <w:rPr>
          <w:rFonts w:cs="Tahoma"/>
          <w:b/>
          <w:color w:val="000000"/>
          <w:szCs w:val="24"/>
        </w:rPr>
        <w:t xml:space="preserve"> </w:t>
      </w:r>
    </w:p>
    <w:p w14:paraId="42DB6A69" w14:textId="5F3F058C" w:rsidR="007A3E1D" w:rsidRPr="00C5148E" w:rsidRDefault="004F680D" w:rsidP="0091147A">
      <w:pPr>
        <w:ind w:left="720" w:hanging="720"/>
        <w:jc w:val="both"/>
        <w:rPr>
          <w:rFonts w:ascii="Tahoma" w:hAnsi="Tahoma" w:cs="Tahoma"/>
          <w:sz w:val="24"/>
          <w:szCs w:val="24"/>
        </w:rPr>
      </w:pPr>
      <w:r w:rsidRPr="00C5148E">
        <w:rPr>
          <w:rFonts w:ascii="Tahoma" w:hAnsi="Tahoma" w:cs="Tahoma"/>
          <w:sz w:val="24"/>
          <w:szCs w:val="24"/>
        </w:rPr>
        <w:t>1.2.1</w:t>
      </w:r>
      <w:r w:rsidRPr="00C5148E">
        <w:rPr>
          <w:rFonts w:ascii="Tahoma" w:hAnsi="Tahoma" w:cs="Tahoma"/>
          <w:sz w:val="24"/>
          <w:szCs w:val="24"/>
        </w:rPr>
        <w:tab/>
      </w:r>
      <w:r w:rsidR="00B876B5">
        <w:rPr>
          <w:rFonts w:ascii="Tahoma" w:hAnsi="Tahoma" w:cs="Tahoma"/>
          <w:sz w:val="24"/>
          <w:szCs w:val="24"/>
        </w:rPr>
        <w:t xml:space="preserve">Global inflation forecasts remain unchanged. </w:t>
      </w:r>
      <w:r w:rsidR="0091147A" w:rsidRPr="00C5148E">
        <w:rPr>
          <w:rFonts w:ascii="Tahoma" w:hAnsi="Tahoma" w:cs="Tahoma"/>
          <w:sz w:val="24"/>
          <w:szCs w:val="24"/>
        </w:rPr>
        <w:t xml:space="preserve">According to the </w:t>
      </w:r>
      <w:r w:rsidR="00B876B5">
        <w:rPr>
          <w:rFonts w:ascii="Tahoma" w:hAnsi="Tahoma" w:cs="Tahoma"/>
          <w:sz w:val="24"/>
          <w:szCs w:val="24"/>
        </w:rPr>
        <w:t>IMF World Economic Outlook April 2024 projections</w:t>
      </w:r>
      <w:r w:rsidR="0091147A" w:rsidRPr="00C5148E">
        <w:rPr>
          <w:rFonts w:ascii="Tahoma" w:hAnsi="Tahoma" w:cs="Tahoma"/>
          <w:sz w:val="24"/>
          <w:szCs w:val="24"/>
        </w:rPr>
        <w:t>, g</w:t>
      </w:r>
      <w:r w:rsidR="006A6773" w:rsidRPr="00C5148E">
        <w:rPr>
          <w:rFonts w:ascii="Tahoma" w:hAnsi="Tahoma" w:cs="Tahoma"/>
          <w:sz w:val="24"/>
          <w:szCs w:val="24"/>
        </w:rPr>
        <w:t>lobal inflation</w:t>
      </w:r>
      <w:r w:rsidR="0091147A" w:rsidRPr="00C5148E">
        <w:rPr>
          <w:rFonts w:ascii="Tahoma" w:hAnsi="Tahoma" w:cs="Tahoma"/>
          <w:sz w:val="24"/>
          <w:szCs w:val="24"/>
        </w:rPr>
        <w:t xml:space="preserve"> stood at 6.8%</w:t>
      </w:r>
      <w:r w:rsidR="00B876B5">
        <w:rPr>
          <w:rFonts w:ascii="Tahoma" w:hAnsi="Tahoma" w:cs="Tahoma"/>
          <w:sz w:val="24"/>
          <w:szCs w:val="24"/>
        </w:rPr>
        <w:t xml:space="preserve"> in 2023</w:t>
      </w:r>
      <w:r w:rsidR="0091147A" w:rsidRPr="00C5148E">
        <w:rPr>
          <w:rFonts w:ascii="Tahoma" w:hAnsi="Tahoma" w:cs="Tahoma"/>
          <w:sz w:val="24"/>
          <w:szCs w:val="24"/>
        </w:rPr>
        <w:t xml:space="preserve"> and projected to fall to 5.9% and 4.5% in 2024 and 2025 respectively.</w:t>
      </w:r>
      <w:r w:rsidR="006A6773" w:rsidRPr="00C5148E">
        <w:rPr>
          <w:rFonts w:ascii="Tahoma" w:hAnsi="Tahoma" w:cs="Tahoma"/>
          <w:sz w:val="24"/>
          <w:szCs w:val="24"/>
        </w:rPr>
        <w:t xml:space="preserve"> </w:t>
      </w:r>
      <w:r w:rsidR="00B876B5" w:rsidRPr="00DD595D">
        <w:rPr>
          <w:rFonts w:ascii="Tahoma" w:hAnsi="Tahoma" w:cs="Tahoma"/>
          <w:i/>
          <w:iCs/>
          <w:sz w:val="24"/>
          <w:szCs w:val="24"/>
        </w:rPr>
        <w:t xml:space="preserve">The downward trend in global inflation developments points towards accommodative interest rates which is a boon for Zimbabwe. </w:t>
      </w:r>
    </w:p>
    <w:p w14:paraId="43327C1E" w14:textId="77777777" w:rsidR="00BB6E27" w:rsidRPr="00C5148E" w:rsidRDefault="004F680D" w:rsidP="00796E2E">
      <w:pPr>
        <w:pStyle w:val="Heading2"/>
        <w:spacing w:before="0" w:after="240"/>
        <w:rPr>
          <w:rFonts w:cs="Tahoma"/>
          <w:b/>
          <w:bCs/>
          <w:szCs w:val="24"/>
        </w:rPr>
      </w:pPr>
      <w:bookmarkStart w:id="17" w:name="_Toc166607892"/>
      <w:bookmarkStart w:id="18" w:name="_Toc169612897"/>
      <w:r w:rsidRPr="00C5148E">
        <w:rPr>
          <w:rFonts w:cs="Tahoma"/>
          <w:b/>
          <w:bCs/>
          <w:szCs w:val="24"/>
        </w:rPr>
        <w:t>2.0</w:t>
      </w:r>
      <w:r w:rsidRPr="00C5148E">
        <w:rPr>
          <w:rFonts w:cs="Tahoma"/>
          <w:b/>
          <w:bCs/>
          <w:szCs w:val="24"/>
        </w:rPr>
        <w:tab/>
      </w:r>
      <w:r w:rsidR="00EF37FE" w:rsidRPr="00C5148E">
        <w:rPr>
          <w:rFonts w:cs="Tahoma"/>
          <w:b/>
          <w:bCs/>
          <w:szCs w:val="24"/>
        </w:rPr>
        <w:t>International Commodity Prices</w:t>
      </w:r>
      <w:bookmarkEnd w:id="17"/>
      <w:bookmarkEnd w:id="18"/>
      <w:r w:rsidR="00EF37FE" w:rsidRPr="00C5148E">
        <w:rPr>
          <w:rFonts w:cs="Tahoma"/>
          <w:b/>
          <w:bCs/>
          <w:szCs w:val="24"/>
        </w:rPr>
        <w:t xml:space="preserve"> </w:t>
      </w:r>
    </w:p>
    <w:p w14:paraId="02D05FF2" w14:textId="4585DE69" w:rsidR="00A054C3" w:rsidRPr="00C5148E" w:rsidRDefault="004F680D" w:rsidP="00DB1180">
      <w:pPr>
        <w:ind w:left="720" w:hanging="720"/>
        <w:jc w:val="both"/>
        <w:rPr>
          <w:rFonts w:ascii="Tahoma" w:hAnsi="Tahoma" w:cs="Tahoma"/>
          <w:sz w:val="24"/>
          <w:szCs w:val="24"/>
          <w:lang w:val="en-ZW"/>
        </w:rPr>
      </w:pPr>
      <w:r w:rsidRPr="00C5148E">
        <w:rPr>
          <w:rFonts w:ascii="Tahoma" w:hAnsi="Tahoma" w:cs="Tahoma"/>
          <w:sz w:val="24"/>
          <w:szCs w:val="24"/>
        </w:rPr>
        <w:t>2.1</w:t>
      </w:r>
      <w:r w:rsidRPr="00C5148E">
        <w:rPr>
          <w:rFonts w:ascii="Tahoma" w:hAnsi="Tahoma" w:cs="Tahoma"/>
          <w:sz w:val="24"/>
          <w:szCs w:val="24"/>
        </w:rPr>
        <w:tab/>
      </w:r>
      <w:bookmarkStart w:id="19" w:name="_Hlk168659497"/>
      <w:r w:rsidR="00A81B13" w:rsidRPr="00C5148E">
        <w:rPr>
          <w:rFonts w:ascii="Tahoma" w:hAnsi="Tahoma" w:cs="Tahoma"/>
          <w:sz w:val="24"/>
          <w:szCs w:val="24"/>
          <w:lang w:val="en-ZW"/>
        </w:rPr>
        <w:t xml:space="preserve">During the month under review, commodity prices </w:t>
      </w:r>
      <w:r w:rsidR="000E3486">
        <w:rPr>
          <w:rFonts w:ascii="Tahoma" w:hAnsi="Tahoma" w:cs="Tahoma"/>
          <w:sz w:val="24"/>
          <w:szCs w:val="24"/>
          <w:lang w:val="en-ZW"/>
        </w:rPr>
        <w:t>registered an upward trend</w:t>
      </w:r>
      <w:r w:rsidR="00A81B13" w:rsidRPr="00C5148E">
        <w:rPr>
          <w:rFonts w:ascii="Tahoma" w:hAnsi="Tahoma" w:cs="Tahoma"/>
          <w:sz w:val="24"/>
          <w:szCs w:val="24"/>
          <w:lang w:val="en-ZW"/>
        </w:rPr>
        <w:t xml:space="preserve">. This was mostly due to geopolitical conflicts such as the Russia-Ukraine conflict, the Gaza war, El Nino-induced drought which interrupted transit routes and led to shortages hence increased prices. </w:t>
      </w:r>
      <w:r w:rsidR="000E3486" w:rsidRPr="000E3486">
        <w:rPr>
          <w:rFonts w:ascii="Tahoma" w:hAnsi="Tahoma" w:cs="Tahoma"/>
          <w:sz w:val="24"/>
          <w:szCs w:val="24"/>
          <w:lang w:val="en-ZW"/>
        </w:rPr>
        <w:t xml:space="preserve">Prices of natural gas, aluminium, copper, nickel, gold, soyabeans and wheat registered an increase while crude oil, cotton and corn registered a decline </w:t>
      </w:r>
      <w:r w:rsidR="000E3486">
        <w:rPr>
          <w:rFonts w:ascii="Tahoma" w:hAnsi="Tahoma" w:cs="Tahoma"/>
          <w:sz w:val="24"/>
          <w:szCs w:val="24"/>
          <w:lang w:val="en-ZW"/>
        </w:rPr>
        <w:t xml:space="preserve">(see </w:t>
      </w:r>
      <w:r w:rsidR="00337CEC" w:rsidRPr="00C5148E">
        <w:rPr>
          <w:rFonts w:ascii="Tahoma" w:hAnsi="Tahoma" w:cs="Tahoma"/>
          <w:sz w:val="24"/>
          <w:szCs w:val="24"/>
          <w:lang w:val="en-ZW"/>
        </w:rPr>
        <w:t>Table 2</w:t>
      </w:r>
      <w:r w:rsidR="000E3486">
        <w:rPr>
          <w:rFonts w:ascii="Tahoma" w:hAnsi="Tahoma" w:cs="Tahoma"/>
          <w:sz w:val="24"/>
          <w:szCs w:val="24"/>
          <w:lang w:val="en-ZW"/>
        </w:rPr>
        <w:t>)</w:t>
      </w:r>
      <w:r w:rsidR="00337CEC" w:rsidRPr="00C5148E">
        <w:rPr>
          <w:rFonts w:ascii="Tahoma" w:hAnsi="Tahoma" w:cs="Tahoma"/>
          <w:sz w:val="24"/>
          <w:szCs w:val="24"/>
          <w:lang w:val="en-ZW"/>
        </w:rPr>
        <w:t>.</w:t>
      </w:r>
      <w:r w:rsidR="00816B54" w:rsidRPr="00C5148E">
        <w:rPr>
          <w:rFonts w:ascii="Tahoma" w:hAnsi="Tahoma" w:cs="Tahoma"/>
          <w:sz w:val="24"/>
          <w:szCs w:val="24"/>
          <w:lang w:val="en-ZW"/>
        </w:rPr>
        <w:t xml:space="preserve"> </w:t>
      </w:r>
    </w:p>
    <w:bookmarkEnd w:id="19"/>
    <w:p w14:paraId="0EFD809D" w14:textId="220D287A" w:rsidR="00AB665D" w:rsidRPr="00C5148E" w:rsidRDefault="004F680D" w:rsidP="00D5422A">
      <w:pPr>
        <w:ind w:left="720" w:hanging="720"/>
        <w:jc w:val="both"/>
        <w:rPr>
          <w:rFonts w:ascii="Tahoma" w:hAnsi="Tahoma" w:cs="Tahoma"/>
          <w:i/>
          <w:iCs/>
          <w:sz w:val="24"/>
          <w:szCs w:val="24"/>
        </w:rPr>
      </w:pPr>
      <w:r w:rsidRPr="00C5148E">
        <w:rPr>
          <w:rFonts w:ascii="Tahoma" w:hAnsi="Tahoma" w:cs="Tahoma"/>
          <w:sz w:val="24"/>
          <w:szCs w:val="24"/>
        </w:rPr>
        <w:t>2.2</w:t>
      </w:r>
      <w:r w:rsidRPr="00C5148E">
        <w:rPr>
          <w:rFonts w:ascii="Tahoma" w:hAnsi="Tahoma" w:cs="Tahoma"/>
          <w:sz w:val="24"/>
          <w:szCs w:val="24"/>
        </w:rPr>
        <w:tab/>
      </w:r>
      <w:r w:rsidR="00AB665D" w:rsidRPr="00C5148E">
        <w:rPr>
          <w:rFonts w:ascii="Tahoma" w:hAnsi="Tahoma" w:cs="Tahoma"/>
          <w:sz w:val="24"/>
          <w:szCs w:val="24"/>
        </w:rPr>
        <w:t xml:space="preserve">On a </w:t>
      </w:r>
      <w:r w:rsidR="00E54A43" w:rsidRPr="00C5148E">
        <w:rPr>
          <w:rFonts w:ascii="Tahoma" w:hAnsi="Tahoma" w:cs="Tahoma"/>
          <w:sz w:val="24"/>
          <w:szCs w:val="24"/>
        </w:rPr>
        <w:t>year-to-date</w:t>
      </w:r>
      <w:r w:rsidR="00AB665D" w:rsidRPr="00C5148E">
        <w:rPr>
          <w:rFonts w:ascii="Tahoma" w:hAnsi="Tahoma" w:cs="Tahoma"/>
          <w:sz w:val="24"/>
          <w:szCs w:val="24"/>
        </w:rPr>
        <w:t xml:space="preserve"> basis (YtD)</w:t>
      </w:r>
      <w:r w:rsidR="00E748A0" w:rsidRPr="00C5148E">
        <w:rPr>
          <w:rFonts w:ascii="Tahoma" w:hAnsi="Tahoma" w:cs="Tahoma"/>
          <w:sz w:val="24"/>
          <w:szCs w:val="24"/>
        </w:rPr>
        <w:t xml:space="preserve"> and</w:t>
      </w:r>
      <w:r w:rsidR="004624DA" w:rsidRPr="00C5148E">
        <w:rPr>
          <w:rFonts w:ascii="Tahoma" w:hAnsi="Tahoma" w:cs="Tahoma"/>
          <w:sz w:val="24"/>
          <w:szCs w:val="24"/>
        </w:rPr>
        <w:t xml:space="preserve"> year</w:t>
      </w:r>
      <w:r w:rsidR="00E748A0" w:rsidRPr="00C5148E">
        <w:rPr>
          <w:rFonts w:ascii="Tahoma" w:hAnsi="Tahoma" w:cs="Tahoma"/>
          <w:sz w:val="24"/>
          <w:szCs w:val="24"/>
        </w:rPr>
        <w:t>-</w:t>
      </w:r>
      <w:r w:rsidR="004624DA" w:rsidRPr="00C5148E">
        <w:rPr>
          <w:rFonts w:ascii="Tahoma" w:hAnsi="Tahoma" w:cs="Tahoma"/>
          <w:sz w:val="24"/>
          <w:szCs w:val="24"/>
        </w:rPr>
        <w:t>on</w:t>
      </w:r>
      <w:r w:rsidR="00E748A0" w:rsidRPr="00C5148E">
        <w:rPr>
          <w:rFonts w:ascii="Tahoma" w:hAnsi="Tahoma" w:cs="Tahoma"/>
          <w:sz w:val="24"/>
          <w:szCs w:val="24"/>
        </w:rPr>
        <w:t>-</w:t>
      </w:r>
      <w:r w:rsidR="004624DA" w:rsidRPr="00C5148E">
        <w:rPr>
          <w:rFonts w:ascii="Tahoma" w:hAnsi="Tahoma" w:cs="Tahoma"/>
          <w:sz w:val="24"/>
          <w:szCs w:val="24"/>
        </w:rPr>
        <w:t>year (YoY) basis</w:t>
      </w:r>
      <w:r w:rsidR="00BF2708" w:rsidRPr="00C5148E">
        <w:rPr>
          <w:rFonts w:ascii="Tahoma" w:hAnsi="Tahoma" w:cs="Tahoma"/>
          <w:sz w:val="24"/>
          <w:szCs w:val="24"/>
        </w:rPr>
        <w:t xml:space="preserve">, crude oil, natural gas, aluminium, copper and gold prices gained while nickel gained on a YtD basis </w:t>
      </w:r>
      <w:r w:rsidR="00817313">
        <w:rPr>
          <w:rFonts w:ascii="Tahoma" w:hAnsi="Tahoma" w:cs="Tahoma"/>
          <w:sz w:val="24"/>
          <w:szCs w:val="24"/>
        </w:rPr>
        <w:t xml:space="preserve">and </w:t>
      </w:r>
      <w:r w:rsidR="00BF2708" w:rsidRPr="00C5148E">
        <w:rPr>
          <w:rFonts w:ascii="Tahoma" w:hAnsi="Tahoma" w:cs="Tahoma"/>
          <w:sz w:val="24"/>
          <w:szCs w:val="24"/>
        </w:rPr>
        <w:t xml:space="preserve">lost on a YoY basis. </w:t>
      </w:r>
    </w:p>
    <w:p w14:paraId="2E3BB545" w14:textId="5B6DE50E" w:rsidR="000732CC" w:rsidRPr="00C5148E" w:rsidRDefault="004F680D" w:rsidP="004F680D">
      <w:pPr>
        <w:ind w:left="720" w:hanging="720"/>
        <w:jc w:val="both"/>
        <w:rPr>
          <w:rFonts w:ascii="Tahoma" w:hAnsi="Tahoma" w:cs="Tahoma"/>
          <w:sz w:val="24"/>
          <w:szCs w:val="24"/>
        </w:rPr>
      </w:pPr>
      <w:r w:rsidRPr="00C5148E">
        <w:rPr>
          <w:rFonts w:ascii="Tahoma" w:hAnsi="Tahoma" w:cs="Tahoma"/>
          <w:sz w:val="24"/>
          <w:szCs w:val="24"/>
        </w:rPr>
        <w:t>2.3</w:t>
      </w:r>
      <w:r w:rsidRPr="00C5148E">
        <w:rPr>
          <w:rFonts w:ascii="Tahoma" w:hAnsi="Tahoma" w:cs="Tahoma"/>
          <w:sz w:val="24"/>
          <w:szCs w:val="24"/>
        </w:rPr>
        <w:tab/>
      </w:r>
      <w:r w:rsidR="00F50599" w:rsidRPr="00C5148E">
        <w:rPr>
          <w:rFonts w:ascii="Tahoma" w:hAnsi="Tahoma" w:cs="Tahoma"/>
          <w:sz w:val="24"/>
          <w:szCs w:val="24"/>
        </w:rPr>
        <w:t xml:space="preserve">On agricultural commodities, </w:t>
      </w:r>
      <w:r w:rsidR="00C840CA" w:rsidRPr="00C5148E">
        <w:rPr>
          <w:rFonts w:ascii="Tahoma" w:hAnsi="Tahoma" w:cs="Tahoma"/>
          <w:sz w:val="24"/>
          <w:szCs w:val="24"/>
        </w:rPr>
        <w:t>c</w:t>
      </w:r>
      <w:r w:rsidR="000732CC" w:rsidRPr="00C5148E">
        <w:rPr>
          <w:rFonts w:ascii="Tahoma" w:hAnsi="Tahoma" w:cs="Tahoma"/>
          <w:sz w:val="24"/>
          <w:szCs w:val="24"/>
        </w:rPr>
        <w:t xml:space="preserve">otton </w:t>
      </w:r>
      <w:r w:rsidR="00647E48" w:rsidRPr="00C5148E">
        <w:rPr>
          <w:rFonts w:ascii="Tahoma" w:hAnsi="Tahoma" w:cs="Tahoma"/>
          <w:sz w:val="24"/>
          <w:szCs w:val="24"/>
        </w:rPr>
        <w:t>lost by</w:t>
      </w:r>
      <w:r w:rsidR="000732CC" w:rsidRPr="00C5148E">
        <w:rPr>
          <w:rFonts w:ascii="Tahoma" w:hAnsi="Tahoma" w:cs="Tahoma"/>
          <w:sz w:val="24"/>
          <w:szCs w:val="24"/>
        </w:rPr>
        <w:t xml:space="preserve"> </w:t>
      </w:r>
      <w:r w:rsidR="00A925F2" w:rsidRPr="00C5148E">
        <w:rPr>
          <w:rFonts w:ascii="Tahoma" w:hAnsi="Tahoma" w:cs="Tahoma"/>
          <w:sz w:val="24"/>
          <w:szCs w:val="24"/>
        </w:rPr>
        <w:t>10</w:t>
      </w:r>
      <w:r w:rsidR="000732CC" w:rsidRPr="00C5148E">
        <w:rPr>
          <w:rFonts w:ascii="Tahoma" w:hAnsi="Tahoma" w:cs="Tahoma"/>
          <w:sz w:val="24"/>
          <w:szCs w:val="24"/>
        </w:rPr>
        <w:t>.</w:t>
      </w:r>
      <w:r w:rsidR="00A925F2" w:rsidRPr="00C5148E">
        <w:rPr>
          <w:rFonts w:ascii="Tahoma" w:hAnsi="Tahoma" w:cs="Tahoma"/>
          <w:sz w:val="24"/>
          <w:szCs w:val="24"/>
        </w:rPr>
        <w:t>63</w:t>
      </w:r>
      <w:r w:rsidR="000732CC" w:rsidRPr="00C5148E">
        <w:rPr>
          <w:rFonts w:ascii="Tahoma" w:hAnsi="Tahoma" w:cs="Tahoma"/>
          <w:sz w:val="24"/>
          <w:szCs w:val="24"/>
        </w:rPr>
        <w:t xml:space="preserve">% and </w:t>
      </w:r>
      <w:r w:rsidR="00A925F2" w:rsidRPr="00C5148E">
        <w:rPr>
          <w:rFonts w:ascii="Tahoma" w:hAnsi="Tahoma" w:cs="Tahoma"/>
          <w:sz w:val="24"/>
          <w:szCs w:val="24"/>
        </w:rPr>
        <w:t>8.82</w:t>
      </w:r>
      <w:r w:rsidR="000732CC" w:rsidRPr="00C5148E">
        <w:rPr>
          <w:rFonts w:ascii="Tahoma" w:hAnsi="Tahoma" w:cs="Tahoma"/>
          <w:sz w:val="24"/>
          <w:szCs w:val="24"/>
        </w:rPr>
        <w:t xml:space="preserve">% </w:t>
      </w:r>
      <w:r w:rsidR="00B65977" w:rsidRPr="00C5148E">
        <w:rPr>
          <w:rFonts w:ascii="Tahoma" w:hAnsi="Tahoma" w:cs="Tahoma"/>
          <w:sz w:val="24"/>
          <w:szCs w:val="24"/>
        </w:rPr>
        <w:t xml:space="preserve">on </w:t>
      </w:r>
      <w:r w:rsidR="000732CC" w:rsidRPr="00C5148E">
        <w:rPr>
          <w:rFonts w:ascii="Tahoma" w:hAnsi="Tahoma" w:cs="Tahoma"/>
          <w:sz w:val="24"/>
          <w:szCs w:val="24"/>
        </w:rPr>
        <w:t>Yt</w:t>
      </w:r>
      <w:r w:rsidR="00C840CA" w:rsidRPr="00C5148E">
        <w:rPr>
          <w:rFonts w:ascii="Tahoma" w:hAnsi="Tahoma" w:cs="Tahoma"/>
          <w:sz w:val="24"/>
          <w:szCs w:val="24"/>
        </w:rPr>
        <w:t>D</w:t>
      </w:r>
      <w:r w:rsidR="000732CC" w:rsidRPr="00C5148E">
        <w:rPr>
          <w:rFonts w:ascii="Tahoma" w:hAnsi="Tahoma" w:cs="Tahoma"/>
          <w:sz w:val="24"/>
          <w:szCs w:val="24"/>
        </w:rPr>
        <w:t xml:space="preserve"> and YoY, respectively</w:t>
      </w:r>
      <w:r w:rsidR="00A925F2" w:rsidRPr="00C5148E">
        <w:rPr>
          <w:rFonts w:ascii="Tahoma" w:hAnsi="Tahoma" w:cs="Tahoma"/>
          <w:sz w:val="24"/>
          <w:szCs w:val="24"/>
        </w:rPr>
        <w:t>, and</w:t>
      </w:r>
      <w:r w:rsidR="000732CC" w:rsidRPr="00C5148E">
        <w:rPr>
          <w:rFonts w:ascii="Tahoma" w:hAnsi="Tahoma" w:cs="Tahoma"/>
          <w:sz w:val="24"/>
          <w:szCs w:val="24"/>
        </w:rPr>
        <w:t xml:space="preserve"> </w:t>
      </w:r>
      <w:r w:rsidR="00A925F2" w:rsidRPr="00C5148E">
        <w:rPr>
          <w:rFonts w:ascii="Tahoma" w:hAnsi="Tahoma" w:cs="Tahoma"/>
          <w:sz w:val="24"/>
          <w:szCs w:val="24"/>
        </w:rPr>
        <w:t>corn</w:t>
      </w:r>
      <w:r w:rsidR="00796E2E" w:rsidRPr="00C5148E">
        <w:rPr>
          <w:rFonts w:ascii="Tahoma" w:hAnsi="Tahoma" w:cs="Tahoma"/>
          <w:sz w:val="24"/>
          <w:szCs w:val="24"/>
        </w:rPr>
        <w:t xml:space="preserve"> also</w:t>
      </w:r>
      <w:r w:rsidR="000732CC" w:rsidRPr="00C5148E">
        <w:rPr>
          <w:rFonts w:ascii="Tahoma" w:hAnsi="Tahoma" w:cs="Tahoma"/>
          <w:sz w:val="24"/>
          <w:szCs w:val="24"/>
        </w:rPr>
        <w:t xml:space="preserve"> lost</w:t>
      </w:r>
      <w:r w:rsidR="00A925F2" w:rsidRPr="00C5148E">
        <w:rPr>
          <w:rFonts w:ascii="Tahoma" w:hAnsi="Tahoma" w:cs="Tahoma"/>
          <w:sz w:val="24"/>
          <w:szCs w:val="24"/>
        </w:rPr>
        <w:t xml:space="preserve"> by</w:t>
      </w:r>
      <w:r w:rsidR="000732CC" w:rsidRPr="00C5148E">
        <w:rPr>
          <w:rFonts w:ascii="Tahoma" w:hAnsi="Tahoma" w:cs="Tahoma"/>
          <w:sz w:val="24"/>
          <w:szCs w:val="24"/>
        </w:rPr>
        <w:t xml:space="preserve"> </w:t>
      </w:r>
      <w:r w:rsidR="00A925F2" w:rsidRPr="00C5148E">
        <w:rPr>
          <w:rFonts w:ascii="Tahoma" w:hAnsi="Tahoma" w:cs="Tahoma"/>
          <w:sz w:val="24"/>
          <w:szCs w:val="24"/>
        </w:rPr>
        <w:t>2.67</w:t>
      </w:r>
      <w:r w:rsidR="000732CC" w:rsidRPr="00C5148E">
        <w:rPr>
          <w:rFonts w:ascii="Tahoma" w:hAnsi="Tahoma" w:cs="Tahoma"/>
          <w:sz w:val="24"/>
          <w:szCs w:val="24"/>
        </w:rPr>
        <w:t xml:space="preserve">% </w:t>
      </w:r>
      <w:r w:rsidR="00B65977" w:rsidRPr="00C5148E">
        <w:rPr>
          <w:rFonts w:ascii="Tahoma" w:hAnsi="Tahoma" w:cs="Tahoma"/>
          <w:sz w:val="24"/>
          <w:szCs w:val="24"/>
        </w:rPr>
        <w:t xml:space="preserve">on </w:t>
      </w:r>
      <w:r w:rsidR="000732CC" w:rsidRPr="00C5148E">
        <w:rPr>
          <w:rFonts w:ascii="Tahoma" w:hAnsi="Tahoma" w:cs="Tahoma"/>
          <w:sz w:val="24"/>
          <w:szCs w:val="24"/>
        </w:rPr>
        <w:t>Yt</w:t>
      </w:r>
      <w:r w:rsidR="00C840CA" w:rsidRPr="00C5148E">
        <w:rPr>
          <w:rFonts w:ascii="Tahoma" w:hAnsi="Tahoma" w:cs="Tahoma"/>
          <w:sz w:val="24"/>
          <w:szCs w:val="24"/>
        </w:rPr>
        <w:t>D</w:t>
      </w:r>
      <w:r w:rsidR="000732CC" w:rsidRPr="00C5148E">
        <w:rPr>
          <w:rFonts w:ascii="Tahoma" w:hAnsi="Tahoma" w:cs="Tahoma"/>
          <w:sz w:val="24"/>
          <w:szCs w:val="24"/>
        </w:rPr>
        <w:t xml:space="preserve"> and </w:t>
      </w:r>
      <w:r w:rsidR="00A925F2" w:rsidRPr="00C5148E">
        <w:rPr>
          <w:rFonts w:ascii="Tahoma" w:hAnsi="Tahoma" w:cs="Tahoma"/>
          <w:sz w:val="24"/>
          <w:szCs w:val="24"/>
        </w:rPr>
        <w:t>13.56</w:t>
      </w:r>
      <w:r w:rsidR="000732CC" w:rsidRPr="00C5148E">
        <w:rPr>
          <w:rFonts w:ascii="Tahoma" w:hAnsi="Tahoma" w:cs="Tahoma"/>
          <w:sz w:val="24"/>
          <w:szCs w:val="24"/>
        </w:rPr>
        <w:t>%</w:t>
      </w:r>
      <w:r w:rsidR="00A925F2" w:rsidRPr="00C5148E">
        <w:rPr>
          <w:rFonts w:ascii="Tahoma" w:hAnsi="Tahoma" w:cs="Tahoma"/>
          <w:sz w:val="24"/>
          <w:szCs w:val="24"/>
        </w:rPr>
        <w:t xml:space="preserve"> on</w:t>
      </w:r>
      <w:r w:rsidR="000732CC" w:rsidRPr="00C5148E">
        <w:rPr>
          <w:rFonts w:ascii="Tahoma" w:hAnsi="Tahoma" w:cs="Tahoma"/>
          <w:sz w:val="24"/>
          <w:szCs w:val="24"/>
        </w:rPr>
        <w:t xml:space="preserve"> YoY.</w:t>
      </w:r>
      <w:r w:rsidR="0039418F" w:rsidRPr="00C5148E">
        <w:rPr>
          <w:rFonts w:ascii="Tahoma" w:hAnsi="Tahoma" w:cs="Tahoma"/>
          <w:sz w:val="24"/>
          <w:szCs w:val="24"/>
        </w:rPr>
        <w:t xml:space="preserve"> Soyabeans also lost by 2.28% and 1.08% on a YtD and YoY basis</w:t>
      </w:r>
      <w:r w:rsidR="00817313">
        <w:rPr>
          <w:rFonts w:ascii="Tahoma" w:hAnsi="Tahoma" w:cs="Tahoma"/>
          <w:sz w:val="24"/>
          <w:szCs w:val="24"/>
        </w:rPr>
        <w:t>,</w:t>
      </w:r>
      <w:r w:rsidR="0039418F" w:rsidRPr="00C5148E">
        <w:rPr>
          <w:rFonts w:ascii="Tahoma" w:hAnsi="Tahoma" w:cs="Tahoma"/>
          <w:sz w:val="24"/>
          <w:szCs w:val="24"/>
        </w:rPr>
        <w:t xml:space="preserve"> respectively while wheat gained on both YtD and YoY</w:t>
      </w:r>
      <w:r w:rsidR="00647E48" w:rsidRPr="00C5148E">
        <w:rPr>
          <w:rFonts w:ascii="Tahoma" w:hAnsi="Tahoma" w:cs="Tahoma"/>
          <w:sz w:val="24"/>
          <w:szCs w:val="24"/>
        </w:rPr>
        <w:t xml:space="preserve">. </w:t>
      </w:r>
      <w:r w:rsidR="000732CC" w:rsidRPr="00C5148E">
        <w:rPr>
          <w:rFonts w:ascii="Tahoma" w:hAnsi="Tahoma" w:cs="Tahoma"/>
          <w:sz w:val="24"/>
          <w:szCs w:val="24"/>
        </w:rPr>
        <w:t>Cotton</w:t>
      </w:r>
      <w:r w:rsidR="00E724A6" w:rsidRPr="00C5148E">
        <w:rPr>
          <w:rFonts w:ascii="Tahoma" w:hAnsi="Tahoma" w:cs="Tahoma"/>
          <w:sz w:val="24"/>
          <w:szCs w:val="24"/>
        </w:rPr>
        <w:t xml:space="preserve">, </w:t>
      </w:r>
      <w:r w:rsidR="000732CC" w:rsidRPr="00C5148E">
        <w:rPr>
          <w:rFonts w:ascii="Tahoma" w:hAnsi="Tahoma" w:cs="Tahoma"/>
          <w:sz w:val="24"/>
          <w:szCs w:val="24"/>
        </w:rPr>
        <w:t>corn</w:t>
      </w:r>
      <w:r w:rsidR="00B83F55" w:rsidRPr="00C5148E">
        <w:rPr>
          <w:rFonts w:ascii="Tahoma" w:hAnsi="Tahoma" w:cs="Tahoma"/>
          <w:sz w:val="24"/>
          <w:szCs w:val="24"/>
        </w:rPr>
        <w:t xml:space="preserve"> and</w:t>
      </w:r>
      <w:r w:rsidR="00647E48" w:rsidRPr="00C5148E">
        <w:rPr>
          <w:rFonts w:ascii="Tahoma" w:hAnsi="Tahoma" w:cs="Tahoma"/>
          <w:sz w:val="24"/>
          <w:szCs w:val="24"/>
        </w:rPr>
        <w:t xml:space="preserve"> soyabeans</w:t>
      </w:r>
      <w:r w:rsidR="000732CC" w:rsidRPr="00C5148E">
        <w:rPr>
          <w:rFonts w:ascii="Tahoma" w:hAnsi="Tahoma" w:cs="Tahoma"/>
          <w:sz w:val="24"/>
          <w:szCs w:val="24"/>
        </w:rPr>
        <w:t xml:space="preserve"> prices prospects are discouraging</w:t>
      </w:r>
      <w:r w:rsidR="00C840CA" w:rsidRPr="00C5148E">
        <w:rPr>
          <w:rFonts w:ascii="Tahoma" w:hAnsi="Tahoma" w:cs="Tahoma"/>
          <w:sz w:val="24"/>
          <w:szCs w:val="24"/>
        </w:rPr>
        <w:t xml:space="preserve"> for the country’s agricultural sector growth </w:t>
      </w:r>
      <w:r w:rsidR="003E436F">
        <w:rPr>
          <w:rFonts w:ascii="Tahoma" w:hAnsi="Tahoma" w:cs="Tahoma"/>
          <w:sz w:val="24"/>
          <w:szCs w:val="24"/>
        </w:rPr>
        <w:t>while</w:t>
      </w:r>
      <w:r w:rsidR="00B83F55" w:rsidRPr="00C5148E">
        <w:rPr>
          <w:rFonts w:ascii="Tahoma" w:hAnsi="Tahoma" w:cs="Tahoma"/>
          <w:sz w:val="24"/>
          <w:szCs w:val="24"/>
        </w:rPr>
        <w:t>, wheat price movement</w:t>
      </w:r>
      <w:r w:rsidR="003E436F">
        <w:rPr>
          <w:rFonts w:ascii="Tahoma" w:hAnsi="Tahoma" w:cs="Tahoma"/>
          <w:sz w:val="24"/>
          <w:szCs w:val="24"/>
        </w:rPr>
        <w:t>s</w:t>
      </w:r>
      <w:r w:rsidR="00B83F55" w:rsidRPr="00C5148E">
        <w:rPr>
          <w:rFonts w:ascii="Tahoma" w:hAnsi="Tahoma" w:cs="Tahoma"/>
          <w:sz w:val="24"/>
          <w:szCs w:val="24"/>
        </w:rPr>
        <w:t xml:space="preserve"> </w:t>
      </w:r>
      <w:r w:rsidR="003E436F">
        <w:rPr>
          <w:rFonts w:ascii="Tahoma" w:hAnsi="Tahoma" w:cs="Tahoma"/>
          <w:sz w:val="24"/>
          <w:szCs w:val="24"/>
        </w:rPr>
        <w:t>are encouraging</w:t>
      </w:r>
      <w:r w:rsidR="00C840CA" w:rsidRPr="00C5148E">
        <w:rPr>
          <w:rFonts w:ascii="Tahoma" w:hAnsi="Tahoma" w:cs="Tahoma"/>
          <w:sz w:val="24"/>
          <w:szCs w:val="24"/>
        </w:rPr>
        <w:t xml:space="preserve">. </w:t>
      </w:r>
      <w:r w:rsidR="003E051C" w:rsidRPr="00C5148E">
        <w:rPr>
          <w:rFonts w:ascii="Tahoma" w:hAnsi="Tahoma" w:cs="Tahoma"/>
          <w:sz w:val="24"/>
          <w:szCs w:val="24"/>
        </w:rPr>
        <w:t xml:space="preserve"> </w:t>
      </w:r>
    </w:p>
    <w:p w14:paraId="4E5B38AE" w14:textId="6C675A11" w:rsidR="00EF37FE" w:rsidRPr="00C5148E" w:rsidRDefault="009F5CE5" w:rsidP="0001510C">
      <w:pPr>
        <w:pStyle w:val="ListofTables"/>
      </w:pPr>
      <w:bookmarkStart w:id="20" w:name="_Toc164072363"/>
      <w:bookmarkStart w:id="21" w:name="_Toc166658890"/>
      <w:bookmarkStart w:id="22" w:name="_Toc169612983"/>
      <w:r w:rsidRPr="00C5148E">
        <w:t xml:space="preserve">Table </w:t>
      </w:r>
      <w:r w:rsidR="00F115AF" w:rsidRPr="00C5148E">
        <w:t>1</w:t>
      </w:r>
      <w:r w:rsidRPr="00C5148E">
        <w:t xml:space="preserve">: Commodity Price Movements – </w:t>
      </w:r>
      <w:r w:rsidR="00761C54" w:rsidRPr="00C5148E">
        <w:t>Month</w:t>
      </w:r>
      <w:r w:rsidRPr="00C5148E">
        <w:t xml:space="preserve"> Ending </w:t>
      </w:r>
      <w:r w:rsidR="009F03CB" w:rsidRPr="00C5148E">
        <w:t>3</w:t>
      </w:r>
      <w:r w:rsidR="0001170D" w:rsidRPr="00C5148E">
        <w:t>1</w:t>
      </w:r>
      <w:r w:rsidRPr="00C5148E">
        <w:t xml:space="preserve"> </w:t>
      </w:r>
      <w:r w:rsidR="0001170D" w:rsidRPr="00C5148E">
        <w:t>May</w:t>
      </w:r>
      <w:r w:rsidRPr="00C5148E">
        <w:t xml:space="preserve"> 202</w:t>
      </w:r>
      <w:r w:rsidR="007A3D03" w:rsidRPr="00C5148E">
        <w:t>4</w:t>
      </w:r>
      <w:bookmarkEnd w:id="20"/>
      <w:bookmarkEnd w:id="21"/>
      <w:bookmarkEnd w:id="22"/>
    </w:p>
    <w:p w14:paraId="1C9A4667" w14:textId="61AF5387" w:rsidR="00EF37FE" w:rsidRPr="00C5148E" w:rsidRDefault="00E8390F" w:rsidP="00DD595D">
      <w:pPr>
        <w:pStyle w:val="Caption"/>
        <w:spacing w:after="0"/>
        <w:rPr>
          <w:rFonts w:ascii="Tahoma" w:hAnsi="Tahoma" w:cs="Tahoma"/>
          <w:i w:val="0"/>
          <w:iCs w:val="0"/>
          <w:sz w:val="24"/>
          <w:szCs w:val="24"/>
        </w:rPr>
      </w:pPr>
      <w:r w:rsidRPr="00C5148E">
        <w:rPr>
          <w:rFonts w:ascii="Tahoma" w:hAnsi="Tahoma" w:cs="Tahoma"/>
          <w:noProof/>
          <w:sz w:val="24"/>
          <w:szCs w:val="24"/>
        </w:rPr>
        <w:drawing>
          <wp:inline distT="0" distB="0" distL="0" distR="0" wp14:anchorId="276F490B" wp14:editId="778D4DDA">
            <wp:extent cx="5731510" cy="21355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5505"/>
                    </a:xfrm>
                    <a:prstGeom prst="rect">
                      <a:avLst/>
                    </a:prstGeom>
                  </pic:spPr>
                </pic:pic>
              </a:graphicData>
            </a:graphic>
          </wp:inline>
        </w:drawing>
      </w:r>
    </w:p>
    <w:p w14:paraId="658B9311" w14:textId="77777777" w:rsidR="00EF37FE" w:rsidRPr="00C5148E" w:rsidRDefault="00EF37FE">
      <w:pPr>
        <w:rPr>
          <w:rFonts w:ascii="Tahoma" w:hAnsi="Tahoma" w:cs="Tahoma"/>
          <w:i/>
          <w:sz w:val="24"/>
          <w:szCs w:val="24"/>
        </w:rPr>
      </w:pPr>
      <w:r w:rsidRPr="00C5148E">
        <w:rPr>
          <w:rFonts w:ascii="Tahoma" w:hAnsi="Tahoma" w:cs="Tahoma"/>
          <w:i/>
          <w:sz w:val="24"/>
          <w:szCs w:val="24"/>
        </w:rPr>
        <w:t xml:space="preserve">Source: </w:t>
      </w:r>
      <w:r w:rsidR="006B3019" w:rsidRPr="00C5148E">
        <w:rPr>
          <w:rFonts w:ascii="Tahoma" w:hAnsi="Tahoma" w:cs="Tahoma"/>
          <w:i/>
          <w:sz w:val="24"/>
          <w:szCs w:val="24"/>
        </w:rPr>
        <w:t>Trading Economics (202</w:t>
      </w:r>
      <w:r w:rsidR="00431F13" w:rsidRPr="00C5148E">
        <w:rPr>
          <w:rFonts w:ascii="Tahoma" w:hAnsi="Tahoma" w:cs="Tahoma"/>
          <w:i/>
          <w:sz w:val="24"/>
          <w:szCs w:val="24"/>
        </w:rPr>
        <w:t>4</w:t>
      </w:r>
      <w:r w:rsidR="006B3019" w:rsidRPr="00C5148E">
        <w:rPr>
          <w:rFonts w:ascii="Tahoma" w:hAnsi="Tahoma" w:cs="Tahoma"/>
          <w:i/>
          <w:sz w:val="24"/>
          <w:szCs w:val="24"/>
        </w:rPr>
        <w:t>)</w:t>
      </w:r>
    </w:p>
    <w:p w14:paraId="2C376081" w14:textId="6C96341F" w:rsidR="0076325F" w:rsidRPr="00C5148E" w:rsidRDefault="004F680D" w:rsidP="00523CEB">
      <w:pPr>
        <w:pStyle w:val="Heading1"/>
        <w:spacing w:before="0" w:after="240"/>
        <w:rPr>
          <w:rFonts w:cs="Tahoma"/>
          <w:szCs w:val="24"/>
        </w:rPr>
      </w:pPr>
      <w:bookmarkStart w:id="23" w:name="_Toc166607893"/>
      <w:bookmarkStart w:id="24" w:name="_Toc169612898"/>
      <w:r w:rsidRPr="00C5148E">
        <w:rPr>
          <w:rFonts w:cs="Tahoma"/>
          <w:szCs w:val="24"/>
        </w:rPr>
        <w:lastRenderedPageBreak/>
        <w:t>3.0</w:t>
      </w:r>
      <w:r w:rsidRPr="00C5148E">
        <w:rPr>
          <w:rFonts w:cs="Tahoma"/>
          <w:szCs w:val="24"/>
        </w:rPr>
        <w:tab/>
      </w:r>
      <w:r w:rsidR="00476766" w:rsidRPr="00C5148E">
        <w:rPr>
          <w:rFonts w:cs="Tahoma"/>
          <w:szCs w:val="24"/>
        </w:rPr>
        <w:t>Zimbabwe GDP Growth Update</w:t>
      </w:r>
      <w:bookmarkEnd w:id="23"/>
      <w:bookmarkEnd w:id="24"/>
      <w:r w:rsidR="00476766" w:rsidRPr="00C5148E">
        <w:rPr>
          <w:rFonts w:cs="Tahoma"/>
          <w:szCs w:val="24"/>
        </w:rPr>
        <w:t xml:space="preserve"> </w:t>
      </w:r>
      <w:r w:rsidR="00EF37FE" w:rsidRPr="00C5148E">
        <w:rPr>
          <w:rFonts w:cs="Tahoma"/>
          <w:szCs w:val="24"/>
        </w:rPr>
        <w:t xml:space="preserve"> </w:t>
      </w:r>
      <w:r w:rsidR="00C94F65" w:rsidRPr="00C5148E">
        <w:rPr>
          <w:rFonts w:cs="Tahoma"/>
          <w:kern w:val="0"/>
          <w:szCs w:val="24"/>
          <w:lang w:eastAsia="en-ZW"/>
        </w:rPr>
        <w:t xml:space="preserve"> </w:t>
      </w:r>
    </w:p>
    <w:p w14:paraId="7D3A6186" w14:textId="2B068A88" w:rsidR="007625FE" w:rsidRPr="00C5148E" w:rsidRDefault="0076325F" w:rsidP="00FE4C5F">
      <w:pPr>
        <w:ind w:left="720" w:hanging="720"/>
        <w:jc w:val="both"/>
        <w:rPr>
          <w:rFonts w:ascii="Tahoma" w:hAnsi="Tahoma" w:cs="Tahoma"/>
          <w:sz w:val="24"/>
          <w:szCs w:val="24"/>
        </w:rPr>
      </w:pPr>
      <w:r w:rsidRPr="00C5148E">
        <w:rPr>
          <w:rFonts w:ascii="Tahoma" w:hAnsi="Tahoma" w:cs="Tahoma"/>
          <w:iCs/>
          <w:sz w:val="24"/>
          <w:szCs w:val="24"/>
        </w:rPr>
        <w:t>3.</w:t>
      </w:r>
      <w:r w:rsidR="00523CEB" w:rsidRPr="00C5148E">
        <w:rPr>
          <w:rFonts w:ascii="Tahoma" w:hAnsi="Tahoma" w:cs="Tahoma"/>
          <w:iCs/>
          <w:sz w:val="24"/>
          <w:szCs w:val="24"/>
        </w:rPr>
        <w:t>1</w:t>
      </w:r>
      <w:r w:rsidRPr="00C5148E">
        <w:rPr>
          <w:rFonts w:ascii="Tahoma" w:hAnsi="Tahoma" w:cs="Tahoma"/>
          <w:iCs/>
          <w:sz w:val="24"/>
          <w:szCs w:val="24"/>
        </w:rPr>
        <w:t xml:space="preserve"> </w:t>
      </w:r>
      <w:r w:rsidRPr="00C5148E">
        <w:rPr>
          <w:rFonts w:ascii="Tahoma" w:hAnsi="Tahoma" w:cs="Tahoma"/>
          <w:iCs/>
          <w:sz w:val="24"/>
          <w:szCs w:val="24"/>
        </w:rPr>
        <w:tab/>
      </w:r>
      <w:bookmarkStart w:id="25" w:name="_Hlk166603728"/>
      <w:r w:rsidR="00523CEB" w:rsidRPr="00C5148E">
        <w:rPr>
          <w:rFonts w:ascii="Tahoma" w:hAnsi="Tahoma" w:cs="Tahoma"/>
          <w:iCs/>
          <w:sz w:val="24"/>
          <w:szCs w:val="24"/>
        </w:rPr>
        <w:t>The country’s GDP growth rate remain projected at 3.5% in 2024, higher than the IMF's WEO April 2024 update projection of 3.2%.</w:t>
      </w:r>
      <w:r w:rsidR="00AA676B" w:rsidRPr="00C5148E">
        <w:rPr>
          <w:rFonts w:ascii="Tahoma" w:hAnsi="Tahoma" w:cs="Tahoma"/>
          <w:iCs/>
          <w:sz w:val="24"/>
          <w:szCs w:val="24"/>
        </w:rPr>
        <w:t xml:space="preserve"> </w:t>
      </w:r>
      <w:r w:rsidRPr="00C5148E">
        <w:rPr>
          <w:rFonts w:ascii="Tahoma" w:hAnsi="Tahoma" w:cs="Tahoma"/>
          <w:kern w:val="0"/>
          <w:sz w:val="24"/>
          <w:szCs w:val="24"/>
          <w:lang w:eastAsia="en-ZW"/>
        </w:rPr>
        <w:t xml:space="preserve">The </w:t>
      </w:r>
      <w:r w:rsidR="0006717B" w:rsidRPr="00C5148E">
        <w:rPr>
          <w:rFonts w:ascii="Tahoma" w:hAnsi="Tahoma" w:cs="Tahoma"/>
          <w:kern w:val="0"/>
          <w:sz w:val="24"/>
          <w:szCs w:val="24"/>
          <w:lang w:eastAsia="en-ZW"/>
        </w:rPr>
        <w:t xml:space="preserve">country’s </w:t>
      </w:r>
      <w:r w:rsidRPr="00C5148E">
        <w:rPr>
          <w:rFonts w:ascii="Tahoma" w:hAnsi="Tahoma" w:cs="Tahoma"/>
          <w:kern w:val="0"/>
          <w:sz w:val="24"/>
          <w:szCs w:val="24"/>
          <w:lang w:eastAsia="en-ZW"/>
        </w:rPr>
        <w:t>growth rate in 2024 is expected to be lower than 2023</w:t>
      </w:r>
      <w:r w:rsidR="00D0095B" w:rsidRPr="00C5148E">
        <w:rPr>
          <w:rFonts w:ascii="Tahoma" w:hAnsi="Tahoma" w:cs="Tahoma"/>
          <w:kern w:val="0"/>
          <w:sz w:val="24"/>
          <w:szCs w:val="24"/>
          <w:lang w:eastAsia="en-ZW"/>
        </w:rPr>
        <w:t xml:space="preserve"> growth</w:t>
      </w:r>
      <w:r w:rsidRPr="00C5148E">
        <w:rPr>
          <w:rFonts w:ascii="Tahoma" w:hAnsi="Tahoma" w:cs="Tahoma"/>
          <w:kern w:val="0"/>
          <w:sz w:val="24"/>
          <w:szCs w:val="24"/>
          <w:lang w:eastAsia="en-ZW"/>
        </w:rPr>
        <w:t xml:space="preserve"> </w:t>
      </w:r>
      <w:proofErr w:type="gramStart"/>
      <w:r w:rsidRPr="00C5148E">
        <w:rPr>
          <w:rFonts w:ascii="Tahoma" w:hAnsi="Tahoma" w:cs="Tahoma"/>
          <w:kern w:val="0"/>
          <w:sz w:val="24"/>
          <w:szCs w:val="24"/>
          <w:lang w:eastAsia="en-ZW"/>
        </w:rPr>
        <w:t>due to the effects</w:t>
      </w:r>
      <w:proofErr w:type="gramEnd"/>
      <w:r w:rsidRPr="00C5148E">
        <w:rPr>
          <w:rFonts w:ascii="Tahoma" w:hAnsi="Tahoma" w:cs="Tahoma"/>
          <w:kern w:val="0"/>
          <w:sz w:val="24"/>
          <w:szCs w:val="24"/>
          <w:lang w:eastAsia="en-ZW"/>
        </w:rPr>
        <w:t xml:space="preserve"> of </w:t>
      </w:r>
      <w:r w:rsidR="000D22EE" w:rsidRPr="00C5148E">
        <w:rPr>
          <w:rFonts w:ascii="Tahoma" w:hAnsi="Tahoma" w:cs="Tahoma"/>
          <w:kern w:val="0"/>
          <w:sz w:val="24"/>
          <w:szCs w:val="24"/>
          <w:lang w:eastAsia="en-ZW"/>
        </w:rPr>
        <w:t xml:space="preserve">the </w:t>
      </w:r>
      <w:r w:rsidRPr="00C5148E">
        <w:rPr>
          <w:rFonts w:ascii="Tahoma" w:hAnsi="Tahoma" w:cs="Tahoma"/>
          <w:kern w:val="0"/>
          <w:sz w:val="24"/>
          <w:szCs w:val="24"/>
          <w:lang w:eastAsia="en-ZW"/>
        </w:rPr>
        <w:t>El Nino</w:t>
      </w:r>
      <w:r w:rsidR="000D22EE" w:rsidRPr="00C5148E">
        <w:rPr>
          <w:rFonts w:ascii="Tahoma" w:hAnsi="Tahoma" w:cs="Tahoma"/>
          <w:kern w:val="0"/>
          <w:sz w:val="24"/>
          <w:szCs w:val="24"/>
          <w:lang w:eastAsia="en-ZW"/>
        </w:rPr>
        <w:t xml:space="preserve"> induced drought</w:t>
      </w:r>
      <w:r w:rsidR="00A90DAA" w:rsidRPr="00C5148E">
        <w:rPr>
          <w:rFonts w:ascii="Tahoma" w:hAnsi="Tahoma" w:cs="Tahoma"/>
          <w:kern w:val="0"/>
          <w:sz w:val="24"/>
          <w:szCs w:val="24"/>
          <w:lang w:eastAsia="en-ZW"/>
        </w:rPr>
        <w:t xml:space="preserve">, </w:t>
      </w:r>
      <w:r w:rsidR="00A90DAA" w:rsidRPr="00C5148E">
        <w:rPr>
          <w:rFonts w:ascii="Tahoma" w:hAnsi="Tahoma" w:cs="Tahoma"/>
          <w:sz w:val="24"/>
          <w:szCs w:val="24"/>
          <w:shd w:val="clear" w:color="auto" w:fill="FFFFFF"/>
        </w:rPr>
        <w:t>the impact of structural bottlenecks</w:t>
      </w:r>
      <w:r w:rsidR="00AA676B" w:rsidRPr="00C5148E">
        <w:rPr>
          <w:rFonts w:ascii="Tahoma" w:hAnsi="Tahoma" w:cs="Tahoma"/>
          <w:sz w:val="24"/>
          <w:szCs w:val="24"/>
          <w:shd w:val="clear" w:color="auto" w:fill="FFFFFF"/>
        </w:rPr>
        <w:t>,</w:t>
      </w:r>
      <w:r w:rsidR="00A90DAA" w:rsidRPr="00C5148E">
        <w:rPr>
          <w:rFonts w:ascii="Tahoma" w:hAnsi="Tahoma" w:cs="Tahoma"/>
          <w:sz w:val="24"/>
          <w:szCs w:val="24"/>
          <w:shd w:val="clear" w:color="auto" w:fill="FFFFFF"/>
        </w:rPr>
        <w:t xml:space="preserve"> </w:t>
      </w:r>
      <w:r w:rsidR="00AA676B" w:rsidRPr="00C5148E">
        <w:rPr>
          <w:rFonts w:ascii="Tahoma" w:hAnsi="Tahoma" w:cs="Tahoma"/>
          <w:sz w:val="24"/>
          <w:szCs w:val="24"/>
          <w:shd w:val="clear" w:color="auto" w:fill="FFFFFF"/>
        </w:rPr>
        <w:t xml:space="preserve">and </w:t>
      </w:r>
      <w:r w:rsidR="00A90DAA" w:rsidRPr="00C5148E">
        <w:rPr>
          <w:rFonts w:ascii="Tahoma" w:hAnsi="Tahoma" w:cs="Tahoma"/>
          <w:sz w:val="24"/>
          <w:szCs w:val="24"/>
          <w:shd w:val="clear" w:color="auto" w:fill="FFFFFF"/>
        </w:rPr>
        <w:t xml:space="preserve">lower </w:t>
      </w:r>
      <w:r w:rsidR="0006717B" w:rsidRPr="00C5148E">
        <w:rPr>
          <w:rFonts w:ascii="Tahoma" w:hAnsi="Tahoma" w:cs="Tahoma"/>
          <w:sz w:val="24"/>
          <w:szCs w:val="24"/>
          <w:shd w:val="clear" w:color="auto" w:fill="FFFFFF"/>
        </w:rPr>
        <w:t xml:space="preserve">agricultural </w:t>
      </w:r>
      <w:r w:rsidR="00A90DAA" w:rsidRPr="00C5148E">
        <w:rPr>
          <w:rFonts w:ascii="Tahoma" w:hAnsi="Tahoma" w:cs="Tahoma"/>
          <w:sz w:val="24"/>
          <w:szCs w:val="24"/>
          <w:shd w:val="clear" w:color="auto" w:fill="FFFFFF"/>
        </w:rPr>
        <w:t>commodity prices. El-Nino-induced drought affected most rain-fed crops</w:t>
      </w:r>
      <w:r w:rsidR="00046DFC" w:rsidRPr="00C5148E">
        <w:rPr>
          <w:rFonts w:ascii="Tahoma" w:hAnsi="Tahoma" w:cs="Tahoma"/>
          <w:sz w:val="24"/>
          <w:szCs w:val="24"/>
          <w:shd w:val="clear" w:color="auto" w:fill="FFFFFF"/>
        </w:rPr>
        <w:t>,</w:t>
      </w:r>
      <w:r w:rsidR="0006717B" w:rsidRPr="00C5148E">
        <w:rPr>
          <w:rFonts w:ascii="Tahoma" w:hAnsi="Tahoma" w:cs="Tahoma"/>
          <w:sz w:val="24"/>
          <w:szCs w:val="24"/>
          <w:shd w:val="clear" w:color="auto" w:fill="FFFFFF"/>
        </w:rPr>
        <w:t xml:space="preserve"> </w:t>
      </w:r>
      <w:r w:rsidR="00A90DAA" w:rsidRPr="00C5148E">
        <w:rPr>
          <w:rFonts w:ascii="Tahoma" w:hAnsi="Tahoma" w:cs="Tahoma"/>
          <w:sz w:val="24"/>
          <w:szCs w:val="24"/>
          <w:shd w:val="clear" w:color="auto" w:fill="FFFFFF"/>
        </w:rPr>
        <w:t>intensify electricity supply shortages</w:t>
      </w:r>
      <w:bookmarkEnd w:id="25"/>
      <w:r w:rsidR="00046DFC" w:rsidRPr="00C5148E">
        <w:rPr>
          <w:rFonts w:ascii="Tahoma" w:hAnsi="Tahoma" w:cs="Tahoma"/>
          <w:sz w:val="24"/>
          <w:szCs w:val="24"/>
          <w:shd w:val="clear" w:color="auto" w:fill="FFFFFF"/>
        </w:rPr>
        <w:t xml:space="preserve"> and allocation of resources to ensure food security rather channelling them to productive sectors.</w:t>
      </w:r>
      <w:r w:rsidR="00372F9E" w:rsidRPr="00C5148E">
        <w:rPr>
          <w:rFonts w:ascii="Tahoma" w:hAnsi="Tahoma" w:cs="Tahoma"/>
          <w:kern w:val="0"/>
          <w:sz w:val="24"/>
          <w:szCs w:val="24"/>
          <w:lang w:eastAsia="en-ZW"/>
        </w:rPr>
        <w:t xml:space="preserve"> </w:t>
      </w:r>
    </w:p>
    <w:p w14:paraId="43BC47FE" w14:textId="77777777" w:rsidR="00EF37FE" w:rsidRPr="00C5148E" w:rsidRDefault="00B1678A" w:rsidP="009F5CE5">
      <w:pPr>
        <w:pStyle w:val="Heading1"/>
        <w:spacing w:before="0" w:after="240" w:line="240" w:lineRule="auto"/>
        <w:rPr>
          <w:rFonts w:cs="Tahoma"/>
          <w:bCs/>
          <w:color w:val="000000"/>
          <w:szCs w:val="24"/>
        </w:rPr>
      </w:pPr>
      <w:bookmarkStart w:id="26" w:name="_Toc166607894"/>
      <w:bookmarkStart w:id="27" w:name="_Toc169612899"/>
      <w:r w:rsidRPr="00C5148E">
        <w:rPr>
          <w:rFonts w:cs="Tahoma"/>
          <w:bCs/>
          <w:color w:val="000000"/>
          <w:szCs w:val="24"/>
        </w:rPr>
        <w:t>4.0</w:t>
      </w:r>
      <w:r w:rsidRPr="00C5148E">
        <w:rPr>
          <w:rFonts w:cs="Tahoma"/>
          <w:bCs/>
          <w:color w:val="000000"/>
          <w:szCs w:val="24"/>
        </w:rPr>
        <w:tab/>
      </w:r>
      <w:r w:rsidR="00EF37FE" w:rsidRPr="00C5148E">
        <w:rPr>
          <w:rFonts w:cs="Tahoma"/>
          <w:bCs/>
          <w:color w:val="000000"/>
          <w:szCs w:val="24"/>
        </w:rPr>
        <w:t>Merchandise Trade Developments</w:t>
      </w:r>
      <w:bookmarkEnd w:id="26"/>
      <w:bookmarkEnd w:id="27"/>
      <w:r w:rsidR="00EF37FE" w:rsidRPr="00C5148E">
        <w:rPr>
          <w:rFonts w:cs="Tahoma"/>
          <w:bCs/>
          <w:color w:val="000000"/>
          <w:szCs w:val="24"/>
        </w:rPr>
        <w:t xml:space="preserve"> </w:t>
      </w:r>
    </w:p>
    <w:p w14:paraId="7688B5D6" w14:textId="1EDE7B8F" w:rsidR="00CF4855" w:rsidRDefault="00B1678A" w:rsidP="003E436F">
      <w:pPr>
        <w:ind w:left="720" w:hanging="720"/>
        <w:jc w:val="both"/>
        <w:rPr>
          <w:szCs w:val="24"/>
        </w:rPr>
      </w:pPr>
      <w:r w:rsidRPr="00C5148E">
        <w:rPr>
          <w:rFonts w:ascii="Tahoma" w:hAnsi="Tahoma" w:cs="Tahoma"/>
          <w:sz w:val="24"/>
          <w:szCs w:val="24"/>
        </w:rPr>
        <w:t>4.1</w:t>
      </w:r>
      <w:r w:rsidRPr="00C5148E">
        <w:rPr>
          <w:rFonts w:ascii="Tahoma" w:hAnsi="Tahoma" w:cs="Tahoma"/>
          <w:sz w:val="24"/>
          <w:szCs w:val="24"/>
        </w:rPr>
        <w:tab/>
      </w:r>
      <w:r w:rsidR="003E436F" w:rsidRPr="003E436F">
        <w:rPr>
          <w:rFonts w:ascii="Tahoma" w:hAnsi="Tahoma" w:cs="Tahoma"/>
          <w:sz w:val="24"/>
          <w:szCs w:val="24"/>
          <w:lang w:val="en-ZW"/>
        </w:rPr>
        <w:t xml:space="preserve">By the time of compiling this report, the Zimbabwe National Statistical Agency (ZimStat) had not published the merchandise trade data for the month of May 2024, thus the analysis for merchandise trade remains unchanged from the April 2024 Economic Bulletin. </w:t>
      </w:r>
      <w:bookmarkStart w:id="28" w:name="_Hlk167711791"/>
      <w:bookmarkStart w:id="29" w:name="_Toc168661955"/>
    </w:p>
    <w:p w14:paraId="3276F7A0" w14:textId="77777777" w:rsidR="00EF37FE" w:rsidRPr="00C5148E" w:rsidRDefault="00B1678A" w:rsidP="009F5CE5">
      <w:pPr>
        <w:pStyle w:val="Heading1"/>
        <w:spacing w:before="0" w:after="240" w:line="240" w:lineRule="auto"/>
        <w:rPr>
          <w:rFonts w:cs="Tahoma"/>
          <w:bCs/>
          <w:color w:val="000000"/>
          <w:szCs w:val="24"/>
        </w:rPr>
      </w:pPr>
      <w:bookmarkStart w:id="30" w:name="_Toc166607895"/>
      <w:bookmarkStart w:id="31" w:name="_Toc169612900"/>
      <w:bookmarkEnd w:id="28"/>
      <w:bookmarkEnd w:id="29"/>
      <w:r w:rsidRPr="00C5148E">
        <w:rPr>
          <w:rFonts w:cs="Tahoma"/>
          <w:bCs/>
          <w:color w:val="000000"/>
          <w:szCs w:val="24"/>
        </w:rPr>
        <w:t>5.0</w:t>
      </w:r>
      <w:r w:rsidRPr="00C5148E">
        <w:rPr>
          <w:rFonts w:cs="Tahoma"/>
          <w:bCs/>
          <w:color w:val="000000"/>
          <w:szCs w:val="24"/>
        </w:rPr>
        <w:tab/>
      </w:r>
      <w:r w:rsidR="00EF37FE" w:rsidRPr="00C5148E">
        <w:rPr>
          <w:rFonts w:cs="Tahoma"/>
          <w:bCs/>
          <w:color w:val="000000"/>
          <w:szCs w:val="24"/>
        </w:rPr>
        <w:t>Exchange Rate Developments</w:t>
      </w:r>
      <w:bookmarkEnd w:id="30"/>
      <w:bookmarkEnd w:id="31"/>
      <w:r w:rsidR="00EF37FE" w:rsidRPr="00C5148E">
        <w:rPr>
          <w:rFonts w:cs="Tahoma"/>
          <w:bCs/>
          <w:color w:val="000000"/>
          <w:szCs w:val="24"/>
        </w:rPr>
        <w:t xml:space="preserve"> </w:t>
      </w:r>
    </w:p>
    <w:p w14:paraId="19067424" w14:textId="3529D34D" w:rsidR="00EF25BB" w:rsidRPr="00C5148E" w:rsidRDefault="00B1678A" w:rsidP="003C1D2F">
      <w:pPr>
        <w:pStyle w:val="Heading2"/>
        <w:spacing w:before="0" w:after="240" w:line="240" w:lineRule="auto"/>
        <w:rPr>
          <w:rFonts w:cs="Tahoma"/>
          <w:b/>
          <w:color w:val="000000"/>
          <w:szCs w:val="24"/>
        </w:rPr>
      </w:pPr>
      <w:bookmarkStart w:id="32" w:name="_Toc166607896"/>
      <w:bookmarkStart w:id="33" w:name="_Toc169612901"/>
      <w:r w:rsidRPr="00C5148E">
        <w:rPr>
          <w:rFonts w:cs="Tahoma"/>
          <w:b/>
          <w:color w:val="000000"/>
          <w:szCs w:val="24"/>
        </w:rPr>
        <w:t>5.1</w:t>
      </w:r>
      <w:r w:rsidRPr="00C5148E">
        <w:rPr>
          <w:rFonts w:cs="Tahoma"/>
          <w:b/>
          <w:color w:val="000000"/>
          <w:szCs w:val="24"/>
        </w:rPr>
        <w:tab/>
      </w:r>
      <w:r w:rsidR="00EF25BB" w:rsidRPr="00C5148E">
        <w:rPr>
          <w:rFonts w:cs="Tahoma"/>
          <w:b/>
          <w:color w:val="000000"/>
          <w:szCs w:val="24"/>
        </w:rPr>
        <w:t>Zi</w:t>
      </w:r>
      <w:r w:rsidR="007543D6" w:rsidRPr="00C5148E">
        <w:rPr>
          <w:rFonts w:cs="Tahoma"/>
          <w:b/>
          <w:color w:val="000000"/>
          <w:szCs w:val="24"/>
        </w:rPr>
        <w:t>G</w:t>
      </w:r>
      <w:r w:rsidR="00EF25BB" w:rsidRPr="00C5148E">
        <w:rPr>
          <w:rFonts w:cs="Tahoma"/>
          <w:b/>
          <w:color w:val="000000"/>
          <w:szCs w:val="24"/>
        </w:rPr>
        <w:t xml:space="preserve"> Exchange Rate Developments</w:t>
      </w:r>
      <w:bookmarkEnd w:id="32"/>
      <w:bookmarkEnd w:id="33"/>
      <w:r w:rsidR="00EF25BB" w:rsidRPr="00C5148E">
        <w:rPr>
          <w:rFonts w:cs="Tahoma"/>
          <w:b/>
          <w:color w:val="000000"/>
          <w:szCs w:val="24"/>
        </w:rPr>
        <w:t xml:space="preserve"> </w:t>
      </w:r>
    </w:p>
    <w:p w14:paraId="27A259B4" w14:textId="202F2A7B" w:rsidR="00E36CF6" w:rsidRPr="00C5148E" w:rsidRDefault="00B1678A" w:rsidP="004A19E2">
      <w:pPr>
        <w:ind w:left="720" w:hanging="720"/>
        <w:jc w:val="both"/>
        <w:rPr>
          <w:rFonts w:ascii="Tahoma" w:hAnsi="Tahoma" w:cs="Tahoma"/>
          <w:sz w:val="24"/>
          <w:szCs w:val="24"/>
        </w:rPr>
      </w:pPr>
      <w:r w:rsidRPr="00C5148E">
        <w:rPr>
          <w:rFonts w:ascii="Tahoma" w:hAnsi="Tahoma" w:cs="Tahoma"/>
          <w:sz w:val="24"/>
          <w:szCs w:val="24"/>
        </w:rPr>
        <w:t>5.1.1</w:t>
      </w:r>
      <w:r w:rsidRPr="00C5148E">
        <w:rPr>
          <w:rFonts w:ascii="Tahoma" w:hAnsi="Tahoma" w:cs="Tahoma"/>
          <w:sz w:val="24"/>
          <w:szCs w:val="24"/>
        </w:rPr>
        <w:tab/>
      </w:r>
      <w:r w:rsidR="003E436F">
        <w:rPr>
          <w:rFonts w:ascii="Tahoma" w:hAnsi="Tahoma" w:cs="Tahoma"/>
          <w:sz w:val="24"/>
          <w:szCs w:val="24"/>
        </w:rPr>
        <w:t xml:space="preserve">The Zimbabwe Gold </w:t>
      </w:r>
      <w:r w:rsidR="004A19E2" w:rsidRPr="00C5148E">
        <w:rPr>
          <w:rFonts w:ascii="Tahoma" w:hAnsi="Tahoma" w:cs="Tahoma"/>
          <w:sz w:val="24"/>
          <w:szCs w:val="24"/>
        </w:rPr>
        <w:t xml:space="preserve">(ZiG) appreciated by 0.84% and 1.35% against the USD and ZAR respectively </w:t>
      </w:r>
      <w:proofErr w:type="gramStart"/>
      <w:r w:rsidR="004A19E2" w:rsidRPr="00C5148E">
        <w:rPr>
          <w:rFonts w:ascii="Tahoma" w:hAnsi="Tahoma" w:cs="Tahoma"/>
          <w:sz w:val="24"/>
          <w:szCs w:val="24"/>
        </w:rPr>
        <w:t>on a monthly basis</w:t>
      </w:r>
      <w:proofErr w:type="gramEnd"/>
      <w:r w:rsidR="00376998" w:rsidRPr="00C5148E">
        <w:rPr>
          <w:rFonts w:ascii="Tahoma" w:hAnsi="Tahoma" w:cs="Tahoma"/>
          <w:sz w:val="24"/>
          <w:szCs w:val="24"/>
        </w:rPr>
        <w:t>, however</w:t>
      </w:r>
      <w:r w:rsidR="003E436F">
        <w:rPr>
          <w:rFonts w:ascii="Tahoma" w:hAnsi="Tahoma" w:cs="Tahoma"/>
          <w:sz w:val="24"/>
          <w:szCs w:val="24"/>
        </w:rPr>
        <w:t xml:space="preserve"> the</w:t>
      </w:r>
      <w:r w:rsidR="00376998" w:rsidRPr="00C5148E">
        <w:rPr>
          <w:rFonts w:ascii="Tahoma" w:hAnsi="Tahoma" w:cs="Tahoma"/>
          <w:sz w:val="24"/>
          <w:szCs w:val="24"/>
        </w:rPr>
        <w:t xml:space="preserve"> ZiG depreciated by 0.63% against GBP and by 0.26 against the EUR.</w:t>
      </w:r>
      <w:r w:rsidR="00431462" w:rsidRPr="00C5148E">
        <w:rPr>
          <w:rFonts w:ascii="Tahoma" w:hAnsi="Tahoma" w:cs="Tahoma"/>
          <w:sz w:val="24"/>
          <w:szCs w:val="24"/>
        </w:rPr>
        <w:t xml:space="preserve"> On Year</w:t>
      </w:r>
      <w:r w:rsidR="008B0298" w:rsidRPr="00C5148E">
        <w:rPr>
          <w:rFonts w:ascii="Tahoma" w:hAnsi="Tahoma" w:cs="Tahoma"/>
          <w:sz w:val="24"/>
          <w:szCs w:val="24"/>
        </w:rPr>
        <w:t>-</w:t>
      </w:r>
      <w:r w:rsidR="00431462" w:rsidRPr="00C5148E">
        <w:rPr>
          <w:rFonts w:ascii="Tahoma" w:hAnsi="Tahoma" w:cs="Tahoma"/>
          <w:sz w:val="24"/>
          <w:szCs w:val="24"/>
        </w:rPr>
        <w:t>to</w:t>
      </w:r>
      <w:r w:rsidR="008B0298" w:rsidRPr="00C5148E">
        <w:rPr>
          <w:rFonts w:ascii="Tahoma" w:hAnsi="Tahoma" w:cs="Tahoma"/>
          <w:sz w:val="24"/>
          <w:szCs w:val="24"/>
        </w:rPr>
        <w:t>-</w:t>
      </w:r>
      <w:r w:rsidR="00431462" w:rsidRPr="00C5148E">
        <w:rPr>
          <w:rFonts w:ascii="Tahoma" w:hAnsi="Tahoma" w:cs="Tahoma"/>
          <w:sz w:val="24"/>
          <w:szCs w:val="24"/>
        </w:rPr>
        <w:t>date and Year</w:t>
      </w:r>
      <w:r w:rsidR="008B0298" w:rsidRPr="00C5148E">
        <w:rPr>
          <w:rFonts w:ascii="Tahoma" w:hAnsi="Tahoma" w:cs="Tahoma"/>
          <w:sz w:val="24"/>
          <w:szCs w:val="24"/>
        </w:rPr>
        <w:t>-</w:t>
      </w:r>
      <w:r w:rsidR="00431462" w:rsidRPr="00C5148E">
        <w:rPr>
          <w:rFonts w:ascii="Tahoma" w:hAnsi="Tahoma" w:cs="Tahoma"/>
          <w:sz w:val="24"/>
          <w:szCs w:val="24"/>
        </w:rPr>
        <w:t>on</w:t>
      </w:r>
      <w:r w:rsidR="008B0298" w:rsidRPr="00C5148E">
        <w:rPr>
          <w:rFonts w:ascii="Tahoma" w:hAnsi="Tahoma" w:cs="Tahoma"/>
          <w:sz w:val="24"/>
          <w:szCs w:val="24"/>
        </w:rPr>
        <w:t>-</w:t>
      </w:r>
      <w:r w:rsidR="00431462" w:rsidRPr="00C5148E">
        <w:rPr>
          <w:rFonts w:ascii="Tahoma" w:hAnsi="Tahoma" w:cs="Tahoma"/>
          <w:sz w:val="24"/>
          <w:szCs w:val="24"/>
        </w:rPr>
        <w:t xml:space="preserve">year basis the ZiG lost value against all major currencies as shown by </w:t>
      </w:r>
      <w:r w:rsidR="003E436F">
        <w:rPr>
          <w:rFonts w:ascii="Tahoma" w:hAnsi="Tahoma" w:cs="Tahoma"/>
          <w:sz w:val="24"/>
          <w:szCs w:val="24"/>
        </w:rPr>
        <w:t>T</w:t>
      </w:r>
      <w:r w:rsidR="00431462" w:rsidRPr="00C5148E">
        <w:rPr>
          <w:rFonts w:ascii="Tahoma" w:hAnsi="Tahoma" w:cs="Tahoma"/>
          <w:sz w:val="24"/>
          <w:szCs w:val="24"/>
        </w:rPr>
        <w:t xml:space="preserve">able </w:t>
      </w:r>
      <w:r w:rsidR="009C600A">
        <w:rPr>
          <w:rFonts w:ascii="Tahoma" w:hAnsi="Tahoma" w:cs="Tahoma"/>
          <w:sz w:val="24"/>
          <w:szCs w:val="24"/>
        </w:rPr>
        <w:t>2</w:t>
      </w:r>
      <w:r w:rsidR="00431462" w:rsidRPr="00C5148E">
        <w:rPr>
          <w:rFonts w:ascii="Tahoma" w:hAnsi="Tahoma" w:cs="Tahoma"/>
          <w:sz w:val="24"/>
          <w:szCs w:val="24"/>
        </w:rPr>
        <w:t>.</w:t>
      </w:r>
    </w:p>
    <w:p w14:paraId="1A5812F4" w14:textId="0AB58A33" w:rsidR="00EF37FE" w:rsidRPr="00C5148E" w:rsidRDefault="003C1D2F" w:rsidP="0001510C">
      <w:pPr>
        <w:pStyle w:val="ListofTables"/>
      </w:pPr>
      <w:bookmarkStart w:id="34" w:name="_Toc164072364"/>
      <w:bookmarkStart w:id="35" w:name="_Toc166658891"/>
      <w:bookmarkStart w:id="36" w:name="_Toc169612984"/>
      <w:r w:rsidRPr="00C5148E">
        <w:t xml:space="preserve">Table </w:t>
      </w:r>
      <w:r w:rsidR="00F115AF" w:rsidRPr="00C5148E">
        <w:t>2</w:t>
      </w:r>
      <w:r w:rsidRPr="00C5148E">
        <w:t xml:space="preserve">: </w:t>
      </w:r>
      <w:r w:rsidR="009F2CF2" w:rsidRPr="00C5148E">
        <w:t>ZiG</w:t>
      </w:r>
      <w:r w:rsidRPr="00C5148E">
        <w:t xml:space="preserve"> Exchange Rate Movements – </w:t>
      </w:r>
      <w:r w:rsidR="00F471BC" w:rsidRPr="00C5148E">
        <w:t>Month</w:t>
      </w:r>
      <w:r w:rsidRPr="00C5148E">
        <w:t xml:space="preserve"> Ending </w:t>
      </w:r>
      <w:r w:rsidR="00AC4BB6" w:rsidRPr="00C5148E">
        <w:t>3</w:t>
      </w:r>
      <w:r w:rsidR="009F2CF2" w:rsidRPr="00C5148E">
        <w:t>1</w:t>
      </w:r>
      <w:r w:rsidRPr="00C5148E">
        <w:t xml:space="preserve"> </w:t>
      </w:r>
      <w:r w:rsidR="009F2CF2" w:rsidRPr="00C5148E">
        <w:t>May</w:t>
      </w:r>
      <w:r w:rsidRPr="00C5148E">
        <w:t xml:space="preserve"> 202</w:t>
      </w:r>
      <w:r w:rsidR="00F471BC" w:rsidRPr="00C5148E">
        <w:t>4</w:t>
      </w:r>
      <w:bookmarkEnd w:id="34"/>
      <w:bookmarkEnd w:id="35"/>
      <w:bookmarkEnd w:id="36"/>
    </w:p>
    <w:p w14:paraId="3FDBD5D6" w14:textId="2C66EEC0" w:rsidR="009F4C6F" w:rsidRPr="00C5148E" w:rsidRDefault="00D6183E" w:rsidP="00DD595D">
      <w:pPr>
        <w:pStyle w:val="Caption"/>
        <w:spacing w:after="0"/>
        <w:rPr>
          <w:rFonts w:ascii="Tahoma" w:hAnsi="Tahoma" w:cs="Tahoma"/>
          <w:i w:val="0"/>
          <w:iCs w:val="0"/>
          <w:sz w:val="24"/>
          <w:szCs w:val="24"/>
        </w:rPr>
      </w:pPr>
      <w:r w:rsidRPr="00C5148E">
        <w:rPr>
          <w:rFonts w:ascii="Tahoma" w:hAnsi="Tahoma" w:cs="Tahoma"/>
          <w:noProof/>
          <w:sz w:val="24"/>
          <w:szCs w:val="24"/>
        </w:rPr>
        <w:drawing>
          <wp:inline distT="0" distB="0" distL="0" distR="0" wp14:anchorId="48AA36D1" wp14:editId="2F7288E1">
            <wp:extent cx="5731510" cy="14592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59230"/>
                    </a:xfrm>
                    <a:prstGeom prst="rect">
                      <a:avLst/>
                    </a:prstGeom>
                  </pic:spPr>
                </pic:pic>
              </a:graphicData>
            </a:graphic>
          </wp:inline>
        </w:drawing>
      </w:r>
    </w:p>
    <w:p w14:paraId="6FA7393F" w14:textId="1897B12E" w:rsidR="00184FA3" w:rsidRPr="00C5148E" w:rsidRDefault="00184FA3">
      <w:pPr>
        <w:rPr>
          <w:rFonts w:ascii="Tahoma" w:hAnsi="Tahoma" w:cs="Tahoma"/>
          <w:sz w:val="24"/>
          <w:szCs w:val="24"/>
        </w:rPr>
      </w:pPr>
      <w:r w:rsidRPr="00C5148E">
        <w:rPr>
          <w:rFonts w:ascii="Tahoma" w:hAnsi="Tahoma" w:cs="Tahoma"/>
          <w:i/>
          <w:sz w:val="24"/>
          <w:szCs w:val="24"/>
        </w:rPr>
        <w:t>Source</w:t>
      </w:r>
      <w:r w:rsidR="00B1678A" w:rsidRPr="00C5148E">
        <w:rPr>
          <w:rFonts w:ascii="Tahoma" w:hAnsi="Tahoma" w:cs="Tahoma"/>
          <w:i/>
          <w:sz w:val="24"/>
          <w:szCs w:val="24"/>
        </w:rPr>
        <w:t>: R</w:t>
      </w:r>
      <w:r w:rsidR="009044CB" w:rsidRPr="00C5148E">
        <w:rPr>
          <w:rFonts w:ascii="Tahoma" w:hAnsi="Tahoma" w:cs="Tahoma"/>
          <w:i/>
          <w:sz w:val="24"/>
          <w:szCs w:val="24"/>
        </w:rPr>
        <w:t>BZ</w:t>
      </w:r>
      <w:r w:rsidR="00B1678A" w:rsidRPr="00C5148E">
        <w:rPr>
          <w:rFonts w:ascii="Tahoma" w:hAnsi="Tahoma" w:cs="Tahoma"/>
          <w:i/>
          <w:sz w:val="24"/>
          <w:szCs w:val="24"/>
        </w:rPr>
        <w:t xml:space="preserve"> (</w:t>
      </w:r>
      <w:r w:rsidR="0062024E" w:rsidRPr="00C5148E">
        <w:rPr>
          <w:rFonts w:ascii="Tahoma" w:hAnsi="Tahoma" w:cs="Tahoma"/>
          <w:i/>
          <w:sz w:val="24"/>
          <w:szCs w:val="24"/>
        </w:rPr>
        <w:t>202</w:t>
      </w:r>
      <w:r w:rsidR="008B2E08" w:rsidRPr="00C5148E">
        <w:rPr>
          <w:rFonts w:ascii="Tahoma" w:hAnsi="Tahoma" w:cs="Tahoma"/>
          <w:i/>
          <w:sz w:val="24"/>
          <w:szCs w:val="24"/>
        </w:rPr>
        <w:t>4</w:t>
      </w:r>
      <w:r w:rsidR="00B1678A" w:rsidRPr="00C5148E">
        <w:rPr>
          <w:rFonts w:ascii="Tahoma" w:hAnsi="Tahoma" w:cs="Tahoma"/>
          <w:i/>
          <w:sz w:val="24"/>
          <w:szCs w:val="24"/>
        </w:rPr>
        <w:t>)</w:t>
      </w:r>
      <w:r w:rsidR="0062024E" w:rsidRPr="00C5148E">
        <w:rPr>
          <w:rFonts w:ascii="Tahoma" w:hAnsi="Tahoma" w:cs="Tahoma"/>
          <w:i/>
          <w:sz w:val="24"/>
          <w:szCs w:val="24"/>
        </w:rPr>
        <w:t xml:space="preserve"> </w:t>
      </w:r>
    </w:p>
    <w:p w14:paraId="70FB22D8" w14:textId="77777777" w:rsidR="00C65CC6" w:rsidRPr="00C5148E" w:rsidRDefault="004C7E36" w:rsidP="003C1D2F">
      <w:pPr>
        <w:pStyle w:val="Heading2"/>
        <w:spacing w:before="0" w:after="240" w:line="240" w:lineRule="auto"/>
        <w:rPr>
          <w:rFonts w:cs="Tahoma"/>
          <w:b/>
          <w:color w:val="000000"/>
          <w:szCs w:val="24"/>
        </w:rPr>
      </w:pPr>
      <w:bookmarkStart w:id="37" w:name="_Toc166607897"/>
      <w:bookmarkStart w:id="38" w:name="_Toc169612902"/>
      <w:r w:rsidRPr="00C5148E">
        <w:rPr>
          <w:rFonts w:cs="Tahoma"/>
          <w:b/>
          <w:color w:val="000000"/>
          <w:szCs w:val="24"/>
        </w:rPr>
        <w:t>5.2</w:t>
      </w:r>
      <w:r w:rsidRPr="00C5148E">
        <w:rPr>
          <w:rFonts w:cs="Tahoma"/>
          <w:b/>
          <w:color w:val="000000"/>
          <w:szCs w:val="24"/>
        </w:rPr>
        <w:tab/>
      </w:r>
      <w:r w:rsidR="00EF25BB" w:rsidRPr="00C5148E">
        <w:rPr>
          <w:rFonts w:cs="Tahoma"/>
          <w:b/>
          <w:color w:val="000000"/>
          <w:szCs w:val="24"/>
        </w:rPr>
        <w:t>Cross Rate Developments</w:t>
      </w:r>
      <w:bookmarkEnd w:id="37"/>
      <w:bookmarkEnd w:id="38"/>
      <w:r w:rsidR="00EF25BB" w:rsidRPr="00C5148E">
        <w:rPr>
          <w:rFonts w:cs="Tahoma"/>
          <w:b/>
          <w:color w:val="000000"/>
          <w:szCs w:val="24"/>
        </w:rPr>
        <w:t xml:space="preserve"> </w:t>
      </w:r>
    </w:p>
    <w:p w14:paraId="6D74B36C" w14:textId="33A4F29A" w:rsidR="00C65CC6" w:rsidRPr="00DD595D" w:rsidRDefault="004C7E36" w:rsidP="004C7E36">
      <w:pPr>
        <w:ind w:left="720" w:hanging="720"/>
        <w:jc w:val="both"/>
        <w:rPr>
          <w:rFonts w:ascii="Tahoma" w:hAnsi="Tahoma" w:cs="Tahoma"/>
          <w:i/>
          <w:iCs/>
          <w:sz w:val="24"/>
          <w:szCs w:val="24"/>
        </w:rPr>
      </w:pPr>
      <w:r w:rsidRPr="00C5148E">
        <w:rPr>
          <w:rFonts w:ascii="Tahoma" w:hAnsi="Tahoma" w:cs="Tahoma"/>
          <w:sz w:val="24"/>
          <w:szCs w:val="24"/>
        </w:rPr>
        <w:t>5.2.1</w:t>
      </w:r>
      <w:r w:rsidRPr="00C5148E">
        <w:rPr>
          <w:rFonts w:ascii="Tahoma" w:hAnsi="Tahoma" w:cs="Tahoma"/>
          <w:sz w:val="24"/>
          <w:szCs w:val="24"/>
        </w:rPr>
        <w:tab/>
      </w:r>
      <w:r w:rsidR="00526952" w:rsidRPr="00C5148E">
        <w:rPr>
          <w:rFonts w:ascii="Tahoma" w:hAnsi="Tahoma" w:cs="Tahoma"/>
          <w:sz w:val="24"/>
          <w:szCs w:val="24"/>
        </w:rPr>
        <w:t xml:space="preserve">On </w:t>
      </w:r>
      <w:r w:rsidR="003E436F">
        <w:rPr>
          <w:rFonts w:ascii="Tahoma" w:hAnsi="Tahoma" w:cs="Tahoma"/>
          <w:sz w:val="24"/>
          <w:szCs w:val="24"/>
        </w:rPr>
        <w:t>MoM</w:t>
      </w:r>
      <w:r w:rsidR="00526952" w:rsidRPr="00C5148E">
        <w:rPr>
          <w:rFonts w:ascii="Tahoma" w:hAnsi="Tahoma" w:cs="Tahoma"/>
          <w:sz w:val="24"/>
          <w:szCs w:val="24"/>
        </w:rPr>
        <w:t xml:space="preserve"> basis, the USD lost value against the GBP and EUR by 1.45% and 1.10% respectively </w:t>
      </w:r>
      <w:r w:rsidR="009513D4" w:rsidRPr="00C5148E">
        <w:rPr>
          <w:rFonts w:ascii="Tahoma" w:hAnsi="Tahoma" w:cs="Tahoma"/>
          <w:sz w:val="24"/>
          <w:szCs w:val="24"/>
        </w:rPr>
        <w:t>however,</w:t>
      </w:r>
      <w:r w:rsidR="005A4E72" w:rsidRPr="00C5148E">
        <w:rPr>
          <w:rFonts w:ascii="Tahoma" w:hAnsi="Tahoma" w:cs="Tahoma"/>
          <w:sz w:val="24"/>
          <w:szCs w:val="24"/>
        </w:rPr>
        <w:t xml:space="preserve"> the USD</w:t>
      </w:r>
      <w:r w:rsidR="009513D4" w:rsidRPr="00C5148E">
        <w:rPr>
          <w:rFonts w:ascii="Tahoma" w:hAnsi="Tahoma" w:cs="Tahoma"/>
          <w:sz w:val="24"/>
          <w:szCs w:val="24"/>
        </w:rPr>
        <w:t xml:space="preserve"> appreciated against </w:t>
      </w:r>
      <w:r w:rsidR="00526952" w:rsidRPr="00C5148E">
        <w:rPr>
          <w:rFonts w:ascii="Tahoma" w:hAnsi="Tahoma" w:cs="Tahoma"/>
          <w:sz w:val="24"/>
          <w:szCs w:val="24"/>
        </w:rPr>
        <w:t>the ZAR by 0.50%</w:t>
      </w:r>
      <w:r w:rsidR="0017350B" w:rsidRPr="00C5148E">
        <w:rPr>
          <w:rFonts w:ascii="Tahoma" w:hAnsi="Tahoma" w:cs="Tahoma"/>
          <w:sz w:val="24"/>
          <w:szCs w:val="24"/>
        </w:rPr>
        <w:t xml:space="preserve"> as shown in Table </w:t>
      </w:r>
      <w:r w:rsidR="009C600A">
        <w:rPr>
          <w:rFonts w:ascii="Tahoma" w:hAnsi="Tahoma" w:cs="Tahoma"/>
          <w:sz w:val="24"/>
          <w:szCs w:val="24"/>
        </w:rPr>
        <w:t>3</w:t>
      </w:r>
      <w:r w:rsidR="0017350B" w:rsidRPr="00C5148E">
        <w:rPr>
          <w:rFonts w:ascii="Tahoma" w:hAnsi="Tahoma" w:cs="Tahoma"/>
          <w:sz w:val="24"/>
          <w:szCs w:val="24"/>
        </w:rPr>
        <w:t xml:space="preserve">. </w:t>
      </w:r>
      <w:r w:rsidR="005A4E72" w:rsidRPr="00DD595D">
        <w:rPr>
          <w:rFonts w:ascii="Tahoma" w:hAnsi="Tahoma" w:cs="Tahoma"/>
          <w:i/>
          <w:iCs/>
          <w:sz w:val="24"/>
          <w:szCs w:val="24"/>
        </w:rPr>
        <w:t xml:space="preserve">If the appreciation of the USD (one of the major </w:t>
      </w:r>
      <w:r w:rsidR="002D644A" w:rsidRPr="00DD595D">
        <w:rPr>
          <w:rFonts w:ascii="Tahoma" w:hAnsi="Tahoma" w:cs="Tahoma"/>
          <w:i/>
          <w:iCs/>
          <w:sz w:val="24"/>
          <w:szCs w:val="24"/>
        </w:rPr>
        <w:t>currencies</w:t>
      </w:r>
      <w:r w:rsidR="005A4E72" w:rsidRPr="00DD595D">
        <w:rPr>
          <w:rFonts w:ascii="Tahoma" w:hAnsi="Tahoma" w:cs="Tahoma"/>
          <w:i/>
          <w:iCs/>
          <w:sz w:val="24"/>
          <w:szCs w:val="24"/>
        </w:rPr>
        <w:t xml:space="preserve"> used in Zimbabwe) is sustained, it makes products from Zimbabwe’s major trading partner (South Africa) cheaper</w:t>
      </w:r>
      <w:r w:rsidR="002D644A" w:rsidRPr="00DD595D">
        <w:rPr>
          <w:rFonts w:ascii="Tahoma" w:hAnsi="Tahoma" w:cs="Tahoma"/>
          <w:i/>
          <w:iCs/>
          <w:sz w:val="24"/>
          <w:szCs w:val="24"/>
        </w:rPr>
        <w:t xml:space="preserve"> promoting importation of capital goods encouraging local production. However, this comes with adverse </w:t>
      </w:r>
      <w:r w:rsidR="00372401" w:rsidRPr="00DD595D">
        <w:rPr>
          <w:rFonts w:ascii="Tahoma" w:hAnsi="Tahoma" w:cs="Tahoma"/>
          <w:i/>
          <w:iCs/>
          <w:sz w:val="24"/>
          <w:szCs w:val="24"/>
        </w:rPr>
        <w:t>spillover</w:t>
      </w:r>
      <w:r w:rsidR="00B939CA" w:rsidRPr="00DD595D">
        <w:rPr>
          <w:rFonts w:ascii="Tahoma" w:hAnsi="Tahoma" w:cs="Tahoma"/>
          <w:i/>
          <w:iCs/>
          <w:sz w:val="24"/>
          <w:szCs w:val="24"/>
        </w:rPr>
        <w:t xml:space="preserve"> effects </w:t>
      </w:r>
      <w:r w:rsidR="003E436F" w:rsidRPr="00DD595D">
        <w:rPr>
          <w:rFonts w:ascii="Tahoma" w:hAnsi="Tahoma" w:cs="Tahoma"/>
          <w:i/>
          <w:iCs/>
          <w:sz w:val="24"/>
          <w:szCs w:val="24"/>
        </w:rPr>
        <w:t xml:space="preserve">such as </w:t>
      </w:r>
      <w:r w:rsidR="00B939CA" w:rsidRPr="00DD595D">
        <w:rPr>
          <w:rFonts w:ascii="Tahoma" w:hAnsi="Tahoma" w:cs="Tahoma"/>
          <w:i/>
          <w:iCs/>
          <w:sz w:val="24"/>
          <w:szCs w:val="24"/>
        </w:rPr>
        <w:t>imported inflation,</w:t>
      </w:r>
      <w:r w:rsidR="00B55BD8" w:rsidRPr="00DD595D">
        <w:rPr>
          <w:rFonts w:ascii="Tahoma" w:hAnsi="Tahoma" w:cs="Tahoma"/>
          <w:i/>
          <w:iCs/>
          <w:sz w:val="24"/>
          <w:szCs w:val="24"/>
        </w:rPr>
        <w:t xml:space="preserve"> </w:t>
      </w:r>
      <w:r w:rsidR="003E436F" w:rsidRPr="00DD595D">
        <w:rPr>
          <w:rFonts w:ascii="Tahoma" w:hAnsi="Tahoma" w:cs="Tahoma"/>
          <w:i/>
          <w:iCs/>
          <w:sz w:val="24"/>
          <w:szCs w:val="24"/>
        </w:rPr>
        <w:t xml:space="preserve">which tend to </w:t>
      </w:r>
      <w:r w:rsidR="00B55BD8" w:rsidRPr="00DD595D">
        <w:rPr>
          <w:rFonts w:ascii="Tahoma" w:hAnsi="Tahoma" w:cs="Tahoma"/>
          <w:i/>
          <w:iCs/>
          <w:sz w:val="24"/>
          <w:szCs w:val="24"/>
        </w:rPr>
        <w:t>discourage local production,</w:t>
      </w:r>
      <w:r w:rsidR="00B939CA" w:rsidRPr="00DD595D">
        <w:rPr>
          <w:rFonts w:ascii="Tahoma" w:hAnsi="Tahoma" w:cs="Tahoma"/>
          <w:i/>
          <w:iCs/>
          <w:sz w:val="24"/>
          <w:szCs w:val="24"/>
        </w:rPr>
        <w:t xml:space="preserve"> </w:t>
      </w:r>
      <w:r w:rsidR="003E436F" w:rsidRPr="00DD595D">
        <w:rPr>
          <w:rFonts w:ascii="Tahoma" w:hAnsi="Tahoma" w:cs="Tahoma"/>
          <w:i/>
          <w:iCs/>
          <w:sz w:val="24"/>
          <w:szCs w:val="24"/>
        </w:rPr>
        <w:lastRenderedPageBreak/>
        <w:t xml:space="preserve">worsens the </w:t>
      </w:r>
      <w:r w:rsidR="00B939CA" w:rsidRPr="00DD595D">
        <w:rPr>
          <w:rFonts w:ascii="Tahoma" w:hAnsi="Tahoma" w:cs="Tahoma"/>
          <w:i/>
          <w:iCs/>
          <w:sz w:val="24"/>
          <w:szCs w:val="24"/>
        </w:rPr>
        <w:t xml:space="preserve">trade deficit and </w:t>
      </w:r>
      <w:r w:rsidR="003E436F" w:rsidRPr="00DD595D">
        <w:rPr>
          <w:rFonts w:ascii="Tahoma" w:hAnsi="Tahoma" w:cs="Tahoma"/>
          <w:i/>
          <w:iCs/>
          <w:sz w:val="24"/>
          <w:szCs w:val="24"/>
        </w:rPr>
        <w:t xml:space="preserve">increases </w:t>
      </w:r>
      <w:r w:rsidR="00B939CA" w:rsidRPr="00DD595D">
        <w:rPr>
          <w:rFonts w:ascii="Tahoma" w:hAnsi="Tahoma" w:cs="Tahoma"/>
          <w:i/>
          <w:iCs/>
          <w:sz w:val="24"/>
          <w:szCs w:val="24"/>
        </w:rPr>
        <w:t>loss of foreign reserves in the economy which further compromise</w:t>
      </w:r>
      <w:r w:rsidR="003E436F" w:rsidRPr="00DD595D">
        <w:rPr>
          <w:rFonts w:ascii="Tahoma" w:hAnsi="Tahoma" w:cs="Tahoma"/>
          <w:i/>
          <w:iCs/>
          <w:sz w:val="24"/>
          <w:szCs w:val="24"/>
        </w:rPr>
        <w:t>s the</w:t>
      </w:r>
      <w:r w:rsidR="00B939CA" w:rsidRPr="00DD595D">
        <w:rPr>
          <w:rFonts w:ascii="Tahoma" w:hAnsi="Tahoma" w:cs="Tahoma"/>
          <w:i/>
          <w:iCs/>
          <w:sz w:val="24"/>
          <w:szCs w:val="24"/>
        </w:rPr>
        <w:t xml:space="preserve"> exchange rate.</w:t>
      </w:r>
    </w:p>
    <w:p w14:paraId="31143949" w14:textId="1DC0E8E7" w:rsidR="003C1D2F" w:rsidRPr="00C5148E" w:rsidRDefault="003C1D2F" w:rsidP="0001510C">
      <w:pPr>
        <w:pStyle w:val="ListofTables"/>
      </w:pPr>
      <w:bookmarkStart w:id="39" w:name="_Toc164072365"/>
      <w:bookmarkStart w:id="40" w:name="_Toc166658892"/>
      <w:bookmarkStart w:id="41" w:name="_Toc169612985"/>
      <w:r w:rsidRPr="00C5148E">
        <w:t xml:space="preserve">Table </w:t>
      </w:r>
      <w:r w:rsidR="00F115AF" w:rsidRPr="00C5148E">
        <w:t>3</w:t>
      </w:r>
      <w:r w:rsidRPr="00C5148E">
        <w:t xml:space="preserve">: USD Exchange Rate Movements – </w:t>
      </w:r>
      <w:r w:rsidR="00642C66" w:rsidRPr="00C5148E">
        <w:t>Month</w:t>
      </w:r>
      <w:r w:rsidRPr="00C5148E">
        <w:t xml:space="preserve"> Ended </w:t>
      </w:r>
      <w:r w:rsidR="00170788" w:rsidRPr="00C5148E">
        <w:t>3</w:t>
      </w:r>
      <w:r w:rsidR="00EA0776" w:rsidRPr="00C5148E">
        <w:t>1</w:t>
      </w:r>
      <w:r w:rsidRPr="00C5148E">
        <w:t xml:space="preserve"> </w:t>
      </w:r>
      <w:r w:rsidR="00EA0776" w:rsidRPr="00C5148E">
        <w:t>May</w:t>
      </w:r>
      <w:r w:rsidRPr="00C5148E">
        <w:t xml:space="preserve"> 202</w:t>
      </w:r>
      <w:r w:rsidR="00642C66" w:rsidRPr="00C5148E">
        <w:t>4</w:t>
      </w:r>
      <w:bookmarkEnd w:id="39"/>
      <w:bookmarkEnd w:id="40"/>
      <w:bookmarkEnd w:id="41"/>
    </w:p>
    <w:p w14:paraId="6FE67384" w14:textId="769F630E" w:rsidR="000E455D" w:rsidRPr="00C5148E" w:rsidRDefault="00D33053" w:rsidP="00DD595D">
      <w:pPr>
        <w:pStyle w:val="Caption"/>
        <w:spacing w:after="0"/>
        <w:rPr>
          <w:rFonts w:ascii="Tahoma" w:hAnsi="Tahoma" w:cs="Tahoma"/>
          <w:i w:val="0"/>
          <w:iCs w:val="0"/>
          <w:sz w:val="24"/>
          <w:szCs w:val="24"/>
        </w:rPr>
      </w:pPr>
      <w:r w:rsidRPr="00C5148E">
        <w:rPr>
          <w:rFonts w:ascii="Tahoma" w:hAnsi="Tahoma" w:cs="Tahoma"/>
          <w:noProof/>
          <w:sz w:val="24"/>
          <w:szCs w:val="24"/>
        </w:rPr>
        <w:drawing>
          <wp:inline distT="0" distB="0" distL="0" distR="0" wp14:anchorId="735BD974" wp14:editId="0567ECA9">
            <wp:extent cx="5731510" cy="13112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11275"/>
                    </a:xfrm>
                    <a:prstGeom prst="rect">
                      <a:avLst/>
                    </a:prstGeom>
                  </pic:spPr>
                </pic:pic>
              </a:graphicData>
            </a:graphic>
          </wp:inline>
        </w:drawing>
      </w:r>
    </w:p>
    <w:p w14:paraId="76EA9286" w14:textId="77777777" w:rsidR="00184FA3" w:rsidRPr="00C5148E" w:rsidRDefault="004C7E36">
      <w:pPr>
        <w:rPr>
          <w:rFonts w:ascii="Tahoma" w:hAnsi="Tahoma" w:cs="Tahoma"/>
          <w:i/>
          <w:sz w:val="24"/>
          <w:szCs w:val="24"/>
        </w:rPr>
      </w:pPr>
      <w:r w:rsidRPr="00C5148E">
        <w:rPr>
          <w:rFonts w:ascii="Tahoma" w:hAnsi="Tahoma" w:cs="Tahoma"/>
          <w:i/>
          <w:sz w:val="24"/>
          <w:szCs w:val="24"/>
        </w:rPr>
        <w:t xml:space="preserve">Source: </w:t>
      </w:r>
      <w:r w:rsidR="006F52AC" w:rsidRPr="00C5148E">
        <w:rPr>
          <w:rFonts w:ascii="Tahoma" w:hAnsi="Tahoma" w:cs="Tahoma"/>
          <w:i/>
          <w:sz w:val="24"/>
          <w:szCs w:val="24"/>
        </w:rPr>
        <w:t>RBZ</w:t>
      </w:r>
      <w:r w:rsidRPr="00C5148E">
        <w:rPr>
          <w:rFonts w:ascii="Tahoma" w:hAnsi="Tahoma" w:cs="Tahoma"/>
          <w:i/>
          <w:sz w:val="24"/>
          <w:szCs w:val="24"/>
        </w:rPr>
        <w:t xml:space="preserve"> (202</w:t>
      </w:r>
      <w:r w:rsidR="006F52AC" w:rsidRPr="00C5148E">
        <w:rPr>
          <w:rFonts w:ascii="Tahoma" w:hAnsi="Tahoma" w:cs="Tahoma"/>
          <w:i/>
          <w:sz w:val="24"/>
          <w:szCs w:val="24"/>
        </w:rPr>
        <w:t>4</w:t>
      </w:r>
      <w:r w:rsidRPr="00C5148E">
        <w:rPr>
          <w:rFonts w:ascii="Tahoma" w:hAnsi="Tahoma" w:cs="Tahoma"/>
          <w:i/>
          <w:sz w:val="24"/>
          <w:szCs w:val="24"/>
        </w:rPr>
        <w:t>)</w:t>
      </w:r>
    </w:p>
    <w:p w14:paraId="20041D63" w14:textId="4942278D" w:rsidR="00EF25BB" w:rsidRPr="00C5148E" w:rsidRDefault="004C7E36" w:rsidP="004C7E36">
      <w:pPr>
        <w:ind w:left="720" w:hanging="720"/>
        <w:jc w:val="both"/>
        <w:rPr>
          <w:rFonts w:ascii="Tahoma" w:hAnsi="Tahoma" w:cs="Tahoma"/>
          <w:sz w:val="24"/>
          <w:szCs w:val="24"/>
        </w:rPr>
      </w:pPr>
      <w:r w:rsidRPr="00C5148E">
        <w:rPr>
          <w:rFonts w:ascii="Tahoma" w:hAnsi="Tahoma" w:cs="Tahoma"/>
          <w:sz w:val="24"/>
          <w:szCs w:val="24"/>
        </w:rPr>
        <w:t>5.2.2</w:t>
      </w:r>
      <w:r w:rsidRPr="00C5148E">
        <w:rPr>
          <w:rFonts w:ascii="Tahoma" w:hAnsi="Tahoma" w:cs="Tahoma"/>
          <w:sz w:val="24"/>
          <w:szCs w:val="24"/>
        </w:rPr>
        <w:tab/>
      </w:r>
      <w:r w:rsidR="00CB6A80" w:rsidRPr="00C5148E">
        <w:rPr>
          <w:rFonts w:ascii="Tahoma" w:hAnsi="Tahoma" w:cs="Tahoma"/>
          <w:sz w:val="24"/>
          <w:szCs w:val="24"/>
        </w:rPr>
        <w:t>Meanwhile, t</w:t>
      </w:r>
      <w:r w:rsidR="00EF25BB" w:rsidRPr="00C5148E">
        <w:rPr>
          <w:rFonts w:ascii="Tahoma" w:hAnsi="Tahoma" w:cs="Tahoma"/>
          <w:sz w:val="24"/>
          <w:szCs w:val="24"/>
        </w:rPr>
        <w:t xml:space="preserve">he </w:t>
      </w:r>
      <w:r w:rsidR="00005C65" w:rsidRPr="00C5148E">
        <w:rPr>
          <w:rFonts w:ascii="Tahoma" w:hAnsi="Tahoma" w:cs="Tahoma"/>
          <w:sz w:val="24"/>
          <w:szCs w:val="24"/>
        </w:rPr>
        <w:t xml:space="preserve">USD </w:t>
      </w:r>
      <w:r w:rsidR="00A75310">
        <w:rPr>
          <w:rFonts w:ascii="Tahoma" w:hAnsi="Tahoma" w:cs="Tahoma"/>
          <w:sz w:val="24"/>
          <w:szCs w:val="24"/>
        </w:rPr>
        <w:t>and the</w:t>
      </w:r>
      <w:r w:rsidR="00005C65" w:rsidRPr="00C5148E">
        <w:rPr>
          <w:rFonts w:ascii="Tahoma" w:hAnsi="Tahoma" w:cs="Tahoma"/>
          <w:sz w:val="24"/>
          <w:szCs w:val="24"/>
        </w:rPr>
        <w:t xml:space="preserve"> EUR remained </w:t>
      </w:r>
      <w:r w:rsidR="00A75310">
        <w:rPr>
          <w:rFonts w:ascii="Tahoma" w:hAnsi="Tahoma" w:cs="Tahoma"/>
          <w:sz w:val="24"/>
          <w:szCs w:val="24"/>
        </w:rPr>
        <w:t>at par</w:t>
      </w:r>
      <w:r w:rsidR="00005C65" w:rsidRPr="00C5148E">
        <w:rPr>
          <w:rFonts w:ascii="Tahoma" w:hAnsi="Tahoma" w:cs="Tahoma"/>
          <w:sz w:val="24"/>
          <w:szCs w:val="24"/>
        </w:rPr>
        <w:t xml:space="preserve"> on</w:t>
      </w:r>
      <w:r w:rsidR="00545E84" w:rsidRPr="00C5148E">
        <w:rPr>
          <w:rFonts w:ascii="Tahoma" w:hAnsi="Tahoma" w:cs="Tahoma"/>
          <w:sz w:val="24"/>
          <w:szCs w:val="24"/>
        </w:rPr>
        <w:t xml:space="preserve"> a </w:t>
      </w:r>
      <w:r w:rsidR="00005C65" w:rsidRPr="00C5148E">
        <w:rPr>
          <w:rFonts w:ascii="Tahoma" w:hAnsi="Tahoma" w:cs="Tahoma"/>
          <w:sz w:val="24"/>
          <w:szCs w:val="24"/>
        </w:rPr>
        <w:t>YtD</w:t>
      </w:r>
      <w:r w:rsidR="00A75310">
        <w:rPr>
          <w:rFonts w:ascii="Tahoma" w:hAnsi="Tahoma" w:cs="Tahoma"/>
          <w:sz w:val="24"/>
          <w:szCs w:val="24"/>
        </w:rPr>
        <w:t xml:space="preserve"> basis and lost on a YoY basis. T</w:t>
      </w:r>
      <w:r w:rsidR="00545E84" w:rsidRPr="00C5148E">
        <w:rPr>
          <w:rFonts w:ascii="Tahoma" w:hAnsi="Tahoma" w:cs="Tahoma"/>
          <w:sz w:val="24"/>
          <w:szCs w:val="24"/>
        </w:rPr>
        <w:t>he USD lost against GBP, and ZAR on both YtD and YoY basis.</w:t>
      </w:r>
      <w:r w:rsidR="00EF25BB" w:rsidRPr="00C5148E">
        <w:rPr>
          <w:rFonts w:ascii="Tahoma" w:hAnsi="Tahoma" w:cs="Tahoma"/>
          <w:sz w:val="24"/>
          <w:szCs w:val="24"/>
        </w:rPr>
        <w:t xml:space="preserve"> </w:t>
      </w:r>
      <w:r w:rsidR="00EF25BB" w:rsidRPr="00DD595D">
        <w:rPr>
          <w:rFonts w:ascii="Tahoma" w:hAnsi="Tahoma" w:cs="Tahoma"/>
          <w:i/>
          <w:iCs/>
          <w:sz w:val="24"/>
          <w:szCs w:val="24"/>
        </w:rPr>
        <w:t>Th</w:t>
      </w:r>
      <w:r w:rsidR="001D161C" w:rsidRPr="00DD595D">
        <w:rPr>
          <w:rFonts w:ascii="Tahoma" w:hAnsi="Tahoma" w:cs="Tahoma"/>
          <w:i/>
          <w:iCs/>
          <w:sz w:val="24"/>
          <w:szCs w:val="24"/>
        </w:rPr>
        <w:t>e</w:t>
      </w:r>
      <w:r w:rsidR="00A8286A" w:rsidRPr="00DD595D">
        <w:rPr>
          <w:rFonts w:ascii="Tahoma" w:hAnsi="Tahoma" w:cs="Tahoma"/>
          <w:i/>
          <w:iCs/>
          <w:sz w:val="24"/>
          <w:szCs w:val="24"/>
        </w:rPr>
        <w:t xml:space="preserve"> trend</w:t>
      </w:r>
      <w:r w:rsidR="00EF25BB" w:rsidRPr="00DD595D">
        <w:rPr>
          <w:rFonts w:ascii="Tahoma" w:hAnsi="Tahoma" w:cs="Tahoma"/>
          <w:i/>
          <w:iCs/>
          <w:sz w:val="24"/>
          <w:szCs w:val="24"/>
        </w:rPr>
        <w:t xml:space="preserve"> of the ZAR</w:t>
      </w:r>
      <w:r w:rsidR="001D161C" w:rsidRPr="00DD595D">
        <w:rPr>
          <w:rFonts w:ascii="Tahoma" w:hAnsi="Tahoma" w:cs="Tahoma"/>
          <w:i/>
          <w:iCs/>
          <w:sz w:val="24"/>
          <w:szCs w:val="24"/>
        </w:rPr>
        <w:t xml:space="preserve"> on a YtD and YoY basis</w:t>
      </w:r>
      <w:r w:rsidR="00EF25BB" w:rsidRPr="00DD595D">
        <w:rPr>
          <w:rFonts w:ascii="Tahoma" w:hAnsi="Tahoma" w:cs="Tahoma"/>
          <w:i/>
          <w:iCs/>
          <w:sz w:val="24"/>
          <w:szCs w:val="24"/>
        </w:rPr>
        <w:t xml:space="preserve"> </w:t>
      </w:r>
      <w:r w:rsidR="002E6010" w:rsidRPr="00DD595D">
        <w:rPr>
          <w:rFonts w:ascii="Tahoma" w:hAnsi="Tahoma" w:cs="Tahoma"/>
          <w:i/>
          <w:iCs/>
          <w:sz w:val="24"/>
          <w:szCs w:val="24"/>
        </w:rPr>
        <w:t xml:space="preserve">promotes </w:t>
      </w:r>
      <w:r w:rsidR="00C52C3C" w:rsidRPr="00DD595D">
        <w:rPr>
          <w:rFonts w:ascii="Tahoma" w:hAnsi="Tahoma" w:cs="Tahoma"/>
          <w:i/>
          <w:iCs/>
          <w:sz w:val="24"/>
          <w:szCs w:val="24"/>
        </w:rPr>
        <w:t>competitiveness of Zimbabwean goods in the South African market</w:t>
      </w:r>
      <w:r w:rsidR="001D161C" w:rsidRPr="00DD595D">
        <w:rPr>
          <w:rFonts w:ascii="Tahoma" w:hAnsi="Tahoma" w:cs="Tahoma"/>
          <w:i/>
          <w:iCs/>
          <w:sz w:val="24"/>
          <w:szCs w:val="24"/>
        </w:rPr>
        <w:t xml:space="preserve"> promoting exports and local production</w:t>
      </w:r>
      <w:r w:rsidR="00C52C3C" w:rsidRPr="00DD595D">
        <w:rPr>
          <w:rFonts w:ascii="Tahoma" w:hAnsi="Tahoma" w:cs="Tahoma"/>
          <w:i/>
          <w:iCs/>
          <w:sz w:val="24"/>
          <w:szCs w:val="24"/>
        </w:rPr>
        <w:t>.</w:t>
      </w:r>
      <w:r w:rsidR="00C52C3C" w:rsidRPr="00C5148E">
        <w:rPr>
          <w:rFonts w:ascii="Tahoma" w:hAnsi="Tahoma" w:cs="Tahoma"/>
          <w:sz w:val="24"/>
          <w:szCs w:val="24"/>
        </w:rPr>
        <w:t xml:space="preserve"> </w:t>
      </w:r>
    </w:p>
    <w:p w14:paraId="58E8186F" w14:textId="77777777" w:rsidR="00184FA3" w:rsidRPr="00C5148E" w:rsidRDefault="004C7E36" w:rsidP="003C1D2F">
      <w:pPr>
        <w:pStyle w:val="Heading1"/>
        <w:spacing w:before="0" w:after="240" w:line="240" w:lineRule="auto"/>
        <w:rPr>
          <w:rFonts w:cs="Tahoma"/>
          <w:bCs/>
          <w:color w:val="000000"/>
          <w:szCs w:val="24"/>
        </w:rPr>
      </w:pPr>
      <w:bookmarkStart w:id="42" w:name="_Toc166607898"/>
      <w:bookmarkStart w:id="43" w:name="_Toc169612903"/>
      <w:r w:rsidRPr="00C5148E">
        <w:rPr>
          <w:rFonts w:cs="Tahoma"/>
          <w:bCs/>
          <w:color w:val="000000"/>
          <w:szCs w:val="24"/>
        </w:rPr>
        <w:t>6.0</w:t>
      </w:r>
      <w:r w:rsidRPr="00C5148E">
        <w:rPr>
          <w:rFonts w:cs="Tahoma"/>
          <w:bCs/>
          <w:color w:val="000000"/>
          <w:szCs w:val="24"/>
        </w:rPr>
        <w:tab/>
      </w:r>
      <w:r w:rsidR="00184FA3" w:rsidRPr="00C5148E">
        <w:rPr>
          <w:rFonts w:cs="Tahoma"/>
          <w:bCs/>
          <w:color w:val="000000"/>
          <w:szCs w:val="24"/>
        </w:rPr>
        <w:t>Inflation Developments</w:t>
      </w:r>
      <w:bookmarkEnd w:id="42"/>
      <w:bookmarkEnd w:id="43"/>
      <w:r w:rsidR="00184FA3" w:rsidRPr="00C5148E">
        <w:rPr>
          <w:rFonts w:cs="Tahoma"/>
          <w:bCs/>
          <w:color w:val="000000"/>
          <w:szCs w:val="24"/>
        </w:rPr>
        <w:t xml:space="preserve"> </w:t>
      </w:r>
    </w:p>
    <w:p w14:paraId="5AFE4060" w14:textId="1C66384E" w:rsidR="00FC71BF" w:rsidRPr="00C5148E" w:rsidRDefault="004C7E36" w:rsidP="004C7E36">
      <w:pPr>
        <w:ind w:left="720" w:hanging="720"/>
        <w:jc w:val="both"/>
        <w:rPr>
          <w:rFonts w:ascii="Tahoma" w:hAnsi="Tahoma" w:cs="Tahoma"/>
          <w:sz w:val="24"/>
          <w:szCs w:val="24"/>
        </w:rPr>
      </w:pPr>
      <w:r w:rsidRPr="00C5148E">
        <w:rPr>
          <w:rFonts w:ascii="Tahoma" w:hAnsi="Tahoma" w:cs="Tahoma"/>
          <w:sz w:val="24"/>
          <w:szCs w:val="24"/>
        </w:rPr>
        <w:t>6.1</w:t>
      </w:r>
      <w:r w:rsidRPr="00C5148E">
        <w:rPr>
          <w:rFonts w:ascii="Tahoma" w:hAnsi="Tahoma" w:cs="Tahoma"/>
          <w:sz w:val="24"/>
          <w:szCs w:val="24"/>
        </w:rPr>
        <w:tab/>
      </w:r>
      <w:bookmarkStart w:id="44" w:name="_Hlk166606180"/>
      <w:r w:rsidR="005E41C2" w:rsidRPr="00C5148E">
        <w:rPr>
          <w:rFonts w:ascii="Tahoma" w:hAnsi="Tahoma" w:cs="Tahoma"/>
          <w:sz w:val="24"/>
          <w:szCs w:val="24"/>
        </w:rPr>
        <w:t xml:space="preserve">During the period under consideration, the economy </w:t>
      </w:r>
      <w:proofErr w:type="gramStart"/>
      <w:r w:rsidR="0081305A">
        <w:rPr>
          <w:rFonts w:ascii="Tahoma" w:hAnsi="Tahoma" w:cs="Tahoma"/>
          <w:sz w:val="24"/>
          <w:szCs w:val="24"/>
        </w:rPr>
        <w:t>entered into</w:t>
      </w:r>
      <w:proofErr w:type="gramEnd"/>
      <w:r w:rsidR="0081305A">
        <w:rPr>
          <w:rFonts w:ascii="Tahoma" w:hAnsi="Tahoma" w:cs="Tahoma"/>
          <w:sz w:val="24"/>
          <w:szCs w:val="24"/>
        </w:rPr>
        <w:t xml:space="preserve"> a </w:t>
      </w:r>
      <w:r w:rsidR="005E41C2" w:rsidRPr="00C5148E">
        <w:rPr>
          <w:rFonts w:ascii="Tahoma" w:hAnsi="Tahoma" w:cs="Tahoma"/>
          <w:sz w:val="24"/>
          <w:szCs w:val="24"/>
        </w:rPr>
        <w:t>deflation</w:t>
      </w:r>
      <w:r w:rsidR="0081305A">
        <w:rPr>
          <w:rFonts w:ascii="Tahoma" w:hAnsi="Tahoma" w:cs="Tahoma"/>
          <w:sz w:val="24"/>
          <w:szCs w:val="24"/>
        </w:rPr>
        <w:t xml:space="preserve"> mode. Inflation declined to </w:t>
      </w:r>
      <w:r w:rsidR="005E41C2" w:rsidRPr="00C5148E">
        <w:rPr>
          <w:rFonts w:ascii="Tahoma" w:hAnsi="Tahoma" w:cs="Tahoma"/>
          <w:sz w:val="24"/>
          <w:szCs w:val="24"/>
        </w:rPr>
        <w:t xml:space="preserve">-0.6% </w:t>
      </w:r>
      <w:r w:rsidR="0081305A">
        <w:rPr>
          <w:rFonts w:ascii="Tahoma" w:hAnsi="Tahoma" w:cs="Tahoma"/>
          <w:sz w:val="24"/>
          <w:szCs w:val="24"/>
        </w:rPr>
        <w:t>from</w:t>
      </w:r>
      <w:r w:rsidR="005E41C2" w:rsidRPr="00C5148E">
        <w:rPr>
          <w:rFonts w:ascii="Tahoma" w:hAnsi="Tahoma" w:cs="Tahoma"/>
          <w:sz w:val="24"/>
          <w:szCs w:val="24"/>
        </w:rPr>
        <w:t xml:space="preserve"> 2.94% </w:t>
      </w:r>
      <w:r w:rsidR="0081305A">
        <w:rPr>
          <w:rFonts w:ascii="Tahoma" w:hAnsi="Tahoma" w:cs="Tahoma"/>
          <w:sz w:val="24"/>
          <w:szCs w:val="24"/>
        </w:rPr>
        <w:t>recorded</w:t>
      </w:r>
      <w:r w:rsidR="005E41C2" w:rsidRPr="00C5148E">
        <w:rPr>
          <w:rFonts w:ascii="Tahoma" w:hAnsi="Tahoma" w:cs="Tahoma"/>
          <w:sz w:val="24"/>
          <w:szCs w:val="24"/>
        </w:rPr>
        <w:t xml:space="preserve"> in April 2024</w:t>
      </w:r>
      <w:r w:rsidR="00670FF1" w:rsidRPr="00C5148E">
        <w:rPr>
          <w:rFonts w:ascii="Tahoma" w:hAnsi="Tahoma" w:cs="Tahoma"/>
          <w:sz w:val="24"/>
          <w:szCs w:val="24"/>
        </w:rPr>
        <w:t xml:space="preserve"> </w:t>
      </w:r>
      <w:r w:rsidR="0081305A">
        <w:rPr>
          <w:rFonts w:ascii="Tahoma" w:hAnsi="Tahoma" w:cs="Tahoma"/>
          <w:sz w:val="24"/>
          <w:szCs w:val="24"/>
        </w:rPr>
        <w:t>(</w:t>
      </w:r>
      <w:r w:rsidR="00670FF1" w:rsidRPr="00C5148E">
        <w:rPr>
          <w:rFonts w:ascii="Tahoma" w:hAnsi="Tahoma" w:cs="Tahoma"/>
          <w:sz w:val="24"/>
          <w:szCs w:val="24"/>
        </w:rPr>
        <w:t xml:space="preserve">see Figure </w:t>
      </w:r>
      <w:r w:rsidR="009C600A">
        <w:rPr>
          <w:rFonts w:ascii="Tahoma" w:hAnsi="Tahoma" w:cs="Tahoma"/>
          <w:sz w:val="24"/>
          <w:szCs w:val="24"/>
        </w:rPr>
        <w:t>2</w:t>
      </w:r>
      <w:r w:rsidR="0081305A">
        <w:rPr>
          <w:rFonts w:ascii="Tahoma" w:hAnsi="Tahoma" w:cs="Tahoma"/>
          <w:sz w:val="24"/>
          <w:szCs w:val="24"/>
        </w:rPr>
        <w:t>)</w:t>
      </w:r>
      <w:r w:rsidR="00670FF1" w:rsidRPr="00C5148E">
        <w:rPr>
          <w:rFonts w:ascii="Tahoma" w:hAnsi="Tahoma" w:cs="Tahoma"/>
          <w:sz w:val="24"/>
          <w:szCs w:val="24"/>
        </w:rPr>
        <w:t xml:space="preserve">. </w:t>
      </w:r>
      <w:bookmarkStart w:id="45" w:name="_Hlk169607814"/>
      <w:r w:rsidR="00AC4F48" w:rsidRPr="00C5148E">
        <w:rPr>
          <w:rFonts w:ascii="Tahoma" w:hAnsi="Tahoma" w:cs="Tahoma"/>
          <w:sz w:val="24"/>
          <w:szCs w:val="24"/>
        </w:rPr>
        <w:t xml:space="preserve">The sharp decline in monthly inflation reflects a continues tight monetary stance taken by the </w:t>
      </w:r>
      <w:r w:rsidR="0081305A">
        <w:rPr>
          <w:rFonts w:ascii="Tahoma" w:hAnsi="Tahoma" w:cs="Tahoma"/>
          <w:sz w:val="24"/>
          <w:szCs w:val="24"/>
        </w:rPr>
        <w:t>Reserve Bank of Zimbabwe (RBZ)</w:t>
      </w:r>
      <w:r w:rsidR="0081305A" w:rsidRPr="00C5148E">
        <w:rPr>
          <w:rFonts w:ascii="Tahoma" w:hAnsi="Tahoma" w:cs="Tahoma"/>
          <w:sz w:val="24"/>
          <w:szCs w:val="24"/>
        </w:rPr>
        <w:t xml:space="preserve"> </w:t>
      </w:r>
      <w:r w:rsidR="00AC4F48" w:rsidRPr="00C5148E">
        <w:rPr>
          <w:rFonts w:ascii="Tahoma" w:hAnsi="Tahoma" w:cs="Tahoma"/>
          <w:sz w:val="24"/>
          <w:szCs w:val="24"/>
        </w:rPr>
        <w:t xml:space="preserve">since the introduction of the </w:t>
      </w:r>
      <w:r w:rsidR="0081305A">
        <w:rPr>
          <w:rFonts w:ascii="Tahoma" w:hAnsi="Tahoma" w:cs="Tahoma"/>
          <w:sz w:val="24"/>
          <w:szCs w:val="24"/>
        </w:rPr>
        <w:t>new m</w:t>
      </w:r>
      <w:r w:rsidR="00AC4F48" w:rsidRPr="00C5148E">
        <w:rPr>
          <w:rFonts w:ascii="Tahoma" w:hAnsi="Tahoma" w:cs="Tahoma"/>
          <w:sz w:val="24"/>
          <w:szCs w:val="24"/>
        </w:rPr>
        <w:t xml:space="preserve">onetary policy </w:t>
      </w:r>
      <w:r w:rsidR="0081305A">
        <w:rPr>
          <w:rFonts w:ascii="Tahoma" w:hAnsi="Tahoma" w:cs="Tahoma"/>
          <w:sz w:val="24"/>
          <w:szCs w:val="24"/>
        </w:rPr>
        <w:t>measures</w:t>
      </w:r>
      <w:r w:rsidR="0081305A" w:rsidRPr="00C5148E">
        <w:rPr>
          <w:rFonts w:ascii="Tahoma" w:hAnsi="Tahoma" w:cs="Tahoma"/>
          <w:sz w:val="24"/>
          <w:szCs w:val="24"/>
        </w:rPr>
        <w:t xml:space="preserve"> </w:t>
      </w:r>
      <w:r w:rsidR="00AC4F48" w:rsidRPr="00C5148E">
        <w:rPr>
          <w:rFonts w:ascii="Tahoma" w:hAnsi="Tahoma" w:cs="Tahoma"/>
          <w:sz w:val="24"/>
          <w:szCs w:val="24"/>
        </w:rPr>
        <w:t>on the 5</w:t>
      </w:r>
      <w:r w:rsidR="00AC4F48" w:rsidRPr="00C5148E">
        <w:rPr>
          <w:rFonts w:ascii="Tahoma" w:hAnsi="Tahoma" w:cs="Tahoma"/>
          <w:sz w:val="24"/>
          <w:szCs w:val="24"/>
          <w:vertAlign w:val="superscript"/>
        </w:rPr>
        <w:t>th</w:t>
      </w:r>
      <w:r w:rsidR="00AC4F48" w:rsidRPr="00C5148E">
        <w:rPr>
          <w:rFonts w:ascii="Tahoma" w:hAnsi="Tahoma" w:cs="Tahoma"/>
          <w:sz w:val="24"/>
          <w:szCs w:val="24"/>
        </w:rPr>
        <w:t xml:space="preserve"> of April 2024.</w:t>
      </w:r>
    </w:p>
    <w:bookmarkEnd w:id="45"/>
    <w:p w14:paraId="76A791E6" w14:textId="68B069FF" w:rsidR="00D31109" w:rsidRPr="00C5148E" w:rsidRDefault="004C7E36" w:rsidP="00516FE0">
      <w:pPr>
        <w:ind w:left="720" w:hanging="720"/>
        <w:jc w:val="both"/>
        <w:rPr>
          <w:rFonts w:ascii="Tahoma" w:hAnsi="Tahoma" w:cs="Tahoma"/>
          <w:sz w:val="24"/>
          <w:szCs w:val="24"/>
        </w:rPr>
      </w:pPr>
      <w:r w:rsidRPr="00C5148E">
        <w:rPr>
          <w:rFonts w:ascii="Tahoma" w:hAnsi="Tahoma" w:cs="Tahoma"/>
          <w:sz w:val="24"/>
          <w:szCs w:val="24"/>
        </w:rPr>
        <w:t>6.2</w:t>
      </w:r>
      <w:r w:rsidRPr="00C5148E">
        <w:rPr>
          <w:rFonts w:ascii="Tahoma" w:hAnsi="Tahoma" w:cs="Tahoma"/>
          <w:sz w:val="24"/>
          <w:szCs w:val="24"/>
        </w:rPr>
        <w:tab/>
      </w:r>
      <w:bookmarkEnd w:id="44"/>
      <w:r w:rsidR="009379B9" w:rsidRPr="00C5148E">
        <w:rPr>
          <w:rFonts w:ascii="Tahoma" w:hAnsi="Tahoma" w:cs="Tahoma"/>
          <w:sz w:val="24"/>
          <w:szCs w:val="24"/>
        </w:rPr>
        <w:t>The main</w:t>
      </w:r>
      <w:r w:rsidR="00AC4F48" w:rsidRPr="00C5148E">
        <w:rPr>
          <w:rFonts w:ascii="Tahoma" w:hAnsi="Tahoma" w:cs="Tahoma"/>
          <w:sz w:val="24"/>
          <w:szCs w:val="24"/>
        </w:rPr>
        <w:t xml:space="preserve"> </w:t>
      </w:r>
      <w:r w:rsidR="009379B9" w:rsidRPr="00C5148E">
        <w:rPr>
          <w:rFonts w:ascii="Tahoma" w:hAnsi="Tahoma" w:cs="Tahoma"/>
          <w:sz w:val="24"/>
          <w:szCs w:val="24"/>
        </w:rPr>
        <w:t>driver</w:t>
      </w:r>
      <w:r w:rsidR="00AC4F48" w:rsidRPr="00C5148E">
        <w:rPr>
          <w:rFonts w:ascii="Tahoma" w:hAnsi="Tahoma" w:cs="Tahoma"/>
          <w:sz w:val="24"/>
          <w:szCs w:val="24"/>
        </w:rPr>
        <w:t xml:space="preserve">s </w:t>
      </w:r>
      <w:r w:rsidR="0081305A">
        <w:rPr>
          <w:rFonts w:ascii="Tahoma" w:hAnsi="Tahoma" w:cs="Tahoma"/>
          <w:sz w:val="24"/>
          <w:szCs w:val="24"/>
        </w:rPr>
        <w:t xml:space="preserve">of </w:t>
      </w:r>
      <w:r w:rsidR="0081305A" w:rsidRPr="00C5148E">
        <w:rPr>
          <w:rFonts w:ascii="Tahoma" w:hAnsi="Tahoma" w:cs="Tahoma"/>
          <w:sz w:val="24"/>
          <w:szCs w:val="24"/>
        </w:rPr>
        <w:t xml:space="preserve">inflation </w:t>
      </w:r>
      <w:r w:rsidR="00AC4F48" w:rsidRPr="00C5148E">
        <w:rPr>
          <w:rFonts w:ascii="Tahoma" w:hAnsi="Tahoma" w:cs="Tahoma"/>
          <w:sz w:val="24"/>
          <w:szCs w:val="24"/>
        </w:rPr>
        <w:t>in May 2024 are</w:t>
      </w:r>
      <w:r w:rsidR="009379B9" w:rsidRPr="00C5148E">
        <w:rPr>
          <w:rFonts w:ascii="Tahoma" w:hAnsi="Tahoma" w:cs="Tahoma"/>
          <w:sz w:val="24"/>
          <w:szCs w:val="24"/>
        </w:rPr>
        <w:t xml:space="preserve"> food and non-alcoholic beverages </w:t>
      </w:r>
      <w:r w:rsidR="00AC4F48" w:rsidRPr="00C5148E">
        <w:rPr>
          <w:rFonts w:ascii="Tahoma" w:hAnsi="Tahoma" w:cs="Tahoma"/>
          <w:sz w:val="24"/>
          <w:szCs w:val="24"/>
        </w:rPr>
        <w:t xml:space="preserve">contributing a weight of 31.30 </w:t>
      </w:r>
      <w:r w:rsidR="009379B9" w:rsidRPr="00C5148E">
        <w:rPr>
          <w:rFonts w:ascii="Tahoma" w:hAnsi="Tahoma" w:cs="Tahoma"/>
          <w:sz w:val="24"/>
          <w:szCs w:val="24"/>
        </w:rPr>
        <w:t>and</w:t>
      </w:r>
      <w:r w:rsidR="00335FD6" w:rsidRPr="00C5148E">
        <w:rPr>
          <w:rFonts w:ascii="Tahoma" w:hAnsi="Tahoma" w:cs="Tahoma"/>
          <w:sz w:val="24"/>
          <w:szCs w:val="24"/>
        </w:rPr>
        <w:t xml:space="preserve"> </w:t>
      </w:r>
      <w:r w:rsidR="009379B9" w:rsidRPr="00C5148E">
        <w:rPr>
          <w:rFonts w:ascii="Tahoma" w:hAnsi="Tahoma" w:cs="Tahoma"/>
          <w:sz w:val="24"/>
          <w:szCs w:val="24"/>
        </w:rPr>
        <w:t>housing, water, electricity, gas and other fuels</w:t>
      </w:r>
      <w:r w:rsidR="00AC4F48" w:rsidRPr="00C5148E">
        <w:rPr>
          <w:rFonts w:ascii="Tahoma" w:hAnsi="Tahoma" w:cs="Tahoma"/>
          <w:sz w:val="24"/>
          <w:szCs w:val="24"/>
        </w:rPr>
        <w:t xml:space="preserve"> with a weight of 27.62</w:t>
      </w:r>
      <w:r w:rsidR="0081305A">
        <w:rPr>
          <w:rFonts w:ascii="Tahoma" w:hAnsi="Tahoma" w:cs="Tahoma"/>
          <w:sz w:val="24"/>
          <w:szCs w:val="24"/>
        </w:rPr>
        <w:t xml:space="preserve"> (see Table </w:t>
      </w:r>
      <w:r w:rsidR="009C600A">
        <w:rPr>
          <w:rFonts w:ascii="Tahoma" w:hAnsi="Tahoma" w:cs="Tahoma"/>
          <w:sz w:val="24"/>
          <w:szCs w:val="24"/>
        </w:rPr>
        <w:t>4</w:t>
      </w:r>
      <w:r w:rsidR="0081305A">
        <w:rPr>
          <w:rFonts w:ascii="Tahoma" w:hAnsi="Tahoma" w:cs="Tahoma"/>
          <w:sz w:val="24"/>
          <w:szCs w:val="24"/>
        </w:rPr>
        <w:t>)</w:t>
      </w:r>
      <w:r w:rsidR="00AC4F48" w:rsidRPr="00C5148E">
        <w:rPr>
          <w:rFonts w:ascii="Tahoma" w:hAnsi="Tahoma" w:cs="Tahoma"/>
          <w:sz w:val="24"/>
          <w:szCs w:val="24"/>
        </w:rPr>
        <w:t>.</w:t>
      </w:r>
    </w:p>
    <w:p w14:paraId="394FF64F" w14:textId="52DF450F" w:rsidR="0080107D" w:rsidRDefault="0080107D" w:rsidP="002D12BD">
      <w:pPr>
        <w:pStyle w:val="ListofFigures"/>
        <w:rPr>
          <w:szCs w:val="24"/>
        </w:rPr>
      </w:pPr>
      <w:bookmarkStart w:id="46" w:name="_Toc168661957"/>
      <w:bookmarkStart w:id="47" w:name="_Toc169613011"/>
      <w:r w:rsidRPr="00C5148E">
        <w:rPr>
          <w:szCs w:val="24"/>
        </w:rPr>
        <w:t xml:space="preserve">Figure </w:t>
      </w:r>
      <w:r w:rsidR="009C600A">
        <w:rPr>
          <w:iCs w:val="0"/>
          <w:szCs w:val="24"/>
        </w:rPr>
        <w:t>2</w:t>
      </w:r>
      <w:r w:rsidRPr="00C5148E">
        <w:rPr>
          <w:szCs w:val="24"/>
        </w:rPr>
        <w:t>: Month-on-Month Inflation Outturn</w:t>
      </w:r>
      <w:bookmarkEnd w:id="46"/>
      <w:bookmarkEnd w:id="47"/>
    </w:p>
    <w:p w14:paraId="4678E702" w14:textId="271A16E8" w:rsidR="00906864" w:rsidRPr="00906864" w:rsidRDefault="00906864" w:rsidP="00906864">
      <w:pPr>
        <w:pStyle w:val="Caption"/>
        <w:rPr>
          <w:i w:val="0"/>
          <w:iCs w:val="0"/>
        </w:rPr>
      </w:pPr>
      <w:r>
        <w:rPr>
          <w:noProof/>
        </w:rPr>
        <w:drawing>
          <wp:inline distT="0" distB="0" distL="0" distR="0" wp14:anchorId="2EED8831" wp14:editId="4597A145">
            <wp:extent cx="5731510" cy="2628900"/>
            <wp:effectExtent l="0" t="0" r="2540" b="0"/>
            <wp:docPr id="4" name="Chart 4">
              <a:extLst xmlns:a="http://schemas.openxmlformats.org/drawingml/2006/main">
                <a:ext uri="{FF2B5EF4-FFF2-40B4-BE49-F238E27FC236}">
                  <a16:creationId xmlns:a16="http://schemas.microsoft.com/office/drawing/2014/main" id="{CC97A42A-4C66-3E0F-BD76-BEB22C246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82EC21" w14:textId="43DB0B91" w:rsidR="00474E3B" w:rsidRPr="00C5148E" w:rsidRDefault="004C7E36" w:rsidP="00474E3B">
      <w:pPr>
        <w:rPr>
          <w:rFonts w:ascii="Tahoma" w:hAnsi="Tahoma" w:cs="Tahoma"/>
          <w:i/>
          <w:sz w:val="24"/>
          <w:szCs w:val="24"/>
        </w:rPr>
      </w:pPr>
      <w:r w:rsidRPr="00C5148E">
        <w:rPr>
          <w:rFonts w:ascii="Tahoma" w:hAnsi="Tahoma" w:cs="Tahoma"/>
          <w:i/>
          <w:sz w:val="24"/>
          <w:szCs w:val="24"/>
        </w:rPr>
        <w:t>Source: ZimStat (202</w:t>
      </w:r>
      <w:r w:rsidR="00FF16B2" w:rsidRPr="00C5148E">
        <w:rPr>
          <w:rFonts w:ascii="Tahoma" w:hAnsi="Tahoma" w:cs="Tahoma"/>
          <w:i/>
          <w:sz w:val="24"/>
          <w:szCs w:val="24"/>
        </w:rPr>
        <w:t>4</w:t>
      </w:r>
      <w:r w:rsidRPr="00C5148E">
        <w:rPr>
          <w:rFonts w:ascii="Tahoma" w:hAnsi="Tahoma" w:cs="Tahoma"/>
          <w:i/>
          <w:sz w:val="24"/>
          <w:szCs w:val="24"/>
        </w:rPr>
        <w:t>)</w:t>
      </w:r>
    </w:p>
    <w:p w14:paraId="0E636CD8" w14:textId="27486B7E" w:rsidR="006F1705" w:rsidRPr="00C5148E" w:rsidRDefault="004C7E36" w:rsidP="006F1705">
      <w:pPr>
        <w:ind w:left="720" w:hanging="720"/>
        <w:rPr>
          <w:rFonts w:ascii="Tahoma" w:hAnsi="Tahoma" w:cs="Tahoma"/>
          <w:sz w:val="24"/>
          <w:szCs w:val="24"/>
          <w:lang w:val="en-ZW"/>
        </w:rPr>
      </w:pPr>
      <w:r w:rsidRPr="00C5148E">
        <w:rPr>
          <w:rFonts w:ascii="Tahoma" w:hAnsi="Tahoma" w:cs="Tahoma"/>
          <w:sz w:val="24"/>
          <w:szCs w:val="24"/>
        </w:rPr>
        <w:lastRenderedPageBreak/>
        <w:t>6.5</w:t>
      </w:r>
      <w:r w:rsidRPr="00C5148E">
        <w:rPr>
          <w:rFonts w:ascii="Tahoma" w:hAnsi="Tahoma" w:cs="Tahoma"/>
          <w:sz w:val="24"/>
          <w:szCs w:val="24"/>
        </w:rPr>
        <w:tab/>
      </w:r>
      <w:r w:rsidR="006F1705" w:rsidRPr="00C5148E">
        <w:rPr>
          <w:rFonts w:ascii="Tahoma" w:hAnsi="Tahoma" w:cs="Tahoma"/>
          <w:sz w:val="24"/>
          <w:szCs w:val="24"/>
          <w:lang w:val="en-ZW"/>
        </w:rPr>
        <w:t xml:space="preserve">Table </w:t>
      </w:r>
      <w:r w:rsidR="009C600A">
        <w:rPr>
          <w:rFonts w:ascii="Tahoma" w:hAnsi="Tahoma" w:cs="Tahoma"/>
          <w:sz w:val="24"/>
          <w:szCs w:val="24"/>
          <w:lang w:val="en-ZW"/>
        </w:rPr>
        <w:t>4</w:t>
      </w:r>
      <w:r w:rsidR="006F1705" w:rsidRPr="00C5148E">
        <w:rPr>
          <w:rFonts w:ascii="Tahoma" w:hAnsi="Tahoma" w:cs="Tahoma"/>
          <w:sz w:val="24"/>
          <w:szCs w:val="24"/>
          <w:lang w:val="en-ZW"/>
        </w:rPr>
        <w:t xml:space="preserve"> displays the key contributors to inflation in May 2024.</w:t>
      </w:r>
    </w:p>
    <w:p w14:paraId="0910999A" w14:textId="6A87071B" w:rsidR="00D81672" w:rsidRPr="00C5148E" w:rsidRDefault="003C1D2F" w:rsidP="0001510C">
      <w:pPr>
        <w:pStyle w:val="ListofTables"/>
      </w:pPr>
      <w:bookmarkStart w:id="48" w:name="_Toc164072366"/>
      <w:bookmarkStart w:id="49" w:name="_Toc166658893"/>
      <w:bookmarkStart w:id="50" w:name="_Toc169612986"/>
      <w:r w:rsidRPr="00C5148E">
        <w:t xml:space="preserve">Table </w:t>
      </w:r>
      <w:r w:rsidR="00F115AF" w:rsidRPr="00C5148E">
        <w:t>4</w:t>
      </w:r>
      <w:r w:rsidRPr="00C5148E">
        <w:t xml:space="preserve">: </w:t>
      </w:r>
      <w:r w:rsidR="008D0788" w:rsidRPr="00C5148E">
        <w:t xml:space="preserve">Monthly </w:t>
      </w:r>
      <w:r w:rsidRPr="00C5148E">
        <w:t xml:space="preserve">Inflation </w:t>
      </w:r>
      <w:r w:rsidR="009C716D" w:rsidRPr="00C5148E">
        <w:t>for May</w:t>
      </w:r>
      <w:r w:rsidRPr="00C5148E">
        <w:t xml:space="preserve"> 202</w:t>
      </w:r>
      <w:r w:rsidR="002525BF" w:rsidRPr="00C5148E">
        <w:t>4</w:t>
      </w:r>
      <w:bookmarkEnd w:id="48"/>
      <w:bookmarkEnd w:id="49"/>
      <w:bookmarkEnd w:id="50"/>
    </w:p>
    <w:p w14:paraId="5CE16530" w14:textId="668B89A7" w:rsidR="00364947" w:rsidRPr="00C5148E" w:rsidRDefault="008D0788" w:rsidP="008D0788">
      <w:pPr>
        <w:pStyle w:val="Caption"/>
        <w:rPr>
          <w:rFonts w:ascii="Tahoma" w:hAnsi="Tahoma" w:cs="Tahoma"/>
          <w:i w:val="0"/>
          <w:iCs w:val="0"/>
          <w:sz w:val="24"/>
          <w:szCs w:val="24"/>
        </w:rPr>
      </w:pPr>
      <w:r w:rsidRPr="00C5148E">
        <w:rPr>
          <w:rFonts w:ascii="Tahoma" w:hAnsi="Tahoma" w:cs="Tahoma"/>
          <w:noProof/>
          <w:sz w:val="24"/>
          <w:szCs w:val="24"/>
        </w:rPr>
        <w:drawing>
          <wp:inline distT="0" distB="0" distL="0" distR="0" wp14:anchorId="665618E9" wp14:editId="683A57B2">
            <wp:extent cx="5731510" cy="3025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5140"/>
                    </a:xfrm>
                    <a:prstGeom prst="rect">
                      <a:avLst/>
                    </a:prstGeom>
                  </pic:spPr>
                </pic:pic>
              </a:graphicData>
            </a:graphic>
          </wp:inline>
        </w:drawing>
      </w:r>
    </w:p>
    <w:p w14:paraId="4DF3C947" w14:textId="77777777" w:rsidR="00D81672" w:rsidRPr="00C5148E" w:rsidRDefault="00D81672">
      <w:pPr>
        <w:rPr>
          <w:rFonts w:ascii="Tahoma" w:hAnsi="Tahoma" w:cs="Tahoma"/>
          <w:i/>
          <w:sz w:val="24"/>
          <w:szCs w:val="24"/>
        </w:rPr>
      </w:pPr>
      <w:r w:rsidRPr="00C5148E">
        <w:rPr>
          <w:rFonts w:ascii="Tahoma" w:hAnsi="Tahoma" w:cs="Tahoma"/>
          <w:i/>
          <w:sz w:val="24"/>
          <w:szCs w:val="24"/>
        </w:rPr>
        <w:t>Source</w:t>
      </w:r>
      <w:r w:rsidR="004C7E36" w:rsidRPr="00C5148E">
        <w:rPr>
          <w:rFonts w:ascii="Tahoma" w:hAnsi="Tahoma" w:cs="Tahoma"/>
          <w:i/>
          <w:sz w:val="24"/>
          <w:szCs w:val="24"/>
        </w:rPr>
        <w:t>: ZimStat (202</w:t>
      </w:r>
      <w:r w:rsidR="00386A89" w:rsidRPr="00C5148E">
        <w:rPr>
          <w:rFonts w:ascii="Tahoma" w:hAnsi="Tahoma" w:cs="Tahoma"/>
          <w:i/>
          <w:sz w:val="24"/>
          <w:szCs w:val="24"/>
        </w:rPr>
        <w:t>4</w:t>
      </w:r>
      <w:r w:rsidR="004C7E36" w:rsidRPr="00C5148E">
        <w:rPr>
          <w:rFonts w:ascii="Tahoma" w:hAnsi="Tahoma" w:cs="Tahoma"/>
          <w:i/>
          <w:sz w:val="24"/>
          <w:szCs w:val="24"/>
        </w:rPr>
        <w:t>)</w:t>
      </w:r>
    </w:p>
    <w:p w14:paraId="1C7D7B11" w14:textId="77777777" w:rsidR="00184FA3" w:rsidRPr="00C5148E" w:rsidRDefault="00184FA3" w:rsidP="003D0C8C">
      <w:pPr>
        <w:pStyle w:val="Heading1"/>
        <w:numPr>
          <w:ilvl w:val="0"/>
          <w:numId w:val="6"/>
        </w:numPr>
        <w:spacing w:before="0" w:after="240" w:line="240" w:lineRule="auto"/>
        <w:rPr>
          <w:rFonts w:cs="Tahoma"/>
          <w:bCs/>
          <w:color w:val="000000"/>
          <w:szCs w:val="24"/>
        </w:rPr>
      </w:pPr>
      <w:bookmarkStart w:id="51" w:name="_Toc166607899"/>
      <w:bookmarkStart w:id="52" w:name="_Toc169612904"/>
      <w:r w:rsidRPr="00C5148E">
        <w:rPr>
          <w:rFonts w:cs="Tahoma"/>
          <w:bCs/>
          <w:color w:val="000000"/>
          <w:szCs w:val="24"/>
        </w:rPr>
        <w:t>Monetary Developments</w:t>
      </w:r>
      <w:bookmarkEnd w:id="51"/>
      <w:bookmarkEnd w:id="52"/>
      <w:r w:rsidRPr="00C5148E">
        <w:rPr>
          <w:rFonts w:cs="Tahoma"/>
          <w:bCs/>
          <w:color w:val="000000"/>
          <w:szCs w:val="24"/>
        </w:rPr>
        <w:t xml:space="preserve"> </w:t>
      </w:r>
    </w:p>
    <w:p w14:paraId="14E6FF97" w14:textId="35699C9D" w:rsidR="003D0C8C" w:rsidRPr="00C5148E" w:rsidRDefault="003D0C8C" w:rsidP="003D0C8C">
      <w:pPr>
        <w:pStyle w:val="Heading2"/>
        <w:spacing w:before="0" w:after="240" w:line="240" w:lineRule="auto"/>
        <w:rPr>
          <w:rFonts w:cs="Tahoma"/>
          <w:b/>
          <w:color w:val="000000"/>
          <w:szCs w:val="24"/>
        </w:rPr>
      </w:pPr>
      <w:bookmarkStart w:id="53" w:name="_Toc166607900"/>
      <w:bookmarkStart w:id="54" w:name="_Toc169612905"/>
      <w:r w:rsidRPr="00C5148E">
        <w:rPr>
          <w:rFonts w:cs="Tahoma"/>
          <w:b/>
          <w:color w:val="000000"/>
          <w:szCs w:val="24"/>
        </w:rPr>
        <w:t>7.1</w:t>
      </w:r>
      <w:r w:rsidRPr="00C5148E">
        <w:rPr>
          <w:rFonts w:cs="Tahoma"/>
          <w:b/>
          <w:color w:val="000000"/>
          <w:szCs w:val="24"/>
        </w:rPr>
        <w:tab/>
        <w:t>Money Supply</w:t>
      </w:r>
      <w:bookmarkEnd w:id="53"/>
      <w:r w:rsidR="00FA24B9">
        <w:rPr>
          <w:rFonts w:cs="Tahoma"/>
          <w:b/>
          <w:color w:val="000000"/>
          <w:szCs w:val="24"/>
        </w:rPr>
        <w:t xml:space="preserve"> and Interest Rates</w:t>
      </w:r>
      <w:bookmarkEnd w:id="54"/>
      <w:r w:rsidR="00FA24B9">
        <w:rPr>
          <w:rFonts w:cs="Tahoma"/>
          <w:b/>
          <w:color w:val="000000"/>
          <w:szCs w:val="24"/>
        </w:rPr>
        <w:t xml:space="preserve"> </w:t>
      </w:r>
    </w:p>
    <w:p w14:paraId="3D3078B5" w14:textId="6757B956" w:rsidR="00FA24B9" w:rsidRPr="00FA24B9" w:rsidRDefault="004C7E36" w:rsidP="00FA24B9">
      <w:pPr>
        <w:ind w:left="720" w:hanging="720"/>
        <w:jc w:val="both"/>
        <w:rPr>
          <w:rFonts w:ascii="Tahoma" w:hAnsi="Tahoma" w:cs="Tahoma"/>
          <w:sz w:val="24"/>
          <w:szCs w:val="24"/>
          <w:lang w:val="en-ZW"/>
        </w:rPr>
      </w:pPr>
      <w:r w:rsidRPr="00C5148E">
        <w:rPr>
          <w:rFonts w:ascii="Tahoma" w:hAnsi="Tahoma" w:cs="Tahoma"/>
          <w:sz w:val="24"/>
          <w:szCs w:val="24"/>
        </w:rPr>
        <w:t>7.1</w:t>
      </w:r>
      <w:r w:rsidR="00FA7297" w:rsidRPr="00C5148E">
        <w:rPr>
          <w:rFonts w:ascii="Tahoma" w:hAnsi="Tahoma" w:cs="Tahoma"/>
          <w:sz w:val="24"/>
          <w:szCs w:val="24"/>
        </w:rPr>
        <w:t>.</w:t>
      </w:r>
      <w:r w:rsidR="003D0C8C" w:rsidRPr="00C5148E">
        <w:rPr>
          <w:rFonts w:ascii="Tahoma" w:hAnsi="Tahoma" w:cs="Tahoma"/>
          <w:sz w:val="24"/>
          <w:szCs w:val="24"/>
        </w:rPr>
        <w:t>1</w:t>
      </w:r>
      <w:r w:rsidRPr="00C5148E">
        <w:rPr>
          <w:rFonts w:ascii="Tahoma" w:hAnsi="Tahoma" w:cs="Tahoma"/>
          <w:sz w:val="24"/>
          <w:szCs w:val="24"/>
        </w:rPr>
        <w:tab/>
      </w:r>
      <w:bookmarkStart w:id="55" w:name="_Hlk166606487"/>
      <w:r w:rsidR="00FA24B9" w:rsidRPr="00FA24B9">
        <w:rPr>
          <w:rFonts w:ascii="Tahoma" w:hAnsi="Tahoma" w:cs="Tahoma"/>
          <w:sz w:val="24"/>
          <w:szCs w:val="24"/>
          <w:lang w:val="en-ZW"/>
        </w:rPr>
        <w:t xml:space="preserve">The RBZ had not yet published data on M3 and interest rates for May 2024 when the </w:t>
      </w:r>
      <w:r w:rsidR="00FA24B9">
        <w:rPr>
          <w:rFonts w:ascii="Tahoma" w:hAnsi="Tahoma" w:cs="Tahoma"/>
          <w:sz w:val="24"/>
          <w:szCs w:val="24"/>
          <w:lang w:val="en-ZW"/>
        </w:rPr>
        <w:t>B</w:t>
      </w:r>
      <w:r w:rsidR="00FA24B9" w:rsidRPr="00FA24B9">
        <w:rPr>
          <w:rFonts w:ascii="Tahoma" w:hAnsi="Tahoma" w:cs="Tahoma"/>
          <w:sz w:val="24"/>
          <w:szCs w:val="24"/>
          <w:lang w:val="en-ZW"/>
        </w:rPr>
        <w:t xml:space="preserve">ulletin was compiled, thus the analysis remains unchanged from the April 2024 Economic Bulletin. </w:t>
      </w:r>
    </w:p>
    <w:bookmarkEnd w:id="55"/>
    <w:p w14:paraId="398D96CB" w14:textId="77777777" w:rsidR="001B358C" w:rsidRPr="00C5148E" w:rsidRDefault="001B358C" w:rsidP="00A31AE0">
      <w:pPr>
        <w:spacing w:after="0" w:line="240" w:lineRule="auto"/>
        <w:rPr>
          <w:rFonts w:ascii="Tahoma" w:hAnsi="Tahoma" w:cs="Tahoma"/>
          <w:sz w:val="24"/>
          <w:szCs w:val="24"/>
        </w:rPr>
      </w:pPr>
    </w:p>
    <w:p w14:paraId="14A8F9AB" w14:textId="77777777" w:rsidR="00184FA3" w:rsidRPr="00C5148E" w:rsidRDefault="00F67469" w:rsidP="00022BFE">
      <w:pPr>
        <w:pStyle w:val="Heading1"/>
        <w:spacing w:before="0" w:after="240" w:line="240" w:lineRule="auto"/>
        <w:rPr>
          <w:rFonts w:cs="Tahoma"/>
          <w:bCs/>
          <w:color w:val="000000"/>
          <w:szCs w:val="24"/>
        </w:rPr>
      </w:pPr>
      <w:bookmarkStart w:id="56" w:name="_Toc166607902"/>
      <w:bookmarkStart w:id="57" w:name="_Toc169612906"/>
      <w:r w:rsidRPr="00C5148E">
        <w:rPr>
          <w:rFonts w:cs="Tahoma"/>
          <w:bCs/>
          <w:color w:val="000000"/>
          <w:szCs w:val="24"/>
        </w:rPr>
        <w:t>8.0</w:t>
      </w:r>
      <w:r w:rsidRPr="00C5148E">
        <w:rPr>
          <w:rFonts w:cs="Tahoma"/>
          <w:bCs/>
          <w:color w:val="000000"/>
          <w:szCs w:val="24"/>
        </w:rPr>
        <w:tab/>
      </w:r>
      <w:r w:rsidR="00184FA3" w:rsidRPr="00C5148E">
        <w:rPr>
          <w:rFonts w:cs="Tahoma"/>
          <w:bCs/>
          <w:color w:val="000000"/>
          <w:szCs w:val="24"/>
        </w:rPr>
        <w:t>Stock Market Developments</w:t>
      </w:r>
      <w:bookmarkEnd w:id="56"/>
      <w:bookmarkEnd w:id="57"/>
      <w:r w:rsidR="00184FA3" w:rsidRPr="00C5148E">
        <w:rPr>
          <w:rFonts w:cs="Tahoma"/>
          <w:bCs/>
          <w:color w:val="000000"/>
          <w:szCs w:val="24"/>
        </w:rPr>
        <w:t xml:space="preserve"> </w:t>
      </w:r>
    </w:p>
    <w:p w14:paraId="317ECA19" w14:textId="77777777" w:rsidR="00184FA3" w:rsidRPr="00C5148E" w:rsidRDefault="00F67469" w:rsidP="003C1D2F">
      <w:pPr>
        <w:pStyle w:val="Heading2"/>
        <w:spacing w:before="0" w:after="240" w:line="240" w:lineRule="auto"/>
        <w:rPr>
          <w:rFonts w:cs="Tahoma"/>
          <w:b/>
          <w:color w:val="000000"/>
          <w:szCs w:val="24"/>
        </w:rPr>
      </w:pPr>
      <w:bookmarkStart w:id="58" w:name="_Toc166607903"/>
      <w:bookmarkStart w:id="59" w:name="_Toc169612907"/>
      <w:r w:rsidRPr="00C5148E">
        <w:rPr>
          <w:rFonts w:cs="Tahoma"/>
          <w:b/>
          <w:color w:val="000000"/>
          <w:szCs w:val="24"/>
        </w:rPr>
        <w:t>8.1</w:t>
      </w:r>
      <w:r w:rsidRPr="00C5148E">
        <w:rPr>
          <w:rFonts w:cs="Tahoma"/>
          <w:b/>
          <w:color w:val="000000"/>
          <w:szCs w:val="24"/>
        </w:rPr>
        <w:tab/>
      </w:r>
      <w:r w:rsidR="00184FA3" w:rsidRPr="00C5148E">
        <w:rPr>
          <w:rFonts w:cs="Tahoma"/>
          <w:b/>
          <w:color w:val="000000"/>
          <w:szCs w:val="24"/>
        </w:rPr>
        <w:t>Zimbabwe Stock Exchange</w:t>
      </w:r>
      <w:bookmarkEnd w:id="58"/>
      <w:bookmarkEnd w:id="59"/>
      <w:r w:rsidR="00184FA3" w:rsidRPr="00C5148E">
        <w:rPr>
          <w:rFonts w:cs="Tahoma"/>
          <w:b/>
          <w:color w:val="000000"/>
          <w:szCs w:val="24"/>
        </w:rPr>
        <w:t xml:space="preserve"> </w:t>
      </w:r>
    </w:p>
    <w:p w14:paraId="6EECE614" w14:textId="25CFCDCC" w:rsidR="00FA24B9" w:rsidRDefault="00F67469" w:rsidP="00F67469">
      <w:pPr>
        <w:ind w:left="720" w:hanging="720"/>
        <w:jc w:val="both"/>
        <w:rPr>
          <w:rFonts w:ascii="Tahoma" w:hAnsi="Tahoma" w:cs="Tahoma"/>
          <w:sz w:val="24"/>
          <w:szCs w:val="24"/>
        </w:rPr>
      </w:pPr>
      <w:r w:rsidRPr="00C5148E">
        <w:rPr>
          <w:rFonts w:ascii="Tahoma" w:hAnsi="Tahoma" w:cs="Tahoma"/>
          <w:sz w:val="24"/>
          <w:szCs w:val="24"/>
        </w:rPr>
        <w:t>8.1.</w:t>
      </w:r>
      <w:r w:rsidR="003F3FB4" w:rsidRPr="00C5148E">
        <w:rPr>
          <w:rFonts w:ascii="Tahoma" w:hAnsi="Tahoma" w:cs="Tahoma"/>
          <w:sz w:val="24"/>
          <w:szCs w:val="24"/>
        </w:rPr>
        <w:t>1</w:t>
      </w:r>
      <w:r w:rsidRPr="00C5148E">
        <w:rPr>
          <w:rFonts w:ascii="Tahoma" w:hAnsi="Tahoma" w:cs="Tahoma"/>
          <w:sz w:val="24"/>
          <w:szCs w:val="24"/>
        </w:rPr>
        <w:tab/>
      </w:r>
      <w:r w:rsidR="00DA5ADC" w:rsidRPr="00C5148E">
        <w:rPr>
          <w:rFonts w:ascii="Tahoma" w:hAnsi="Tahoma" w:cs="Tahoma"/>
          <w:sz w:val="24"/>
          <w:szCs w:val="24"/>
        </w:rPr>
        <w:t xml:space="preserve">During the period under </w:t>
      </w:r>
      <w:r w:rsidR="00FA24B9">
        <w:rPr>
          <w:rFonts w:ascii="Tahoma" w:hAnsi="Tahoma" w:cs="Tahoma"/>
          <w:sz w:val="24"/>
          <w:szCs w:val="24"/>
        </w:rPr>
        <w:t>review</w:t>
      </w:r>
      <w:r w:rsidR="00DA5ADC" w:rsidRPr="00C5148E">
        <w:rPr>
          <w:rFonts w:ascii="Tahoma" w:hAnsi="Tahoma" w:cs="Tahoma"/>
          <w:sz w:val="24"/>
          <w:szCs w:val="24"/>
        </w:rPr>
        <w:t>, the Zimbabwe Stock Exchange</w:t>
      </w:r>
      <w:r w:rsidR="003F3FB4" w:rsidRPr="00C5148E">
        <w:rPr>
          <w:rFonts w:ascii="Tahoma" w:hAnsi="Tahoma" w:cs="Tahoma"/>
          <w:sz w:val="24"/>
          <w:szCs w:val="24"/>
        </w:rPr>
        <w:t xml:space="preserve"> (ZSE)</w:t>
      </w:r>
      <w:r w:rsidR="00DA5ADC" w:rsidRPr="00C5148E">
        <w:rPr>
          <w:rFonts w:ascii="Tahoma" w:hAnsi="Tahoma" w:cs="Tahoma"/>
          <w:sz w:val="24"/>
          <w:szCs w:val="24"/>
        </w:rPr>
        <w:t xml:space="preserve"> recoded a </w:t>
      </w:r>
      <w:r w:rsidR="005C2848" w:rsidRPr="00C5148E">
        <w:rPr>
          <w:rFonts w:ascii="Tahoma" w:hAnsi="Tahoma" w:cs="Tahoma"/>
          <w:sz w:val="24"/>
          <w:szCs w:val="24"/>
        </w:rPr>
        <w:t>b</w:t>
      </w:r>
      <w:r w:rsidR="00201179" w:rsidRPr="00C5148E">
        <w:rPr>
          <w:rFonts w:ascii="Tahoma" w:hAnsi="Tahoma" w:cs="Tahoma"/>
          <w:sz w:val="24"/>
          <w:szCs w:val="24"/>
        </w:rPr>
        <w:t>ullish</w:t>
      </w:r>
      <w:r w:rsidR="00DA5ADC" w:rsidRPr="00C5148E">
        <w:rPr>
          <w:rFonts w:ascii="Tahoma" w:hAnsi="Tahoma" w:cs="Tahoma"/>
          <w:sz w:val="24"/>
          <w:szCs w:val="24"/>
        </w:rPr>
        <w:t xml:space="preserve"> trend</w:t>
      </w:r>
      <w:r w:rsidR="00EE2480" w:rsidRPr="00C5148E">
        <w:rPr>
          <w:rFonts w:ascii="Tahoma" w:hAnsi="Tahoma" w:cs="Tahoma"/>
          <w:sz w:val="24"/>
          <w:szCs w:val="24"/>
        </w:rPr>
        <w:t>.</w:t>
      </w:r>
      <w:r w:rsidR="00DA5ADC" w:rsidRPr="00C5148E">
        <w:rPr>
          <w:rFonts w:ascii="Tahoma" w:hAnsi="Tahoma" w:cs="Tahoma"/>
          <w:sz w:val="24"/>
          <w:szCs w:val="24"/>
        </w:rPr>
        <w:t xml:space="preserve"> </w:t>
      </w:r>
      <w:r w:rsidR="003F3FB4" w:rsidRPr="00C5148E">
        <w:rPr>
          <w:rFonts w:ascii="Tahoma" w:hAnsi="Tahoma" w:cs="Tahoma"/>
          <w:sz w:val="24"/>
          <w:szCs w:val="24"/>
        </w:rPr>
        <w:t xml:space="preserve">The </w:t>
      </w:r>
      <w:r w:rsidR="00201179" w:rsidRPr="00C5148E">
        <w:rPr>
          <w:rFonts w:ascii="Tahoma" w:hAnsi="Tahoma" w:cs="Tahoma"/>
          <w:sz w:val="24"/>
          <w:szCs w:val="24"/>
        </w:rPr>
        <w:t>All-share</w:t>
      </w:r>
      <w:r w:rsidR="00362187" w:rsidRPr="00C5148E">
        <w:rPr>
          <w:rFonts w:ascii="Tahoma" w:hAnsi="Tahoma" w:cs="Tahoma"/>
          <w:sz w:val="24"/>
          <w:szCs w:val="24"/>
        </w:rPr>
        <w:t xml:space="preserve"> index</w:t>
      </w:r>
      <w:r w:rsidR="00201179" w:rsidRPr="00C5148E">
        <w:rPr>
          <w:rFonts w:ascii="Tahoma" w:hAnsi="Tahoma" w:cs="Tahoma"/>
          <w:sz w:val="24"/>
          <w:szCs w:val="24"/>
        </w:rPr>
        <w:t xml:space="preserve">, Top 10 Index and </w:t>
      </w:r>
      <w:r w:rsidR="00FA24B9">
        <w:rPr>
          <w:rFonts w:ascii="Tahoma" w:hAnsi="Tahoma" w:cs="Tahoma"/>
          <w:sz w:val="24"/>
          <w:szCs w:val="24"/>
        </w:rPr>
        <w:t>m</w:t>
      </w:r>
      <w:r w:rsidR="00201179" w:rsidRPr="00C5148E">
        <w:rPr>
          <w:rFonts w:ascii="Tahoma" w:hAnsi="Tahoma" w:cs="Tahoma"/>
          <w:sz w:val="24"/>
          <w:szCs w:val="24"/>
        </w:rPr>
        <w:t xml:space="preserve">arket </w:t>
      </w:r>
      <w:r w:rsidR="00FA24B9">
        <w:rPr>
          <w:rFonts w:ascii="Tahoma" w:hAnsi="Tahoma" w:cs="Tahoma"/>
          <w:sz w:val="24"/>
          <w:szCs w:val="24"/>
        </w:rPr>
        <w:t>c</w:t>
      </w:r>
      <w:r w:rsidR="00201179" w:rsidRPr="00C5148E">
        <w:rPr>
          <w:rFonts w:ascii="Tahoma" w:hAnsi="Tahoma" w:cs="Tahoma"/>
          <w:sz w:val="24"/>
          <w:szCs w:val="24"/>
        </w:rPr>
        <w:t xml:space="preserve">apitalization gained by 2.28%, 5.76% and 2.7% respectively </w:t>
      </w:r>
      <w:r w:rsidR="00FA24B9">
        <w:rPr>
          <w:rFonts w:ascii="Tahoma" w:hAnsi="Tahoma" w:cs="Tahoma"/>
          <w:sz w:val="24"/>
          <w:szCs w:val="24"/>
        </w:rPr>
        <w:t>while the</w:t>
      </w:r>
      <w:r w:rsidR="00FA24B9" w:rsidRPr="00C5148E">
        <w:rPr>
          <w:rFonts w:ascii="Tahoma" w:hAnsi="Tahoma" w:cs="Tahoma"/>
          <w:sz w:val="24"/>
          <w:szCs w:val="24"/>
        </w:rPr>
        <w:t xml:space="preserve"> </w:t>
      </w:r>
      <w:r w:rsidR="00201179" w:rsidRPr="00C5148E">
        <w:rPr>
          <w:rFonts w:ascii="Tahoma" w:hAnsi="Tahoma" w:cs="Tahoma"/>
          <w:sz w:val="24"/>
          <w:szCs w:val="24"/>
        </w:rPr>
        <w:t xml:space="preserve">Value Traded </w:t>
      </w:r>
      <w:r w:rsidR="00AF4FE6" w:rsidRPr="00C5148E">
        <w:rPr>
          <w:rFonts w:ascii="Tahoma" w:hAnsi="Tahoma" w:cs="Tahoma"/>
          <w:sz w:val="24"/>
          <w:szCs w:val="24"/>
        </w:rPr>
        <w:t>declined</w:t>
      </w:r>
      <w:r w:rsidR="00201179" w:rsidRPr="00C5148E">
        <w:rPr>
          <w:rFonts w:ascii="Tahoma" w:hAnsi="Tahoma" w:cs="Tahoma"/>
          <w:sz w:val="24"/>
          <w:szCs w:val="24"/>
        </w:rPr>
        <w:t xml:space="preserve"> by 62.56%.</w:t>
      </w:r>
      <w:r w:rsidR="00A50217" w:rsidRPr="00C5148E">
        <w:rPr>
          <w:rFonts w:ascii="Tahoma" w:hAnsi="Tahoma" w:cs="Tahoma"/>
          <w:sz w:val="24"/>
          <w:szCs w:val="24"/>
        </w:rPr>
        <w:t xml:space="preserve"> </w:t>
      </w:r>
    </w:p>
    <w:p w14:paraId="681BE4AA" w14:textId="02329A02" w:rsidR="00F6081E" w:rsidRPr="00C5148E" w:rsidRDefault="00FA24B9" w:rsidP="00F67469">
      <w:pPr>
        <w:ind w:left="720" w:hanging="720"/>
        <w:jc w:val="both"/>
        <w:rPr>
          <w:rFonts w:ascii="Tahoma" w:hAnsi="Tahoma" w:cs="Tahoma"/>
          <w:sz w:val="24"/>
          <w:szCs w:val="24"/>
        </w:rPr>
      </w:pPr>
      <w:r>
        <w:rPr>
          <w:rFonts w:ascii="Tahoma" w:hAnsi="Tahoma" w:cs="Tahoma"/>
          <w:sz w:val="24"/>
          <w:szCs w:val="24"/>
        </w:rPr>
        <w:t>8.1.2</w:t>
      </w:r>
      <w:r>
        <w:rPr>
          <w:rFonts w:ascii="Tahoma" w:hAnsi="Tahoma" w:cs="Tahoma"/>
          <w:sz w:val="24"/>
          <w:szCs w:val="24"/>
        </w:rPr>
        <w:tab/>
        <w:t xml:space="preserve">The </w:t>
      </w:r>
      <w:proofErr w:type="gramStart"/>
      <w:r w:rsidR="00A50217" w:rsidRPr="00C5148E">
        <w:rPr>
          <w:rFonts w:ascii="Tahoma" w:hAnsi="Tahoma" w:cs="Tahoma"/>
          <w:sz w:val="24"/>
          <w:szCs w:val="24"/>
        </w:rPr>
        <w:t>All Share</w:t>
      </w:r>
      <w:proofErr w:type="gramEnd"/>
      <w:r w:rsidR="00A50217" w:rsidRPr="00C5148E">
        <w:rPr>
          <w:rFonts w:ascii="Tahoma" w:hAnsi="Tahoma" w:cs="Tahoma"/>
          <w:sz w:val="24"/>
          <w:szCs w:val="24"/>
        </w:rPr>
        <w:t xml:space="preserve"> </w:t>
      </w:r>
      <w:r>
        <w:rPr>
          <w:rFonts w:ascii="Tahoma" w:hAnsi="Tahoma" w:cs="Tahoma"/>
          <w:sz w:val="24"/>
          <w:szCs w:val="24"/>
        </w:rPr>
        <w:t>I</w:t>
      </w:r>
      <w:r w:rsidR="00A50217" w:rsidRPr="00C5148E">
        <w:rPr>
          <w:rFonts w:ascii="Tahoma" w:hAnsi="Tahoma" w:cs="Tahoma"/>
          <w:sz w:val="24"/>
          <w:szCs w:val="24"/>
        </w:rPr>
        <w:t xml:space="preserve">ndex </w:t>
      </w:r>
      <w:r w:rsidR="00AF4FE6" w:rsidRPr="00C5148E">
        <w:rPr>
          <w:rFonts w:ascii="Tahoma" w:hAnsi="Tahoma" w:cs="Tahoma"/>
          <w:sz w:val="24"/>
          <w:szCs w:val="24"/>
        </w:rPr>
        <w:t>fell</w:t>
      </w:r>
      <w:r w:rsidR="00A50217" w:rsidRPr="00C5148E">
        <w:rPr>
          <w:rFonts w:ascii="Tahoma" w:hAnsi="Tahoma" w:cs="Tahoma"/>
          <w:sz w:val="24"/>
          <w:szCs w:val="24"/>
        </w:rPr>
        <w:t xml:space="preserve"> by 52.9% and </w:t>
      </w:r>
      <w:r w:rsidR="00AF4FE6" w:rsidRPr="00C5148E">
        <w:rPr>
          <w:rFonts w:ascii="Tahoma" w:hAnsi="Tahoma" w:cs="Tahoma"/>
          <w:sz w:val="24"/>
          <w:szCs w:val="24"/>
        </w:rPr>
        <w:t>rose</w:t>
      </w:r>
      <w:r w:rsidR="00A50217" w:rsidRPr="00C5148E">
        <w:rPr>
          <w:rFonts w:ascii="Tahoma" w:hAnsi="Tahoma" w:cs="Tahoma"/>
          <w:sz w:val="24"/>
          <w:szCs w:val="24"/>
        </w:rPr>
        <w:t xml:space="preserve"> by 133.42% on </w:t>
      </w:r>
      <w:proofErr w:type="spellStart"/>
      <w:r w:rsidR="00A50217" w:rsidRPr="00C5148E">
        <w:rPr>
          <w:rFonts w:ascii="Tahoma" w:hAnsi="Tahoma" w:cs="Tahoma"/>
          <w:sz w:val="24"/>
          <w:szCs w:val="24"/>
        </w:rPr>
        <w:t>Ytd</w:t>
      </w:r>
      <w:proofErr w:type="spellEnd"/>
      <w:r w:rsidR="00A50217" w:rsidRPr="00C5148E">
        <w:rPr>
          <w:rFonts w:ascii="Tahoma" w:hAnsi="Tahoma" w:cs="Tahoma"/>
          <w:sz w:val="24"/>
          <w:szCs w:val="24"/>
        </w:rPr>
        <w:t xml:space="preserve"> and YoY basis respectively. </w:t>
      </w:r>
      <w:r>
        <w:rPr>
          <w:rFonts w:ascii="Tahoma" w:hAnsi="Tahoma" w:cs="Tahoma"/>
          <w:sz w:val="24"/>
          <w:szCs w:val="24"/>
        </w:rPr>
        <w:t xml:space="preserve">On the other hand, the </w:t>
      </w:r>
      <w:r w:rsidR="00A50217" w:rsidRPr="00C5148E">
        <w:rPr>
          <w:rFonts w:ascii="Tahoma" w:hAnsi="Tahoma" w:cs="Tahoma"/>
          <w:sz w:val="24"/>
          <w:szCs w:val="24"/>
        </w:rPr>
        <w:t xml:space="preserve">Top 10 Index grew by 5.35% on </w:t>
      </w:r>
      <w:proofErr w:type="spellStart"/>
      <w:r w:rsidR="00A50217" w:rsidRPr="00C5148E">
        <w:rPr>
          <w:rFonts w:ascii="Tahoma" w:hAnsi="Tahoma" w:cs="Tahoma"/>
          <w:sz w:val="24"/>
          <w:szCs w:val="24"/>
        </w:rPr>
        <w:t>Ytd</w:t>
      </w:r>
      <w:proofErr w:type="spellEnd"/>
      <w:r w:rsidR="00A50217" w:rsidRPr="00C5148E">
        <w:rPr>
          <w:rFonts w:ascii="Tahoma" w:hAnsi="Tahoma" w:cs="Tahoma"/>
          <w:sz w:val="24"/>
          <w:szCs w:val="24"/>
        </w:rPr>
        <w:t xml:space="preserve"> and 288.27</w:t>
      </w:r>
      <w:r>
        <w:rPr>
          <w:rFonts w:ascii="Tahoma" w:hAnsi="Tahoma" w:cs="Tahoma"/>
          <w:sz w:val="24"/>
          <w:szCs w:val="24"/>
        </w:rPr>
        <w:t>%</w:t>
      </w:r>
      <w:r w:rsidR="00A50217" w:rsidRPr="00C5148E">
        <w:rPr>
          <w:rFonts w:ascii="Tahoma" w:hAnsi="Tahoma" w:cs="Tahoma"/>
          <w:sz w:val="24"/>
          <w:szCs w:val="24"/>
        </w:rPr>
        <w:t xml:space="preserve"> on YoY basis while Value </w:t>
      </w:r>
      <w:r>
        <w:rPr>
          <w:rFonts w:ascii="Tahoma" w:hAnsi="Tahoma" w:cs="Tahoma"/>
          <w:sz w:val="24"/>
          <w:szCs w:val="24"/>
        </w:rPr>
        <w:t>T</w:t>
      </w:r>
      <w:r w:rsidR="00A50217" w:rsidRPr="00C5148E">
        <w:rPr>
          <w:rFonts w:ascii="Tahoma" w:hAnsi="Tahoma" w:cs="Tahoma"/>
          <w:sz w:val="24"/>
          <w:szCs w:val="24"/>
        </w:rPr>
        <w:t xml:space="preserve">raded fell by 97.38% and 77.45% on </w:t>
      </w:r>
      <w:proofErr w:type="spellStart"/>
      <w:r w:rsidR="00A50217" w:rsidRPr="00C5148E">
        <w:rPr>
          <w:rFonts w:ascii="Tahoma" w:hAnsi="Tahoma" w:cs="Tahoma"/>
          <w:sz w:val="24"/>
          <w:szCs w:val="24"/>
        </w:rPr>
        <w:t>Ytd</w:t>
      </w:r>
      <w:proofErr w:type="spellEnd"/>
      <w:r w:rsidR="00A50217" w:rsidRPr="00C5148E">
        <w:rPr>
          <w:rFonts w:ascii="Tahoma" w:hAnsi="Tahoma" w:cs="Tahoma"/>
          <w:sz w:val="24"/>
          <w:szCs w:val="24"/>
        </w:rPr>
        <w:t xml:space="preserve"> and YoY basis respectively </w:t>
      </w:r>
      <w:r w:rsidR="00362187" w:rsidRPr="00C5148E">
        <w:rPr>
          <w:rFonts w:ascii="Tahoma" w:hAnsi="Tahoma" w:cs="Tahoma"/>
          <w:sz w:val="24"/>
          <w:szCs w:val="24"/>
        </w:rPr>
        <w:t>(</w:t>
      </w:r>
      <w:r>
        <w:rPr>
          <w:rFonts w:ascii="Tahoma" w:hAnsi="Tahoma" w:cs="Tahoma"/>
          <w:sz w:val="24"/>
          <w:szCs w:val="24"/>
        </w:rPr>
        <w:t>see</w:t>
      </w:r>
      <w:r w:rsidR="00362187" w:rsidRPr="00C5148E">
        <w:rPr>
          <w:rFonts w:ascii="Tahoma" w:hAnsi="Tahoma" w:cs="Tahoma"/>
          <w:sz w:val="24"/>
          <w:szCs w:val="24"/>
        </w:rPr>
        <w:t xml:space="preserve"> Table </w:t>
      </w:r>
      <w:r>
        <w:rPr>
          <w:rFonts w:ascii="Tahoma" w:hAnsi="Tahoma" w:cs="Tahoma"/>
          <w:sz w:val="24"/>
          <w:szCs w:val="24"/>
        </w:rPr>
        <w:t>5</w:t>
      </w:r>
      <w:r w:rsidR="00362187" w:rsidRPr="00C5148E">
        <w:rPr>
          <w:rFonts w:ascii="Tahoma" w:hAnsi="Tahoma" w:cs="Tahoma"/>
          <w:sz w:val="24"/>
          <w:szCs w:val="24"/>
        </w:rPr>
        <w:t>)</w:t>
      </w:r>
      <w:r w:rsidR="00243665" w:rsidRPr="00C5148E">
        <w:rPr>
          <w:rFonts w:ascii="Tahoma" w:hAnsi="Tahoma" w:cs="Tahoma"/>
          <w:sz w:val="24"/>
          <w:szCs w:val="24"/>
        </w:rPr>
        <w:t>.</w:t>
      </w:r>
    </w:p>
    <w:p w14:paraId="1E6FF2A5" w14:textId="05ADEBA4" w:rsidR="00E65B67" w:rsidRPr="00C5148E" w:rsidRDefault="00595E97" w:rsidP="0001510C">
      <w:pPr>
        <w:pStyle w:val="ListofTables"/>
      </w:pPr>
      <w:bookmarkStart w:id="60" w:name="_Toc164072367"/>
      <w:bookmarkStart w:id="61" w:name="_Toc166658894"/>
      <w:bookmarkStart w:id="62" w:name="_Toc169612987"/>
      <w:r w:rsidRPr="00C5148E">
        <w:lastRenderedPageBreak/>
        <w:t xml:space="preserve">Table </w:t>
      </w:r>
      <w:r w:rsidR="00CE35E7" w:rsidRPr="00C5148E">
        <w:t>5</w:t>
      </w:r>
      <w:r w:rsidRPr="00C5148E">
        <w:t xml:space="preserve">: Zimbabwe Stock </w:t>
      </w:r>
      <w:r w:rsidR="00D30418" w:rsidRPr="00C5148E">
        <w:t xml:space="preserve">Exchange </w:t>
      </w:r>
      <w:r w:rsidRPr="00C5148E">
        <w:t>Movements</w:t>
      </w:r>
      <w:bookmarkEnd w:id="60"/>
      <w:bookmarkEnd w:id="61"/>
      <w:bookmarkEnd w:id="62"/>
    </w:p>
    <w:p w14:paraId="47BC75FD" w14:textId="7D4B1087" w:rsidR="004D4E48" w:rsidRPr="00C5148E" w:rsidRDefault="007957B6" w:rsidP="00DD595D">
      <w:pPr>
        <w:pStyle w:val="Caption"/>
        <w:spacing w:after="0"/>
        <w:rPr>
          <w:rFonts w:ascii="Tahoma" w:hAnsi="Tahoma" w:cs="Tahoma"/>
          <w:i w:val="0"/>
          <w:iCs w:val="0"/>
          <w:sz w:val="24"/>
          <w:szCs w:val="24"/>
        </w:rPr>
      </w:pPr>
      <w:r w:rsidRPr="00C5148E">
        <w:rPr>
          <w:rFonts w:ascii="Tahoma" w:hAnsi="Tahoma" w:cs="Tahoma"/>
          <w:noProof/>
          <w:sz w:val="24"/>
          <w:szCs w:val="24"/>
        </w:rPr>
        <w:drawing>
          <wp:inline distT="0" distB="0" distL="0" distR="0" wp14:anchorId="0C340E30" wp14:editId="619CF57E">
            <wp:extent cx="5731510" cy="11182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18235"/>
                    </a:xfrm>
                    <a:prstGeom prst="rect">
                      <a:avLst/>
                    </a:prstGeom>
                  </pic:spPr>
                </pic:pic>
              </a:graphicData>
            </a:graphic>
          </wp:inline>
        </w:drawing>
      </w:r>
    </w:p>
    <w:p w14:paraId="240740C8" w14:textId="77777777" w:rsidR="00C56F60" w:rsidRPr="00C5148E" w:rsidRDefault="00C56F60" w:rsidP="00F67469">
      <w:pPr>
        <w:ind w:left="720" w:hanging="720"/>
        <w:jc w:val="both"/>
        <w:rPr>
          <w:rFonts w:ascii="Tahoma" w:hAnsi="Tahoma" w:cs="Tahoma"/>
          <w:i/>
          <w:iCs/>
          <w:sz w:val="24"/>
          <w:szCs w:val="24"/>
        </w:rPr>
      </w:pPr>
      <w:r w:rsidRPr="00C5148E">
        <w:rPr>
          <w:rFonts w:ascii="Tahoma" w:hAnsi="Tahoma" w:cs="Tahoma"/>
          <w:i/>
          <w:iCs/>
          <w:sz w:val="24"/>
          <w:szCs w:val="24"/>
        </w:rPr>
        <w:t xml:space="preserve">Source: </w:t>
      </w:r>
      <w:r w:rsidR="00D31BED" w:rsidRPr="00C5148E">
        <w:rPr>
          <w:rFonts w:ascii="Tahoma" w:hAnsi="Tahoma" w:cs="Tahoma"/>
          <w:i/>
          <w:iCs/>
          <w:sz w:val="24"/>
          <w:szCs w:val="24"/>
        </w:rPr>
        <w:t>ZSE</w:t>
      </w:r>
      <w:r w:rsidRPr="00C5148E">
        <w:rPr>
          <w:rFonts w:ascii="Tahoma" w:hAnsi="Tahoma" w:cs="Tahoma"/>
          <w:i/>
          <w:iCs/>
          <w:sz w:val="24"/>
          <w:szCs w:val="24"/>
        </w:rPr>
        <w:t xml:space="preserve"> (2024)</w:t>
      </w:r>
    </w:p>
    <w:p w14:paraId="10FA4924" w14:textId="591D9C59" w:rsidR="003F3FB4" w:rsidRPr="00C5148E" w:rsidRDefault="003F3FB4" w:rsidP="003F3FB4">
      <w:pPr>
        <w:ind w:left="720" w:hanging="720"/>
        <w:jc w:val="both"/>
        <w:rPr>
          <w:rFonts w:ascii="Tahoma" w:hAnsi="Tahoma" w:cs="Tahoma"/>
          <w:sz w:val="24"/>
          <w:szCs w:val="24"/>
        </w:rPr>
      </w:pPr>
      <w:r w:rsidRPr="00C5148E">
        <w:rPr>
          <w:rFonts w:ascii="Tahoma" w:hAnsi="Tahoma" w:cs="Tahoma"/>
          <w:sz w:val="24"/>
          <w:szCs w:val="24"/>
        </w:rPr>
        <w:t>8.1.</w:t>
      </w:r>
      <w:r w:rsidR="00FA24B9">
        <w:rPr>
          <w:rFonts w:ascii="Tahoma" w:hAnsi="Tahoma" w:cs="Tahoma"/>
          <w:sz w:val="24"/>
          <w:szCs w:val="24"/>
        </w:rPr>
        <w:t>3</w:t>
      </w:r>
      <w:r w:rsidRPr="00C5148E">
        <w:rPr>
          <w:rFonts w:ascii="Tahoma" w:hAnsi="Tahoma" w:cs="Tahoma"/>
          <w:sz w:val="24"/>
          <w:szCs w:val="24"/>
        </w:rPr>
        <w:tab/>
        <w:t xml:space="preserve">Market Capitalisation in </w:t>
      </w:r>
      <w:r w:rsidR="00CB67F4" w:rsidRPr="00C5148E">
        <w:rPr>
          <w:rFonts w:ascii="Tahoma" w:hAnsi="Tahoma" w:cs="Tahoma"/>
          <w:sz w:val="24"/>
          <w:szCs w:val="24"/>
        </w:rPr>
        <w:t>May</w:t>
      </w:r>
      <w:r w:rsidRPr="00C5148E">
        <w:rPr>
          <w:rFonts w:ascii="Tahoma" w:hAnsi="Tahoma" w:cs="Tahoma"/>
          <w:sz w:val="24"/>
          <w:szCs w:val="24"/>
        </w:rPr>
        <w:t xml:space="preserve"> 2024 </w:t>
      </w:r>
      <w:r w:rsidR="00CB67F4" w:rsidRPr="00C5148E">
        <w:rPr>
          <w:rFonts w:ascii="Tahoma" w:hAnsi="Tahoma" w:cs="Tahoma"/>
          <w:sz w:val="24"/>
          <w:szCs w:val="24"/>
        </w:rPr>
        <w:t>stood at</w:t>
      </w:r>
      <w:r w:rsidRPr="00C5148E">
        <w:rPr>
          <w:rFonts w:ascii="Tahoma" w:hAnsi="Tahoma" w:cs="Tahoma"/>
          <w:sz w:val="24"/>
          <w:szCs w:val="24"/>
        </w:rPr>
        <w:t xml:space="preserve"> ZiG</w:t>
      </w:r>
      <w:r w:rsidR="00CB67F4" w:rsidRPr="00C5148E">
        <w:rPr>
          <w:rFonts w:ascii="Tahoma" w:hAnsi="Tahoma" w:cs="Tahoma"/>
          <w:sz w:val="24"/>
          <w:szCs w:val="24"/>
        </w:rPr>
        <w:t>28578.6</w:t>
      </w:r>
      <w:r w:rsidRPr="00C5148E">
        <w:rPr>
          <w:rFonts w:ascii="Tahoma" w:hAnsi="Tahoma" w:cs="Tahoma"/>
          <w:sz w:val="24"/>
          <w:szCs w:val="24"/>
        </w:rPr>
        <w:t xml:space="preserve"> million reflecting a </w:t>
      </w:r>
      <w:r w:rsidR="00CB67F4" w:rsidRPr="00C5148E">
        <w:rPr>
          <w:rFonts w:ascii="Tahoma" w:hAnsi="Tahoma" w:cs="Tahoma"/>
          <w:sz w:val="24"/>
          <w:szCs w:val="24"/>
        </w:rPr>
        <w:t>2.7</w:t>
      </w:r>
      <w:r w:rsidRPr="00C5148E">
        <w:rPr>
          <w:rFonts w:ascii="Tahoma" w:hAnsi="Tahoma" w:cs="Tahoma"/>
          <w:sz w:val="24"/>
          <w:szCs w:val="24"/>
        </w:rPr>
        <w:t>% increase from the ZiG</w:t>
      </w:r>
      <w:r w:rsidR="00CB67F4" w:rsidRPr="00C5148E">
        <w:rPr>
          <w:rFonts w:ascii="Tahoma" w:hAnsi="Tahoma" w:cs="Tahoma"/>
          <w:sz w:val="24"/>
          <w:szCs w:val="24"/>
        </w:rPr>
        <w:t>27826.11</w:t>
      </w:r>
      <w:r w:rsidRPr="00C5148E">
        <w:rPr>
          <w:rFonts w:ascii="Tahoma" w:hAnsi="Tahoma" w:cs="Tahoma"/>
          <w:sz w:val="24"/>
          <w:szCs w:val="24"/>
        </w:rPr>
        <w:t xml:space="preserve"> million in </w:t>
      </w:r>
      <w:r w:rsidR="00CB67F4" w:rsidRPr="00C5148E">
        <w:rPr>
          <w:rFonts w:ascii="Tahoma" w:hAnsi="Tahoma" w:cs="Tahoma"/>
          <w:sz w:val="24"/>
          <w:szCs w:val="24"/>
        </w:rPr>
        <w:t>April</w:t>
      </w:r>
      <w:r w:rsidRPr="00C5148E">
        <w:rPr>
          <w:rFonts w:ascii="Tahoma" w:hAnsi="Tahoma" w:cs="Tahoma"/>
          <w:sz w:val="24"/>
          <w:szCs w:val="24"/>
        </w:rPr>
        <w:t xml:space="preserve"> 2024. On a YtD and YoY basis, market capitalization added </w:t>
      </w:r>
      <w:r w:rsidR="00CB67F4" w:rsidRPr="00C5148E">
        <w:rPr>
          <w:rFonts w:ascii="Tahoma" w:hAnsi="Tahoma" w:cs="Tahoma"/>
          <w:sz w:val="24"/>
          <w:szCs w:val="24"/>
        </w:rPr>
        <w:t>71</w:t>
      </w:r>
      <w:r w:rsidRPr="00C5148E">
        <w:rPr>
          <w:rFonts w:ascii="Tahoma" w:hAnsi="Tahoma" w:cs="Tahoma"/>
          <w:sz w:val="24"/>
          <w:szCs w:val="24"/>
        </w:rPr>
        <w:t>.</w:t>
      </w:r>
      <w:r w:rsidR="00CB67F4" w:rsidRPr="00C5148E">
        <w:rPr>
          <w:rFonts w:ascii="Tahoma" w:hAnsi="Tahoma" w:cs="Tahoma"/>
          <w:sz w:val="24"/>
          <w:szCs w:val="24"/>
        </w:rPr>
        <w:t>58</w:t>
      </w:r>
      <w:r w:rsidRPr="00C5148E">
        <w:rPr>
          <w:rFonts w:ascii="Tahoma" w:hAnsi="Tahoma" w:cs="Tahoma"/>
          <w:sz w:val="24"/>
          <w:szCs w:val="24"/>
        </w:rPr>
        <w:t xml:space="preserve">% and </w:t>
      </w:r>
      <w:r w:rsidR="00CB67F4" w:rsidRPr="00C5148E">
        <w:rPr>
          <w:rFonts w:ascii="Tahoma" w:hAnsi="Tahoma" w:cs="Tahoma"/>
          <w:sz w:val="24"/>
          <w:szCs w:val="24"/>
        </w:rPr>
        <w:t>701.99</w:t>
      </w:r>
      <w:r w:rsidRPr="00C5148E">
        <w:rPr>
          <w:rFonts w:ascii="Tahoma" w:hAnsi="Tahoma" w:cs="Tahoma"/>
          <w:sz w:val="24"/>
          <w:szCs w:val="24"/>
        </w:rPr>
        <w:t xml:space="preserve">%, respectively as shown in Table </w:t>
      </w:r>
      <w:r w:rsidR="00FA24B9">
        <w:rPr>
          <w:rFonts w:ascii="Tahoma" w:hAnsi="Tahoma" w:cs="Tahoma"/>
          <w:sz w:val="24"/>
          <w:szCs w:val="24"/>
        </w:rPr>
        <w:t>5</w:t>
      </w:r>
      <w:r w:rsidRPr="00C5148E">
        <w:rPr>
          <w:rFonts w:ascii="Tahoma" w:hAnsi="Tahoma" w:cs="Tahoma"/>
          <w:sz w:val="24"/>
          <w:szCs w:val="24"/>
        </w:rPr>
        <w:t>.</w:t>
      </w:r>
    </w:p>
    <w:p w14:paraId="454CF247" w14:textId="77777777" w:rsidR="00184FA3" w:rsidRPr="00C5148E" w:rsidRDefault="00F67469" w:rsidP="003C1D2F">
      <w:pPr>
        <w:pStyle w:val="Heading2"/>
        <w:spacing w:before="0" w:after="240" w:line="240" w:lineRule="auto"/>
        <w:rPr>
          <w:rFonts w:cs="Tahoma"/>
          <w:b/>
          <w:color w:val="000000"/>
          <w:szCs w:val="24"/>
        </w:rPr>
      </w:pPr>
      <w:bookmarkStart w:id="63" w:name="_Toc166607904"/>
      <w:bookmarkStart w:id="64" w:name="_Toc169612908"/>
      <w:r w:rsidRPr="00C5148E">
        <w:rPr>
          <w:rFonts w:cs="Tahoma"/>
          <w:b/>
          <w:color w:val="000000"/>
          <w:szCs w:val="24"/>
        </w:rPr>
        <w:t>8.2</w:t>
      </w:r>
      <w:r w:rsidRPr="00C5148E">
        <w:rPr>
          <w:rFonts w:cs="Tahoma"/>
          <w:b/>
          <w:color w:val="000000"/>
          <w:szCs w:val="24"/>
        </w:rPr>
        <w:tab/>
      </w:r>
      <w:r w:rsidR="00184FA3" w:rsidRPr="00C5148E">
        <w:rPr>
          <w:rFonts w:cs="Tahoma"/>
          <w:b/>
          <w:color w:val="000000"/>
          <w:szCs w:val="24"/>
        </w:rPr>
        <w:t>Victoria Falls Stock Exchange</w:t>
      </w:r>
      <w:bookmarkEnd w:id="63"/>
      <w:bookmarkEnd w:id="64"/>
      <w:r w:rsidR="00184FA3" w:rsidRPr="00C5148E">
        <w:rPr>
          <w:rFonts w:cs="Tahoma"/>
          <w:b/>
          <w:color w:val="000000"/>
          <w:szCs w:val="24"/>
        </w:rPr>
        <w:t xml:space="preserve"> </w:t>
      </w:r>
    </w:p>
    <w:p w14:paraId="33F75B6B" w14:textId="1D4CB0F4" w:rsidR="00427CDA" w:rsidRPr="00C5148E" w:rsidRDefault="00F67469" w:rsidP="00E64C7C">
      <w:pPr>
        <w:ind w:left="720" w:hanging="720"/>
        <w:jc w:val="both"/>
        <w:rPr>
          <w:rFonts w:ascii="Tahoma" w:hAnsi="Tahoma" w:cs="Tahoma"/>
          <w:sz w:val="24"/>
          <w:szCs w:val="24"/>
          <w:lang w:val="en-ZW"/>
        </w:rPr>
      </w:pPr>
      <w:r w:rsidRPr="00C5148E">
        <w:rPr>
          <w:rFonts w:ascii="Tahoma" w:hAnsi="Tahoma" w:cs="Tahoma"/>
          <w:sz w:val="24"/>
          <w:szCs w:val="24"/>
        </w:rPr>
        <w:t>8.2.1</w:t>
      </w:r>
      <w:r w:rsidRPr="00C5148E">
        <w:rPr>
          <w:rFonts w:ascii="Tahoma" w:hAnsi="Tahoma" w:cs="Tahoma"/>
          <w:sz w:val="24"/>
          <w:szCs w:val="24"/>
        </w:rPr>
        <w:tab/>
      </w:r>
      <w:r w:rsidR="00081BBB" w:rsidRPr="00C5148E">
        <w:rPr>
          <w:rFonts w:ascii="Tahoma" w:hAnsi="Tahoma" w:cs="Tahoma"/>
          <w:sz w:val="24"/>
          <w:szCs w:val="24"/>
          <w:lang w:val="en-ZW"/>
        </w:rPr>
        <w:t xml:space="preserve">In May 2024, the Victoria Falls Stock Exchange (VFEX) </w:t>
      </w:r>
      <w:r w:rsidR="00FA24B9">
        <w:rPr>
          <w:rFonts w:ascii="Tahoma" w:hAnsi="Tahoma" w:cs="Tahoma"/>
          <w:sz w:val="24"/>
          <w:szCs w:val="24"/>
          <w:lang w:val="en-ZW"/>
        </w:rPr>
        <w:t>registered a bearish</w:t>
      </w:r>
      <w:r w:rsidR="00081BBB" w:rsidRPr="00C5148E">
        <w:rPr>
          <w:rFonts w:ascii="Tahoma" w:hAnsi="Tahoma" w:cs="Tahoma"/>
          <w:sz w:val="24"/>
          <w:szCs w:val="24"/>
          <w:lang w:val="en-ZW"/>
        </w:rPr>
        <w:t xml:space="preserve"> trend. </w:t>
      </w:r>
      <w:r w:rsidR="00FA24B9">
        <w:rPr>
          <w:rFonts w:ascii="Tahoma" w:hAnsi="Tahoma" w:cs="Tahoma"/>
          <w:sz w:val="24"/>
          <w:szCs w:val="24"/>
          <w:lang w:val="en-ZW"/>
        </w:rPr>
        <w:t xml:space="preserve">On a </w:t>
      </w:r>
      <w:proofErr w:type="gramStart"/>
      <w:r w:rsidR="00FA24B9">
        <w:rPr>
          <w:rFonts w:ascii="Tahoma" w:hAnsi="Tahoma" w:cs="Tahoma"/>
          <w:sz w:val="24"/>
          <w:szCs w:val="24"/>
          <w:lang w:val="en-ZW"/>
        </w:rPr>
        <w:t>MoM</w:t>
      </w:r>
      <w:proofErr w:type="gramEnd"/>
      <w:r w:rsidR="00FA24B9">
        <w:rPr>
          <w:rFonts w:ascii="Tahoma" w:hAnsi="Tahoma" w:cs="Tahoma"/>
          <w:sz w:val="24"/>
          <w:szCs w:val="24"/>
          <w:lang w:val="en-ZW"/>
        </w:rPr>
        <w:t xml:space="preserve"> basis</w:t>
      </w:r>
      <w:r w:rsidR="00081BBB" w:rsidRPr="00C5148E">
        <w:rPr>
          <w:rFonts w:ascii="Tahoma" w:hAnsi="Tahoma" w:cs="Tahoma"/>
          <w:sz w:val="24"/>
          <w:szCs w:val="24"/>
          <w:lang w:val="en-ZW"/>
        </w:rPr>
        <w:t xml:space="preserve">, </w:t>
      </w:r>
      <w:r w:rsidR="00FA24B9" w:rsidRPr="00C5148E">
        <w:rPr>
          <w:rFonts w:ascii="Tahoma" w:hAnsi="Tahoma" w:cs="Tahoma"/>
          <w:sz w:val="24"/>
          <w:szCs w:val="24"/>
          <w:lang w:val="en-ZW"/>
        </w:rPr>
        <w:t xml:space="preserve">market capitalization </w:t>
      </w:r>
      <w:r w:rsidR="00FA24B9">
        <w:rPr>
          <w:rFonts w:ascii="Tahoma" w:hAnsi="Tahoma" w:cs="Tahoma"/>
          <w:sz w:val="24"/>
          <w:szCs w:val="24"/>
          <w:lang w:val="en-ZW"/>
        </w:rPr>
        <w:t>and the</w:t>
      </w:r>
      <w:r w:rsidR="00081BBB" w:rsidRPr="00C5148E">
        <w:rPr>
          <w:rFonts w:ascii="Tahoma" w:hAnsi="Tahoma" w:cs="Tahoma"/>
          <w:sz w:val="24"/>
          <w:szCs w:val="24"/>
          <w:lang w:val="en-ZW"/>
        </w:rPr>
        <w:t xml:space="preserve"> All-Share Index fell by </w:t>
      </w:r>
      <w:r w:rsidR="00FA24B9" w:rsidRPr="00C5148E">
        <w:rPr>
          <w:rFonts w:ascii="Tahoma" w:hAnsi="Tahoma" w:cs="Tahoma"/>
          <w:sz w:val="24"/>
          <w:szCs w:val="24"/>
          <w:lang w:val="en-ZW"/>
        </w:rPr>
        <w:t>5.01%</w:t>
      </w:r>
      <w:r w:rsidR="00FA24B9">
        <w:rPr>
          <w:rFonts w:ascii="Tahoma" w:hAnsi="Tahoma" w:cs="Tahoma"/>
          <w:sz w:val="24"/>
          <w:szCs w:val="24"/>
          <w:lang w:val="en-ZW"/>
        </w:rPr>
        <w:t xml:space="preserve"> and </w:t>
      </w:r>
      <w:r w:rsidR="00081BBB" w:rsidRPr="00C5148E">
        <w:rPr>
          <w:rFonts w:ascii="Tahoma" w:hAnsi="Tahoma" w:cs="Tahoma"/>
          <w:sz w:val="24"/>
          <w:szCs w:val="24"/>
          <w:lang w:val="en-ZW"/>
        </w:rPr>
        <w:t>2.35%</w:t>
      </w:r>
      <w:r w:rsidR="00FA24B9">
        <w:rPr>
          <w:rFonts w:ascii="Tahoma" w:hAnsi="Tahoma" w:cs="Tahoma"/>
          <w:sz w:val="24"/>
          <w:szCs w:val="24"/>
          <w:lang w:val="en-ZW"/>
        </w:rPr>
        <w:t xml:space="preserve"> respectively. Meanwhile, </w:t>
      </w:r>
      <w:r w:rsidR="00081BBB" w:rsidRPr="00C5148E">
        <w:rPr>
          <w:rFonts w:ascii="Tahoma" w:hAnsi="Tahoma" w:cs="Tahoma"/>
          <w:sz w:val="24"/>
          <w:szCs w:val="24"/>
          <w:lang w:val="en-ZW"/>
        </w:rPr>
        <w:t xml:space="preserve">Valued Traded increased by 7031.42%, as indicated in Table </w:t>
      </w:r>
      <w:r w:rsidR="00FA24B9">
        <w:rPr>
          <w:rFonts w:ascii="Tahoma" w:hAnsi="Tahoma" w:cs="Tahoma"/>
          <w:sz w:val="24"/>
          <w:szCs w:val="24"/>
          <w:lang w:val="en-ZW"/>
        </w:rPr>
        <w:t>6</w:t>
      </w:r>
      <w:r w:rsidR="00081BBB" w:rsidRPr="00C5148E">
        <w:rPr>
          <w:rFonts w:ascii="Tahoma" w:hAnsi="Tahoma" w:cs="Tahoma"/>
          <w:sz w:val="24"/>
          <w:szCs w:val="24"/>
          <w:lang w:val="en-ZW"/>
        </w:rPr>
        <w:t xml:space="preserve">. </w:t>
      </w:r>
    </w:p>
    <w:p w14:paraId="337AF89B" w14:textId="67B459C9" w:rsidR="00F84FC8" w:rsidRPr="00C5148E" w:rsidRDefault="00DC4765" w:rsidP="002B6EE3">
      <w:pPr>
        <w:ind w:left="720" w:hanging="720"/>
        <w:jc w:val="both"/>
        <w:rPr>
          <w:rFonts w:ascii="Tahoma" w:hAnsi="Tahoma" w:cs="Tahoma"/>
          <w:sz w:val="24"/>
          <w:szCs w:val="24"/>
          <w:lang w:val="en-ZW"/>
        </w:rPr>
      </w:pPr>
      <w:r w:rsidRPr="00C5148E">
        <w:rPr>
          <w:rFonts w:ascii="Tahoma" w:hAnsi="Tahoma" w:cs="Tahoma"/>
          <w:sz w:val="24"/>
          <w:szCs w:val="24"/>
        </w:rPr>
        <w:t xml:space="preserve"> </w:t>
      </w:r>
      <w:r w:rsidR="00F67469" w:rsidRPr="00C5148E">
        <w:rPr>
          <w:rFonts w:ascii="Tahoma" w:hAnsi="Tahoma" w:cs="Tahoma"/>
          <w:sz w:val="24"/>
          <w:szCs w:val="24"/>
        </w:rPr>
        <w:t>8.2.3</w:t>
      </w:r>
      <w:r w:rsidR="00F67469" w:rsidRPr="00C5148E">
        <w:rPr>
          <w:rFonts w:ascii="Tahoma" w:hAnsi="Tahoma" w:cs="Tahoma"/>
          <w:sz w:val="24"/>
          <w:szCs w:val="24"/>
        </w:rPr>
        <w:tab/>
      </w:r>
      <w:r w:rsidR="003811C0" w:rsidRPr="00C5148E">
        <w:rPr>
          <w:rFonts w:ascii="Tahoma" w:hAnsi="Tahoma" w:cs="Tahoma"/>
          <w:sz w:val="24"/>
          <w:szCs w:val="24"/>
        </w:rPr>
        <w:t xml:space="preserve">On </w:t>
      </w:r>
      <w:r w:rsidR="00806038">
        <w:rPr>
          <w:rFonts w:ascii="Tahoma" w:hAnsi="Tahoma" w:cs="Tahoma"/>
          <w:sz w:val="24"/>
          <w:szCs w:val="24"/>
          <w:lang w:val="en-ZW"/>
        </w:rPr>
        <w:t>YtD basis</w:t>
      </w:r>
      <w:r w:rsidR="003811C0" w:rsidRPr="00C5148E">
        <w:rPr>
          <w:rFonts w:ascii="Tahoma" w:hAnsi="Tahoma" w:cs="Tahoma"/>
          <w:sz w:val="24"/>
          <w:szCs w:val="24"/>
          <w:lang w:val="en-ZW"/>
        </w:rPr>
        <w:t xml:space="preserve">, the All-Share Index and Market capitalisation fell by 5.12% and 7.91%, respectively, while Value traded rose by 43.98%. </w:t>
      </w:r>
      <w:r w:rsidR="00806038">
        <w:rPr>
          <w:rFonts w:ascii="Tahoma" w:hAnsi="Tahoma" w:cs="Tahoma"/>
          <w:sz w:val="24"/>
          <w:szCs w:val="24"/>
          <w:lang w:val="en-ZW"/>
        </w:rPr>
        <w:t>Regarding YoY</w:t>
      </w:r>
      <w:r w:rsidR="003811C0" w:rsidRPr="00C5148E">
        <w:rPr>
          <w:rFonts w:ascii="Tahoma" w:hAnsi="Tahoma" w:cs="Tahoma"/>
          <w:sz w:val="24"/>
          <w:szCs w:val="24"/>
          <w:lang w:val="en-ZW"/>
        </w:rPr>
        <w:t xml:space="preserve"> basis, the All-Share Index </w:t>
      </w:r>
      <w:r w:rsidR="00806038">
        <w:rPr>
          <w:rFonts w:ascii="Tahoma" w:hAnsi="Tahoma" w:cs="Tahoma"/>
          <w:sz w:val="24"/>
          <w:szCs w:val="24"/>
          <w:lang w:val="en-ZW"/>
        </w:rPr>
        <w:t xml:space="preserve">and </w:t>
      </w:r>
      <w:r w:rsidR="00806038" w:rsidRPr="00C5148E">
        <w:rPr>
          <w:rFonts w:ascii="Tahoma" w:hAnsi="Tahoma" w:cs="Tahoma"/>
          <w:sz w:val="24"/>
          <w:szCs w:val="24"/>
          <w:lang w:val="en-ZW"/>
        </w:rPr>
        <w:t xml:space="preserve">value traded </w:t>
      </w:r>
      <w:r w:rsidR="003811C0" w:rsidRPr="00C5148E">
        <w:rPr>
          <w:rFonts w:ascii="Tahoma" w:hAnsi="Tahoma" w:cs="Tahoma"/>
          <w:sz w:val="24"/>
          <w:szCs w:val="24"/>
          <w:lang w:val="en-ZW"/>
        </w:rPr>
        <w:t>grew by 18.72%</w:t>
      </w:r>
      <w:r w:rsidR="00806038">
        <w:rPr>
          <w:rFonts w:ascii="Tahoma" w:hAnsi="Tahoma" w:cs="Tahoma"/>
          <w:sz w:val="24"/>
          <w:szCs w:val="24"/>
          <w:lang w:val="en-ZW"/>
        </w:rPr>
        <w:t xml:space="preserve"> and </w:t>
      </w:r>
      <w:r w:rsidR="003811C0" w:rsidRPr="00C5148E">
        <w:rPr>
          <w:rFonts w:ascii="Tahoma" w:hAnsi="Tahoma" w:cs="Tahoma"/>
          <w:sz w:val="24"/>
          <w:szCs w:val="24"/>
          <w:lang w:val="en-ZW"/>
        </w:rPr>
        <w:t>627.69%</w:t>
      </w:r>
      <w:r w:rsidR="00806038">
        <w:rPr>
          <w:rFonts w:ascii="Tahoma" w:hAnsi="Tahoma" w:cs="Tahoma"/>
          <w:sz w:val="24"/>
          <w:szCs w:val="24"/>
          <w:lang w:val="en-ZW"/>
        </w:rPr>
        <w:t>, respectively</w:t>
      </w:r>
      <w:r w:rsidR="003811C0" w:rsidRPr="00C5148E">
        <w:rPr>
          <w:rFonts w:ascii="Tahoma" w:hAnsi="Tahoma" w:cs="Tahoma"/>
          <w:sz w:val="24"/>
          <w:szCs w:val="24"/>
          <w:lang w:val="en-ZW"/>
        </w:rPr>
        <w:t>. However, market capitalization dropped by 19.73%.</w:t>
      </w:r>
    </w:p>
    <w:p w14:paraId="0FA018E5" w14:textId="2F72ACCE" w:rsidR="003C1D2F" w:rsidRPr="00C5148E" w:rsidRDefault="00D30418" w:rsidP="0001510C">
      <w:pPr>
        <w:pStyle w:val="ListofTables"/>
      </w:pPr>
      <w:bookmarkStart w:id="65" w:name="_Toc164072368"/>
      <w:bookmarkStart w:id="66" w:name="_Toc166658895"/>
      <w:bookmarkStart w:id="67" w:name="_Toc169612988"/>
      <w:r w:rsidRPr="00C5148E">
        <w:t xml:space="preserve">Table </w:t>
      </w:r>
      <w:r w:rsidR="00CE35E7" w:rsidRPr="00C5148E">
        <w:t>6</w:t>
      </w:r>
      <w:r w:rsidRPr="00C5148E">
        <w:t>: Victoria Falls Stock Exchange Movements</w:t>
      </w:r>
      <w:bookmarkEnd w:id="65"/>
      <w:bookmarkEnd w:id="66"/>
      <w:bookmarkEnd w:id="67"/>
    </w:p>
    <w:p w14:paraId="0BE7C0B7" w14:textId="3329A37E" w:rsidR="00E57C56" w:rsidRPr="00C5148E" w:rsidRDefault="00AC30B8" w:rsidP="00DD595D">
      <w:pPr>
        <w:pStyle w:val="Caption"/>
        <w:spacing w:after="0"/>
        <w:rPr>
          <w:rFonts w:ascii="Tahoma" w:hAnsi="Tahoma" w:cs="Tahoma"/>
          <w:i w:val="0"/>
          <w:iCs w:val="0"/>
          <w:sz w:val="24"/>
          <w:szCs w:val="24"/>
        </w:rPr>
      </w:pPr>
      <w:r w:rsidRPr="00C5148E">
        <w:rPr>
          <w:rFonts w:ascii="Tahoma" w:hAnsi="Tahoma" w:cs="Tahoma"/>
          <w:noProof/>
          <w:sz w:val="24"/>
          <w:szCs w:val="24"/>
        </w:rPr>
        <w:drawing>
          <wp:inline distT="0" distB="0" distL="0" distR="0" wp14:anchorId="40243BE9" wp14:editId="091CC222">
            <wp:extent cx="5731510" cy="1013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13460"/>
                    </a:xfrm>
                    <a:prstGeom prst="rect">
                      <a:avLst/>
                    </a:prstGeom>
                  </pic:spPr>
                </pic:pic>
              </a:graphicData>
            </a:graphic>
          </wp:inline>
        </w:drawing>
      </w:r>
    </w:p>
    <w:p w14:paraId="54D8F6CF" w14:textId="76CA63C1" w:rsidR="00E36CF6" w:rsidRPr="00C5148E" w:rsidRDefault="00E36CF6" w:rsidP="00D15639">
      <w:pPr>
        <w:spacing w:line="360" w:lineRule="auto"/>
        <w:rPr>
          <w:rFonts w:ascii="Tahoma" w:hAnsi="Tahoma" w:cs="Tahoma"/>
          <w:i/>
          <w:sz w:val="24"/>
          <w:szCs w:val="24"/>
        </w:rPr>
      </w:pPr>
      <w:r w:rsidRPr="00C5148E">
        <w:rPr>
          <w:rFonts w:ascii="Tahoma" w:hAnsi="Tahoma" w:cs="Tahoma"/>
          <w:i/>
          <w:sz w:val="24"/>
          <w:szCs w:val="24"/>
        </w:rPr>
        <w:t>Source:</w:t>
      </w:r>
      <w:r w:rsidR="00F67469" w:rsidRPr="00C5148E">
        <w:rPr>
          <w:rFonts w:ascii="Tahoma" w:hAnsi="Tahoma" w:cs="Tahoma"/>
          <w:i/>
          <w:sz w:val="24"/>
          <w:szCs w:val="24"/>
        </w:rPr>
        <w:t xml:space="preserve"> </w:t>
      </w:r>
      <w:r w:rsidR="007B5625" w:rsidRPr="00C5148E">
        <w:rPr>
          <w:rFonts w:ascii="Tahoma" w:hAnsi="Tahoma" w:cs="Tahoma"/>
          <w:i/>
          <w:sz w:val="24"/>
          <w:szCs w:val="24"/>
        </w:rPr>
        <w:t>VFEX</w:t>
      </w:r>
      <w:r w:rsidR="00F5173C" w:rsidRPr="00C5148E">
        <w:rPr>
          <w:rFonts w:ascii="Tahoma" w:hAnsi="Tahoma" w:cs="Tahoma"/>
          <w:i/>
          <w:sz w:val="24"/>
          <w:szCs w:val="24"/>
        </w:rPr>
        <w:t xml:space="preserve"> </w:t>
      </w:r>
      <w:r w:rsidR="00F67469" w:rsidRPr="00C5148E">
        <w:rPr>
          <w:rFonts w:ascii="Tahoma" w:hAnsi="Tahoma" w:cs="Tahoma"/>
          <w:i/>
          <w:sz w:val="24"/>
          <w:szCs w:val="24"/>
        </w:rPr>
        <w:t>(</w:t>
      </w:r>
      <w:r w:rsidRPr="00C5148E">
        <w:rPr>
          <w:rFonts w:ascii="Tahoma" w:hAnsi="Tahoma" w:cs="Tahoma"/>
          <w:i/>
          <w:sz w:val="24"/>
          <w:szCs w:val="24"/>
        </w:rPr>
        <w:t>202</w:t>
      </w:r>
      <w:r w:rsidR="003F1F46" w:rsidRPr="00C5148E">
        <w:rPr>
          <w:rFonts w:ascii="Tahoma" w:hAnsi="Tahoma" w:cs="Tahoma"/>
          <w:i/>
          <w:sz w:val="24"/>
          <w:szCs w:val="24"/>
        </w:rPr>
        <w:t>4</w:t>
      </w:r>
      <w:r w:rsidR="00F67469" w:rsidRPr="00C5148E">
        <w:rPr>
          <w:rFonts w:ascii="Tahoma" w:hAnsi="Tahoma" w:cs="Tahoma"/>
          <w:i/>
          <w:sz w:val="24"/>
          <w:szCs w:val="24"/>
        </w:rPr>
        <w:t>)</w:t>
      </w:r>
      <w:r w:rsidRPr="00C5148E">
        <w:rPr>
          <w:rFonts w:ascii="Tahoma" w:hAnsi="Tahoma" w:cs="Tahoma"/>
          <w:i/>
          <w:sz w:val="24"/>
          <w:szCs w:val="24"/>
        </w:rPr>
        <w:t xml:space="preserve"> </w:t>
      </w:r>
    </w:p>
    <w:p w14:paraId="2281443C" w14:textId="77777777" w:rsidR="00EF3AD6" w:rsidRPr="00DD595D" w:rsidRDefault="00FC703F" w:rsidP="004B15EE">
      <w:pPr>
        <w:pStyle w:val="Heading1"/>
        <w:spacing w:before="0" w:after="240" w:line="240" w:lineRule="auto"/>
        <w:rPr>
          <w:rFonts w:cs="Tahoma"/>
          <w:bCs/>
          <w:color w:val="000000"/>
          <w:szCs w:val="24"/>
          <w:lang w:val="en-ZW"/>
        </w:rPr>
      </w:pPr>
      <w:bookmarkStart w:id="68" w:name="_Toc166607905"/>
      <w:bookmarkStart w:id="69" w:name="_Toc169612909"/>
      <w:r w:rsidRPr="00C5148E">
        <w:rPr>
          <w:rFonts w:cs="Tahoma"/>
          <w:bCs/>
          <w:color w:val="000000"/>
          <w:szCs w:val="24"/>
        </w:rPr>
        <w:t>9.0</w:t>
      </w:r>
      <w:r w:rsidRPr="00C5148E">
        <w:rPr>
          <w:rFonts w:cs="Tahoma"/>
          <w:bCs/>
          <w:color w:val="000000"/>
          <w:szCs w:val="24"/>
        </w:rPr>
        <w:tab/>
        <w:t>Recommendations</w:t>
      </w:r>
      <w:bookmarkEnd w:id="68"/>
      <w:bookmarkEnd w:id="69"/>
      <w:r w:rsidRPr="00C5148E">
        <w:rPr>
          <w:rFonts w:cs="Tahoma"/>
          <w:bCs/>
          <w:color w:val="000000"/>
          <w:szCs w:val="24"/>
        </w:rPr>
        <w:t xml:space="preserve"> </w:t>
      </w:r>
    </w:p>
    <w:p w14:paraId="54236DE3" w14:textId="2717DF33" w:rsidR="00FC703F" w:rsidRPr="00DD595D" w:rsidRDefault="00FC703F" w:rsidP="00DD595D">
      <w:pPr>
        <w:pStyle w:val="ListParagraph"/>
        <w:numPr>
          <w:ilvl w:val="1"/>
          <w:numId w:val="12"/>
        </w:numPr>
        <w:jc w:val="both"/>
        <w:rPr>
          <w:rFonts w:ascii="Tahoma" w:hAnsi="Tahoma" w:cs="Tahoma"/>
          <w:sz w:val="24"/>
          <w:szCs w:val="24"/>
        </w:rPr>
      </w:pPr>
      <w:r w:rsidRPr="00DD595D">
        <w:rPr>
          <w:rFonts w:ascii="Tahoma" w:hAnsi="Tahoma" w:cs="Tahoma"/>
          <w:sz w:val="24"/>
          <w:szCs w:val="24"/>
        </w:rPr>
        <w:t xml:space="preserve">The following recommendations are being proposed: </w:t>
      </w:r>
    </w:p>
    <w:p w14:paraId="1B722250" w14:textId="1DC4382B" w:rsidR="00053B2B" w:rsidRPr="00053B2B" w:rsidRDefault="00053B2B" w:rsidP="00DD595D">
      <w:pPr>
        <w:ind w:left="720" w:hanging="720"/>
        <w:jc w:val="both"/>
        <w:rPr>
          <w:rFonts w:ascii="Tahoma" w:hAnsi="Tahoma" w:cs="Tahoma"/>
          <w:sz w:val="24"/>
          <w:szCs w:val="24"/>
          <w:lang w:val="en-ZW"/>
        </w:rPr>
      </w:pPr>
      <w:r w:rsidRPr="00DD595D">
        <w:rPr>
          <w:rFonts w:ascii="Tahoma" w:hAnsi="Tahoma" w:cs="Tahoma"/>
          <w:sz w:val="24"/>
          <w:szCs w:val="24"/>
          <w:lang w:val="en-ZW"/>
        </w:rPr>
        <w:t>9.1.1</w:t>
      </w:r>
      <w:r>
        <w:rPr>
          <w:rFonts w:ascii="Tahoma" w:hAnsi="Tahoma" w:cs="Tahoma"/>
          <w:b/>
          <w:bCs/>
          <w:sz w:val="24"/>
          <w:szCs w:val="24"/>
          <w:lang w:val="en-ZW"/>
        </w:rPr>
        <w:tab/>
      </w:r>
      <w:r w:rsidRPr="00053B2B">
        <w:rPr>
          <w:rFonts w:ascii="Tahoma" w:hAnsi="Tahoma" w:cs="Tahoma"/>
          <w:b/>
          <w:bCs/>
          <w:sz w:val="24"/>
          <w:szCs w:val="24"/>
          <w:lang w:val="en-ZW"/>
        </w:rPr>
        <w:t>Strengthen Trade Relations</w:t>
      </w:r>
      <w:r w:rsidRPr="00053B2B">
        <w:rPr>
          <w:rFonts w:ascii="Tahoma" w:hAnsi="Tahoma" w:cs="Tahoma"/>
          <w:sz w:val="24"/>
          <w:szCs w:val="24"/>
          <w:lang w:val="en-ZW"/>
        </w:rPr>
        <w:t>: The country should enhance trade partnerships with emerging Asian economies (India, Indonesia, Vietnam, and the Philippines) expected to experience higher growth. This can help diversify export markets and reduce dependency on traditional markets.</w:t>
      </w:r>
    </w:p>
    <w:p w14:paraId="049B0513" w14:textId="07535046" w:rsidR="00053B2B" w:rsidRPr="00DD595D" w:rsidRDefault="00053B2B" w:rsidP="00DD595D">
      <w:pPr>
        <w:pStyle w:val="ListParagraph"/>
        <w:numPr>
          <w:ilvl w:val="2"/>
          <w:numId w:val="13"/>
        </w:numPr>
        <w:jc w:val="both"/>
        <w:rPr>
          <w:rFonts w:ascii="Tahoma" w:hAnsi="Tahoma" w:cs="Tahoma"/>
          <w:sz w:val="24"/>
          <w:szCs w:val="24"/>
          <w:lang w:val="en-ZW"/>
        </w:rPr>
      </w:pPr>
      <w:r w:rsidRPr="00DD595D">
        <w:rPr>
          <w:rFonts w:ascii="Tahoma" w:hAnsi="Tahoma" w:cs="Tahoma"/>
          <w:b/>
          <w:bCs/>
          <w:sz w:val="24"/>
          <w:szCs w:val="24"/>
          <w:lang w:val="en-ZW"/>
        </w:rPr>
        <w:t>Diversify Economy</w:t>
      </w:r>
      <w:r w:rsidRPr="00DD595D">
        <w:rPr>
          <w:rFonts w:ascii="Tahoma" w:hAnsi="Tahoma" w:cs="Tahoma"/>
          <w:sz w:val="24"/>
          <w:szCs w:val="24"/>
          <w:lang w:val="en-ZW"/>
        </w:rPr>
        <w:t>: There is need to invest in sectors other than agriculture, such as manufacturing and services, to reduce vulnerability to climate-induced disruptions like the El Niño drought.</w:t>
      </w:r>
    </w:p>
    <w:p w14:paraId="4A1E4B3F" w14:textId="6B02EF81" w:rsidR="00053B2B" w:rsidRPr="00DD595D" w:rsidRDefault="00053B2B" w:rsidP="00DD595D">
      <w:pPr>
        <w:pStyle w:val="ListParagraph"/>
        <w:numPr>
          <w:ilvl w:val="2"/>
          <w:numId w:val="13"/>
        </w:numPr>
        <w:jc w:val="both"/>
        <w:rPr>
          <w:rFonts w:ascii="Tahoma" w:hAnsi="Tahoma" w:cs="Tahoma"/>
          <w:sz w:val="24"/>
          <w:szCs w:val="24"/>
          <w:lang w:val="en-ZW"/>
        </w:rPr>
      </w:pPr>
      <w:r w:rsidRPr="00DD595D">
        <w:rPr>
          <w:rFonts w:ascii="Tahoma" w:hAnsi="Tahoma" w:cs="Tahoma"/>
          <w:b/>
          <w:bCs/>
          <w:sz w:val="24"/>
          <w:szCs w:val="24"/>
          <w:lang w:val="en-ZW"/>
        </w:rPr>
        <w:t>Fiscal Stimulus</w:t>
      </w:r>
      <w:r w:rsidRPr="00DD595D">
        <w:rPr>
          <w:rFonts w:ascii="Tahoma" w:hAnsi="Tahoma" w:cs="Tahoma"/>
          <w:sz w:val="24"/>
          <w:szCs w:val="24"/>
          <w:lang w:val="en-ZW"/>
        </w:rPr>
        <w:t xml:space="preserve">: </w:t>
      </w:r>
      <w:r>
        <w:rPr>
          <w:rFonts w:ascii="Tahoma" w:hAnsi="Tahoma" w:cs="Tahoma"/>
          <w:sz w:val="24"/>
          <w:szCs w:val="24"/>
          <w:lang w:val="en-ZW"/>
        </w:rPr>
        <w:t>T</w:t>
      </w:r>
      <w:r w:rsidRPr="00DD595D">
        <w:rPr>
          <w:rFonts w:ascii="Tahoma" w:hAnsi="Tahoma" w:cs="Tahoma"/>
          <w:sz w:val="24"/>
          <w:szCs w:val="24"/>
          <w:lang w:val="en-ZW"/>
        </w:rPr>
        <w:t xml:space="preserve">here is need to consider targeted fiscal stimulus to support sectors hit hard by the drought and other structural bottlenecks. This could </w:t>
      </w:r>
      <w:r w:rsidRPr="00DD595D">
        <w:rPr>
          <w:rFonts w:ascii="Tahoma" w:hAnsi="Tahoma" w:cs="Tahoma"/>
          <w:sz w:val="24"/>
          <w:szCs w:val="24"/>
          <w:lang w:val="en-ZW"/>
        </w:rPr>
        <w:lastRenderedPageBreak/>
        <w:t>include subsidies for affected farmers and investments in drought-resistant</w:t>
      </w:r>
      <w:r>
        <w:rPr>
          <w:rFonts w:ascii="Tahoma" w:hAnsi="Tahoma" w:cs="Tahoma"/>
          <w:sz w:val="24"/>
          <w:szCs w:val="24"/>
          <w:lang w:val="en-ZW"/>
        </w:rPr>
        <w:t xml:space="preserve"> </w:t>
      </w:r>
      <w:r w:rsidRPr="00DD595D">
        <w:rPr>
          <w:rFonts w:ascii="Tahoma" w:hAnsi="Tahoma" w:cs="Tahoma"/>
          <w:sz w:val="24"/>
          <w:szCs w:val="24"/>
          <w:lang w:val="en-ZW"/>
        </w:rPr>
        <w:t>crops and irrigation infrastructure.</w:t>
      </w:r>
    </w:p>
    <w:p w14:paraId="07398336" w14:textId="77777777" w:rsidR="00053B2B" w:rsidRPr="00053B2B" w:rsidRDefault="00053B2B" w:rsidP="00DD595D">
      <w:pPr>
        <w:pStyle w:val="ListParagraph"/>
        <w:numPr>
          <w:ilvl w:val="2"/>
          <w:numId w:val="13"/>
        </w:numPr>
        <w:jc w:val="both"/>
        <w:rPr>
          <w:rFonts w:ascii="Tahoma" w:hAnsi="Tahoma" w:cs="Tahoma"/>
          <w:sz w:val="24"/>
          <w:szCs w:val="24"/>
          <w:lang w:val="en-ZW"/>
        </w:rPr>
      </w:pPr>
      <w:r w:rsidRPr="00053B2B">
        <w:rPr>
          <w:rFonts w:ascii="Tahoma" w:hAnsi="Tahoma" w:cs="Tahoma"/>
          <w:b/>
          <w:bCs/>
          <w:sz w:val="24"/>
          <w:szCs w:val="24"/>
          <w:lang w:val="en-ZW"/>
        </w:rPr>
        <w:t>Commodity Reserves</w:t>
      </w:r>
      <w:r w:rsidRPr="00053B2B">
        <w:rPr>
          <w:rFonts w:ascii="Tahoma" w:hAnsi="Tahoma" w:cs="Tahoma"/>
          <w:sz w:val="24"/>
          <w:szCs w:val="24"/>
          <w:lang w:val="en-ZW"/>
        </w:rPr>
        <w:t>: The country should establish strategic reserves for key commodities like wheat to mitigate the impact of price volatility and ensure food security.</w:t>
      </w:r>
    </w:p>
    <w:p w14:paraId="446B617E" w14:textId="77777777" w:rsidR="00053B2B" w:rsidRPr="00053B2B" w:rsidRDefault="00053B2B" w:rsidP="00DD595D">
      <w:pPr>
        <w:pStyle w:val="ListParagraph"/>
        <w:numPr>
          <w:ilvl w:val="2"/>
          <w:numId w:val="13"/>
        </w:numPr>
        <w:jc w:val="both"/>
        <w:rPr>
          <w:rFonts w:ascii="Tahoma" w:hAnsi="Tahoma" w:cs="Tahoma"/>
          <w:sz w:val="24"/>
          <w:szCs w:val="24"/>
          <w:lang w:val="en-ZW"/>
        </w:rPr>
      </w:pPr>
      <w:r w:rsidRPr="00053B2B">
        <w:rPr>
          <w:rFonts w:ascii="Tahoma" w:hAnsi="Tahoma" w:cs="Tahoma"/>
          <w:b/>
          <w:bCs/>
          <w:sz w:val="24"/>
          <w:szCs w:val="24"/>
          <w:lang w:val="en-ZW"/>
        </w:rPr>
        <w:t>Subsidies for Agriculture</w:t>
      </w:r>
      <w:r w:rsidRPr="00053B2B">
        <w:rPr>
          <w:rFonts w:ascii="Tahoma" w:hAnsi="Tahoma" w:cs="Tahoma"/>
          <w:sz w:val="24"/>
          <w:szCs w:val="24"/>
          <w:lang w:val="en-ZW"/>
        </w:rPr>
        <w:t>: There is need to provide subsidies and financial support to farmers growing crops that have shown price resilience (e.g., wheat) and those facing price declines (e.g., cotton, soybeans) to stabilize the agricultural sector.</w:t>
      </w:r>
    </w:p>
    <w:p w14:paraId="770AACD3" w14:textId="6DB00289" w:rsidR="00053B2B" w:rsidRPr="00DD595D" w:rsidRDefault="00053B2B" w:rsidP="00DD595D">
      <w:pPr>
        <w:pStyle w:val="ListParagraph"/>
        <w:numPr>
          <w:ilvl w:val="2"/>
          <w:numId w:val="13"/>
        </w:numPr>
        <w:jc w:val="both"/>
        <w:rPr>
          <w:rFonts w:ascii="Tahoma" w:hAnsi="Tahoma" w:cs="Tahoma"/>
          <w:sz w:val="24"/>
          <w:szCs w:val="24"/>
          <w:lang w:val="en-ZW"/>
        </w:rPr>
      </w:pPr>
      <w:r w:rsidRPr="00DD595D">
        <w:rPr>
          <w:rFonts w:ascii="Tahoma" w:hAnsi="Tahoma" w:cs="Tahoma"/>
          <w:b/>
          <w:bCs/>
          <w:sz w:val="24"/>
          <w:szCs w:val="24"/>
          <w:lang w:val="en-ZW"/>
        </w:rPr>
        <w:t>Enhance Value Addition</w:t>
      </w:r>
      <w:r w:rsidRPr="00DD595D">
        <w:rPr>
          <w:rFonts w:ascii="Tahoma" w:hAnsi="Tahoma" w:cs="Tahoma"/>
          <w:sz w:val="24"/>
          <w:szCs w:val="24"/>
          <w:lang w:val="en-ZW"/>
        </w:rPr>
        <w:t xml:space="preserve">: Zimbabwe is a primary products-based economy and mostly exports low priced raw products. The country needs to improve value addition and strategies to move production processes up the value chain. This may be achieved through adoption of advanced technologies and establishment of processing plants to promote high-valued exports and at the same time reducing imports since the previously imported products will be produced locally (Import substitution). Through value addition, the economy can benefit from rising international commodity prices of minerals (copper, nickel, aluminium and gold) by exporting processed high-valued product rather than low-valued raw products, at the same time exploiting a fall in agricultural commodity prices through using those low-priced raw materials (cotton, corn and soyabeans to produce high-valued commodities. </w:t>
      </w:r>
    </w:p>
    <w:p w14:paraId="6688056C" w14:textId="77777777" w:rsidR="00053B2B" w:rsidRPr="00053B2B" w:rsidRDefault="00053B2B" w:rsidP="00DD595D">
      <w:pPr>
        <w:pStyle w:val="ListParagraph"/>
        <w:numPr>
          <w:ilvl w:val="2"/>
          <w:numId w:val="13"/>
        </w:numPr>
        <w:jc w:val="both"/>
        <w:rPr>
          <w:rFonts w:ascii="Tahoma" w:hAnsi="Tahoma" w:cs="Tahoma"/>
          <w:sz w:val="24"/>
          <w:szCs w:val="24"/>
          <w:lang w:val="en-ZW"/>
        </w:rPr>
      </w:pPr>
      <w:r w:rsidRPr="00053B2B">
        <w:rPr>
          <w:rFonts w:ascii="Tahoma" w:hAnsi="Tahoma" w:cs="Tahoma"/>
          <w:b/>
          <w:bCs/>
          <w:sz w:val="24"/>
          <w:szCs w:val="24"/>
          <w:lang w:val="en-ZW"/>
        </w:rPr>
        <w:t>Stabilize the Currency</w:t>
      </w:r>
      <w:r w:rsidRPr="00053B2B">
        <w:rPr>
          <w:rFonts w:ascii="Tahoma" w:hAnsi="Tahoma" w:cs="Tahoma"/>
          <w:sz w:val="24"/>
          <w:szCs w:val="24"/>
          <w:lang w:val="en-ZW"/>
        </w:rPr>
        <w:t>: The ZiG gained some momentum (appreciated against USD and ZAR) but lost value against GBP and EUR. Thus, there is need for continued efforts to stabilize the Zimbabwe Gold (ZiG) currency through prudent monetary policies and by building foreign exchange reserves. The RBZ should engage with international financial institutions for technical assistance and best practices.</w:t>
      </w:r>
    </w:p>
    <w:p w14:paraId="0B44FA99" w14:textId="77777777" w:rsidR="00053B2B" w:rsidRPr="00053B2B" w:rsidRDefault="00053B2B" w:rsidP="00DD595D">
      <w:pPr>
        <w:pStyle w:val="ListParagraph"/>
        <w:numPr>
          <w:ilvl w:val="2"/>
          <w:numId w:val="13"/>
        </w:numPr>
        <w:jc w:val="both"/>
        <w:rPr>
          <w:rFonts w:ascii="Tahoma" w:hAnsi="Tahoma" w:cs="Tahoma"/>
          <w:sz w:val="24"/>
          <w:szCs w:val="24"/>
          <w:lang w:val="en-ZW"/>
        </w:rPr>
      </w:pPr>
      <w:r w:rsidRPr="00053B2B">
        <w:rPr>
          <w:rFonts w:ascii="Tahoma" w:hAnsi="Tahoma" w:cs="Tahoma"/>
          <w:b/>
          <w:bCs/>
          <w:sz w:val="24"/>
          <w:szCs w:val="24"/>
          <w:lang w:val="en-ZW"/>
        </w:rPr>
        <w:t>Monitor Inflation Drivers</w:t>
      </w:r>
      <w:r w:rsidRPr="00053B2B">
        <w:rPr>
          <w:rFonts w:ascii="Tahoma" w:hAnsi="Tahoma" w:cs="Tahoma"/>
          <w:sz w:val="24"/>
          <w:szCs w:val="24"/>
          <w:lang w:val="en-ZW"/>
        </w:rPr>
        <w:t xml:space="preserve">: There is need to closely monitor inflation drivers, particularly food and non-alcoholic beverages, and housing costs. </w:t>
      </w:r>
    </w:p>
    <w:p w14:paraId="7E22DFEA" w14:textId="704E6472" w:rsidR="00053B2B" w:rsidRPr="00DD595D" w:rsidRDefault="00053B2B" w:rsidP="00DD595D">
      <w:pPr>
        <w:pStyle w:val="ListParagraph"/>
        <w:numPr>
          <w:ilvl w:val="2"/>
          <w:numId w:val="13"/>
        </w:numPr>
        <w:jc w:val="both"/>
        <w:rPr>
          <w:rFonts w:ascii="Tahoma" w:hAnsi="Tahoma" w:cs="Tahoma"/>
          <w:sz w:val="24"/>
          <w:szCs w:val="24"/>
          <w:lang w:val="en-ZW"/>
        </w:rPr>
      </w:pPr>
      <w:r w:rsidRPr="00053B2B">
        <w:rPr>
          <w:rFonts w:ascii="Tahoma" w:hAnsi="Tahoma" w:cs="Tahoma"/>
          <w:b/>
          <w:bCs/>
          <w:sz w:val="24"/>
          <w:szCs w:val="24"/>
          <w:lang w:val="en-ZW"/>
        </w:rPr>
        <w:t>Promote Stock Market Participation</w:t>
      </w:r>
      <w:r w:rsidRPr="00053B2B">
        <w:rPr>
          <w:rFonts w:ascii="Tahoma" w:hAnsi="Tahoma" w:cs="Tahoma"/>
          <w:sz w:val="24"/>
          <w:szCs w:val="24"/>
          <w:lang w:val="en-ZW"/>
        </w:rPr>
        <w:t>: There is need to encourage broader participation in the ZSE and VFEX by promoting financial literacy and investor confidence.</w:t>
      </w:r>
    </w:p>
    <w:p w14:paraId="63319721" w14:textId="77777777" w:rsidR="0024082B" w:rsidRPr="00C5148E" w:rsidRDefault="0024082B" w:rsidP="00702E44">
      <w:pPr>
        <w:pStyle w:val="ListParagraph"/>
        <w:ind w:hanging="720"/>
        <w:jc w:val="both"/>
        <w:rPr>
          <w:rFonts w:ascii="Tahoma" w:hAnsi="Tahoma" w:cs="Tahoma"/>
          <w:kern w:val="0"/>
          <w:sz w:val="24"/>
          <w:szCs w:val="24"/>
          <w:lang w:val="en-ZW" w:eastAsia="en-ZW"/>
        </w:rPr>
      </w:pPr>
    </w:p>
    <w:p w14:paraId="4B4EB8CF" w14:textId="77777777" w:rsidR="00702E44" w:rsidRPr="00C5148E" w:rsidRDefault="00702E44" w:rsidP="00702E44">
      <w:pPr>
        <w:pStyle w:val="ListParagraph"/>
        <w:ind w:hanging="720"/>
        <w:jc w:val="both"/>
        <w:rPr>
          <w:rFonts w:ascii="Tahoma" w:hAnsi="Tahoma" w:cs="Tahoma"/>
          <w:kern w:val="0"/>
          <w:sz w:val="24"/>
          <w:szCs w:val="24"/>
          <w:lang w:val="en-ZW" w:eastAsia="en-ZW"/>
        </w:rPr>
      </w:pPr>
    </w:p>
    <w:p w14:paraId="04B60130" w14:textId="317F14ED" w:rsidR="00053B2B" w:rsidRDefault="00053B2B">
      <w:pPr>
        <w:spacing w:after="0" w:line="240" w:lineRule="auto"/>
        <w:rPr>
          <w:rFonts w:ascii="Tahoma" w:hAnsi="Tahoma" w:cs="Tahoma"/>
          <w:kern w:val="0"/>
          <w:sz w:val="24"/>
          <w:szCs w:val="24"/>
          <w:lang w:val="en-ZW" w:eastAsia="en-ZW"/>
        </w:rPr>
      </w:pPr>
      <w:r>
        <w:rPr>
          <w:rFonts w:ascii="Tahoma" w:hAnsi="Tahoma" w:cs="Tahoma"/>
          <w:kern w:val="0"/>
          <w:sz w:val="24"/>
          <w:szCs w:val="24"/>
          <w:lang w:val="en-ZW" w:eastAsia="en-ZW"/>
        </w:rPr>
        <w:br w:type="page"/>
      </w:r>
    </w:p>
    <w:bookmarkStart w:id="70" w:name="_Toc169612910" w:displacedByCustomXml="next"/>
    <w:sdt>
      <w:sdtPr>
        <w:rPr>
          <w:rFonts w:ascii="Calibri" w:eastAsia="Calibri" w:hAnsi="Calibri" w:cs="Tahoma"/>
          <w:b w:val="0"/>
          <w:sz w:val="22"/>
          <w:szCs w:val="24"/>
        </w:rPr>
        <w:id w:val="889926327"/>
        <w:docPartObj>
          <w:docPartGallery w:val="Bibliographies"/>
          <w:docPartUnique/>
        </w:docPartObj>
      </w:sdtPr>
      <w:sdtContent>
        <w:p w14:paraId="1D679129" w14:textId="75480F49" w:rsidR="00702E44" w:rsidRPr="00C5148E" w:rsidRDefault="00702E44" w:rsidP="00654297">
          <w:pPr>
            <w:pStyle w:val="Heading1"/>
            <w:spacing w:before="0" w:after="240" w:line="360" w:lineRule="auto"/>
            <w:jc w:val="both"/>
            <w:rPr>
              <w:rFonts w:cs="Tahoma"/>
              <w:szCs w:val="24"/>
            </w:rPr>
          </w:pPr>
          <w:r w:rsidRPr="00C5148E">
            <w:rPr>
              <w:rFonts w:cs="Tahoma"/>
              <w:szCs w:val="24"/>
            </w:rPr>
            <w:t>10.0</w:t>
          </w:r>
          <w:r w:rsidRPr="00C5148E">
            <w:rPr>
              <w:rFonts w:cs="Tahoma"/>
              <w:szCs w:val="24"/>
            </w:rPr>
            <w:tab/>
            <w:t>References</w:t>
          </w:r>
          <w:bookmarkEnd w:id="70"/>
        </w:p>
        <w:sdt>
          <w:sdtPr>
            <w:rPr>
              <w:rFonts w:ascii="Tahoma" w:hAnsi="Tahoma" w:cs="Tahoma"/>
              <w:sz w:val="24"/>
              <w:szCs w:val="24"/>
              <w:lang w:val="en-GB"/>
            </w:rPr>
            <w:id w:val="-573587230"/>
            <w:bibliography/>
          </w:sdtPr>
          <w:sdtContent>
            <w:p w14:paraId="354948D7" w14:textId="77777777" w:rsidR="009C3896" w:rsidRPr="00DD595D" w:rsidRDefault="00702E44" w:rsidP="00DD595D">
              <w:pPr>
                <w:pStyle w:val="Bibliography"/>
                <w:ind w:left="1440" w:hanging="720"/>
                <w:jc w:val="both"/>
                <w:rPr>
                  <w:rFonts w:ascii="Tahoma" w:hAnsi="Tahoma" w:cs="Tahoma"/>
                  <w:noProof/>
                  <w:kern w:val="0"/>
                  <w:sz w:val="24"/>
                  <w:szCs w:val="24"/>
                  <w:lang w:val="en-GB"/>
                </w:rPr>
              </w:pPr>
              <w:r w:rsidRPr="005D4702">
                <w:rPr>
                  <w:rFonts w:ascii="Tahoma" w:hAnsi="Tahoma" w:cs="Tahoma"/>
                  <w:sz w:val="24"/>
                  <w:szCs w:val="24"/>
                </w:rPr>
                <w:fldChar w:fldCharType="begin"/>
              </w:r>
              <w:r w:rsidRPr="005D4702">
                <w:rPr>
                  <w:rFonts w:ascii="Tahoma" w:hAnsi="Tahoma" w:cs="Tahoma"/>
                  <w:sz w:val="24"/>
                  <w:szCs w:val="24"/>
                </w:rPr>
                <w:instrText xml:space="preserve"> BIBLIOGRAPHY </w:instrText>
              </w:r>
              <w:r w:rsidRPr="005D4702">
                <w:rPr>
                  <w:rFonts w:ascii="Tahoma" w:hAnsi="Tahoma" w:cs="Tahoma"/>
                  <w:sz w:val="24"/>
                  <w:szCs w:val="24"/>
                </w:rPr>
                <w:fldChar w:fldCharType="separate"/>
              </w:r>
              <w:r w:rsidR="009C3896" w:rsidRPr="00DD595D">
                <w:rPr>
                  <w:rFonts w:ascii="Tahoma" w:hAnsi="Tahoma" w:cs="Tahoma"/>
                  <w:noProof/>
                  <w:lang w:val="en-GB"/>
                </w:rPr>
                <w:t xml:space="preserve">Euromonitor International. (2024, April). </w:t>
              </w:r>
              <w:r w:rsidR="009C3896" w:rsidRPr="00DD595D">
                <w:rPr>
                  <w:rFonts w:ascii="Tahoma" w:hAnsi="Tahoma" w:cs="Tahoma"/>
                  <w:i/>
                  <w:iCs/>
                  <w:noProof/>
                  <w:lang w:val="en-GB"/>
                </w:rPr>
                <w:t>Global Economic Forecasts: Q2 2024</w:t>
              </w:r>
              <w:r w:rsidR="009C3896" w:rsidRPr="00DD595D">
                <w:rPr>
                  <w:rFonts w:ascii="Tahoma" w:hAnsi="Tahoma" w:cs="Tahoma"/>
                  <w:noProof/>
                  <w:lang w:val="en-GB"/>
                </w:rPr>
                <w:t>. Retrieved from Euromonitor International: https://www.euromonitor.com/global-economic-forecasts-q2-2024/report?utm_source=RE-GEF-2024-mid-year&amp;utm_medium=foleon&amp;utm_campaign=CT_24_RE_GEF_2024_Outlook_Mid-Year</w:t>
              </w:r>
            </w:p>
            <w:p w14:paraId="577C3273"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IMF. (2024). </w:t>
              </w:r>
              <w:r w:rsidRPr="00DD595D">
                <w:rPr>
                  <w:rFonts w:ascii="Tahoma" w:hAnsi="Tahoma" w:cs="Tahoma"/>
                  <w:i/>
                  <w:iCs/>
                  <w:noProof/>
                  <w:lang w:val="en-GB"/>
                </w:rPr>
                <w:t>World Economic Outlook Update, April 2024.</w:t>
              </w:r>
              <w:r w:rsidRPr="00DD595D">
                <w:rPr>
                  <w:rFonts w:ascii="Tahoma" w:hAnsi="Tahoma" w:cs="Tahoma"/>
                  <w:noProof/>
                  <w:lang w:val="en-GB"/>
                </w:rPr>
                <w:t xml:space="preserve"> International Monetary Fund.</w:t>
              </w:r>
            </w:p>
            <w:p w14:paraId="52A85785"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MOFEDIP. (2023). </w:t>
              </w:r>
              <w:r w:rsidRPr="00DD595D">
                <w:rPr>
                  <w:rFonts w:ascii="Tahoma" w:hAnsi="Tahoma" w:cs="Tahoma"/>
                  <w:i/>
                  <w:iCs/>
                  <w:noProof/>
                  <w:lang w:val="en-GB"/>
                </w:rPr>
                <w:t>The 2024 National Budget Statement.</w:t>
              </w:r>
              <w:r w:rsidRPr="00DD595D">
                <w:rPr>
                  <w:rFonts w:ascii="Tahoma" w:hAnsi="Tahoma" w:cs="Tahoma"/>
                  <w:noProof/>
                  <w:lang w:val="en-GB"/>
                </w:rPr>
                <w:t xml:space="preserve"> Ministry of Finance, Economic Development and Investment Promotion.</w:t>
              </w:r>
            </w:p>
            <w:p w14:paraId="1F3258D1"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RBZ. (2024). </w:t>
              </w:r>
              <w:r w:rsidRPr="00DD595D">
                <w:rPr>
                  <w:rFonts w:ascii="Tahoma" w:hAnsi="Tahoma" w:cs="Tahoma"/>
                  <w:i/>
                  <w:iCs/>
                  <w:noProof/>
                  <w:lang w:val="en-GB"/>
                </w:rPr>
                <w:t>2024 Monetary Policy Statement.</w:t>
              </w:r>
              <w:r w:rsidRPr="00DD595D">
                <w:rPr>
                  <w:rFonts w:ascii="Tahoma" w:hAnsi="Tahoma" w:cs="Tahoma"/>
                  <w:noProof/>
                  <w:lang w:val="en-GB"/>
                </w:rPr>
                <w:t xml:space="preserve"> Reserve Bank of Zimbabwe.</w:t>
              </w:r>
            </w:p>
            <w:p w14:paraId="6986190C"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RBZ. (2024). </w:t>
              </w:r>
              <w:r w:rsidRPr="00DD595D">
                <w:rPr>
                  <w:rFonts w:ascii="Tahoma" w:hAnsi="Tahoma" w:cs="Tahoma"/>
                  <w:i/>
                  <w:iCs/>
                  <w:noProof/>
                  <w:lang w:val="en-GB"/>
                </w:rPr>
                <w:t>Exchange Rates</w:t>
              </w:r>
              <w:r w:rsidRPr="00DD595D">
                <w:rPr>
                  <w:rFonts w:ascii="Tahoma" w:hAnsi="Tahoma" w:cs="Tahoma"/>
                  <w:noProof/>
                  <w:lang w:val="en-GB"/>
                </w:rPr>
                <w:t>. Retrieved from Reserve Bank of Zimbabwe: https://www.rbz.co.zw/index.php/research/markets/exchange-rates</w:t>
              </w:r>
            </w:p>
            <w:p w14:paraId="587BDA5E"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Trading Economics. (2024). </w:t>
              </w:r>
              <w:r w:rsidRPr="00DD595D">
                <w:rPr>
                  <w:rFonts w:ascii="Tahoma" w:hAnsi="Tahoma" w:cs="Tahoma"/>
                  <w:i/>
                  <w:iCs/>
                  <w:noProof/>
                  <w:lang w:val="en-GB"/>
                </w:rPr>
                <w:t>Commodities</w:t>
              </w:r>
              <w:r w:rsidRPr="00DD595D">
                <w:rPr>
                  <w:rFonts w:ascii="Tahoma" w:hAnsi="Tahoma" w:cs="Tahoma"/>
                  <w:noProof/>
                  <w:lang w:val="en-GB"/>
                </w:rPr>
                <w:t>. Retrieved from Trading Economics: https://tradingeconomics.com/commodities</w:t>
              </w:r>
            </w:p>
            <w:p w14:paraId="22752F67"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VFEX. (2024). </w:t>
              </w:r>
              <w:r w:rsidRPr="00DD595D">
                <w:rPr>
                  <w:rFonts w:ascii="Tahoma" w:hAnsi="Tahoma" w:cs="Tahoma"/>
                  <w:i/>
                  <w:iCs/>
                  <w:noProof/>
                  <w:lang w:val="en-GB"/>
                </w:rPr>
                <w:t xml:space="preserve">VFEX Main Dashboard </w:t>
              </w:r>
              <w:r w:rsidRPr="00DD595D">
                <w:rPr>
                  <w:rFonts w:ascii="Tahoma" w:hAnsi="Tahoma" w:cs="Tahoma"/>
                  <w:noProof/>
                  <w:lang w:val="en-GB"/>
                </w:rPr>
                <w:t>. Retrieved from Victoria Falls Stock Exchange: https://www.vfex.exchange/</w:t>
              </w:r>
            </w:p>
            <w:p w14:paraId="04A84170"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ZimStat. (2024). </w:t>
              </w:r>
              <w:r w:rsidRPr="00DD595D">
                <w:rPr>
                  <w:rFonts w:ascii="Tahoma" w:hAnsi="Tahoma" w:cs="Tahoma"/>
                  <w:i/>
                  <w:iCs/>
                  <w:noProof/>
                  <w:lang w:val="en-GB"/>
                </w:rPr>
                <w:t>Inflation Rates</w:t>
              </w:r>
              <w:r w:rsidRPr="00DD595D">
                <w:rPr>
                  <w:rFonts w:ascii="Tahoma" w:hAnsi="Tahoma" w:cs="Tahoma"/>
                  <w:noProof/>
                  <w:lang w:val="en-GB"/>
                </w:rPr>
                <w:t>. Retrieved from Zimbabwe National Statistical Agency: https://www.zimstat.co.zw/</w:t>
              </w:r>
            </w:p>
            <w:p w14:paraId="45E30FF2"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ZimStat. (2024). </w:t>
              </w:r>
              <w:r w:rsidRPr="00DD595D">
                <w:rPr>
                  <w:rFonts w:ascii="Tahoma" w:hAnsi="Tahoma" w:cs="Tahoma"/>
                  <w:i/>
                  <w:iCs/>
                  <w:noProof/>
                  <w:lang w:val="en-GB"/>
                </w:rPr>
                <w:t xml:space="preserve">Merchandise Trade Statisitics </w:t>
              </w:r>
              <w:r w:rsidRPr="00DD595D">
                <w:rPr>
                  <w:rFonts w:ascii="Tahoma" w:hAnsi="Tahoma" w:cs="Tahoma"/>
                  <w:noProof/>
                  <w:lang w:val="en-GB"/>
                </w:rPr>
                <w:t>. Retrieved from Zimbabwe National Statistical Agency: https://www.zimstat.co.zw/</w:t>
              </w:r>
            </w:p>
            <w:p w14:paraId="32E7A1D6" w14:textId="77777777" w:rsidR="009C3896" w:rsidRPr="00DD595D" w:rsidRDefault="009C3896" w:rsidP="00DD595D">
              <w:pPr>
                <w:pStyle w:val="Bibliography"/>
                <w:ind w:left="1440" w:hanging="720"/>
                <w:jc w:val="both"/>
                <w:rPr>
                  <w:rFonts w:ascii="Tahoma" w:hAnsi="Tahoma" w:cs="Tahoma"/>
                  <w:noProof/>
                  <w:lang w:val="en-GB"/>
                </w:rPr>
              </w:pPr>
              <w:r w:rsidRPr="00DD595D">
                <w:rPr>
                  <w:rFonts w:ascii="Tahoma" w:hAnsi="Tahoma" w:cs="Tahoma"/>
                  <w:noProof/>
                  <w:lang w:val="en-GB"/>
                </w:rPr>
                <w:t xml:space="preserve">ZSE. (2024). </w:t>
              </w:r>
              <w:r w:rsidRPr="00DD595D">
                <w:rPr>
                  <w:rFonts w:ascii="Tahoma" w:hAnsi="Tahoma" w:cs="Tahoma"/>
                  <w:i/>
                  <w:iCs/>
                  <w:noProof/>
                  <w:lang w:val="en-GB"/>
                </w:rPr>
                <w:t>ZSE Main Dashboard</w:t>
              </w:r>
              <w:r w:rsidRPr="00DD595D">
                <w:rPr>
                  <w:rFonts w:ascii="Tahoma" w:hAnsi="Tahoma" w:cs="Tahoma"/>
                  <w:noProof/>
                  <w:lang w:val="en-GB"/>
                </w:rPr>
                <w:t>. Retrieved from Zimbabwe Stock Exchange: https://www.zse.co.zw/</w:t>
              </w:r>
            </w:p>
            <w:p w14:paraId="2938A67E" w14:textId="09070EE2" w:rsidR="00702E44" w:rsidRPr="00C5148E" w:rsidRDefault="00702E44" w:rsidP="00DD595D">
              <w:pPr>
                <w:ind w:left="720"/>
                <w:jc w:val="both"/>
                <w:rPr>
                  <w:rFonts w:ascii="Tahoma" w:hAnsi="Tahoma" w:cs="Tahoma"/>
                  <w:sz w:val="24"/>
                  <w:szCs w:val="24"/>
                </w:rPr>
              </w:pPr>
              <w:r w:rsidRPr="005D4702">
                <w:rPr>
                  <w:rFonts w:ascii="Tahoma" w:hAnsi="Tahoma" w:cs="Tahoma"/>
                  <w:b/>
                  <w:bCs/>
                  <w:noProof/>
                  <w:sz w:val="24"/>
                  <w:szCs w:val="24"/>
                </w:rPr>
                <w:fldChar w:fldCharType="end"/>
              </w:r>
            </w:p>
          </w:sdtContent>
        </w:sdt>
      </w:sdtContent>
    </w:sdt>
    <w:p w14:paraId="68AD7DEB" w14:textId="77777777" w:rsidR="00A74A5F" w:rsidRPr="00C5148E" w:rsidRDefault="00A74A5F" w:rsidP="00595E97">
      <w:pPr>
        <w:pStyle w:val="ListParagraph"/>
        <w:ind w:hanging="720"/>
        <w:jc w:val="both"/>
        <w:rPr>
          <w:rFonts w:ascii="Tahoma" w:hAnsi="Tahoma" w:cs="Tahoma"/>
          <w:sz w:val="24"/>
          <w:szCs w:val="24"/>
        </w:rPr>
      </w:pPr>
    </w:p>
    <w:p w14:paraId="29747440" w14:textId="77777777" w:rsidR="005D1A74" w:rsidRPr="00C5148E" w:rsidRDefault="005D1A74" w:rsidP="00595E97">
      <w:pPr>
        <w:pStyle w:val="ListParagraph"/>
        <w:ind w:hanging="720"/>
        <w:jc w:val="both"/>
        <w:rPr>
          <w:rFonts w:ascii="Tahoma" w:hAnsi="Tahoma" w:cs="Tahoma"/>
          <w:sz w:val="24"/>
          <w:szCs w:val="24"/>
        </w:rPr>
      </w:pPr>
    </w:p>
    <w:p w14:paraId="739C7398" w14:textId="77777777" w:rsidR="005D1A74" w:rsidRPr="00C5148E" w:rsidRDefault="005D1A74" w:rsidP="00595E97">
      <w:pPr>
        <w:pStyle w:val="ListParagraph"/>
        <w:ind w:hanging="720"/>
        <w:jc w:val="both"/>
        <w:rPr>
          <w:rFonts w:ascii="Tahoma" w:hAnsi="Tahoma" w:cs="Tahoma"/>
          <w:sz w:val="24"/>
          <w:szCs w:val="24"/>
        </w:rPr>
      </w:pPr>
    </w:p>
    <w:p w14:paraId="540B7ED6" w14:textId="77777777" w:rsidR="005D1A74" w:rsidRPr="00C5148E" w:rsidRDefault="005D1A74" w:rsidP="00595E97">
      <w:pPr>
        <w:pStyle w:val="ListParagraph"/>
        <w:ind w:hanging="720"/>
        <w:jc w:val="both"/>
        <w:rPr>
          <w:rFonts w:ascii="Tahoma" w:hAnsi="Tahoma" w:cs="Tahoma"/>
          <w:sz w:val="24"/>
          <w:szCs w:val="24"/>
        </w:rPr>
      </w:pPr>
    </w:p>
    <w:p w14:paraId="580DB1E1" w14:textId="77777777" w:rsidR="00EF3AD6" w:rsidRPr="00863A17" w:rsidRDefault="00FC703F" w:rsidP="00FC703F">
      <w:pPr>
        <w:ind w:left="5760"/>
        <w:rPr>
          <w:rFonts w:ascii="Tahoma" w:hAnsi="Tahoma" w:cs="Tahoma"/>
          <w:b/>
          <w:iCs/>
          <w:sz w:val="24"/>
          <w:szCs w:val="24"/>
          <w:lang w:val="en-US"/>
        </w:rPr>
      </w:pPr>
      <w:r w:rsidRPr="00796E2E">
        <w:rPr>
          <w:rFonts w:ascii="Tahoma" w:hAnsi="Tahoma" w:cs="Tahoma"/>
          <w:b/>
          <w:iCs/>
          <w:sz w:val="24"/>
          <w:szCs w:val="24"/>
        </w:rPr>
        <w:t xml:space="preserve">      NECF Secretariat, 202</w:t>
      </w:r>
      <w:r w:rsidR="0066487F" w:rsidRPr="00796E2E">
        <w:rPr>
          <w:rFonts w:ascii="Tahoma" w:hAnsi="Tahoma" w:cs="Tahoma"/>
          <w:b/>
          <w:iCs/>
          <w:sz w:val="24"/>
          <w:szCs w:val="24"/>
        </w:rPr>
        <w:t>4</w:t>
      </w:r>
    </w:p>
    <w:sectPr w:rsidR="00EF3AD6" w:rsidRPr="00863A17" w:rsidSect="00EF15A0">
      <w:head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C0FE5" w14:textId="77777777" w:rsidR="00237824" w:rsidRPr="00796E2E" w:rsidRDefault="00237824" w:rsidP="00654F03">
      <w:pPr>
        <w:spacing w:after="0" w:line="240" w:lineRule="auto"/>
      </w:pPr>
      <w:r w:rsidRPr="00796E2E">
        <w:separator/>
      </w:r>
    </w:p>
  </w:endnote>
  <w:endnote w:type="continuationSeparator" w:id="0">
    <w:p w14:paraId="1E44C4E4" w14:textId="77777777" w:rsidR="00237824" w:rsidRPr="00796E2E" w:rsidRDefault="00237824" w:rsidP="00654F03">
      <w:pPr>
        <w:spacing w:after="0" w:line="240" w:lineRule="auto"/>
      </w:pPr>
      <w:r w:rsidRPr="00796E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B4FB5" w14:textId="77777777" w:rsidR="00022BFE" w:rsidRPr="00796E2E" w:rsidRDefault="00022BFE" w:rsidP="00B357AC">
    <w:pPr>
      <w:pStyle w:val="Footer"/>
      <w:jc w:val="center"/>
    </w:pPr>
    <w:r w:rsidRPr="00796E2E">
      <w:t xml:space="preserve">Page | </w:t>
    </w:r>
    <w:r w:rsidRPr="00796E2E">
      <w:fldChar w:fldCharType="begin"/>
    </w:r>
    <w:r w:rsidRPr="00796E2E">
      <w:instrText xml:space="preserve"> PAGE   \* MERGEFORMAT </w:instrText>
    </w:r>
    <w:r w:rsidRPr="00796E2E">
      <w:fldChar w:fldCharType="separate"/>
    </w:r>
    <w:r w:rsidR="000313AF" w:rsidRPr="00796E2E">
      <w:t>3</w:t>
    </w:r>
    <w:r w:rsidRPr="00796E2E">
      <w:fldChar w:fldCharType="end"/>
    </w:r>
    <w:r w:rsidRPr="00796E2E">
      <w:t xml:space="preserve"> </w:t>
    </w:r>
  </w:p>
  <w:p w14:paraId="41DDABC5" w14:textId="77777777" w:rsidR="00022BFE" w:rsidRPr="00796E2E" w:rsidRDefault="0002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463B6" w14:textId="77777777" w:rsidR="00237824" w:rsidRPr="00796E2E" w:rsidRDefault="00237824" w:rsidP="00654F03">
      <w:pPr>
        <w:spacing w:after="0" w:line="240" w:lineRule="auto"/>
      </w:pPr>
      <w:r w:rsidRPr="00796E2E">
        <w:separator/>
      </w:r>
    </w:p>
  </w:footnote>
  <w:footnote w:type="continuationSeparator" w:id="0">
    <w:p w14:paraId="603B8AD0" w14:textId="77777777" w:rsidR="00237824" w:rsidRPr="00796E2E" w:rsidRDefault="00237824" w:rsidP="00654F03">
      <w:pPr>
        <w:spacing w:after="0" w:line="240" w:lineRule="auto"/>
      </w:pPr>
      <w:r w:rsidRPr="00796E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EBB6C" w14:textId="77777777" w:rsidR="00022BFE" w:rsidRPr="00796E2E" w:rsidRDefault="000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418B"/>
    <w:multiLevelType w:val="multilevel"/>
    <w:tmpl w:val="4860D90C"/>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8D3FD9"/>
    <w:multiLevelType w:val="multilevel"/>
    <w:tmpl w:val="5A2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F1CC8"/>
    <w:multiLevelType w:val="multilevel"/>
    <w:tmpl w:val="B14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259E4E0F"/>
    <w:multiLevelType w:val="multilevel"/>
    <w:tmpl w:val="A64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B666571"/>
    <w:multiLevelType w:val="multilevel"/>
    <w:tmpl w:val="D91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B4C86"/>
    <w:multiLevelType w:val="multilevel"/>
    <w:tmpl w:val="F0B8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F3156E8"/>
    <w:multiLevelType w:val="multilevel"/>
    <w:tmpl w:val="67E415F2"/>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16cid:durableId="778991064">
    <w:abstractNumId w:val="10"/>
  </w:num>
  <w:num w:numId="2" w16cid:durableId="530653104">
    <w:abstractNumId w:val="11"/>
  </w:num>
  <w:num w:numId="3" w16cid:durableId="1388070503">
    <w:abstractNumId w:val="5"/>
  </w:num>
  <w:num w:numId="4" w16cid:durableId="253169371">
    <w:abstractNumId w:val="6"/>
  </w:num>
  <w:num w:numId="5" w16cid:durableId="429132002">
    <w:abstractNumId w:val="7"/>
  </w:num>
  <w:num w:numId="6" w16cid:durableId="1918053997">
    <w:abstractNumId w:val="3"/>
  </w:num>
  <w:num w:numId="7" w16cid:durableId="1421022220">
    <w:abstractNumId w:val="1"/>
  </w:num>
  <w:num w:numId="8" w16cid:durableId="1873490155">
    <w:abstractNumId w:val="8"/>
  </w:num>
  <w:num w:numId="9" w16cid:durableId="625544032">
    <w:abstractNumId w:val="9"/>
  </w:num>
  <w:num w:numId="10" w16cid:durableId="1824274826">
    <w:abstractNumId w:val="2"/>
  </w:num>
  <w:num w:numId="11" w16cid:durableId="1956595213">
    <w:abstractNumId w:val="4"/>
  </w:num>
  <w:num w:numId="12" w16cid:durableId="607659959">
    <w:abstractNumId w:val="0"/>
  </w:num>
  <w:num w:numId="13" w16cid:durableId="199250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4DDD"/>
    <w:rsid w:val="00005C65"/>
    <w:rsid w:val="000104F5"/>
    <w:rsid w:val="0001170D"/>
    <w:rsid w:val="000123EE"/>
    <w:rsid w:val="000129B7"/>
    <w:rsid w:val="00013442"/>
    <w:rsid w:val="0001510C"/>
    <w:rsid w:val="0002153A"/>
    <w:rsid w:val="00022BFE"/>
    <w:rsid w:val="00026A42"/>
    <w:rsid w:val="0003098D"/>
    <w:rsid w:val="000312F5"/>
    <w:rsid w:val="000313AF"/>
    <w:rsid w:val="00031E9A"/>
    <w:rsid w:val="00033B61"/>
    <w:rsid w:val="0003407B"/>
    <w:rsid w:val="000346FD"/>
    <w:rsid w:val="0003672E"/>
    <w:rsid w:val="000376E5"/>
    <w:rsid w:val="0004125F"/>
    <w:rsid w:val="00041EA2"/>
    <w:rsid w:val="000466E7"/>
    <w:rsid w:val="00046DFC"/>
    <w:rsid w:val="000515F8"/>
    <w:rsid w:val="00053B2B"/>
    <w:rsid w:val="000545C3"/>
    <w:rsid w:val="00056CEF"/>
    <w:rsid w:val="0006371A"/>
    <w:rsid w:val="00064FF3"/>
    <w:rsid w:val="00066B05"/>
    <w:rsid w:val="0006717B"/>
    <w:rsid w:val="000732CC"/>
    <w:rsid w:val="0007507E"/>
    <w:rsid w:val="00076E9B"/>
    <w:rsid w:val="00081BBB"/>
    <w:rsid w:val="00082A5B"/>
    <w:rsid w:val="00086539"/>
    <w:rsid w:val="00086A1B"/>
    <w:rsid w:val="00090D37"/>
    <w:rsid w:val="00096221"/>
    <w:rsid w:val="000A5880"/>
    <w:rsid w:val="000A5E48"/>
    <w:rsid w:val="000A7093"/>
    <w:rsid w:val="000B0C38"/>
    <w:rsid w:val="000B2EB4"/>
    <w:rsid w:val="000B3406"/>
    <w:rsid w:val="000B4023"/>
    <w:rsid w:val="000B4078"/>
    <w:rsid w:val="000B622D"/>
    <w:rsid w:val="000B63CE"/>
    <w:rsid w:val="000B6AA5"/>
    <w:rsid w:val="000C29DA"/>
    <w:rsid w:val="000C2D96"/>
    <w:rsid w:val="000C447C"/>
    <w:rsid w:val="000C5917"/>
    <w:rsid w:val="000D22EE"/>
    <w:rsid w:val="000D4C34"/>
    <w:rsid w:val="000D5212"/>
    <w:rsid w:val="000D5EA8"/>
    <w:rsid w:val="000E0195"/>
    <w:rsid w:val="000E09BB"/>
    <w:rsid w:val="000E19AC"/>
    <w:rsid w:val="000E19EB"/>
    <w:rsid w:val="000E3486"/>
    <w:rsid w:val="000E455D"/>
    <w:rsid w:val="000F316D"/>
    <w:rsid w:val="000F32A6"/>
    <w:rsid w:val="000F38C3"/>
    <w:rsid w:val="000F54F6"/>
    <w:rsid w:val="000F7BEA"/>
    <w:rsid w:val="001016F9"/>
    <w:rsid w:val="00101BC7"/>
    <w:rsid w:val="001029E1"/>
    <w:rsid w:val="00103E4D"/>
    <w:rsid w:val="00106B69"/>
    <w:rsid w:val="00111B0D"/>
    <w:rsid w:val="0011335B"/>
    <w:rsid w:val="00115C8C"/>
    <w:rsid w:val="00117473"/>
    <w:rsid w:val="001217A1"/>
    <w:rsid w:val="001256EE"/>
    <w:rsid w:val="00131F51"/>
    <w:rsid w:val="00132EAF"/>
    <w:rsid w:val="001354A1"/>
    <w:rsid w:val="00137BB3"/>
    <w:rsid w:val="00141D72"/>
    <w:rsid w:val="00145C78"/>
    <w:rsid w:val="00146D0A"/>
    <w:rsid w:val="00146D2D"/>
    <w:rsid w:val="00154A23"/>
    <w:rsid w:val="00160959"/>
    <w:rsid w:val="00161D6E"/>
    <w:rsid w:val="001638B6"/>
    <w:rsid w:val="00165A7C"/>
    <w:rsid w:val="00170788"/>
    <w:rsid w:val="00171A37"/>
    <w:rsid w:val="00172873"/>
    <w:rsid w:val="0017350B"/>
    <w:rsid w:val="00174CBF"/>
    <w:rsid w:val="0017611C"/>
    <w:rsid w:val="00177FD9"/>
    <w:rsid w:val="00181085"/>
    <w:rsid w:val="00184FA3"/>
    <w:rsid w:val="0018530E"/>
    <w:rsid w:val="00190FD1"/>
    <w:rsid w:val="001946C3"/>
    <w:rsid w:val="001A0156"/>
    <w:rsid w:val="001A1425"/>
    <w:rsid w:val="001A488A"/>
    <w:rsid w:val="001B358C"/>
    <w:rsid w:val="001B5A7B"/>
    <w:rsid w:val="001B5C7B"/>
    <w:rsid w:val="001C160D"/>
    <w:rsid w:val="001C6200"/>
    <w:rsid w:val="001C6748"/>
    <w:rsid w:val="001D161C"/>
    <w:rsid w:val="001D6415"/>
    <w:rsid w:val="001F0527"/>
    <w:rsid w:val="001F1A94"/>
    <w:rsid w:val="001F2D81"/>
    <w:rsid w:val="001F3E7A"/>
    <w:rsid w:val="00201179"/>
    <w:rsid w:val="0020122E"/>
    <w:rsid w:val="002019B5"/>
    <w:rsid w:val="00211AC2"/>
    <w:rsid w:val="002120A6"/>
    <w:rsid w:val="00221838"/>
    <w:rsid w:val="00223152"/>
    <w:rsid w:val="002246A1"/>
    <w:rsid w:val="0023756F"/>
    <w:rsid w:val="00237824"/>
    <w:rsid w:val="0024082B"/>
    <w:rsid w:val="00243665"/>
    <w:rsid w:val="00243C51"/>
    <w:rsid w:val="002448A6"/>
    <w:rsid w:val="00244E77"/>
    <w:rsid w:val="00245AD4"/>
    <w:rsid w:val="002525BF"/>
    <w:rsid w:val="00254DF0"/>
    <w:rsid w:val="0025517A"/>
    <w:rsid w:val="002569B2"/>
    <w:rsid w:val="00257F74"/>
    <w:rsid w:val="00260160"/>
    <w:rsid w:val="002642DE"/>
    <w:rsid w:val="00265AEC"/>
    <w:rsid w:val="00280519"/>
    <w:rsid w:val="00281EE3"/>
    <w:rsid w:val="00282819"/>
    <w:rsid w:val="002828D7"/>
    <w:rsid w:val="00286562"/>
    <w:rsid w:val="00286DD4"/>
    <w:rsid w:val="00287F5F"/>
    <w:rsid w:val="00290647"/>
    <w:rsid w:val="002964A7"/>
    <w:rsid w:val="00296FDF"/>
    <w:rsid w:val="002A3CAC"/>
    <w:rsid w:val="002A6B33"/>
    <w:rsid w:val="002B2FE8"/>
    <w:rsid w:val="002B4CE2"/>
    <w:rsid w:val="002B6209"/>
    <w:rsid w:val="002B6EE3"/>
    <w:rsid w:val="002B7529"/>
    <w:rsid w:val="002C6020"/>
    <w:rsid w:val="002D12BD"/>
    <w:rsid w:val="002D3BAB"/>
    <w:rsid w:val="002D644A"/>
    <w:rsid w:val="002D7638"/>
    <w:rsid w:val="002E1398"/>
    <w:rsid w:val="002E3ED2"/>
    <w:rsid w:val="002E6010"/>
    <w:rsid w:val="002F091F"/>
    <w:rsid w:val="002F3502"/>
    <w:rsid w:val="002F3B20"/>
    <w:rsid w:val="00300BB3"/>
    <w:rsid w:val="003015C7"/>
    <w:rsid w:val="00302566"/>
    <w:rsid w:val="0030293D"/>
    <w:rsid w:val="00307F4A"/>
    <w:rsid w:val="0031015F"/>
    <w:rsid w:val="00313C3E"/>
    <w:rsid w:val="0031428C"/>
    <w:rsid w:val="00314D22"/>
    <w:rsid w:val="003232EB"/>
    <w:rsid w:val="003238AB"/>
    <w:rsid w:val="00324047"/>
    <w:rsid w:val="00324843"/>
    <w:rsid w:val="00325ECA"/>
    <w:rsid w:val="003270C4"/>
    <w:rsid w:val="00331834"/>
    <w:rsid w:val="00332A81"/>
    <w:rsid w:val="00332F5E"/>
    <w:rsid w:val="00335FD6"/>
    <w:rsid w:val="00337CEC"/>
    <w:rsid w:val="00343858"/>
    <w:rsid w:val="00352C0D"/>
    <w:rsid w:val="00357EBE"/>
    <w:rsid w:val="00360073"/>
    <w:rsid w:val="00362187"/>
    <w:rsid w:val="00364947"/>
    <w:rsid w:val="00365203"/>
    <w:rsid w:val="00372401"/>
    <w:rsid w:val="00372F9E"/>
    <w:rsid w:val="003756E7"/>
    <w:rsid w:val="00376998"/>
    <w:rsid w:val="00377FEB"/>
    <w:rsid w:val="003811C0"/>
    <w:rsid w:val="00382F7E"/>
    <w:rsid w:val="00385A53"/>
    <w:rsid w:val="00386A89"/>
    <w:rsid w:val="00393A6E"/>
    <w:rsid w:val="0039418F"/>
    <w:rsid w:val="003944CA"/>
    <w:rsid w:val="00395F28"/>
    <w:rsid w:val="003A3D01"/>
    <w:rsid w:val="003A5E3C"/>
    <w:rsid w:val="003B08F0"/>
    <w:rsid w:val="003B2F54"/>
    <w:rsid w:val="003B500E"/>
    <w:rsid w:val="003B6879"/>
    <w:rsid w:val="003C1D2F"/>
    <w:rsid w:val="003C5DC8"/>
    <w:rsid w:val="003D09BC"/>
    <w:rsid w:val="003D0C8C"/>
    <w:rsid w:val="003D3E43"/>
    <w:rsid w:val="003D7035"/>
    <w:rsid w:val="003D731A"/>
    <w:rsid w:val="003E051C"/>
    <w:rsid w:val="003E1E9C"/>
    <w:rsid w:val="003E2138"/>
    <w:rsid w:val="003E301F"/>
    <w:rsid w:val="003E436F"/>
    <w:rsid w:val="003F123A"/>
    <w:rsid w:val="003F1F46"/>
    <w:rsid w:val="003F3FB4"/>
    <w:rsid w:val="003F7B63"/>
    <w:rsid w:val="0040072A"/>
    <w:rsid w:val="00404786"/>
    <w:rsid w:val="004052E4"/>
    <w:rsid w:val="00405F3C"/>
    <w:rsid w:val="0041581E"/>
    <w:rsid w:val="00417DAD"/>
    <w:rsid w:val="00427C53"/>
    <w:rsid w:val="00427CDA"/>
    <w:rsid w:val="00431462"/>
    <w:rsid w:val="00431F13"/>
    <w:rsid w:val="00440425"/>
    <w:rsid w:val="004415D5"/>
    <w:rsid w:val="00442387"/>
    <w:rsid w:val="00445ADE"/>
    <w:rsid w:val="004542F6"/>
    <w:rsid w:val="00455BB9"/>
    <w:rsid w:val="0045700E"/>
    <w:rsid w:val="00460658"/>
    <w:rsid w:val="00460D78"/>
    <w:rsid w:val="004624DA"/>
    <w:rsid w:val="00465811"/>
    <w:rsid w:val="00474E3B"/>
    <w:rsid w:val="004761DA"/>
    <w:rsid w:val="00476766"/>
    <w:rsid w:val="00476F52"/>
    <w:rsid w:val="0048527C"/>
    <w:rsid w:val="004867F2"/>
    <w:rsid w:val="00491236"/>
    <w:rsid w:val="00491721"/>
    <w:rsid w:val="00492502"/>
    <w:rsid w:val="00494824"/>
    <w:rsid w:val="00495C20"/>
    <w:rsid w:val="00496A39"/>
    <w:rsid w:val="004A19E2"/>
    <w:rsid w:val="004A5B7C"/>
    <w:rsid w:val="004B15EE"/>
    <w:rsid w:val="004B3C36"/>
    <w:rsid w:val="004C677E"/>
    <w:rsid w:val="004C7E36"/>
    <w:rsid w:val="004D2836"/>
    <w:rsid w:val="004D4CF1"/>
    <w:rsid w:val="004D4E48"/>
    <w:rsid w:val="004D7482"/>
    <w:rsid w:val="004E5DF5"/>
    <w:rsid w:val="004E71C0"/>
    <w:rsid w:val="004F153F"/>
    <w:rsid w:val="004F4308"/>
    <w:rsid w:val="004F680D"/>
    <w:rsid w:val="005048EC"/>
    <w:rsid w:val="0051154E"/>
    <w:rsid w:val="005135DD"/>
    <w:rsid w:val="00516FE0"/>
    <w:rsid w:val="00523CEB"/>
    <w:rsid w:val="00526952"/>
    <w:rsid w:val="00530EE9"/>
    <w:rsid w:val="005320DB"/>
    <w:rsid w:val="0053305F"/>
    <w:rsid w:val="00541094"/>
    <w:rsid w:val="00543B7F"/>
    <w:rsid w:val="00545E84"/>
    <w:rsid w:val="00550A4C"/>
    <w:rsid w:val="00553978"/>
    <w:rsid w:val="0055589A"/>
    <w:rsid w:val="00555C23"/>
    <w:rsid w:val="00562318"/>
    <w:rsid w:val="005632D6"/>
    <w:rsid w:val="005645F7"/>
    <w:rsid w:val="00564B53"/>
    <w:rsid w:val="00567040"/>
    <w:rsid w:val="0056797E"/>
    <w:rsid w:val="005708CC"/>
    <w:rsid w:val="00572287"/>
    <w:rsid w:val="0057438A"/>
    <w:rsid w:val="0057599E"/>
    <w:rsid w:val="0057611D"/>
    <w:rsid w:val="00577520"/>
    <w:rsid w:val="00595E97"/>
    <w:rsid w:val="00596876"/>
    <w:rsid w:val="00597BF2"/>
    <w:rsid w:val="005A041F"/>
    <w:rsid w:val="005A1CCE"/>
    <w:rsid w:val="005A42D0"/>
    <w:rsid w:val="005A44FC"/>
    <w:rsid w:val="005A4E72"/>
    <w:rsid w:val="005A5D25"/>
    <w:rsid w:val="005A77BC"/>
    <w:rsid w:val="005A7E05"/>
    <w:rsid w:val="005B491C"/>
    <w:rsid w:val="005B67F0"/>
    <w:rsid w:val="005C07A4"/>
    <w:rsid w:val="005C0DF3"/>
    <w:rsid w:val="005C0F8C"/>
    <w:rsid w:val="005C2848"/>
    <w:rsid w:val="005C6375"/>
    <w:rsid w:val="005C697B"/>
    <w:rsid w:val="005D1A74"/>
    <w:rsid w:val="005D4702"/>
    <w:rsid w:val="005D4CA7"/>
    <w:rsid w:val="005D76CA"/>
    <w:rsid w:val="005E41C2"/>
    <w:rsid w:val="005E45D1"/>
    <w:rsid w:val="005F16B4"/>
    <w:rsid w:val="005F2050"/>
    <w:rsid w:val="005F30E0"/>
    <w:rsid w:val="005F4E8D"/>
    <w:rsid w:val="00601473"/>
    <w:rsid w:val="006046B2"/>
    <w:rsid w:val="00607346"/>
    <w:rsid w:val="00610CF9"/>
    <w:rsid w:val="006145EB"/>
    <w:rsid w:val="0062024E"/>
    <w:rsid w:val="00621AD9"/>
    <w:rsid w:val="00624B94"/>
    <w:rsid w:val="006271AB"/>
    <w:rsid w:val="006350BD"/>
    <w:rsid w:val="0063529F"/>
    <w:rsid w:val="00637AE0"/>
    <w:rsid w:val="00642C66"/>
    <w:rsid w:val="00645D4C"/>
    <w:rsid w:val="00647E48"/>
    <w:rsid w:val="006503EF"/>
    <w:rsid w:val="00653B58"/>
    <w:rsid w:val="00654297"/>
    <w:rsid w:val="00654F03"/>
    <w:rsid w:val="00656EBE"/>
    <w:rsid w:val="0065787E"/>
    <w:rsid w:val="00660AFF"/>
    <w:rsid w:val="0066487F"/>
    <w:rsid w:val="0066679D"/>
    <w:rsid w:val="006671C9"/>
    <w:rsid w:val="00670A4D"/>
    <w:rsid w:val="00670FF1"/>
    <w:rsid w:val="00680663"/>
    <w:rsid w:val="00682520"/>
    <w:rsid w:val="00683206"/>
    <w:rsid w:val="00686AA6"/>
    <w:rsid w:val="0068792E"/>
    <w:rsid w:val="00694B57"/>
    <w:rsid w:val="00697921"/>
    <w:rsid w:val="006A397F"/>
    <w:rsid w:val="006A3BF9"/>
    <w:rsid w:val="006A628E"/>
    <w:rsid w:val="006A6773"/>
    <w:rsid w:val="006B0925"/>
    <w:rsid w:val="006B3019"/>
    <w:rsid w:val="006B3D94"/>
    <w:rsid w:val="006B5677"/>
    <w:rsid w:val="006B5C5F"/>
    <w:rsid w:val="006B6F31"/>
    <w:rsid w:val="006C744B"/>
    <w:rsid w:val="006D57D8"/>
    <w:rsid w:val="006E5F38"/>
    <w:rsid w:val="006F1347"/>
    <w:rsid w:val="006F1705"/>
    <w:rsid w:val="006F3022"/>
    <w:rsid w:val="006F52AC"/>
    <w:rsid w:val="00700AAA"/>
    <w:rsid w:val="007021E2"/>
    <w:rsid w:val="00702E44"/>
    <w:rsid w:val="00703E19"/>
    <w:rsid w:val="00711F6D"/>
    <w:rsid w:val="0071392A"/>
    <w:rsid w:val="00714516"/>
    <w:rsid w:val="00715890"/>
    <w:rsid w:val="00715D5C"/>
    <w:rsid w:val="00717618"/>
    <w:rsid w:val="007209A1"/>
    <w:rsid w:val="00721162"/>
    <w:rsid w:val="00721CC2"/>
    <w:rsid w:val="00722964"/>
    <w:rsid w:val="00723630"/>
    <w:rsid w:val="00723F01"/>
    <w:rsid w:val="007245DF"/>
    <w:rsid w:val="0073192D"/>
    <w:rsid w:val="00731D17"/>
    <w:rsid w:val="00732393"/>
    <w:rsid w:val="00732CDB"/>
    <w:rsid w:val="00735C7D"/>
    <w:rsid w:val="007440DF"/>
    <w:rsid w:val="0074450F"/>
    <w:rsid w:val="00745C3D"/>
    <w:rsid w:val="00747DDF"/>
    <w:rsid w:val="00750E65"/>
    <w:rsid w:val="007543D6"/>
    <w:rsid w:val="00756E8F"/>
    <w:rsid w:val="0075774E"/>
    <w:rsid w:val="00761C54"/>
    <w:rsid w:val="007625FE"/>
    <w:rsid w:val="0076325F"/>
    <w:rsid w:val="00763A9E"/>
    <w:rsid w:val="0076518A"/>
    <w:rsid w:val="0076540F"/>
    <w:rsid w:val="007723FC"/>
    <w:rsid w:val="007746E2"/>
    <w:rsid w:val="0077695D"/>
    <w:rsid w:val="00781066"/>
    <w:rsid w:val="007833C7"/>
    <w:rsid w:val="007841AD"/>
    <w:rsid w:val="00786ED6"/>
    <w:rsid w:val="00793F8C"/>
    <w:rsid w:val="0079470E"/>
    <w:rsid w:val="007957B6"/>
    <w:rsid w:val="007957EE"/>
    <w:rsid w:val="00796E2E"/>
    <w:rsid w:val="007A149B"/>
    <w:rsid w:val="007A2D7F"/>
    <w:rsid w:val="007A3D03"/>
    <w:rsid w:val="007A3E1D"/>
    <w:rsid w:val="007B3539"/>
    <w:rsid w:val="007B3F1B"/>
    <w:rsid w:val="007B43A5"/>
    <w:rsid w:val="007B5625"/>
    <w:rsid w:val="007C0100"/>
    <w:rsid w:val="007C0EE4"/>
    <w:rsid w:val="007C3AF3"/>
    <w:rsid w:val="007D2866"/>
    <w:rsid w:val="007D2FF3"/>
    <w:rsid w:val="007E1E9C"/>
    <w:rsid w:val="007E2307"/>
    <w:rsid w:val="007E39CC"/>
    <w:rsid w:val="007F23E2"/>
    <w:rsid w:val="007F2795"/>
    <w:rsid w:val="007F2AD2"/>
    <w:rsid w:val="007F7CE4"/>
    <w:rsid w:val="0080107D"/>
    <w:rsid w:val="008012AA"/>
    <w:rsid w:val="00804E08"/>
    <w:rsid w:val="00806038"/>
    <w:rsid w:val="0081305A"/>
    <w:rsid w:val="00815F2D"/>
    <w:rsid w:val="00816B54"/>
    <w:rsid w:val="008171CF"/>
    <w:rsid w:val="00817313"/>
    <w:rsid w:val="008174D1"/>
    <w:rsid w:val="00817BA6"/>
    <w:rsid w:val="00823231"/>
    <w:rsid w:val="008237EF"/>
    <w:rsid w:val="00823AEF"/>
    <w:rsid w:val="00825361"/>
    <w:rsid w:val="008256D2"/>
    <w:rsid w:val="00826D84"/>
    <w:rsid w:val="0083296E"/>
    <w:rsid w:val="008372AF"/>
    <w:rsid w:val="00840CCB"/>
    <w:rsid w:val="00840D04"/>
    <w:rsid w:val="008474B3"/>
    <w:rsid w:val="00851D39"/>
    <w:rsid w:val="008522A9"/>
    <w:rsid w:val="00853E84"/>
    <w:rsid w:val="0085444B"/>
    <w:rsid w:val="008547D5"/>
    <w:rsid w:val="00856FB2"/>
    <w:rsid w:val="00857FD6"/>
    <w:rsid w:val="00860F23"/>
    <w:rsid w:val="00863A17"/>
    <w:rsid w:val="00867523"/>
    <w:rsid w:val="00872EF1"/>
    <w:rsid w:val="00874D72"/>
    <w:rsid w:val="008767BC"/>
    <w:rsid w:val="008865D2"/>
    <w:rsid w:val="008904B8"/>
    <w:rsid w:val="00891F8B"/>
    <w:rsid w:val="00892705"/>
    <w:rsid w:val="008A3AD2"/>
    <w:rsid w:val="008A4B09"/>
    <w:rsid w:val="008A4F32"/>
    <w:rsid w:val="008A6BBF"/>
    <w:rsid w:val="008A7422"/>
    <w:rsid w:val="008B0298"/>
    <w:rsid w:val="008B17C7"/>
    <w:rsid w:val="008B2E08"/>
    <w:rsid w:val="008B7816"/>
    <w:rsid w:val="008C157D"/>
    <w:rsid w:val="008C34F2"/>
    <w:rsid w:val="008C4C08"/>
    <w:rsid w:val="008D0614"/>
    <w:rsid w:val="008D0788"/>
    <w:rsid w:val="008E1069"/>
    <w:rsid w:val="008E582C"/>
    <w:rsid w:val="00902FBD"/>
    <w:rsid w:val="0090418A"/>
    <w:rsid w:val="009044CB"/>
    <w:rsid w:val="00906864"/>
    <w:rsid w:val="00906D64"/>
    <w:rsid w:val="00907A06"/>
    <w:rsid w:val="0091147A"/>
    <w:rsid w:val="0091755A"/>
    <w:rsid w:val="009241BD"/>
    <w:rsid w:val="009271BB"/>
    <w:rsid w:val="00930242"/>
    <w:rsid w:val="0093090F"/>
    <w:rsid w:val="0093092E"/>
    <w:rsid w:val="00931F92"/>
    <w:rsid w:val="009379B9"/>
    <w:rsid w:val="00943A82"/>
    <w:rsid w:val="0094561A"/>
    <w:rsid w:val="00945E19"/>
    <w:rsid w:val="009513D4"/>
    <w:rsid w:val="00963BCE"/>
    <w:rsid w:val="0096751E"/>
    <w:rsid w:val="00972E0C"/>
    <w:rsid w:val="009744EB"/>
    <w:rsid w:val="0097453E"/>
    <w:rsid w:val="00974680"/>
    <w:rsid w:val="00975533"/>
    <w:rsid w:val="009766D1"/>
    <w:rsid w:val="00976EA8"/>
    <w:rsid w:val="00977371"/>
    <w:rsid w:val="00982CFF"/>
    <w:rsid w:val="00984949"/>
    <w:rsid w:val="00990B3E"/>
    <w:rsid w:val="0099115D"/>
    <w:rsid w:val="009916D5"/>
    <w:rsid w:val="00995900"/>
    <w:rsid w:val="00997574"/>
    <w:rsid w:val="009A1C8E"/>
    <w:rsid w:val="009A3AA2"/>
    <w:rsid w:val="009A4F4F"/>
    <w:rsid w:val="009B052B"/>
    <w:rsid w:val="009C3896"/>
    <w:rsid w:val="009C3F8A"/>
    <w:rsid w:val="009C4A44"/>
    <w:rsid w:val="009C600A"/>
    <w:rsid w:val="009C716D"/>
    <w:rsid w:val="009D2297"/>
    <w:rsid w:val="009D2B26"/>
    <w:rsid w:val="009D473A"/>
    <w:rsid w:val="009D6F4B"/>
    <w:rsid w:val="009E02C3"/>
    <w:rsid w:val="009E0AFC"/>
    <w:rsid w:val="009E0D68"/>
    <w:rsid w:val="009E1523"/>
    <w:rsid w:val="009E206D"/>
    <w:rsid w:val="009E24AE"/>
    <w:rsid w:val="009E30F1"/>
    <w:rsid w:val="009E324E"/>
    <w:rsid w:val="009E4A5D"/>
    <w:rsid w:val="009E5E72"/>
    <w:rsid w:val="009E62AF"/>
    <w:rsid w:val="009E6E1D"/>
    <w:rsid w:val="009F03CB"/>
    <w:rsid w:val="009F0698"/>
    <w:rsid w:val="009F2CF2"/>
    <w:rsid w:val="009F4C6F"/>
    <w:rsid w:val="009F5CE5"/>
    <w:rsid w:val="009F69E5"/>
    <w:rsid w:val="009F6F2D"/>
    <w:rsid w:val="009F7A4B"/>
    <w:rsid w:val="00A02DA1"/>
    <w:rsid w:val="00A03033"/>
    <w:rsid w:val="00A054C3"/>
    <w:rsid w:val="00A12048"/>
    <w:rsid w:val="00A13701"/>
    <w:rsid w:val="00A15789"/>
    <w:rsid w:val="00A16BE8"/>
    <w:rsid w:val="00A21CB5"/>
    <w:rsid w:val="00A23DC9"/>
    <w:rsid w:val="00A31AE0"/>
    <w:rsid w:val="00A43157"/>
    <w:rsid w:val="00A44415"/>
    <w:rsid w:val="00A458D3"/>
    <w:rsid w:val="00A4641E"/>
    <w:rsid w:val="00A50217"/>
    <w:rsid w:val="00A521E9"/>
    <w:rsid w:val="00A54384"/>
    <w:rsid w:val="00A571B2"/>
    <w:rsid w:val="00A5720C"/>
    <w:rsid w:val="00A5731E"/>
    <w:rsid w:val="00A60CFF"/>
    <w:rsid w:val="00A63272"/>
    <w:rsid w:val="00A64F64"/>
    <w:rsid w:val="00A6586D"/>
    <w:rsid w:val="00A65D00"/>
    <w:rsid w:val="00A74A5F"/>
    <w:rsid w:val="00A75310"/>
    <w:rsid w:val="00A758E2"/>
    <w:rsid w:val="00A76C61"/>
    <w:rsid w:val="00A7764C"/>
    <w:rsid w:val="00A81B13"/>
    <w:rsid w:val="00A8286A"/>
    <w:rsid w:val="00A90DAA"/>
    <w:rsid w:val="00A913CF"/>
    <w:rsid w:val="00A925F2"/>
    <w:rsid w:val="00A92D41"/>
    <w:rsid w:val="00A937B8"/>
    <w:rsid w:val="00A94927"/>
    <w:rsid w:val="00A94B34"/>
    <w:rsid w:val="00AA284A"/>
    <w:rsid w:val="00AA3A3B"/>
    <w:rsid w:val="00AA4A6E"/>
    <w:rsid w:val="00AA676B"/>
    <w:rsid w:val="00AB0BD6"/>
    <w:rsid w:val="00AB4D3A"/>
    <w:rsid w:val="00AB665D"/>
    <w:rsid w:val="00AC0D70"/>
    <w:rsid w:val="00AC30B8"/>
    <w:rsid w:val="00AC3249"/>
    <w:rsid w:val="00AC3BAD"/>
    <w:rsid w:val="00AC4BB6"/>
    <w:rsid w:val="00AC4F48"/>
    <w:rsid w:val="00AC77F7"/>
    <w:rsid w:val="00AC78EE"/>
    <w:rsid w:val="00AD6E67"/>
    <w:rsid w:val="00AE068D"/>
    <w:rsid w:val="00AE334A"/>
    <w:rsid w:val="00AE4A62"/>
    <w:rsid w:val="00AE4C1F"/>
    <w:rsid w:val="00AF4FE6"/>
    <w:rsid w:val="00AF6FB2"/>
    <w:rsid w:val="00B00382"/>
    <w:rsid w:val="00B01955"/>
    <w:rsid w:val="00B02A7C"/>
    <w:rsid w:val="00B04C63"/>
    <w:rsid w:val="00B1678A"/>
    <w:rsid w:val="00B17B93"/>
    <w:rsid w:val="00B20E1F"/>
    <w:rsid w:val="00B24390"/>
    <w:rsid w:val="00B268D1"/>
    <w:rsid w:val="00B30DA8"/>
    <w:rsid w:val="00B357AC"/>
    <w:rsid w:val="00B37BF8"/>
    <w:rsid w:val="00B37DC1"/>
    <w:rsid w:val="00B403A5"/>
    <w:rsid w:val="00B42282"/>
    <w:rsid w:val="00B459DB"/>
    <w:rsid w:val="00B52354"/>
    <w:rsid w:val="00B533D2"/>
    <w:rsid w:val="00B55BD8"/>
    <w:rsid w:val="00B57B19"/>
    <w:rsid w:val="00B62590"/>
    <w:rsid w:val="00B65977"/>
    <w:rsid w:val="00B66407"/>
    <w:rsid w:val="00B673FB"/>
    <w:rsid w:val="00B708DA"/>
    <w:rsid w:val="00B74727"/>
    <w:rsid w:val="00B80293"/>
    <w:rsid w:val="00B8178B"/>
    <w:rsid w:val="00B82F73"/>
    <w:rsid w:val="00B83700"/>
    <w:rsid w:val="00B83F55"/>
    <w:rsid w:val="00B860C5"/>
    <w:rsid w:val="00B876B5"/>
    <w:rsid w:val="00B90E60"/>
    <w:rsid w:val="00B90F27"/>
    <w:rsid w:val="00B939CA"/>
    <w:rsid w:val="00B93EEE"/>
    <w:rsid w:val="00B94308"/>
    <w:rsid w:val="00B968F0"/>
    <w:rsid w:val="00B97DEF"/>
    <w:rsid w:val="00BA1378"/>
    <w:rsid w:val="00BA3693"/>
    <w:rsid w:val="00BA580D"/>
    <w:rsid w:val="00BA6671"/>
    <w:rsid w:val="00BB097C"/>
    <w:rsid w:val="00BB2800"/>
    <w:rsid w:val="00BB6E27"/>
    <w:rsid w:val="00BC5A90"/>
    <w:rsid w:val="00BC5E57"/>
    <w:rsid w:val="00BD0502"/>
    <w:rsid w:val="00BD45F4"/>
    <w:rsid w:val="00BE1F73"/>
    <w:rsid w:val="00BE64E8"/>
    <w:rsid w:val="00BF02CC"/>
    <w:rsid w:val="00BF2708"/>
    <w:rsid w:val="00BF3E47"/>
    <w:rsid w:val="00BF7149"/>
    <w:rsid w:val="00C03AF8"/>
    <w:rsid w:val="00C06295"/>
    <w:rsid w:val="00C114EA"/>
    <w:rsid w:val="00C153E4"/>
    <w:rsid w:val="00C15AC0"/>
    <w:rsid w:val="00C15C2B"/>
    <w:rsid w:val="00C26C2E"/>
    <w:rsid w:val="00C26D0C"/>
    <w:rsid w:val="00C31B7E"/>
    <w:rsid w:val="00C341CF"/>
    <w:rsid w:val="00C3466F"/>
    <w:rsid w:val="00C35A81"/>
    <w:rsid w:val="00C43994"/>
    <w:rsid w:val="00C4692B"/>
    <w:rsid w:val="00C505A0"/>
    <w:rsid w:val="00C5148E"/>
    <w:rsid w:val="00C52811"/>
    <w:rsid w:val="00C52828"/>
    <w:rsid w:val="00C52C3C"/>
    <w:rsid w:val="00C5355A"/>
    <w:rsid w:val="00C539D8"/>
    <w:rsid w:val="00C56F60"/>
    <w:rsid w:val="00C61E56"/>
    <w:rsid w:val="00C629A1"/>
    <w:rsid w:val="00C6411B"/>
    <w:rsid w:val="00C65CB6"/>
    <w:rsid w:val="00C65CC6"/>
    <w:rsid w:val="00C66097"/>
    <w:rsid w:val="00C67132"/>
    <w:rsid w:val="00C67198"/>
    <w:rsid w:val="00C73F3A"/>
    <w:rsid w:val="00C74887"/>
    <w:rsid w:val="00C766D0"/>
    <w:rsid w:val="00C82267"/>
    <w:rsid w:val="00C840CA"/>
    <w:rsid w:val="00C928EA"/>
    <w:rsid w:val="00C93843"/>
    <w:rsid w:val="00C94F65"/>
    <w:rsid w:val="00CA0358"/>
    <w:rsid w:val="00CA25D7"/>
    <w:rsid w:val="00CA7676"/>
    <w:rsid w:val="00CB0647"/>
    <w:rsid w:val="00CB2655"/>
    <w:rsid w:val="00CB67F4"/>
    <w:rsid w:val="00CB6A80"/>
    <w:rsid w:val="00CB73B4"/>
    <w:rsid w:val="00CB78E8"/>
    <w:rsid w:val="00CB7E88"/>
    <w:rsid w:val="00CC0909"/>
    <w:rsid w:val="00CC0A83"/>
    <w:rsid w:val="00CC1429"/>
    <w:rsid w:val="00CC3324"/>
    <w:rsid w:val="00CC34C5"/>
    <w:rsid w:val="00CC5C99"/>
    <w:rsid w:val="00CC75A0"/>
    <w:rsid w:val="00CC7A97"/>
    <w:rsid w:val="00CD41A9"/>
    <w:rsid w:val="00CD54F7"/>
    <w:rsid w:val="00CE35E7"/>
    <w:rsid w:val="00CE542C"/>
    <w:rsid w:val="00CE68CE"/>
    <w:rsid w:val="00CF1F80"/>
    <w:rsid w:val="00CF4855"/>
    <w:rsid w:val="00D0095B"/>
    <w:rsid w:val="00D01B59"/>
    <w:rsid w:val="00D02F71"/>
    <w:rsid w:val="00D0597C"/>
    <w:rsid w:val="00D13424"/>
    <w:rsid w:val="00D147A4"/>
    <w:rsid w:val="00D15639"/>
    <w:rsid w:val="00D15770"/>
    <w:rsid w:val="00D23E29"/>
    <w:rsid w:val="00D24E19"/>
    <w:rsid w:val="00D2512D"/>
    <w:rsid w:val="00D30418"/>
    <w:rsid w:val="00D31109"/>
    <w:rsid w:val="00D31BED"/>
    <w:rsid w:val="00D33053"/>
    <w:rsid w:val="00D37A58"/>
    <w:rsid w:val="00D37B9E"/>
    <w:rsid w:val="00D40AC8"/>
    <w:rsid w:val="00D4107C"/>
    <w:rsid w:val="00D46304"/>
    <w:rsid w:val="00D466EB"/>
    <w:rsid w:val="00D46F37"/>
    <w:rsid w:val="00D478BF"/>
    <w:rsid w:val="00D51BD2"/>
    <w:rsid w:val="00D5422A"/>
    <w:rsid w:val="00D55CF5"/>
    <w:rsid w:val="00D5747C"/>
    <w:rsid w:val="00D6183E"/>
    <w:rsid w:val="00D63077"/>
    <w:rsid w:val="00D66089"/>
    <w:rsid w:val="00D66735"/>
    <w:rsid w:val="00D67263"/>
    <w:rsid w:val="00D70A94"/>
    <w:rsid w:val="00D71E08"/>
    <w:rsid w:val="00D724A7"/>
    <w:rsid w:val="00D746AA"/>
    <w:rsid w:val="00D81672"/>
    <w:rsid w:val="00D849E0"/>
    <w:rsid w:val="00D861FB"/>
    <w:rsid w:val="00D91A7C"/>
    <w:rsid w:val="00D93647"/>
    <w:rsid w:val="00D93B0D"/>
    <w:rsid w:val="00D93E18"/>
    <w:rsid w:val="00D95240"/>
    <w:rsid w:val="00D97A60"/>
    <w:rsid w:val="00DA458A"/>
    <w:rsid w:val="00DA5ADC"/>
    <w:rsid w:val="00DB1180"/>
    <w:rsid w:val="00DB153B"/>
    <w:rsid w:val="00DB2373"/>
    <w:rsid w:val="00DB2E84"/>
    <w:rsid w:val="00DB40B1"/>
    <w:rsid w:val="00DB437E"/>
    <w:rsid w:val="00DB4775"/>
    <w:rsid w:val="00DB477E"/>
    <w:rsid w:val="00DB67ED"/>
    <w:rsid w:val="00DC04A4"/>
    <w:rsid w:val="00DC25EA"/>
    <w:rsid w:val="00DC4765"/>
    <w:rsid w:val="00DC5CBE"/>
    <w:rsid w:val="00DC7FB3"/>
    <w:rsid w:val="00DD18F1"/>
    <w:rsid w:val="00DD3406"/>
    <w:rsid w:val="00DD595D"/>
    <w:rsid w:val="00DE5251"/>
    <w:rsid w:val="00DE5B29"/>
    <w:rsid w:val="00DF45B9"/>
    <w:rsid w:val="00E0023D"/>
    <w:rsid w:val="00E01071"/>
    <w:rsid w:val="00E01DCE"/>
    <w:rsid w:val="00E05443"/>
    <w:rsid w:val="00E05AFB"/>
    <w:rsid w:val="00E103FD"/>
    <w:rsid w:val="00E10A0E"/>
    <w:rsid w:val="00E11620"/>
    <w:rsid w:val="00E12C8C"/>
    <w:rsid w:val="00E150A0"/>
    <w:rsid w:val="00E176F5"/>
    <w:rsid w:val="00E220C4"/>
    <w:rsid w:val="00E22B52"/>
    <w:rsid w:val="00E24750"/>
    <w:rsid w:val="00E24D4D"/>
    <w:rsid w:val="00E25542"/>
    <w:rsid w:val="00E26D00"/>
    <w:rsid w:val="00E31148"/>
    <w:rsid w:val="00E32789"/>
    <w:rsid w:val="00E35F02"/>
    <w:rsid w:val="00E36073"/>
    <w:rsid w:val="00E36299"/>
    <w:rsid w:val="00E36CF6"/>
    <w:rsid w:val="00E44341"/>
    <w:rsid w:val="00E53413"/>
    <w:rsid w:val="00E5407F"/>
    <w:rsid w:val="00E54A43"/>
    <w:rsid w:val="00E57953"/>
    <w:rsid w:val="00E57C56"/>
    <w:rsid w:val="00E62FD6"/>
    <w:rsid w:val="00E644A4"/>
    <w:rsid w:val="00E64C7C"/>
    <w:rsid w:val="00E65B67"/>
    <w:rsid w:val="00E65FAE"/>
    <w:rsid w:val="00E65FDE"/>
    <w:rsid w:val="00E709C2"/>
    <w:rsid w:val="00E71E67"/>
    <w:rsid w:val="00E724A6"/>
    <w:rsid w:val="00E74664"/>
    <w:rsid w:val="00E748A0"/>
    <w:rsid w:val="00E76009"/>
    <w:rsid w:val="00E76846"/>
    <w:rsid w:val="00E77779"/>
    <w:rsid w:val="00E80DFA"/>
    <w:rsid w:val="00E820E9"/>
    <w:rsid w:val="00E821BC"/>
    <w:rsid w:val="00E8390F"/>
    <w:rsid w:val="00E861B5"/>
    <w:rsid w:val="00E92AC8"/>
    <w:rsid w:val="00E943B5"/>
    <w:rsid w:val="00EA0776"/>
    <w:rsid w:val="00EB1B60"/>
    <w:rsid w:val="00EB1E82"/>
    <w:rsid w:val="00EB3B35"/>
    <w:rsid w:val="00EC05CD"/>
    <w:rsid w:val="00EC074A"/>
    <w:rsid w:val="00EC6C43"/>
    <w:rsid w:val="00EC7034"/>
    <w:rsid w:val="00ED0395"/>
    <w:rsid w:val="00EE0645"/>
    <w:rsid w:val="00EE2480"/>
    <w:rsid w:val="00EE339B"/>
    <w:rsid w:val="00EE6387"/>
    <w:rsid w:val="00EE7A91"/>
    <w:rsid w:val="00EF0533"/>
    <w:rsid w:val="00EF0A5F"/>
    <w:rsid w:val="00EF15A0"/>
    <w:rsid w:val="00EF25BB"/>
    <w:rsid w:val="00EF37FE"/>
    <w:rsid w:val="00EF38D0"/>
    <w:rsid w:val="00EF3AD6"/>
    <w:rsid w:val="00F00CB6"/>
    <w:rsid w:val="00F05DF1"/>
    <w:rsid w:val="00F06BF0"/>
    <w:rsid w:val="00F115AF"/>
    <w:rsid w:val="00F120F8"/>
    <w:rsid w:val="00F21B22"/>
    <w:rsid w:val="00F226F3"/>
    <w:rsid w:val="00F22A6E"/>
    <w:rsid w:val="00F335FD"/>
    <w:rsid w:val="00F340C5"/>
    <w:rsid w:val="00F4237D"/>
    <w:rsid w:val="00F4435B"/>
    <w:rsid w:val="00F4583F"/>
    <w:rsid w:val="00F46929"/>
    <w:rsid w:val="00F471BC"/>
    <w:rsid w:val="00F50599"/>
    <w:rsid w:val="00F50A35"/>
    <w:rsid w:val="00F5173C"/>
    <w:rsid w:val="00F51CA1"/>
    <w:rsid w:val="00F5598A"/>
    <w:rsid w:val="00F6081E"/>
    <w:rsid w:val="00F6183C"/>
    <w:rsid w:val="00F64E19"/>
    <w:rsid w:val="00F65CAE"/>
    <w:rsid w:val="00F65E98"/>
    <w:rsid w:val="00F67469"/>
    <w:rsid w:val="00F71C25"/>
    <w:rsid w:val="00F73FA6"/>
    <w:rsid w:val="00F80F39"/>
    <w:rsid w:val="00F80F54"/>
    <w:rsid w:val="00F84DF8"/>
    <w:rsid w:val="00F84E23"/>
    <w:rsid w:val="00F84FC8"/>
    <w:rsid w:val="00F863CE"/>
    <w:rsid w:val="00F90707"/>
    <w:rsid w:val="00F92F3E"/>
    <w:rsid w:val="00F94586"/>
    <w:rsid w:val="00F94945"/>
    <w:rsid w:val="00F95202"/>
    <w:rsid w:val="00F96B1C"/>
    <w:rsid w:val="00F97C36"/>
    <w:rsid w:val="00FA11E0"/>
    <w:rsid w:val="00FA24B9"/>
    <w:rsid w:val="00FA366A"/>
    <w:rsid w:val="00FA3C4E"/>
    <w:rsid w:val="00FA6C18"/>
    <w:rsid w:val="00FA7297"/>
    <w:rsid w:val="00FB01E1"/>
    <w:rsid w:val="00FB61D2"/>
    <w:rsid w:val="00FC1C6C"/>
    <w:rsid w:val="00FC270B"/>
    <w:rsid w:val="00FC4690"/>
    <w:rsid w:val="00FC5946"/>
    <w:rsid w:val="00FC703F"/>
    <w:rsid w:val="00FC71BF"/>
    <w:rsid w:val="00FD32EC"/>
    <w:rsid w:val="00FD4935"/>
    <w:rsid w:val="00FD5EE2"/>
    <w:rsid w:val="00FE28CB"/>
    <w:rsid w:val="00FE31EE"/>
    <w:rsid w:val="00FE4782"/>
    <w:rsid w:val="00FE4C5F"/>
    <w:rsid w:val="00FE6C9F"/>
    <w:rsid w:val="00FE7889"/>
    <w:rsid w:val="00FF0FB8"/>
    <w:rsid w:val="00FF16B2"/>
    <w:rsid w:val="00FF2011"/>
    <w:rsid w:val="00FF783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A5B39"/>
  <w15:chartTrackingRefBased/>
  <w15:docId w15:val="{6658C4A6-255C-49B9-B0FB-BE63625F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8F0"/>
    <w:pPr>
      <w:spacing w:after="160" w:line="259" w:lineRule="auto"/>
    </w:pPr>
    <w:rPr>
      <w:kern w:val="2"/>
      <w:sz w:val="22"/>
      <w:szCs w:val="22"/>
      <w:lang w:val="en-GB"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553978"/>
    <w:pPr>
      <w:spacing w:after="0"/>
    </w:pPr>
    <w:rPr>
      <w:rFonts w:ascii="Tahoma" w:hAnsi="Tahoma"/>
      <w:b/>
      <w:sz w:val="24"/>
    </w:r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DA458A"/>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702E44"/>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0065">
      <w:bodyDiv w:val="1"/>
      <w:marLeft w:val="0"/>
      <w:marRight w:val="0"/>
      <w:marTop w:val="0"/>
      <w:marBottom w:val="0"/>
      <w:divBdr>
        <w:top w:val="none" w:sz="0" w:space="0" w:color="auto"/>
        <w:left w:val="none" w:sz="0" w:space="0" w:color="auto"/>
        <w:bottom w:val="none" w:sz="0" w:space="0" w:color="auto"/>
        <w:right w:val="none" w:sz="0" w:space="0" w:color="auto"/>
      </w:divBdr>
    </w:div>
    <w:div w:id="59863324">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84514022">
      <w:bodyDiv w:val="1"/>
      <w:marLeft w:val="0"/>
      <w:marRight w:val="0"/>
      <w:marTop w:val="0"/>
      <w:marBottom w:val="0"/>
      <w:divBdr>
        <w:top w:val="none" w:sz="0" w:space="0" w:color="auto"/>
        <w:left w:val="none" w:sz="0" w:space="0" w:color="auto"/>
        <w:bottom w:val="none" w:sz="0" w:space="0" w:color="auto"/>
        <w:right w:val="none" w:sz="0" w:space="0" w:color="auto"/>
      </w:divBdr>
    </w:div>
    <w:div w:id="522287865">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820073837">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943153777">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18241847">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11166646">
      <w:bodyDiv w:val="1"/>
      <w:marLeft w:val="0"/>
      <w:marRight w:val="0"/>
      <w:marTop w:val="0"/>
      <w:marBottom w:val="0"/>
      <w:divBdr>
        <w:top w:val="none" w:sz="0" w:space="0" w:color="auto"/>
        <w:left w:val="none" w:sz="0" w:space="0" w:color="auto"/>
        <w:bottom w:val="none" w:sz="0" w:space="0" w:color="auto"/>
        <w:right w:val="none" w:sz="0" w:space="0" w:color="auto"/>
      </w:divBdr>
    </w:div>
    <w:div w:id="1336153313">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5995346">
      <w:bodyDiv w:val="1"/>
      <w:marLeft w:val="0"/>
      <w:marRight w:val="0"/>
      <w:marTop w:val="0"/>
      <w:marBottom w:val="0"/>
      <w:divBdr>
        <w:top w:val="none" w:sz="0" w:space="0" w:color="auto"/>
        <w:left w:val="none" w:sz="0" w:space="0" w:color="auto"/>
        <w:bottom w:val="none" w:sz="0" w:space="0" w:color="auto"/>
        <w:right w:val="none" w:sz="0" w:space="0" w:color="auto"/>
      </w:divBdr>
      <w:divsChild>
        <w:div w:id="1458766704">
          <w:marLeft w:val="0"/>
          <w:marRight w:val="0"/>
          <w:marTop w:val="0"/>
          <w:marBottom w:val="0"/>
          <w:divBdr>
            <w:top w:val="none" w:sz="0" w:space="0" w:color="auto"/>
            <w:left w:val="none" w:sz="0" w:space="0" w:color="auto"/>
            <w:bottom w:val="none" w:sz="0" w:space="0" w:color="auto"/>
            <w:right w:val="none" w:sz="0" w:space="0" w:color="auto"/>
          </w:divBdr>
        </w:div>
      </w:divsChild>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49283421">
      <w:bodyDiv w:val="1"/>
      <w:marLeft w:val="0"/>
      <w:marRight w:val="0"/>
      <w:marTop w:val="0"/>
      <w:marBottom w:val="0"/>
      <w:divBdr>
        <w:top w:val="none" w:sz="0" w:space="0" w:color="auto"/>
        <w:left w:val="none" w:sz="0" w:space="0" w:color="auto"/>
        <w:bottom w:val="none" w:sz="0" w:space="0" w:color="auto"/>
        <w:right w:val="none" w:sz="0" w:space="0" w:color="auto"/>
      </w:divBdr>
      <w:divsChild>
        <w:div w:id="1238973200">
          <w:marLeft w:val="0"/>
          <w:marRight w:val="0"/>
          <w:marTop w:val="0"/>
          <w:marBottom w:val="0"/>
          <w:divBdr>
            <w:top w:val="none" w:sz="0" w:space="0" w:color="auto"/>
            <w:left w:val="none" w:sz="0" w:space="0" w:color="auto"/>
            <w:bottom w:val="none" w:sz="0" w:space="0" w:color="auto"/>
            <w:right w:val="none" w:sz="0" w:space="0" w:color="auto"/>
          </w:divBdr>
        </w:div>
      </w:divsChild>
    </w:div>
    <w:div w:id="1674335921">
      <w:bodyDiv w:val="1"/>
      <w:marLeft w:val="0"/>
      <w:marRight w:val="0"/>
      <w:marTop w:val="0"/>
      <w:marBottom w:val="0"/>
      <w:divBdr>
        <w:top w:val="none" w:sz="0" w:space="0" w:color="auto"/>
        <w:left w:val="none" w:sz="0" w:space="0" w:color="auto"/>
        <w:bottom w:val="none" w:sz="0" w:space="0" w:color="auto"/>
        <w:right w:val="none" w:sz="0" w:space="0" w:color="auto"/>
      </w:divBdr>
    </w:div>
    <w:div w:id="1684429696">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699888022">
      <w:bodyDiv w:val="1"/>
      <w:marLeft w:val="0"/>
      <w:marRight w:val="0"/>
      <w:marTop w:val="0"/>
      <w:marBottom w:val="0"/>
      <w:divBdr>
        <w:top w:val="none" w:sz="0" w:space="0" w:color="auto"/>
        <w:left w:val="none" w:sz="0" w:space="0" w:color="auto"/>
        <w:bottom w:val="none" w:sz="0" w:space="0" w:color="auto"/>
        <w:right w:val="none" w:sz="0" w:space="0" w:color="auto"/>
      </w:divBdr>
    </w:div>
    <w:div w:id="1745183842">
      <w:bodyDiv w:val="1"/>
      <w:marLeft w:val="0"/>
      <w:marRight w:val="0"/>
      <w:marTop w:val="0"/>
      <w:marBottom w:val="0"/>
      <w:divBdr>
        <w:top w:val="none" w:sz="0" w:space="0" w:color="auto"/>
        <w:left w:val="none" w:sz="0" w:space="0" w:color="auto"/>
        <w:bottom w:val="none" w:sz="0" w:space="0" w:color="auto"/>
        <w:right w:val="none" w:sz="0" w:space="0" w:color="auto"/>
      </w:divBdr>
    </w:div>
    <w:div w:id="1759667846">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77028093">
      <w:bodyDiv w:val="1"/>
      <w:marLeft w:val="0"/>
      <w:marRight w:val="0"/>
      <w:marTop w:val="0"/>
      <w:marBottom w:val="0"/>
      <w:divBdr>
        <w:top w:val="none" w:sz="0" w:space="0" w:color="auto"/>
        <w:left w:val="none" w:sz="0" w:space="0" w:color="auto"/>
        <w:bottom w:val="none" w:sz="0" w:space="0" w:color="auto"/>
        <w:right w:val="none" w:sz="0" w:space="0" w:color="auto"/>
      </w:divBdr>
    </w:div>
    <w:div w:id="2022273016">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0926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conomics\Desktop\Monthly%20Economic%20Bulletin\MEB%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'Global Output'!$A$50</c:f>
              <c:strCache>
                <c:ptCount val="1"/>
                <c:pt idx="0">
                  <c:v>IMF WEO April 2024 Report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'Global Output'!$B$49:$D$49</c:f>
              <c:numCache>
                <c:formatCode>General</c:formatCode>
                <c:ptCount val="3"/>
                <c:pt idx="0">
                  <c:v>2023</c:v>
                </c:pt>
                <c:pt idx="1">
                  <c:v>2024</c:v>
                </c:pt>
                <c:pt idx="2">
                  <c:v>2025</c:v>
                </c:pt>
              </c:numCache>
            </c:numRef>
          </c:cat>
          <c:val>
            <c:numRef>
              <c:f>'Global Output'!$B$50:$D$50</c:f>
              <c:numCache>
                <c:formatCode>General</c:formatCode>
                <c:ptCount val="3"/>
                <c:pt idx="0">
                  <c:v>3.2</c:v>
                </c:pt>
                <c:pt idx="1">
                  <c:v>3.2</c:v>
                </c:pt>
                <c:pt idx="2">
                  <c:v>3.2</c:v>
                </c:pt>
              </c:numCache>
            </c:numRef>
          </c:val>
          <c:extLst>
            <c:ext xmlns:c16="http://schemas.microsoft.com/office/drawing/2014/chart" uri="{C3380CC4-5D6E-409C-BE32-E72D297353CC}">
              <c16:uniqueId val="{00000000-8AD5-40BB-B49A-B73915C88165}"/>
            </c:ext>
          </c:extLst>
        </c:ser>
        <c:dLbls>
          <c:showLegendKey val="0"/>
          <c:showVal val="1"/>
          <c:showCatName val="0"/>
          <c:showSerName val="0"/>
          <c:showPercent val="0"/>
          <c:showBubbleSize val="0"/>
        </c:dLbls>
        <c:gapWidth val="219"/>
        <c:axId val="926855136"/>
        <c:axId val="926843616"/>
      </c:barChart>
      <c:lineChart>
        <c:grouping val="stacked"/>
        <c:varyColors val="0"/>
        <c:ser>
          <c:idx val="1"/>
          <c:order val="1"/>
          <c:tx>
            <c:strRef>
              <c:f>'Global Output'!$A$51</c:f>
              <c:strCache>
                <c:ptCount val="1"/>
                <c:pt idx="0">
                  <c:v>Euromonitor International 2024 Q2 Global Economic Forecasts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solidFill>
                <a:schemeClr val="accent1">
                  <a:lumMod val="60000"/>
                  <a:lumOff val="40000"/>
                </a:schemeClr>
              </a:solidFill>
              <a:ln>
                <a:solidFill>
                  <a:srgbClr val="FFFF00"/>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'Global Output'!$B$49:$D$49</c:f>
              <c:numCache>
                <c:formatCode>General</c:formatCode>
                <c:ptCount val="3"/>
                <c:pt idx="0">
                  <c:v>2023</c:v>
                </c:pt>
                <c:pt idx="1">
                  <c:v>2024</c:v>
                </c:pt>
                <c:pt idx="2">
                  <c:v>2025</c:v>
                </c:pt>
              </c:numCache>
            </c:numRef>
          </c:cat>
          <c:val>
            <c:numRef>
              <c:f>'Global Output'!$B$51:$D$51</c:f>
              <c:numCache>
                <c:formatCode>General</c:formatCode>
                <c:ptCount val="3"/>
                <c:pt idx="0">
                  <c:v>3.1</c:v>
                </c:pt>
                <c:pt idx="1">
                  <c:v>2.9</c:v>
                </c:pt>
                <c:pt idx="2">
                  <c:v>3.1</c:v>
                </c:pt>
              </c:numCache>
            </c:numRef>
          </c:val>
          <c:smooth val="0"/>
          <c:extLst>
            <c:ext xmlns:c16="http://schemas.microsoft.com/office/drawing/2014/chart" uri="{C3380CC4-5D6E-409C-BE32-E72D297353CC}">
              <c16:uniqueId val="{00000001-8AD5-40BB-B49A-B73915C88165}"/>
            </c:ext>
          </c:extLst>
        </c:ser>
        <c:dLbls>
          <c:showLegendKey val="0"/>
          <c:showVal val="1"/>
          <c:showCatName val="0"/>
          <c:showSerName val="0"/>
          <c:showPercent val="0"/>
          <c:showBubbleSize val="0"/>
        </c:dLbls>
        <c:marker val="1"/>
        <c:smooth val="0"/>
        <c:axId val="926855136"/>
        <c:axId val="926843616"/>
      </c:lineChart>
      <c:catAx>
        <c:axId val="92685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843616"/>
        <c:crosses val="autoZero"/>
        <c:auto val="1"/>
        <c:lblAlgn val="ctr"/>
        <c:lblOffset val="100"/>
        <c:noMultiLvlLbl val="0"/>
      </c:catAx>
      <c:valAx>
        <c:axId val="92684361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2685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9265808816653258E-2"/>
          <c:y val="1.8435291742378353E-2"/>
          <c:w val="0.92804704967434626"/>
          <c:h val="0.91331757289204096"/>
        </c:manualLayout>
      </c:layout>
      <c:lineChart>
        <c:grouping val="standard"/>
        <c:varyColors val="0"/>
        <c:ser>
          <c:idx val="0"/>
          <c:order val="0"/>
          <c:tx>
            <c:strRef>
              <c:f>'[MEB Database.xlsx]Zim Inflation'!$B$158</c:f>
              <c:strCache>
                <c:ptCount val="1"/>
                <c:pt idx="0">
                  <c:v>Inflation rate</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dLbl>
              <c:idx val="0"/>
              <c:layout>
                <c:manualLayout>
                  <c:x val="-3.5580046259063212E-2"/>
                  <c:y val="2.88701292146174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C0-4132-9620-4E4ADB07DF79}"/>
                </c:ext>
              </c:extLst>
            </c:dLbl>
            <c:dLbl>
              <c:idx val="2"/>
              <c:layout>
                <c:manualLayout>
                  <c:x val="-6.1312429473631747E-2"/>
                  <c:y val="9.639359983848173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C0-4132-9620-4E4ADB07DF79}"/>
                </c:ext>
              </c:extLst>
            </c:dLbl>
            <c:dLbl>
              <c:idx val="3"/>
              <c:layout>
                <c:manualLayout>
                  <c:x val="-3.2368407927631411E-2"/>
                  <c:y val="4.48957702402584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C0-4132-9620-4E4ADB07DF79}"/>
                </c:ext>
              </c:extLst>
            </c:dLbl>
            <c:dLbl>
              <c:idx val="12"/>
              <c:layout>
                <c:manualLayout>
                  <c:x val="-2.1123777283184167E-2"/>
                  <c:y val="3.52803856248738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C0-4132-9620-4E4ADB07DF79}"/>
                </c:ext>
              </c:extLst>
            </c:dLbl>
            <c:spPr>
              <a:solidFill>
                <a:schemeClr val="bg2"/>
              </a:solidFill>
              <a:ln>
                <a:solidFill>
                  <a:srgbClr val="0070C0"/>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'[MEB Database.xlsx]Zim Inflation'!$A$159:$A$171</c:f>
              <c:numCache>
                <c:formatCode>mmm\-yy</c:formatCode>
                <c:ptCount val="13"/>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pt idx="12">
                  <c:v>45413</c:v>
                </c:pt>
              </c:numCache>
            </c:numRef>
          </c:cat>
          <c:val>
            <c:numRef>
              <c:f>'[MEB Database.xlsx]Zim Inflation'!$B$159:$B$171</c:f>
              <c:numCache>
                <c:formatCode>#,##0.00</c:formatCode>
                <c:ptCount val="13"/>
                <c:pt idx="0">
                  <c:v>2.6441353851653275</c:v>
                </c:pt>
                <c:pt idx="1">
                  <c:v>12.103556447084429</c:v>
                </c:pt>
                <c:pt idx="2">
                  <c:v>1.0262104235433611</c:v>
                </c:pt>
                <c:pt idx="3">
                  <c:v>-1.3412743186660521</c:v>
                </c:pt>
                <c:pt idx="4">
                  <c:v>0.9549029123539583</c:v>
                </c:pt>
                <c:pt idx="5">
                  <c:v>2.4574345383066714</c:v>
                </c:pt>
                <c:pt idx="6">
                  <c:v>4.5416295575921168</c:v>
                </c:pt>
                <c:pt idx="7">
                  <c:v>4.7022767338570759</c:v>
                </c:pt>
                <c:pt idx="8">
                  <c:v>6.5816182040896223</c:v>
                </c:pt>
                <c:pt idx="9">
                  <c:v>5.3893275634551543</c:v>
                </c:pt>
                <c:pt idx="10">
                  <c:v>4.887508641983402</c:v>
                </c:pt>
                <c:pt idx="11">
                  <c:v>2.9389895786218005</c:v>
                </c:pt>
                <c:pt idx="12">
                  <c:v>-0.6</c:v>
                </c:pt>
              </c:numCache>
            </c:numRef>
          </c:val>
          <c:smooth val="0"/>
          <c:extLst>
            <c:ext xmlns:c16="http://schemas.microsoft.com/office/drawing/2014/chart" uri="{C3380CC4-5D6E-409C-BE32-E72D297353CC}">
              <c16:uniqueId val="{00000004-06C0-4132-9620-4E4ADB07DF79}"/>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647894335"/>
        <c:axId val="1647892415"/>
      </c:lineChart>
      <c:dateAx>
        <c:axId val="1647894335"/>
        <c:scaling>
          <c:orientation val="minMax"/>
        </c:scaling>
        <c:delete val="0"/>
        <c:axPos val="b"/>
        <c:numFmt formatCode="mmm\-yy" sourceLinked="1"/>
        <c:majorTickMark val="out"/>
        <c:minorTickMark val="none"/>
        <c:tickLblPos val="low"/>
        <c:spPr>
          <a:noFill/>
          <a:ln w="9525" cap="flat" cmpd="sng" algn="ctr">
            <a:solidFill>
              <a:schemeClr val="dk1">
                <a:lumMod val="15000"/>
                <a:lumOff val="85000"/>
              </a:schemeClr>
            </a:solidFill>
            <a:round/>
          </a:ln>
          <a:effectLst/>
        </c:spPr>
        <c:txPr>
          <a:bodyPr rot="-2760000" spcFirstLastPara="1" vertOverflow="ellipsis" wrap="square" anchor="b" anchorCtr="0"/>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47892415"/>
        <c:crosses val="autoZero"/>
        <c:auto val="1"/>
        <c:lblOffset val="100"/>
        <c:baseTimeUnit val="months"/>
      </c:dateAx>
      <c:valAx>
        <c:axId val="1647892415"/>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47894335"/>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RBZ24</b:Tag>
    <b:SourceType>Report</b:SourceType>
    <b:Guid>{56C5D576-E584-4725-B1A4-0EF7CA3C212F}</b:Guid>
    <b:Title>2024 Monetary Policy Statement</b:Title>
    <b:Year>2024</b:Year>
    <b:Author>
      <b:Author>
        <b:Corporate>RBZ</b:Corporate>
      </b:Author>
    </b:Author>
    <b:Publisher>Reserve Bank of Zimbabwe</b:Publisher>
    <b:RefOrder>1</b:RefOrder>
  </b:Source>
  <b:Source>
    <b:Tag>Tra24</b:Tag>
    <b:SourceType>InternetSite</b:SourceType>
    <b:Guid>{6D4D3E4F-9C2A-49B5-BFC4-7DA73AB04900}</b:Guid>
    <b:Title>Commodities</b:Title>
    <b:Year>2024</b:Year>
    <b:Author>
      <b:Author>
        <b:Corporate>Trading Economics</b:Corporate>
      </b:Author>
    </b:Author>
    <b:InternetSiteTitle>Trading Economics</b:InternetSiteTitle>
    <b:URL>https://tradingeconomics.com/commodities</b:URL>
    <b:RefOrder>2</b:RefOrder>
  </b:Source>
  <b:Source>
    <b:Tag>RBZ</b:Tag>
    <b:SourceType>InternetSite</b:SourceType>
    <b:Guid>{7C25C016-BA53-4898-86D4-B585E2AE7D29}</b:Guid>
    <b:Author>
      <b:Author>
        <b:Corporate>RBZ</b:Corporate>
      </b:Author>
    </b:Author>
    <b:Title>Exchange Rates</b:Title>
    <b:InternetSiteTitle>Reserve Bank of Zimbabwe</b:InternetSiteTitle>
    <b:URL>https://www.rbz.co.zw/index.php/research/markets/exchange-rates</b:URL>
    <b:Year>2024</b:Year>
    <b:RefOrder>3</b:RefOrder>
  </b:Source>
  <b:Source>
    <b:Tag>Zim24</b:Tag>
    <b:SourceType>InternetSite</b:SourceType>
    <b:Guid>{CE472A8A-F34D-4EDE-B79B-D23B38D9A121}</b:Guid>
    <b:Author>
      <b:Author>
        <b:Corporate>ZimStat</b:Corporate>
      </b:Author>
    </b:Author>
    <b:Title>Inflation Rates</b:Title>
    <b:InternetSiteTitle>Zimbabwe National Statistical Agency</b:InternetSiteTitle>
    <b:Year>2024</b:Year>
    <b:URL>https://www.zimstat.co.zw/</b:URL>
    <b:RefOrder>4</b:RefOrder>
  </b:Source>
  <b:Source>
    <b:Tag>MOF23</b:Tag>
    <b:SourceType>Report</b:SourceType>
    <b:Guid>{A775AA6F-D4F1-4026-98F2-D38225DCFAD6}</b:Guid>
    <b:Author>
      <b:Author>
        <b:Corporate>MOFEDIP</b:Corporate>
      </b:Author>
    </b:Author>
    <b:Title>The 2024 National Budget Statement</b:Title>
    <b:Year>2023</b:Year>
    <b:Publisher>Ministry of Finance, Economic Development and Investment Promotion</b:Publisher>
    <b:RefOrder>5</b:RefOrder>
  </b:Source>
  <b:Source>
    <b:Tag>VFE24</b:Tag>
    <b:SourceType>InternetSite</b:SourceType>
    <b:Guid>{0BAA474A-6916-4C93-9455-F8D0F88FC0DF}</b:Guid>
    <b:Title>VFEX Main Dashboard </b:Title>
    <b:Year>2024</b:Year>
    <b:InternetSiteTitle>Victoria Falls Stock Exchange</b:InternetSiteTitle>
    <b:URL>https://www.vfex.exchange/</b:URL>
    <b:Author>
      <b:Author>
        <b:Corporate>VFEX</b:Corporate>
      </b:Author>
    </b:Author>
    <b:RefOrder>6</b:RefOrder>
  </b:Source>
  <b:Source>
    <b:Tag>ZSE24</b:Tag>
    <b:SourceType>InternetSite</b:SourceType>
    <b:Guid>{B3A9916E-FA33-48E7-AA4E-BD6033CC59F2}</b:Guid>
    <b:Title>ZSE Main Dashboard</b:Title>
    <b:Year>2024</b:Year>
    <b:Author>
      <b:Author>
        <b:Corporate>ZSE</b:Corporate>
      </b:Author>
    </b:Author>
    <b:InternetSiteTitle>Zimbabwe Stock Exchange</b:InternetSiteTitle>
    <b:URL>https://www.zse.co.zw/</b:URL>
    <b:RefOrder>7</b:RefOrder>
  </b:Source>
  <b:Source>
    <b:Tag>IMF241</b:Tag>
    <b:SourceType>Report</b:SourceType>
    <b:Guid>{9F0F1363-360A-41C4-B833-3A81055EC6AA}</b:Guid>
    <b:Author>
      <b:Author>
        <b:Corporate>IMF</b:Corporate>
      </b:Author>
    </b:Author>
    <b:Title>World Economic Outlook Update, April 2024</b:Title>
    <b:Year>2024</b:Year>
    <b:Publisher>International Monetary Fund</b:Publisher>
    <b:RefOrder>8</b:RefOrder>
  </b:Source>
  <b:Source>
    <b:Tag>Zim241</b:Tag>
    <b:SourceType>InternetSite</b:SourceType>
    <b:Guid>{CA259492-5A5A-42A7-8B52-14C843491008}</b:Guid>
    <b:Title>Merchandise Trade Statisitics </b:Title>
    <b:Year>2024</b:Year>
    <b:Author>
      <b:Author>
        <b:Corporate>ZimStat</b:Corporate>
      </b:Author>
    </b:Author>
    <b:InternetSiteTitle>Zimbabwe National Statistical Agency</b:InternetSiteTitle>
    <b:URL>https://www.zimstat.co.zw/</b:URL>
    <b:RefOrder>9</b:RefOrder>
  </b:Source>
  <b:Source>
    <b:Tag>Eur24</b:Tag>
    <b:SourceType>InternetSite</b:SourceType>
    <b:Guid>{D0A78C2D-243A-4579-A5A5-4FF040347302}</b:Guid>
    <b:Title>Global Economic Forecasts: Q2 2024</b:Title>
    <b:Year>2024</b:Year>
    <b:Author>
      <b:Author>
        <b:Corporate>Euromonitor International</b:Corporate>
      </b:Author>
    </b:Author>
    <b:InternetSiteTitle>Euromonitor International</b:InternetSiteTitle>
    <b:Month>April</b:Month>
    <b:RefOrder>10</b:RefOrder>
  </b:Source>
</b:Sources>
</file>

<file path=customXml/itemProps1.xml><?xml version="1.0" encoding="utf-8"?>
<ds:datastoreItem xmlns:ds="http://schemas.openxmlformats.org/officeDocument/2006/customXml" ds:itemID="{B86B191A-D79E-4923-94F1-789A3080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14</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18331</CharactersWithSpaces>
  <SharedDoc>false</SharedDoc>
  <HLinks>
    <vt:vector size="174" baseType="variant">
      <vt:variant>
        <vt:i4>1638451</vt:i4>
      </vt:variant>
      <vt:variant>
        <vt:i4>176</vt:i4>
      </vt:variant>
      <vt:variant>
        <vt:i4>0</vt:i4>
      </vt:variant>
      <vt:variant>
        <vt:i4>5</vt:i4>
      </vt:variant>
      <vt:variant>
        <vt:lpwstr/>
      </vt:variant>
      <vt:variant>
        <vt:lpwstr>_Toc166659177</vt:lpwstr>
      </vt:variant>
      <vt:variant>
        <vt:i4>1638451</vt:i4>
      </vt:variant>
      <vt:variant>
        <vt:i4>170</vt:i4>
      </vt:variant>
      <vt:variant>
        <vt:i4>0</vt:i4>
      </vt:variant>
      <vt:variant>
        <vt:i4>5</vt:i4>
      </vt:variant>
      <vt:variant>
        <vt:lpwstr/>
      </vt:variant>
      <vt:variant>
        <vt:lpwstr>_Toc166659176</vt:lpwstr>
      </vt:variant>
      <vt:variant>
        <vt:i4>1638451</vt:i4>
      </vt:variant>
      <vt:variant>
        <vt:i4>164</vt:i4>
      </vt:variant>
      <vt:variant>
        <vt:i4>0</vt:i4>
      </vt:variant>
      <vt:variant>
        <vt:i4>5</vt:i4>
      </vt:variant>
      <vt:variant>
        <vt:lpwstr/>
      </vt:variant>
      <vt:variant>
        <vt:lpwstr>_Toc166659175</vt:lpwstr>
      </vt:variant>
      <vt:variant>
        <vt:i4>1638451</vt:i4>
      </vt:variant>
      <vt:variant>
        <vt:i4>158</vt:i4>
      </vt:variant>
      <vt:variant>
        <vt:i4>0</vt:i4>
      </vt:variant>
      <vt:variant>
        <vt:i4>5</vt:i4>
      </vt:variant>
      <vt:variant>
        <vt:lpwstr/>
      </vt:variant>
      <vt:variant>
        <vt:lpwstr>_Toc166659174</vt:lpwstr>
      </vt:variant>
      <vt:variant>
        <vt:i4>1900594</vt:i4>
      </vt:variant>
      <vt:variant>
        <vt:i4>149</vt:i4>
      </vt:variant>
      <vt:variant>
        <vt:i4>0</vt:i4>
      </vt:variant>
      <vt:variant>
        <vt:i4>5</vt:i4>
      </vt:variant>
      <vt:variant>
        <vt:lpwstr/>
      </vt:variant>
      <vt:variant>
        <vt:lpwstr>_Toc166659033</vt:lpwstr>
      </vt:variant>
      <vt:variant>
        <vt:i4>1900594</vt:i4>
      </vt:variant>
      <vt:variant>
        <vt:i4>143</vt:i4>
      </vt:variant>
      <vt:variant>
        <vt:i4>0</vt:i4>
      </vt:variant>
      <vt:variant>
        <vt:i4>5</vt:i4>
      </vt:variant>
      <vt:variant>
        <vt:lpwstr/>
      </vt:variant>
      <vt:variant>
        <vt:lpwstr>_Toc166659032</vt:lpwstr>
      </vt:variant>
      <vt:variant>
        <vt:i4>1900594</vt:i4>
      </vt:variant>
      <vt:variant>
        <vt:i4>137</vt:i4>
      </vt:variant>
      <vt:variant>
        <vt:i4>0</vt:i4>
      </vt:variant>
      <vt:variant>
        <vt:i4>5</vt:i4>
      </vt:variant>
      <vt:variant>
        <vt:lpwstr/>
      </vt:variant>
      <vt:variant>
        <vt:lpwstr>_Toc166659031</vt:lpwstr>
      </vt:variant>
      <vt:variant>
        <vt:i4>1900594</vt:i4>
      </vt:variant>
      <vt:variant>
        <vt:i4>131</vt:i4>
      </vt:variant>
      <vt:variant>
        <vt:i4>0</vt:i4>
      </vt:variant>
      <vt:variant>
        <vt:i4>5</vt:i4>
      </vt:variant>
      <vt:variant>
        <vt:lpwstr/>
      </vt:variant>
      <vt:variant>
        <vt:lpwstr>_Toc166659030</vt:lpwstr>
      </vt:variant>
      <vt:variant>
        <vt:i4>1835058</vt:i4>
      </vt:variant>
      <vt:variant>
        <vt:i4>125</vt:i4>
      </vt:variant>
      <vt:variant>
        <vt:i4>0</vt:i4>
      </vt:variant>
      <vt:variant>
        <vt:i4>5</vt:i4>
      </vt:variant>
      <vt:variant>
        <vt:lpwstr/>
      </vt:variant>
      <vt:variant>
        <vt:lpwstr>_Toc166659029</vt:lpwstr>
      </vt:variant>
      <vt:variant>
        <vt:i4>1835058</vt:i4>
      </vt:variant>
      <vt:variant>
        <vt:i4>119</vt:i4>
      </vt:variant>
      <vt:variant>
        <vt:i4>0</vt:i4>
      </vt:variant>
      <vt:variant>
        <vt:i4>5</vt:i4>
      </vt:variant>
      <vt:variant>
        <vt:lpwstr/>
      </vt:variant>
      <vt:variant>
        <vt:lpwstr>_Toc166659028</vt:lpwstr>
      </vt:variant>
      <vt:variant>
        <vt:i4>1835058</vt:i4>
      </vt:variant>
      <vt:variant>
        <vt:i4>113</vt:i4>
      </vt:variant>
      <vt:variant>
        <vt:i4>0</vt:i4>
      </vt:variant>
      <vt:variant>
        <vt:i4>5</vt:i4>
      </vt:variant>
      <vt:variant>
        <vt:lpwstr/>
      </vt:variant>
      <vt:variant>
        <vt:lpwstr>_Toc166659027</vt:lpwstr>
      </vt:variant>
      <vt:variant>
        <vt:i4>1441846</vt:i4>
      </vt:variant>
      <vt:variant>
        <vt:i4>104</vt:i4>
      </vt:variant>
      <vt:variant>
        <vt:i4>0</vt:i4>
      </vt:variant>
      <vt:variant>
        <vt:i4>5</vt:i4>
      </vt:variant>
      <vt:variant>
        <vt:lpwstr/>
      </vt:variant>
      <vt:variant>
        <vt:lpwstr>_Toc166608194</vt:lpwstr>
      </vt:variant>
      <vt:variant>
        <vt:i4>1441846</vt:i4>
      </vt:variant>
      <vt:variant>
        <vt:i4>98</vt:i4>
      </vt:variant>
      <vt:variant>
        <vt:i4>0</vt:i4>
      </vt:variant>
      <vt:variant>
        <vt:i4>5</vt:i4>
      </vt:variant>
      <vt:variant>
        <vt:lpwstr/>
      </vt:variant>
      <vt:variant>
        <vt:lpwstr>_Toc166608193</vt:lpwstr>
      </vt:variant>
      <vt:variant>
        <vt:i4>1441846</vt:i4>
      </vt:variant>
      <vt:variant>
        <vt:i4>92</vt:i4>
      </vt:variant>
      <vt:variant>
        <vt:i4>0</vt:i4>
      </vt:variant>
      <vt:variant>
        <vt:i4>5</vt:i4>
      </vt:variant>
      <vt:variant>
        <vt:lpwstr/>
      </vt:variant>
      <vt:variant>
        <vt:lpwstr>_Toc166608192</vt:lpwstr>
      </vt:variant>
      <vt:variant>
        <vt:i4>1441846</vt:i4>
      </vt:variant>
      <vt:variant>
        <vt:i4>86</vt:i4>
      </vt:variant>
      <vt:variant>
        <vt:i4>0</vt:i4>
      </vt:variant>
      <vt:variant>
        <vt:i4>5</vt:i4>
      </vt:variant>
      <vt:variant>
        <vt:lpwstr/>
      </vt:variant>
      <vt:variant>
        <vt:lpwstr>_Toc166608191</vt:lpwstr>
      </vt:variant>
      <vt:variant>
        <vt:i4>1441846</vt:i4>
      </vt:variant>
      <vt:variant>
        <vt:i4>80</vt:i4>
      </vt:variant>
      <vt:variant>
        <vt:i4>0</vt:i4>
      </vt:variant>
      <vt:variant>
        <vt:i4>5</vt:i4>
      </vt:variant>
      <vt:variant>
        <vt:lpwstr/>
      </vt:variant>
      <vt:variant>
        <vt:lpwstr>_Toc166608190</vt:lpwstr>
      </vt:variant>
      <vt:variant>
        <vt:i4>1507382</vt:i4>
      </vt:variant>
      <vt:variant>
        <vt:i4>74</vt:i4>
      </vt:variant>
      <vt:variant>
        <vt:i4>0</vt:i4>
      </vt:variant>
      <vt:variant>
        <vt:i4>5</vt:i4>
      </vt:variant>
      <vt:variant>
        <vt:lpwstr/>
      </vt:variant>
      <vt:variant>
        <vt:lpwstr>_Toc166608189</vt:lpwstr>
      </vt:variant>
      <vt:variant>
        <vt:i4>1507382</vt:i4>
      </vt:variant>
      <vt:variant>
        <vt:i4>68</vt:i4>
      </vt:variant>
      <vt:variant>
        <vt:i4>0</vt:i4>
      </vt:variant>
      <vt:variant>
        <vt:i4>5</vt:i4>
      </vt:variant>
      <vt:variant>
        <vt:lpwstr/>
      </vt:variant>
      <vt:variant>
        <vt:lpwstr>_Toc166608188</vt:lpwstr>
      </vt:variant>
      <vt:variant>
        <vt:i4>1507382</vt:i4>
      </vt:variant>
      <vt:variant>
        <vt:i4>62</vt:i4>
      </vt:variant>
      <vt:variant>
        <vt:i4>0</vt:i4>
      </vt:variant>
      <vt:variant>
        <vt:i4>5</vt:i4>
      </vt:variant>
      <vt:variant>
        <vt:lpwstr/>
      </vt:variant>
      <vt:variant>
        <vt:lpwstr>_Toc166608187</vt:lpwstr>
      </vt:variant>
      <vt:variant>
        <vt:i4>1507382</vt:i4>
      </vt:variant>
      <vt:variant>
        <vt:i4>56</vt:i4>
      </vt:variant>
      <vt:variant>
        <vt:i4>0</vt:i4>
      </vt:variant>
      <vt:variant>
        <vt:i4>5</vt:i4>
      </vt:variant>
      <vt:variant>
        <vt:lpwstr/>
      </vt:variant>
      <vt:variant>
        <vt:lpwstr>_Toc166608186</vt:lpwstr>
      </vt:variant>
      <vt:variant>
        <vt:i4>1507382</vt:i4>
      </vt:variant>
      <vt:variant>
        <vt:i4>50</vt:i4>
      </vt:variant>
      <vt:variant>
        <vt:i4>0</vt:i4>
      </vt:variant>
      <vt:variant>
        <vt:i4>5</vt:i4>
      </vt:variant>
      <vt:variant>
        <vt:lpwstr/>
      </vt:variant>
      <vt:variant>
        <vt:lpwstr>_Toc166608185</vt:lpwstr>
      </vt:variant>
      <vt:variant>
        <vt:i4>1507382</vt:i4>
      </vt:variant>
      <vt:variant>
        <vt:i4>44</vt:i4>
      </vt:variant>
      <vt:variant>
        <vt:i4>0</vt:i4>
      </vt:variant>
      <vt:variant>
        <vt:i4>5</vt:i4>
      </vt:variant>
      <vt:variant>
        <vt:lpwstr/>
      </vt:variant>
      <vt:variant>
        <vt:lpwstr>_Toc166608184</vt:lpwstr>
      </vt:variant>
      <vt:variant>
        <vt:i4>1507382</vt:i4>
      </vt:variant>
      <vt:variant>
        <vt:i4>38</vt:i4>
      </vt:variant>
      <vt:variant>
        <vt:i4>0</vt:i4>
      </vt:variant>
      <vt:variant>
        <vt:i4>5</vt:i4>
      </vt:variant>
      <vt:variant>
        <vt:lpwstr/>
      </vt:variant>
      <vt:variant>
        <vt:lpwstr>_Toc166608183</vt:lpwstr>
      </vt:variant>
      <vt:variant>
        <vt:i4>1507382</vt:i4>
      </vt:variant>
      <vt:variant>
        <vt:i4>32</vt:i4>
      </vt:variant>
      <vt:variant>
        <vt:i4>0</vt:i4>
      </vt:variant>
      <vt:variant>
        <vt:i4>5</vt:i4>
      </vt:variant>
      <vt:variant>
        <vt:lpwstr/>
      </vt:variant>
      <vt:variant>
        <vt:lpwstr>_Toc166608182</vt:lpwstr>
      </vt:variant>
      <vt:variant>
        <vt:i4>1507382</vt:i4>
      </vt:variant>
      <vt:variant>
        <vt:i4>26</vt:i4>
      </vt:variant>
      <vt:variant>
        <vt:i4>0</vt:i4>
      </vt:variant>
      <vt:variant>
        <vt:i4>5</vt:i4>
      </vt:variant>
      <vt:variant>
        <vt:lpwstr/>
      </vt:variant>
      <vt:variant>
        <vt:lpwstr>_Toc166608181</vt:lpwstr>
      </vt:variant>
      <vt:variant>
        <vt:i4>1507382</vt:i4>
      </vt:variant>
      <vt:variant>
        <vt:i4>20</vt:i4>
      </vt:variant>
      <vt:variant>
        <vt:i4>0</vt:i4>
      </vt:variant>
      <vt:variant>
        <vt:i4>5</vt:i4>
      </vt:variant>
      <vt:variant>
        <vt:lpwstr/>
      </vt:variant>
      <vt:variant>
        <vt:lpwstr>_Toc166608180</vt:lpwstr>
      </vt:variant>
      <vt:variant>
        <vt:i4>1572918</vt:i4>
      </vt:variant>
      <vt:variant>
        <vt:i4>14</vt:i4>
      </vt:variant>
      <vt:variant>
        <vt:i4>0</vt:i4>
      </vt:variant>
      <vt:variant>
        <vt:i4>5</vt:i4>
      </vt:variant>
      <vt:variant>
        <vt:lpwstr/>
      </vt:variant>
      <vt:variant>
        <vt:lpwstr>_Toc166608179</vt:lpwstr>
      </vt:variant>
      <vt:variant>
        <vt:i4>1572918</vt:i4>
      </vt:variant>
      <vt:variant>
        <vt:i4>8</vt:i4>
      </vt:variant>
      <vt:variant>
        <vt:i4>0</vt:i4>
      </vt:variant>
      <vt:variant>
        <vt:i4>5</vt:i4>
      </vt:variant>
      <vt:variant>
        <vt:lpwstr/>
      </vt:variant>
      <vt:variant>
        <vt:lpwstr>_Toc166608178</vt:lpwstr>
      </vt:variant>
      <vt:variant>
        <vt:i4>1572918</vt:i4>
      </vt:variant>
      <vt:variant>
        <vt:i4>2</vt:i4>
      </vt:variant>
      <vt:variant>
        <vt:i4>0</vt:i4>
      </vt:variant>
      <vt:variant>
        <vt:i4>5</vt:i4>
      </vt:variant>
      <vt:variant>
        <vt:lpwstr/>
      </vt:variant>
      <vt:variant>
        <vt:lpwstr>_Toc166608177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617</cp:revision>
  <dcterms:created xsi:type="dcterms:W3CDTF">2024-05-15T14:09:00Z</dcterms:created>
  <dcterms:modified xsi:type="dcterms:W3CDTF">2024-06-18T13:50:00Z</dcterms:modified>
</cp:coreProperties>
</file>