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5637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2156EEC"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4D3166" w14:textId="405219EE" w:rsidR="00B357AC" w:rsidRPr="00863A17" w:rsidRDefault="00664692"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4AB23E5F" wp14:editId="2BA3A733">
            <wp:extent cx="3133725" cy="1895475"/>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7B6CCB7A"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17C6F4B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6A6F1D0"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D97908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A906E54"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61E5337A"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0F4BA8B"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7A53D90" w14:textId="366805FC" w:rsidR="00B357AC" w:rsidRPr="007E39CC" w:rsidRDefault="00476214"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NOVEMBER</w:t>
      </w:r>
      <w:r w:rsidR="00B357AC" w:rsidRPr="007E39CC">
        <w:rPr>
          <w:rFonts w:ascii="Tahoma" w:hAnsi="Tahoma" w:cs="Tahoma"/>
          <w:b/>
          <w:sz w:val="32"/>
          <w:szCs w:val="32"/>
          <w:lang w:val="en-US"/>
        </w:rPr>
        <w:t xml:space="preserve"> 202</w:t>
      </w:r>
      <w:r w:rsidR="00DB67ED" w:rsidRPr="007E39CC">
        <w:rPr>
          <w:rFonts w:ascii="Tahoma" w:hAnsi="Tahoma" w:cs="Tahoma"/>
          <w:b/>
          <w:sz w:val="32"/>
          <w:szCs w:val="32"/>
          <w:lang w:val="en-US"/>
        </w:rPr>
        <w:t>4</w:t>
      </w:r>
    </w:p>
    <w:p w14:paraId="593799B3"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4510407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8515C8"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BA14E4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6440115"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09EA6AEF" w14:textId="77777777" w:rsidR="007E39CC" w:rsidRDefault="007E39CC" w:rsidP="007E39CC">
      <w:pPr>
        <w:pStyle w:val="Heading1"/>
        <w:spacing w:before="0" w:after="240"/>
        <w:rPr>
          <w:rFonts w:cs="Tahoma"/>
          <w:bCs/>
          <w:color w:val="000000"/>
          <w:szCs w:val="24"/>
          <w:lang w:val="en-US"/>
        </w:rPr>
      </w:pPr>
      <w:bookmarkStart w:id="0" w:name="_Toc166607888"/>
      <w:bookmarkStart w:id="1" w:name="_Toc184215731"/>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2706B5E9" w14:textId="17706C14" w:rsidR="00F4230A" w:rsidRPr="00F4230A" w:rsidRDefault="00F4230A" w:rsidP="00EA59F9">
      <w:pPr>
        <w:jc w:val="both"/>
        <w:rPr>
          <w:rFonts w:ascii="Tahoma" w:hAnsi="Tahoma" w:cs="Tahoma"/>
          <w:sz w:val="24"/>
          <w:szCs w:val="24"/>
          <w:lang w:val="en-US"/>
        </w:rPr>
      </w:pPr>
      <w:r w:rsidRPr="00F4230A">
        <w:rPr>
          <w:rFonts w:ascii="Tahoma" w:hAnsi="Tahoma" w:cs="Tahoma"/>
          <w:sz w:val="24"/>
          <w:szCs w:val="24"/>
          <w:lang w:val="en-US"/>
        </w:rPr>
        <w:t xml:space="preserve">This bulletin focuses on economic developments for the month ending </w:t>
      </w:r>
      <w:r w:rsidR="00E05A07">
        <w:rPr>
          <w:rFonts w:ascii="Tahoma" w:hAnsi="Tahoma" w:cs="Tahoma"/>
          <w:sz w:val="24"/>
          <w:szCs w:val="24"/>
          <w:lang w:val="en-US"/>
        </w:rPr>
        <w:t>29</w:t>
      </w:r>
      <w:r w:rsidRPr="00F4230A">
        <w:rPr>
          <w:rFonts w:ascii="Tahoma" w:hAnsi="Tahoma" w:cs="Tahoma"/>
          <w:sz w:val="24"/>
          <w:szCs w:val="24"/>
          <w:lang w:val="en-US"/>
        </w:rPr>
        <w:t xml:space="preserve"> </w:t>
      </w:r>
      <w:r w:rsidR="00E05A07">
        <w:rPr>
          <w:rFonts w:ascii="Tahoma" w:hAnsi="Tahoma" w:cs="Tahoma"/>
          <w:sz w:val="24"/>
          <w:szCs w:val="24"/>
          <w:lang w:val="en-US"/>
        </w:rPr>
        <w:t>November</w:t>
      </w:r>
      <w:r w:rsidRPr="00F4230A">
        <w:rPr>
          <w:rFonts w:ascii="Tahoma" w:hAnsi="Tahoma" w:cs="Tahoma"/>
          <w:sz w:val="24"/>
          <w:szCs w:val="24"/>
          <w:lang w:val="en-US"/>
        </w:rPr>
        <w:t xml:space="preserve"> 2024 that </w:t>
      </w:r>
      <w:r w:rsidR="00E05A07" w:rsidRPr="00F4230A">
        <w:rPr>
          <w:rFonts w:ascii="Tahoma" w:hAnsi="Tahoma" w:cs="Tahoma"/>
          <w:sz w:val="24"/>
          <w:szCs w:val="24"/>
          <w:lang w:val="en-US"/>
        </w:rPr>
        <w:t>include</w:t>
      </w:r>
      <w:r w:rsidR="00E05A07">
        <w:rPr>
          <w:rFonts w:ascii="Tahoma" w:hAnsi="Tahoma" w:cs="Tahoma"/>
          <w:sz w:val="24"/>
          <w:szCs w:val="24"/>
          <w:lang w:val="en-US"/>
        </w:rPr>
        <w:t>,</w:t>
      </w:r>
      <w:r w:rsidRPr="00F4230A">
        <w:rPr>
          <w:rFonts w:ascii="Tahoma" w:hAnsi="Tahoma" w:cs="Tahoma"/>
          <w:sz w:val="24"/>
          <w:szCs w:val="24"/>
          <w:lang w:val="en-US"/>
        </w:rPr>
        <w:t xml:space="preserve"> </w:t>
      </w:r>
      <w:r w:rsidR="00E05A07">
        <w:rPr>
          <w:rFonts w:ascii="Tahoma" w:hAnsi="Tahoma" w:cs="Tahoma"/>
          <w:sz w:val="24"/>
          <w:szCs w:val="24"/>
          <w:lang w:val="en-US"/>
        </w:rPr>
        <w:t>w</w:t>
      </w:r>
      <w:r w:rsidRPr="00F4230A">
        <w:rPr>
          <w:rFonts w:ascii="Tahoma" w:hAnsi="Tahoma" w:cs="Tahoma"/>
          <w:sz w:val="24"/>
          <w:szCs w:val="24"/>
          <w:lang w:val="en-US"/>
        </w:rPr>
        <w:t>orld economic developments, international commodity prices, Zimbabwe Gross Domestic Product (GDP) growth updates, merchandise trade developments, exchange rate developments, inflation developments, monetary developments and stock market developments.</w:t>
      </w:r>
    </w:p>
    <w:p w14:paraId="3AB455B5" w14:textId="57F8FE03"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Global economic growth remained resilient in 2024, with a projected expansion of 3.2%, according to the IMF</w:t>
      </w:r>
      <w:r>
        <w:rPr>
          <w:rFonts w:ascii="Tahoma" w:hAnsi="Tahoma" w:cs="Tahoma"/>
          <w:sz w:val="24"/>
          <w:szCs w:val="24"/>
          <w:lang w:val="en-GB"/>
        </w:rPr>
        <w:t xml:space="preserve"> and OECD Economic Outlook 2024</w:t>
      </w:r>
      <w:r w:rsidRPr="00B268CF">
        <w:rPr>
          <w:rFonts w:ascii="Tahoma" w:hAnsi="Tahoma" w:cs="Tahoma"/>
          <w:sz w:val="24"/>
          <w:szCs w:val="24"/>
          <w:lang w:val="en-GB"/>
        </w:rPr>
        <w:t>. Advanced economies, led by the United States, demonstrated solid growth supported by wage-driven private consumption. Emerging markets like China, India, and Indonesia exhibited robust activity, though China's demand remained subdued. In 2025 and 2026, global growth is forecasted to moderate to 3.3%, influenced by tighter monetary policies and declining inflation. Global inflation is set to decelerate further, from 6.7% in 2023 to 5.8% in 2024 and 4.3% in 2025, amid lower commodity prices and restrained demand.</w:t>
      </w:r>
    </w:p>
    <w:p w14:paraId="0D024A60" w14:textId="77777777"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 xml:space="preserve">Commodity prices showed mixed trends in November 2024. Natural gas, nickel, cotton, soybeans, and corn recorded gains, while crude oil, </w:t>
      </w:r>
      <w:proofErr w:type="spellStart"/>
      <w:r w:rsidRPr="00B268CF">
        <w:rPr>
          <w:rFonts w:ascii="Tahoma" w:hAnsi="Tahoma" w:cs="Tahoma"/>
          <w:sz w:val="24"/>
          <w:szCs w:val="24"/>
          <w:lang w:val="en-GB"/>
        </w:rPr>
        <w:t>aluminum</w:t>
      </w:r>
      <w:proofErr w:type="spellEnd"/>
      <w:r w:rsidRPr="00B268CF">
        <w:rPr>
          <w:rFonts w:ascii="Tahoma" w:hAnsi="Tahoma" w:cs="Tahoma"/>
          <w:sz w:val="24"/>
          <w:szCs w:val="24"/>
          <w:lang w:val="en-GB"/>
        </w:rPr>
        <w:t>, copper, gold, and wheat experienced declines. Crude oil prices fell by 0.59% month-on-month (MoM) due to weaker global demand and anticipated supply increases. Zimbabwe could leverage declining oil prices to enhance production capacity.</w:t>
      </w:r>
    </w:p>
    <w:p w14:paraId="19D98162" w14:textId="56A5DF04" w:rsidR="00B268CF" w:rsidRPr="00B268CF" w:rsidRDefault="00B268CF" w:rsidP="00B268CF">
      <w:pPr>
        <w:jc w:val="both"/>
        <w:rPr>
          <w:rFonts w:ascii="Tahoma" w:hAnsi="Tahoma" w:cs="Tahoma"/>
          <w:sz w:val="24"/>
          <w:szCs w:val="24"/>
          <w:lang w:val="en-GB"/>
        </w:rPr>
      </w:pPr>
      <w:r>
        <w:rPr>
          <w:rFonts w:ascii="Tahoma" w:hAnsi="Tahoma" w:cs="Tahoma"/>
          <w:sz w:val="24"/>
          <w:szCs w:val="24"/>
          <w:lang w:val="en-GB"/>
        </w:rPr>
        <w:t>Meanwhile, t</w:t>
      </w:r>
      <w:r w:rsidRPr="00B268CF">
        <w:rPr>
          <w:rFonts w:ascii="Tahoma" w:hAnsi="Tahoma" w:cs="Tahoma"/>
          <w:sz w:val="24"/>
          <w:szCs w:val="24"/>
          <w:lang w:val="en-GB"/>
        </w:rPr>
        <w:t xml:space="preserve">he </w:t>
      </w:r>
      <w:r>
        <w:rPr>
          <w:rFonts w:ascii="Tahoma" w:hAnsi="Tahoma" w:cs="Tahoma"/>
          <w:sz w:val="24"/>
          <w:szCs w:val="24"/>
          <w:lang w:val="en-GB"/>
        </w:rPr>
        <w:t xml:space="preserve">Zimbabwean </w:t>
      </w:r>
      <w:r w:rsidRPr="00B268CF">
        <w:rPr>
          <w:rFonts w:ascii="Tahoma" w:hAnsi="Tahoma" w:cs="Tahoma"/>
          <w:sz w:val="24"/>
          <w:szCs w:val="24"/>
          <w:lang w:val="en-GB"/>
        </w:rPr>
        <w:t>economy is expected to grow by 2% in 2024, with agriculture showing better-than-expected performance despite contraction in mining and manufacturing. Looking ahead, growth is projected to accelerate to 6% in 2025, driven by improved agriculture, increased electricity generation, and stable economic conditions.</w:t>
      </w:r>
    </w:p>
    <w:p w14:paraId="6EBE9C1D" w14:textId="1C3E6E1B"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Zimbabwe’s merchandise trade totalled USD 1.36 billion in September 2024, a 12.3% decline from August, attributed to lower exports and imports. The trade deficit widened to USD 207.6 million. Exports, primarily of gold, PMGs, and ferrochromium, fell by 14.7% MoM. Imports were dominated by diesel and maize, with South Africa and China as key trading partners.</w:t>
      </w:r>
    </w:p>
    <w:p w14:paraId="13DC1E1A" w14:textId="6E410ACA"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The ZWG</w:t>
      </w:r>
      <w:r>
        <w:rPr>
          <w:rFonts w:ascii="Tahoma" w:hAnsi="Tahoma" w:cs="Tahoma"/>
          <w:sz w:val="24"/>
          <w:szCs w:val="24"/>
          <w:lang w:val="en-GB"/>
        </w:rPr>
        <w:t xml:space="preserve"> </w:t>
      </w:r>
      <w:r w:rsidRPr="00B268CF">
        <w:rPr>
          <w:rFonts w:ascii="Tahoma" w:hAnsi="Tahoma" w:cs="Tahoma"/>
          <w:sz w:val="24"/>
          <w:szCs w:val="24"/>
          <w:lang w:val="en-GB"/>
        </w:rPr>
        <w:t>appreciated against regional currencies like the ZAR but depreciated by 2.28% against the USD in November. Parallel market premiums ranged between 38% and 58%, reflecting persistent divergence between official and parallel exchange rates. Fiscal discipline measures, such as Treasury Circular No. 7, were instrumental in stabilizing the official exchange rate.</w:t>
      </w:r>
    </w:p>
    <w:p w14:paraId="62289C42" w14:textId="77777777"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ZWG month-on-month inflation decelerated significantly from 37.2% in October to 11.7% in November, driven by tighter monetary policies. Weighted inflation also dropped from 7.3% to 2.2%, attributed to declining prices for food and energy.</w:t>
      </w:r>
    </w:p>
    <w:p w14:paraId="47795B55" w14:textId="77777777"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 xml:space="preserve">Broad money supply surged by 61.4% to ZWG 75.01 billion in September 2024, primarily due to exchange rate adjustments. Meanwhile, lending rates for both local </w:t>
      </w:r>
      <w:r w:rsidRPr="00B268CF">
        <w:rPr>
          <w:rFonts w:ascii="Tahoma" w:hAnsi="Tahoma" w:cs="Tahoma"/>
          <w:sz w:val="24"/>
          <w:szCs w:val="24"/>
          <w:lang w:val="en-GB"/>
        </w:rPr>
        <w:lastRenderedPageBreak/>
        <w:t>and foreign currencies increased, raising borrowing costs and potentially dampening investment.</w:t>
      </w:r>
    </w:p>
    <w:p w14:paraId="5D6E3BA6" w14:textId="77777777"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The Zimbabwe Stock Exchange (ZSE) was dominated by bearish trends in November, with all share index and market capitalization declining by 8.31% and 8.58%, respectively. The Victoria Falls Stock Exchange (VFEX) also faced headwinds, with market capitalization falling by 0.98%, influenced by subdued investor interest and competition from USD-denominated assets.</w:t>
      </w:r>
    </w:p>
    <w:p w14:paraId="68F33C79" w14:textId="77777777" w:rsidR="00B268CF" w:rsidRPr="00B268CF" w:rsidRDefault="00B268CF" w:rsidP="00B268CF">
      <w:pPr>
        <w:jc w:val="both"/>
        <w:rPr>
          <w:rFonts w:ascii="Tahoma" w:hAnsi="Tahoma" w:cs="Tahoma"/>
          <w:sz w:val="24"/>
          <w:szCs w:val="24"/>
          <w:lang w:val="en-GB"/>
        </w:rPr>
      </w:pPr>
      <w:r w:rsidRPr="00B268CF">
        <w:rPr>
          <w:rFonts w:ascii="Tahoma" w:hAnsi="Tahoma" w:cs="Tahoma"/>
          <w:sz w:val="24"/>
          <w:szCs w:val="24"/>
          <w:lang w:val="en-GB"/>
        </w:rPr>
        <w:t>This analysis underscores the interplay of global trends and domestic policies in shaping Zimbabwe's economic trajectory. Maintaining fiscal and monetary discipline remains key to fostering sustainable growth, stabilizing inflation, and enhancing investor confidence.</w:t>
      </w:r>
    </w:p>
    <w:p w14:paraId="3E73298E" w14:textId="77777777" w:rsidR="00B268CF" w:rsidRPr="00EA59F9" w:rsidRDefault="00B268CF" w:rsidP="00EA59F9">
      <w:pPr>
        <w:jc w:val="both"/>
        <w:rPr>
          <w:rFonts w:ascii="Tahoma" w:hAnsi="Tahoma" w:cs="Tahoma"/>
          <w:sz w:val="24"/>
          <w:szCs w:val="24"/>
        </w:rPr>
      </w:pPr>
    </w:p>
    <w:p w14:paraId="49E504A6" w14:textId="77777777" w:rsidR="001000B2" w:rsidRDefault="001000B2" w:rsidP="00EA59F9">
      <w:pPr>
        <w:jc w:val="both"/>
        <w:rPr>
          <w:rFonts w:ascii="Tahoma" w:hAnsi="Tahoma" w:cs="Tahoma"/>
          <w:sz w:val="24"/>
          <w:szCs w:val="24"/>
        </w:rPr>
      </w:pPr>
    </w:p>
    <w:p w14:paraId="689EEBBA" w14:textId="77777777" w:rsidR="002912BB" w:rsidRDefault="002912BB" w:rsidP="00EA59F9">
      <w:pPr>
        <w:jc w:val="both"/>
        <w:rPr>
          <w:rFonts w:ascii="Tahoma" w:hAnsi="Tahoma" w:cs="Tahoma"/>
          <w:sz w:val="24"/>
          <w:szCs w:val="24"/>
        </w:rPr>
      </w:pPr>
    </w:p>
    <w:p w14:paraId="7DEC4808" w14:textId="77777777" w:rsidR="002912BB" w:rsidRDefault="002912BB" w:rsidP="00EA59F9">
      <w:pPr>
        <w:jc w:val="both"/>
        <w:rPr>
          <w:rFonts w:ascii="Tahoma" w:hAnsi="Tahoma" w:cs="Tahoma"/>
          <w:sz w:val="24"/>
          <w:szCs w:val="24"/>
        </w:rPr>
      </w:pPr>
    </w:p>
    <w:p w14:paraId="27658374" w14:textId="77777777" w:rsidR="002912BB" w:rsidRDefault="002912BB" w:rsidP="00EA59F9">
      <w:pPr>
        <w:jc w:val="both"/>
        <w:rPr>
          <w:rFonts w:ascii="Tahoma" w:hAnsi="Tahoma" w:cs="Tahoma"/>
          <w:sz w:val="24"/>
          <w:szCs w:val="24"/>
        </w:rPr>
      </w:pPr>
    </w:p>
    <w:p w14:paraId="46634E58" w14:textId="77777777" w:rsidR="002912BB" w:rsidRDefault="002912BB" w:rsidP="00EA59F9">
      <w:pPr>
        <w:jc w:val="both"/>
        <w:rPr>
          <w:rFonts w:ascii="Tahoma" w:hAnsi="Tahoma" w:cs="Tahoma"/>
          <w:sz w:val="24"/>
          <w:szCs w:val="24"/>
        </w:rPr>
      </w:pPr>
    </w:p>
    <w:p w14:paraId="275AA547" w14:textId="77777777" w:rsidR="001000B2" w:rsidRDefault="001000B2" w:rsidP="00EA59F9">
      <w:pPr>
        <w:jc w:val="both"/>
        <w:rPr>
          <w:rFonts w:ascii="Tahoma" w:hAnsi="Tahoma" w:cs="Tahoma"/>
          <w:sz w:val="24"/>
          <w:szCs w:val="24"/>
        </w:rPr>
      </w:pPr>
    </w:p>
    <w:p w14:paraId="59526FE3" w14:textId="77777777" w:rsidR="001000B2" w:rsidRDefault="001000B2" w:rsidP="00EA59F9">
      <w:pPr>
        <w:jc w:val="both"/>
        <w:rPr>
          <w:rFonts w:ascii="Tahoma" w:hAnsi="Tahoma" w:cs="Tahoma"/>
          <w:sz w:val="24"/>
          <w:szCs w:val="24"/>
        </w:rPr>
      </w:pPr>
    </w:p>
    <w:p w14:paraId="42CA2073" w14:textId="77777777" w:rsidR="001000B2" w:rsidRDefault="001000B2" w:rsidP="00EA59F9">
      <w:pPr>
        <w:jc w:val="both"/>
        <w:rPr>
          <w:rFonts w:ascii="Tahoma" w:hAnsi="Tahoma" w:cs="Tahoma"/>
          <w:sz w:val="24"/>
          <w:szCs w:val="24"/>
        </w:rPr>
      </w:pPr>
    </w:p>
    <w:p w14:paraId="7854EB1E" w14:textId="77777777" w:rsidR="001000B2" w:rsidRDefault="001000B2" w:rsidP="00EA59F9">
      <w:pPr>
        <w:jc w:val="both"/>
        <w:rPr>
          <w:rFonts w:ascii="Tahoma" w:hAnsi="Tahoma" w:cs="Tahoma"/>
          <w:sz w:val="24"/>
          <w:szCs w:val="24"/>
        </w:rPr>
      </w:pPr>
    </w:p>
    <w:p w14:paraId="080FF89D" w14:textId="77777777" w:rsidR="001000B2" w:rsidRDefault="001000B2" w:rsidP="00EA59F9">
      <w:pPr>
        <w:jc w:val="both"/>
        <w:rPr>
          <w:rFonts w:ascii="Tahoma" w:hAnsi="Tahoma" w:cs="Tahoma"/>
          <w:sz w:val="24"/>
          <w:szCs w:val="24"/>
        </w:rPr>
      </w:pPr>
    </w:p>
    <w:p w14:paraId="7E36C0E1" w14:textId="77777777" w:rsidR="001000B2" w:rsidRDefault="001000B2" w:rsidP="00EA59F9">
      <w:pPr>
        <w:jc w:val="both"/>
        <w:rPr>
          <w:rFonts w:ascii="Tahoma" w:hAnsi="Tahoma" w:cs="Tahoma"/>
          <w:sz w:val="24"/>
          <w:szCs w:val="24"/>
        </w:rPr>
      </w:pPr>
    </w:p>
    <w:p w14:paraId="2F0A6A8F" w14:textId="77777777" w:rsidR="001000B2" w:rsidRDefault="001000B2" w:rsidP="00EA59F9">
      <w:pPr>
        <w:jc w:val="both"/>
        <w:rPr>
          <w:rFonts w:ascii="Tahoma" w:hAnsi="Tahoma" w:cs="Tahoma"/>
          <w:sz w:val="24"/>
          <w:szCs w:val="24"/>
        </w:rPr>
      </w:pPr>
    </w:p>
    <w:p w14:paraId="3F0EA4CB" w14:textId="77777777" w:rsidR="001000B2" w:rsidRDefault="001000B2" w:rsidP="00EA59F9">
      <w:pPr>
        <w:jc w:val="both"/>
        <w:rPr>
          <w:rFonts w:ascii="Tahoma" w:hAnsi="Tahoma" w:cs="Tahoma"/>
          <w:sz w:val="24"/>
          <w:szCs w:val="24"/>
        </w:rPr>
      </w:pPr>
    </w:p>
    <w:p w14:paraId="12AC4CAD" w14:textId="77777777" w:rsidR="001000B2" w:rsidRDefault="001000B2" w:rsidP="00EA59F9">
      <w:pPr>
        <w:jc w:val="both"/>
        <w:rPr>
          <w:rFonts w:ascii="Tahoma" w:hAnsi="Tahoma" w:cs="Tahoma"/>
          <w:sz w:val="24"/>
          <w:szCs w:val="24"/>
        </w:rPr>
      </w:pPr>
    </w:p>
    <w:p w14:paraId="486CC97C" w14:textId="77777777" w:rsidR="001000B2" w:rsidRDefault="001000B2" w:rsidP="00EA59F9">
      <w:pPr>
        <w:jc w:val="both"/>
        <w:rPr>
          <w:rFonts w:ascii="Tahoma" w:hAnsi="Tahoma" w:cs="Tahoma"/>
          <w:sz w:val="24"/>
          <w:szCs w:val="24"/>
        </w:rPr>
      </w:pPr>
    </w:p>
    <w:p w14:paraId="439D2A12" w14:textId="77777777" w:rsidR="001000B2" w:rsidRDefault="001000B2" w:rsidP="00EA59F9">
      <w:pPr>
        <w:jc w:val="both"/>
        <w:rPr>
          <w:rFonts w:ascii="Tahoma" w:hAnsi="Tahoma" w:cs="Tahoma"/>
          <w:sz w:val="24"/>
          <w:szCs w:val="24"/>
        </w:rPr>
      </w:pPr>
    </w:p>
    <w:p w14:paraId="316482C2" w14:textId="77777777" w:rsidR="001000B2" w:rsidRDefault="001000B2" w:rsidP="00EA59F9">
      <w:pPr>
        <w:jc w:val="both"/>
        <w:rPr>
          <w:rFonts w:ascii="Tahoma" w:hAnsi="Tahoma" w:cs="Tahoma"/>
          <w:sz w:val="24"/>
          <w:szCs w:val="24"/>
        </w:rPr>
      </w:pPr>
    </w:p>
    <w:p w14:paraId="2B2BCF84" w14:textId="77777777" w:rsidR="001000B2" w:rsidRDefault="001000B2" w:rsidP="00EA59F9">
      <w:pPr>
        <w:jc w:val="both"/>
        <w:rPr>
          <w:rFonts w:ascii="Tahoma" w:hAnsi="Tahoma" w:cs="Tahoma"/>
          <w:sz w:val="24"/>
          <w:szCs w:val="24"/>
        </w:rPr>
      </w:pPr>
    </w:p>
    <w:p w14:paraId="3911DCB5" w14:textId="77777777" w:rsidR="00EA59F9" w:rsidRDefault="00EA59F9" w:rsidP="00EA59F9">
      <w:pPr>
        <w:rPr>
          <w:rFonts w:ascii="Tahoma" w:hAnsi="Tahoma" w:cs="Tahoma"/>
          <w:sz w:val="24"/>
          <w:szCs w:val="24"/>
        </w:rPr>
      </w:pPr>
    </w:p>
    <w:p w14:paraId="0EE56824" w14:textId="77777777" w:rsidR="001000B2" w:rsidRPr="00EA59F9" w:rsidRDefault="001000B2" w:rsidP="00EA59F9">
      <w:pPr>
        <w:rPr>
          <w:lang w:val="en-US"/>
        </w:rPr>
      </w:pPr>
    </w:p>
    <w:p w14:paraId="4B5AB6B3" w14:textId="7379471A" w:rsidR="00D46F37" w:rsidRPr="00F05BD5" w:rsidRDefault="00D46F37" w:rsidP="00F05BD5">
      <w:pPr>
        <w:spacing w:line="360" w:lineRule="auto"/>
        <w:rPr>
          <w:rFonts w:ascii="Tahoma" w:hAnsi="Tahoma" w:cs="Tahoma"/>
          <w:b/>
          <w:bCs/>
          <w:sz w:val="24"/>
          <w:szCs w:val="24"/>
        </w:rPr>
      </w:pPr>
      <w:r w:rsidRPr="00F05BD5">
        <w:rPr>
          <w:rFonts w:ascii="Tahoma" w:hAnsi="Tahoma" w:cs="Tahoma"/>
          <w:b/>
          <w:bCs/>
          <w:sz w:val="24"/>
          <w:szCs w:val="24"/>
        </w:rPr>
        <w:lastRenderedPageBreak/>
        <w:t>Table of Contents</w:t>
      </w:r>
    </w:p>
    <w:p w14:paraId="05BBC756" w14:textId="5673E07D" w:rsidR="00D32E2B" w:rsidRPr="00D32E2B" w:rsidRDefault="00D46F37">
      <w:pPr>
        <w:pStyle w:val="TOC1"/>
        <w:tabs>
          <w:tab w:val="right" w:leader="dot" w:pos="9016"/>
        </w:tabs>
        <w:rPr>
          <w:rFonts w:ascii="Tahoma" w:eastAsiaTheme="minorEastAsia" w:hAnsi="Tahoma" w:cs="Tahoma"/>
          <w:noProof/>
          <w:sz w:val="24"/>
          <w:szCs w:val="24"/>
          <w:lang w:eastAsia="en-ZW"/>
          <w14:ligatures w14:val="standardContextual"/>
        </w:rPr>
      </w:pPr>
      <w:r w:rsidRPr="00F05BD5">
        <w:rPr>
          <w:rFonts w:ascii="Tahoma" w:hAnsi="Tahoma" w:cs="Tahoma"/>
          <w:sz w:val="24"/>
          <w:szCs w:val="24"/>
        </w:rPr>
        <w:fldChar w:fldCharType="begin"/>
      </w:r>
      <w:r w:rsidRPr="00F05BD5">
        <w:rPr>
          <w:rFonts w:ascii="Tahoma" w:hAnsi="Tahoma" w:cs="Tahoma"/>
          <w:sz w:val="24"/>
          <w:szCs w:val="24"/>
        </w:rPr>
        <w:instrText xml:space="preserve"> TOC \o "1-3" \h \z \u </w:instrText>
      </w:r>
      <w:r w:rsidRPr="00F05BD5">
        <w:rPr>
          <w:rFonts w:ascii="Tahoma" w:hAnsi="Tahoma" w:cs="Tahoma"/>
          <w:sz w:val="24"/>
          <w:szCs w:val="24"/>
        </w:rPr>
        <w:fldChar w:fldCharType="separate"/>
      </w:r>
      <w:hyperlink w:anchor="_Toc184215731" w:history="1">
        <w:r w:rsidR="00D32E2B" w:rsidRPr="00D32E2B">
          <w:rPr>
            <w:rStyle w:val="Hyperlink"/>
            <w:rFonts w:ascii="Tahoma" w:hAnsi="Tahoma" w:cs="Tahoma"/>
            <w:noProof/>
            <w:sz w:val="24"/>
            <w:szCs w:val="24"/>
            <w:lang w:val="en-US"/>
          </w:rPr>
          <w:t>Executive Summary</w:t>
        </w:r>
        <w:r w:rsidR="00D32E2B" w:rsidRPr="00D32E2B">
          <w:rPr>
            <w:rFonts w:ascii="Tahoma" w:hAnsi="Tahoma" w:cs="Tahoma"/>
            <w:noProof/>
            <w:webHidden/>
            <w:sz w:val="24"/>
            <w:szCs w:val="24"/>
          </w:rPr>
          <w:tab/>
        </w:r>
        <w:r w:rsidR="00D32E2B" w:rsidRPr="00D32E2B">
          <w:rPr>
            <w:rFonts w:ascii="Tahoma" w:hAnsi="Tahoma" w:cs="Tahoma"/>
            <w:noProof/>
            <w:webHidden/>
            <w:sz w:val="24"/>
            <w:szCs w:val="24"/>
          </w:rPr>
          <w:fldChar w:fldCharType="begin"/>
        </w:r>
        <w:r w:rsidR="00D32E2B" w:rsidRPr="00D32E2B">
          <w:rPr>
            <w:rFonts w:ascii="Tahoma" w:hAnsi="Tahoma" w:cs="Tahoma"/>
            <w:noProof/>
            <w:webHidden/>
            <w:sz w:val="24"/>
            <w:szCs w:val="24"/>
          </w:rPr>
          <w:instrText xml:space="preserve"> PAGEREF _Toc184215731 \h </w:instrText>
        </w:r>
        <w:r w:rsidR="00D32E2B" w:rsidRPr="00D32E2B">
          <w:rPr>
            <w:rFonts w:ascii="Tahoma" w:hAnsi="Tahoma" w:cs="Tahoma"/>
            <w:noProof/>
            <w:webHidden/>
            <w:sz w:val="24"/>
            <w:szCs w:val="24"/>
          </w:rPr>
        </w:r>
        <w:r w:rsidR="00D32E2B" w:rsidRPr="00D32E2B">
          <w:rPr>
            <w:rFonts w:ascii="Tahoma" w:hAnsi="Tahoma" w:cs="Tahoma"/>
            <w:noProof/>
            <w:webHidden/>
            <w:sz w:val="24"/>
            <w:szCs w:val="24"/>
          </w:rPr>
          <w:fldChar w:fldCharType="separate"/>
        </w:r>
        <w:r w:rsidR="00450A9F">
          <w:rPr>
            <w:rFonts w:ascii="Tahoma" w:hAnsi="Tahoma" w:cs="Tahoma"/>
            <w:noProof/>
            <w:webHidden/>
            <w:sz w:val="24"/>
            <w:szCs w:val="24"/>
          </w:rPr>
          <w:t>i</w:t>
        </w:r>
        <w:r w:rsidR="00D32E2B" w:rsidRPr="00D32E2B">
          <w:rPr>
            <w:rFonts w:ascii="Tahoma" w:hAnsi="Tahoma" w:cs="Tahoma"/>
            <w:noProof/>
            <w:webHidden/>
            <w:sz w:val="24"/>
            <w:szCs w:val="24"/>
          </w:rPr>
          <w:fldChar w:fldCharType="end"/>
        </w:r>
      </w:hyperlink>
    </w:p>
    <w:p w14:paraId="0FDADB6D" w14:textId="20B8AB29"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32" w:history="1">
        <w:r w:rsidRPr="00D32E2B">
          <w:rPr>
            <w:rStyle w:val="Hyperlink"/>
            <w:rFonts w:ascii="Tahoma" w:hAnsi="Tahoma" w:cs="Tahoma"/>
            <w:noProof/>
            <w:sz w:val="24"/>
            <w:szCs w:val="24"/>
            <w:lang w:val="en-US"/>
          </w:rPr>
          <w:t>1.0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World Economic Developments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_Toc184215732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1</w:t>
        </w:r>
        <w:r w:rsidRPr="00D32E2B">
          <w:rPr>
            <w:rFonts w:ascii="Tahoma" w:hAnsi="Tahoma" w:cs="Tahoma"/>
            <w:noProof/>
            <w:webHidden/>
            <w:sz w:val="24"/>
            <w:szCs w:val="24"/>
          </w:rPr>
          <w:fldChar w:fldCharType="end"/>
        </w:r>
      </w:hyperlink>
    </w:p>
    <w:p w14:paraId="5A20AC61" w14:textId="29BA5582" w:rsidR="00D32E2B" w:rsidRPr="00D32E2B" w:rsidRDefault="00D32E2B">
      <w:pPr>
        <w:pStyle w:val="TOC2"/>
        <w:rPr>
          <w:rFonts w:eastAsiaTheme="minorEastAsia"/>
          <w:b w:val="0"/>
          <w:lang w:val="en-ZW" w:eastAsia="en-ZW"/>
          <w14:ligatures w14:val="standardContextual"/>
        </w:rPr>
      </w:pPr>
      <w:hyperlink w:anchor="_Toc184215733" w:history="1">
        <w:r w:rsidRPr="00D32E2B">
          <w:rPr>
            <w:rStyle w:val="Hyperlink"/>
            <w:b w:val="0"/>
          </w:rPr>
          <w:t xml:space="preserve">1.1 </w:t>
        </w:r>
        <w:r w:rsidRPr="00D32E2B">
          <w:rPr>
            <w:rFonts w:eastAsiaTheme="minorEastAsia"/>
            <w:b w:val="0"/>
            <w:lang w:val="en-ZW" w:eastAsia="en-ZW"/>
            <w14:ligatures w14:val="standardContextual"/>
          </w:rPr>
          <w:tab/>
        </w:r>
        <w:r w:rsidRPr="00D32E2B">
          <w:rPr>
            <w:rStyle w:val="Hyperlink"/>
            <w:b w:val="0"/>
          </w:rPr>
          <w:t>World Output</w:t>
        </w:r>
        <w:r w:rsidRPr="00D32E2B">
          <w:rPr>
            <w:b w:val="0"/>
            <w:webHidden/>
          </w:rPr>
          <w:tab/>
        </w:r>
        <w:r w:rsidRPr="00D32E2B">
          <w:rPr>
            <w:b w:val="0"/>
            <w:webHidden/>
          </w:rPr>
          <w:fldChar w:fldCharType="begin"/>
        </w:r>
        <w:r w:rsidRPr="00D32E2B">
          <w:rPr>
            <w:b w:val="0"/>
            <w:webHidden/>
          </w:rPr>
          <w:instrText xml:space="preserve"> PAGEREF _Toc184215733 \h </w:instrText>
        </w:r>
        <w:r w:rsidRPr="00D32E2B">
          <w:rPr>
            <w:b w:val="0"/>
            <w:webHidden/>
          </w:rPr>
        </w:r>
        <w:r w:rsidRPr="00D32E2B">
          <w:rPr>
            <w:b w:val="0"/>
            <w:webHidden/>
          </w:rPr>
          <w:fldChar w:fldCharType="separate"/>
        </w:r>
        <w:r w:rsidR="00450A9F">
          <w:rPr>
            <w:b w:val="0"/>
            <w:webHidden/>
          </w:rPr>
          <w:t>1</w:t>
        </w:r>
        <w:r w:rsidRPr="00D32E2B">
          <w:rPr>
            <w:b w:val="0"/>
            <w:webHidden/>
          </w:rPr>
          <w:fldChar w:fldCharType="end"/>
        </w:r>
      </w:hyperlink>
    </w:p>
    <w:p w14:paraId="3281DF87" w14:textId="0C7737B9" w:rsidR="00D32E2B" w:rsidRPr="00D32E2B" w:rsidRDefault="00D32E2B">
      <w:pPr>
        <w:pStyle w:val="TOC2"/>
        <w:rPr>
          <w:rFonts w:eastAsiaTheme="minorEastAsia"/>
          <w:b w:val="0"/>
          <w:lang w:val="en-ZW" w:eastAsia="en-ZW"/>
          <w14:ligatures w14:val="standardContextual"/>
        </w:rPr>
      </w:pPr>
      <w:hyperlink w:anchor="_Toc184215734" w:history="1">
        <w:r w:rsidRPr="00D32E2B">
          <w:rPr>
            <w:rStyle w:val="Hyperlink"/>
            <w:b w:val="0"/>
          </w:rPr>
          <w:t>1.2</w:t>
        </w:r>
        <w:r w:rsidRPr="00D32E2B">
          <w:rPr>
            <w:rFonts w:eastAsiaTheme="minorEastAsia"/>
            <w:b w:val="0"/>
            <w:lang w:val="en-ZW" w:eastAsia="en-ZW"/>
            <w14:ligatures w14:val="standardContextual"/>
          </w:rPr>
          <w:tab/>
        </w:r>
        <w:r w:rsidRPr="00D32E2B">
          <w:rPr>
            <w:rStyle w:val="Hyperlink"/>
            <w:b w:val="0"/>
          </w:rPr>
          <w:t>Global Inflation Developments</w:t>
        </w:r>
        <w:r w:rsidRPr="00D32E2B">
          <w:rPr>
            <w:b w:val="0"/>
            <w:webHidden/>
          </w:rPr>
          <w:tab/>
        </w:r>
        <w:r w:rsidRPr="00D32E2B">
          <w:rPr>
            <w:b w:val="0"/>
            <w:webHidden/>
          </w:rPr>
          <w:fldChar w:fldCharType="begin"/>
        </w:r>
        <w:r w:rsidRPr="00D32E2B">
          <w:rPr>
            <w:b w:val="0"/>
            <w:webHidden/>
          </w:rPr>
          <w:instrText xml:space="preserve"> PAGEREF _Toc184215734 \h </w:instrText>
        </w:r>
        <w:r w:rsidRPr="00D32E2B">
          <w:rPr>
            <w:b w:val="0"/>
            <w:webHidden/>
          </w:rPr>
        </w:r>
        <w:r w:rsidRPr="00D32E2B">
          <w:rPr>
            <w:b w:val="0"/>
            <w:webHidden/>
          </w:rPr>
          <w:fldChar w:fldCharType="separate"/>
        </w:r>
        <w:r w:rsidR="00450A9F">
          <w:rPr>
            <w:b w:val="0"/>
            <w:webHidden/>
          </w:rPr>
          <w:t>1</w:t>
        </w:r>
        <w:r w:rsidRPr="00D32E2B">
          <w:rPr>
            <w:b w:val="0"/>
            <w:webHidden/>
          </w:rPr>
          <w:fldChar w:fldCharType="end"/>
        </w:r>
      </w:hyperlink>
    </w:p>
    <w:p w14:paraId="3B69132A" w14:textId="3375F05C"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35" w:history="1">
        <w:r w:rsidRPr="00D32E2B">
          <w:rPr>
            <w:rStyle w:val="Hyperlink"/>
            <w:rFonts w:ascii="Tahoma" w:hAnsi="Tahoma" w:cs="Tahoma"/>
            <w:noProof/>
            <w:sz w:val="24"/>
            <w:szCs w:val="24"/>
            <w:lang w:val="en-US"/>
          </w:rPr>
          <w:t>2.0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International Commodity Prices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_Toc184215735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1</w:t>
        </w:r>
        <w:r w:rsidRPr="00D32E2B">
          <w:rPr>
            <w:rFonts w:ascii="Tahoma" w:hAnsi="Tahoma" w:cs="Tahoma"/>
            <w:noProof/>
            <w:webHidden/>
            <w:sz w:val="24"/>
            <w:szCs w:val="24"/>
          </w:rPr>
          <w:fldChar w:fldCharType="end"/>
        </w:r>
      </w:hyperlink>
    </w:p>
    <w:p w14:paraId="4910F2EC" w14:textId="0D15B73B"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36" w:history="1">
        <w:r w:rsidRPr="00D32E2B">
          <w:rPr>
            <w:rStyle w:val="Hyperlink"/>
            <w:rFonts w:ascii="Tahoma" w:hAnsi="Tahoma" w:cs="Tahoma"/>
            <w:noProof/>
            <w:sz w:val="24"/>
            <w:szCs w:val="24"/>
            <w:lang w:val="en-US"/>
          </w:rPr>
          <w:t>3.0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Zimbabwe GDP Growth Update</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_Toc184215736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2</w:t>
        </w:r>
        <w:r w:rsidRPr="00D32E2B">
          <w:rPr>
            <w:rFonts w:ascii="Tahoma" w:hAnsi="Tahoma" w:cs="Tahoma"/>
            <w:noProof/>
            <w:webHidden/>
            <w:sz w:val="24"/>
            <w:szCs w:val="24"/>
          </w:rPr>
          <w:fldChar w:fldCharType="end"/>
        </w:r>
      </w:hyperlink>
    </w:p>
    <w:p w14:paraId="2A441836" w14:textId="2F48D531"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37" w:history="1">
        <w:r w:rsidRPr="00D32E2B">
          <w:rPr>
            <w:rStyle w:val="Hyperlink"/>
            <w:rFonts w:ascii="Tahoma" w:hAnsi="Tahoma" w:cs="Tahoma"/>
            <w:noProof/>
            <w:sz w:val="24"/>
            <w:szCs w:val="24"/>
            <w:lang w:val="en-US"/>
          </w:rPr>
          <w:t>4.0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Merchandise Trade Developments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_Toc184215737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3</w:t>
        </w:r>
        <w:r w:rsidRPr="00D32E2B">
          <w:rPr>
            <w:rFonts w:ascii="Tahoma" w:hAnsi="Tahoma" w:cs="Tahoma"/>
            <w:noProof/>
            <w:webHidden/>
            <w:sz w:val="24"/>
            <w:szCs w:val="24"/>
          </w:rPr>
          <w:fldChar w:fldCharType="end"/>
        </w:r>
      </w:hyperlink>
    </w:p>
    <w:p w14:paraId="1161863E" w14:textId="20871EDA"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38" w:history="1">
        <w:r w:rsidRPr="00D32E2B">
          <w:rPr>
            <w:rStyle w:val="Hyperlink"/>
            <w:rFonts w:ascii="Tahoma" w:hAnsi="Tahoma" w:cs="Tahoma"/>
            <w:noProof/>
            <w:sz w:val="24"/>
            <w:szCs w:val="24"/>
            <w:lang w:val="en-US"/>
          </w:rPr>
          <w:t>5.0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Exchange Rate Developments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_Toc184215738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4</w:t>
        </w:r>
        <w:r w:rsidRPr="00D32E2B">
          <w:rPr>
            <w:rFonts w:ascii="Tahoma" w:hAnsi="Tahoma" w:cs="Tahoma"/>
            <w:noProof/>
            <w:webHidden/>
            <w:sz w:val="24"/>
            <w:szCs w:val="24"/>
          </w:rPr>
          <w:fldChar w:fldCharType="end"/>
        </w:r>
      </w:hyperlink>
    </w:p>
    <w:p w14:paraId="6567BBF5" w14:textId="199F1A72" w:rsidR="00D32E2B" w:rsidRPr="00D32E2B" w:rsidRDefault="00D32E2B">
      <w:pPr>
        <w:pStyle w:val="TOC2"/>
        <w:rPr>
          <w:rFonts w:eastAsiaTheme="minorEastAsia"/>
          <w:b w:val="0"/>
          <w:lang w:val="en-ZW" w:eastAsia="en-ZW"/>
          <w14:ligatures w14:val="standardContextual"/>
        </w:rPr>
      </w:pPr>
      <w:hyperlink w:anchor="_Toc184215739" w:history="1">
        <w:r w:rsidRPr="00D32E2B">
          <w:rPr>
            <w:rStyle w:val="Hyperlink"/>
            <w:b w:val="0"/>
          </w:rPr>
          <w:t>5.1</w:t>
        </w:r>
        <w:r w:rsidRPr="00D32E2B">
          <w:rPr>
            <w:rFonts w:eastAsiaTheme="minorEastAsia"/>
            <w:b w:val="0"/>
            <w:lang w:val="en-ZW" w:eastAsia="en-ZW"/>
            <w14:ligatures w14:val="standardContextual"/>
          </w:rPr>
          <w:tab/>
        </w:r>
        <w:r w:rsidRPr="00D32E2B">
          <w:rPr>
            <w:rStyle w:val="Hyperlink"/>
            <w:b w:val="0"/>
          </w:rPr>
          <w:t>ZWG Exchange Rate Developments</w:t>
        </w:r>
        <w:r w:rsidRPr="00D32E2B">
          <w:rPr>
            <w:b w:val="0"/>
            <w:webHidden/>
          </w:rPr>
          <w:tab/>
        </w:r>
        <w:r w:rsidRPr="00D32E2B">
          <w:rPr>
            <w:b w:val="0"/>
            <w:webHidden/>
          </w:rPr>
          <w:fldChar w:fldCharType="begin"/>
        </w:r>
        <w:r w:rsidRPr="00D32E2B">
          <w:rPr>
            <w:b w:val="0"/>
            <w:webHidden/>
          </w:rPr>
          <w:instrText xml:space="preserve"> PAGEREF _Toc184215739 \h </w:instrText>
        </w:r>
        <w:r w:rsidRPr="00D32E2B">
          <w:rPr>
            <w:b w:val="0"/>
            <w:webHidden/>
          </w:rPr>
        </w:r>
        <w:r w:rsidRPr="00D32E2B">
          <w:rPr>
            <w:b w:val="0"/>
            <w:webHidden/>
          </w:rPr>
          <w:fldChar w:fldCharType="separate"/>
        </w:r>
        <w:r w:rsidR="00450A9F">
          <w:rPr>
            <w:b w:val="0"/>
            <w:webHidden/>
          </w:rPr>
          <w:t>4</w:t>
        </w:r>
        <w:r w:rsidRPr="00D32E2B">
          <w:rPr>
            <w:b w:val="0"/>
            <w:webHidden/>
          </w:rPr>
          <w:fldChar w:fldCharType="end"/>
        </w:r>
      </w:hyperlink>
    </w:p>
    <w:p w14:paraId="57A29220" w14:textId="1DB897BD" w:rsidR="00D32E2B" w:rsidRPr="00D32E2B" w:rsidRDefault="00D32E2B">
      <w:pPr>
        <w:pStyle w:val="TOC2"/>
        <w:rPr>
          <w:rFonts w:eastAsiaTheme="minorEastAsia"/>
          <w:b w:val="0"/>
          <w:lang w:val="en-ZW" w:eastAsia="en-ZW"/>
          <w14:ligatures w14:val="standardContextual"/>
        </w:rPr>
      </w:pPr>
      <w:hyperlink w:anchor="_Toc184215740" w:history="1">
        <w:r w:rsidRPr="00D32E2B">
          <w:rPr>
            <w:rStyle w:val="Hyperlink"/>
            <w:b w:val="0"/>
          </w:rPr>
          <w:t>5.2</w:t>
        </w:r>
        <w:r w:rsidRPr="00D32E2B">
          <w:rPr>
            <w:rFonts w:eastAsiaTheme="minorEastAsia"/>
            <w:b w:val="0"/>
            <w:lang w:val="en-ZW" w:eastAsia="en-ZW"/>
            <w14:ligatures w14:val="standardContextual"/>
          </w:rPr>
          <w:tab/>
        </w:r>
        <w:r w:rsidRPr="00D32E2B">
          <w:rPr>
            <w:rStyle w:val="Hyperlink"/>
            <w:b w:val="0"/>
          </w:rPr>
          <w:t>Parallel Market Developments</w:t>
        </w:r>
        <w:r w:rsidRPr="00D32E2B">
          <w:rPr>
            <w:b w:val="0"/>
            <w:webHidden/>
          </w:rPr>
          <w:tab/>
        </w:r>
        <w:r w:rsidRPr="00D32E2B">
          <w:rPr>
            <w:b w:val="0"/>
            <w:webHidden/>
          </w:rPr>
          <w:fldChar w:fldCharType="begin"/>
        </w:r>
        <w:r w:rsidRPr="00D32E2B">
          <w:rPr>
            <w:b w:val="0"/>
            <w:webHidden/>
          </w:rPr>
          <w:instrText xml:space="preserve"> PAGEREF _Toc184215740 \h </w:instrText>
        </w:r>
        <w:r w:rsidRPr="00D32E2B">
          <w:rPr>
            <w:b w:val="0"/>
            <w:webHidden/>
          </w:rPr>
        </w:r>
        <w:r w:rsidRPr="00D32E2B">
          <w:rPr>
            <w:b w:val="0"/>
            <w:webHidden/>
          </w:rPr>
          <w:fldChar w:fldCharType="separate"/>
        </w:r>
        <w:r w:rsidR="00450A9F">
          <w:rPr>
            <w:b w:val="0"/>
            <w:webHidden/>
          </w:rPr>
          <w:t>4</w:t>
        </w:r>
        <w:r w:rsidRPr="00D32E2B">
          <w:rPr>
            <w:b w:val="0"/>
            <w:webHidden/>
          </w:rPr>
          <w:fldChar w:fldCharType="end"/>
        </w:r>
      </w:hyperlink>
    </w:p>
    <w:p w14:paraId="12CCB397" w14:textId="1627AA30" w:rsidR="00D32E2B" w:rsidRPr="00D32E2B" w:rsidRDefault="00D32E2B">
      <w:pPr>
        <w:pStyle w:val="TOC2"/>
        <w:rPr>
          <w:rFonts w:eastAsiaTheme="minorEastAsia"/>
          <w:b w:val="0"/>
          <w:lang w:val="en-ZW" w:eastAsia="en-ZW"/>
          <w14:ligatures w14:val="standardContextual"/>
        </w:rPr>
      </w:pPr>
      <w:hyperlink w:anchor="_Toc184215741" w:history="1">
        <w:r w:rsidRPr="00D32E2B">
          <w:rPr>
            <w:rStyle w:val="Hyperlink"/>
            <w:b w:val="0"/>
          </w:rPr>
          <w:t>5.3</w:t>
        </w:r>
        <w:r w:rsidRPr="00D32E2B">
          <w:rPr>
            <w:rFonts w:eastAsiaTheme="minorEastAsia"/>
            <w:b w:val="0"/>
            <w:lang w:val="en-ZW" w:eastAsia="en-ZW"/>
            <w14:ligatures w14:val="standardContextual"/>
          </w:rPr>
          <w:tab/>
        </w:r>
        <w:r w:rsidRPr="00D32E2B">
          <w:rPr>
            <w:rStyle w:val="Hyperlink"/>
            <w:b w:val="0"/>
          </w:rPr>
          <w:t>Cross Rate Developments</w:t>
        </w:r>
        <w:r w:rsidRPr="00D32E2B">
          <w:rPr>
            <w:b w:val="0"/>
            <w:webHidden/>
          </w:rPr>
          <w:tab/>
        </w:r>
        <w:r w:rsidRPr="00D32E2B">
          <w:rPr>
            <w:b w:val="0"/>
            <w:webHidden/>
          </w:rPr>
          <w:fldChar w:fldCharType="begin"/>
        </w:r>
        <w:r w:rsidRPr="00D32E2B">
          <w:rPr>
            <w:b w:val="0"/>
            <w:webHidden/>
          </w:rPr>
          <w:instrText xml:space="preserve"> PAGEREF _Toc184215741 \h </w:instrText>
        </w:r>
        <w:r w:rsidRPr="00D32E2B">
          <w:rPr>
            <w:b w:val="0"/>
            <w:webHidden/>
          </w:rPr>
        </w:r>
        <w:r w:rsidRPr="00D32E2B">
          <w:rPr>
            <w:b w:val="0"/>
            <w:webHidden/>
          </w:rPr>
          <w:fldChar w:fldCharType="separate"/>
        </w:r>
        <w:r w:rsidR="00450A9F">
          <w:rPr>
            <w:b w:val="0"/>
            <w:webHidden/>
          </w:rPr>
          <w:t>5</w:t>
        </w:r>
        <w:r w:rsidRPr="00D32E2B">
          <w:rPr>
            <w:b w:val="0"/>
            <w:webHidden/>
          </w:rPr>
          <w:fldChar w:fldCharType="end"/>
        </w:r>
      </w:hyperlink>
    </w:p>
    <w:p w14:paraId="521252CA" w14:textId="0BF1A9B2"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42" w:history="1">
        <w:r w:rsidRPr="00D32E2B">
          <w:rPr>
            <w:rStyle w:val="Hyperlink"/>
            <w:rFonts w:ascii="Tahoma" w:hAnsi="Tahoma" w:cs="Tahoma"/>
            <w:noProof/>
            <w:sz w:val="24"/>
            <w:szCs w:val="24"/>
            <w:lang w:val="en-US"/>
          </w:rPr>
          <w:t>6.0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Inflation Developments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_Toc184215742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6</w:t>
        </w:r>
        <w:r w:rsidRPr="00D32E2B">
          <w:rPr>
            <w:rFonts w:ascii="Tahoma" w:hAnsi="Tahoma" w:cs="Tahoma"/>
            <w:noProof/>
            <w:webHidden/>
            <w:sz w:val="24"/>
            <w:szCs w:val="24"/>
          </w:rPr>
          <w:fldChar w:fldCharType="end"/>
        </w:r>
      </w:hyperlink>
    </w:p>
    <w:p w14:paraId="23FEEC4C" w14:textId="0868DB5F"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43" w:history="1">
        <w:r w:rsidRPr="00D32E2B">
          <w:rPr>
            <w:rStyle w:val="Hyperlink"/>
            <w:rFonts w:ascii="Tahoma" w:hAnsi="Tahoma" w:cs="Tahoma"/>
            <w:noProof/>
            <w:sz w:val="24"/>
            <w:szCs w:val="24"/>
            <w:lang w:val="en-US"/>
          </w:rPr>
          <w:t>7.0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Monetary Developments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_Toc184215743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7</w:t>
        </w:r>
        <w:r w:rsidRPr="00D32E2B">
          <w:rPr>
            <w:rFonts w:ascii="Tahoma" w:hAnsi="Tahoma" w:cs="Tahoma"/>
            <w:noProof/>
            <w:webHidden/>
            <w:sz w:val="24"/>
            <w:szCs w:val="24"/>
          </w:rPr>
          <w:fldChar w:fldCharType="end"/>
        </w:r>
      </w:hyperlink>
    </w:p>
    <w:p w14:paraId="05BBDC15" w14:textId="5D695C20" w:rsidR="00D32E2B" w:rsidRPr="00D32E2B" w:rsidRDefault="00D32E2B">
      <w:pPr>
        <w:pStyle w:val="TOC2"/>
        <w:rPr>
          <w:rFonts w:eastAsiaTheme="minorEastAsia"/>
          <w:b w:val="0"/>
          <w:lang w:val="en-ZW" w:eastAsia="en-ZW"/>
          <w14:ligatures w14:val="standardContextual"/>
        </w:rPr>
      </w:pPr>
      <w:hyperlink w:anchor="_Toc184215744" w:history="1">
        <w:r w:rsidRPr="00D32E2B">
          <w:rPr>
            <w:rStyle w:val="Hyperlink"/>
            <w:b w:val="0"/>
          </w:rPr>
          <w:t>7.1</w:t>
        </w:r>
        <w:r w:rsidRPr="00D32E2B">
          <w:rPr>
            <w:rFonts w:eastAsiaTheme="minorEastAsia"/>
            <w:b w:val="0"/>
            <w:lang w:val="en-ZW" w:eastAsia="en-ZW"/>
            <w14:ligatures w14:val="standardContextual"/>
          </w:rPr>
          <w:tab/>
        </w:r>
        <w:r w:rsidRPr="00D32E2B">
          <w:rPr>
            <w:rStyle w:val="Hyperlink"/>
            <w:b w:val="0"/>
          </w:rPr>
          <w:t>Money Supply</w:t>
        </w:r>
        <w:r w:rsidRPr="00D32E2B">
          <w:rPr>
            <w:b w:val="0"/>
            <w:webHidden/>
          </w:rPr>
          <w:tab/>
        </w:r>
        <w:r w:rsidRPr="00D32E2B">
          <w:rPr>
            <w:b w:val="0"/>
            <w:webHidden/>
          </w:rPr>
          <w:fldChar w:fldCharType="begin"/>
        </w:r>
        <w:r w:rsidRPr="00D32E2B">
          <w:rPr>
            <w:b w:val="0"/>
            <w:webHidden/>
          </w:rPr>
          <w:instrText xml:space="preserve"> PAGEREF _Toc184215744 \h </w:instrText>
        </w:r>
        <w:r w:rsidRPr="00D32E2B">
          <w:rPr>
            <w:b w:val="0"/>
            <w:webHidden/>
          </w:rPr>
        </w:r>
        <w:r w:rsidRPr="00D32E2B">
          <w:rPr>
            <w:b w:val="0"/>
            <w:webHidden/>
          </w:rPr>
          <w:fldChar w:fldCharType="separate"/>
        </w:r>
        <w:r w:rsidR="00450A9F">
          <w:rPr>
            <w:b w:val="0"/>
            <w:webHidden/>
          </w:rPr>
          <w:t>7</w:t>
        </w:r>
        <w:r w:rsidRPr="00D32E2B">
          <w:rPr>
            <w:b w:val="0"/>
            <w:webHidden/>
          </w:rPr>
          <w:fldChar w:fldCharType="end"/>
        </w:r>
      </w:hyperlink>
    </w:p>
    <w:p w14:paraId="12F6B526" w14:textId="74D53D35" w:rsidR="00D32E2B" w:rsidRPr="00D32E2B" w:rsidRDefault="00D32E2B">
      <w:pPr>
        <w:pStyle w:val="TOC2"/>
        <w:rPr>
          <w:rFonts w:eastAsiaTheme="minorEastAsia"/>
          <w:b w:val="0"/>
          <w:lang w:val="en-ZW" w:eastAsia="en-ZW"/>
          <w14:ligatures w14:val="standardContextual"/>
        </w:rPr>
      </w:pPr>
      <w:hyperlink w:anchor="_Toc184215745" w:history="1">
        <w:r w:rsidRPr="00D32E2B">
          <w:rPr>
            <w:rStyle w:val="Hyperlink"/>
            <w:b w:val="0"/>
          </w:rPr>
          <w:t>7.2</w:t>
        </w:r>
        <w:r w:rsidRPr="00D32E2B">
          <w:rPr>
            <w:rFonts w:eastAsiaTheme="minorEastAsia"/>
            <w:b w:val="0"/>
            <w:lang w:val="en-ZW" w:eastAsia="en-ZW"/>
            <w14:ligatures w14:val="standardContextual"/>
          </w:rPr>
          <w:tab/>
        </w:r>
        <w:r w:rsidRPr="00D32E2B">
          <w:rPr>
            <w:rStyle w:val="Hyperlink"/>
            <w:b w:val="0"/>
          </w:rPr>
          <w:t>Interest Rates</w:t>
        </w:r>
        <w:r w:rsidRPr="00D32E2B">
          <w:rPr>
            <w:b w:val="0"/>
            <w:webHidden/>
          </w:rPr>
          <w:tab/>
        </w:r>
        <w:r w:rsidRPr="00D32E2B">
          <w:rPr>
            <w:b w:val="0"/>
            <w:webHidden/>
          </w:rPr>
          <w:fldChar w:fldCharType="begin"/>
        </w:r>
        <w:r w:rsidRPr="00D32E2B">
          <w:rPr>
            <w:b w:val="0"/>
            <w:webHidden/>
          </w:rPr>
          <w:instrText xml:space="preserve"> PAGEREF _Toc184215745 \h </w:instrText>
        </w:r>
        <w:r w:rsidRPr="00D32E2B">
          <w:rPr>
            <w:b w:val="0"/>
            <w:webHidden/>
          </w:rPr>
        </w:r>
        <w:r w:rsidRPr="00D32E2B">
          <w:rPr>
            <w:b w:val="0"/>
            <w:webHidden/>
          </w:rPr>
          <w:fldChar w:fldCharType="separate"/>
        </w:r>
        <w:r w:rsidR="00450A9F">
          <w:rPr>
            <w:b w:val="0"/>
            <w:webHidden/>
          </w:rPr>
          <w:t>8</w:t>
        </w:r>
        <w:r w:rsidRPr="00D32E2B">
          <w:rPr>
            <w:b w:val="0"/>
            <w:webHidden/>
          </w:rPr>
          <w:fldChar w:fldCharType="end"/>
        </w:r>
      </w:hyperlink>
    </w:p>
    <w:p w14:paraId="1D902A07" w14:textId="4DA1F118"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46" w:history="1">
        <w:r w:rsidRPr="00D32E2B">
          <w:rPr>
            <w:rStyle w:val="Hyperlink"/>
            <w:rFonts w:ascii="Tahoma" w:hAnsi="Tahoma" w:cs="Tahoma"/>
            <w:noProof/>
            <w:sz w:val="24"/>
            <w:szCs w:val="24"/>
            <w:lang w:val="en-US"/>
          </w:rPr>
          <w:t>8.0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Stock Market Developments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_Toc184215746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9</w:t>
        </w:r>
        <w:r w:rsidRPr="00D32E2B">
          <w:rPr>
            <w:rFonts w:ascii="Tahoma" w:hAnsi="Tahoma" w:cs="Tahoma"/>
            <w:noProof/>
            <w:webHidden/>
            <w:sz w:val="24"/>
            <w:szCs w:val="24"/>
          </w:rPr>
          <w:fldChar w:fldCharType="end"/>
        </w:r>
      </w:hyperlink>
    </w:p>
    <w:p w14:paraId="3EA9235D" w14:textId="58AB11D7" w:rsidR="00D32E2B" w:rsidRPr="00D32E2B" w:rsidRDefault="00D32E2B">
      <w:pPr>
        <w:pStyle w:val="TOC2"/>
        <w:rPr>
          <w:rFonts w:eastAsiaTheme="minorEastAsia"/>
          <w:b w:val="0"/>
          <w:lang w:val="en-ZW" w:eastAsia="en-ZW"/>
          <w14:ligatures w14:val="standardContextual"/>
        </w:rPr>
      </w:pPr>
      <w:hyperlink w:anchor="_Toc184215747" w:history="1">
        <w:r w:rsidRPr="00D32E2B">
          <w:rPr>
            <w:rStyle w:val="Hyperlink"/>
            <w:b w:val="0"/>
          </w:rPr>
          <w:t>8.1</w:t>
        </w:r>
        <w:r w:rsidRPr="00D32E2B">
          <w:rPr>
            <w:rFonts w:eastAsiaTheme="minorEastAsia"/>
            <w:b w:val="0"/>
            <w:lang w:val="en-ZW" w:eastAsia="en-ZW"/>
            <w14:ligatures w14:val="standardContextual"/>
          </w:rPr>
          <w:tab/>
        </w:r>
        <w:r w:rsidRPr="00D32E2B">
          <w:rPr>
            <w:rStyle w:val="Hyperlink"/>
            <w:b w:val="0"/>
          </w:rPr>
          <w:t>Zimbabwe Stock Exchange (ZSE)</w:t>
        </w:r>
        <w:r w:rsidRPr="00D32E2B">
          <w:rPr>
            <w:b w:val="0"/>
            <w:webHidden/>
          </w:rPr>
          <w:tab/>
        </w:r>
        <w:r w:rsidRPr="00D32E2B">
          <w:rPr>
            <w:b w:val="0"/>
            <w:webHidden/>
          </w:rPr>
          <w:fldChar w:fldCharType="begin"/>
        </w:r>
        <w:r w:rsidRPr="00D32E2B">
          <w:rPr>
            <w:b w:val="0"/>
            <w:webHidden/>
          </w:rPr>
          <w:instrText xml:space="preserve"> PAGEREF _Toc184215747 \h </w:instrText>
        </w:r>
        <w:r w:rsidRPr="00D32E2B">
          <w:rPr>
            <w:b w:val="0"/>
            <w:webHidden/>
          </w:rPr>
        </w:r>
        <w:r w:rsidRPr="00D32E2B">
          <w:rPr>
            <w:b w:val="0"/>
            <w:webHidden/>
          </w:rPr>
          <w:fldChar w:fldCharType="separate"/>
        </w:r>
        <w:r w:rsidR="00450A9F">
          <w:rPr>
            <w:b w:val="0"/>
            <w:webHidden/>
          </w:rPr>
          <w:t>9</w:t>
        </w:r>
        <w:r w:rsidRPr="00D32E2B">
          <w:rPr>
            <w:b w:val="0"/>
            <w:webHidden/>
          </w:rPr>
          <w:fldChar w:fldCharType="end"/>
        </w:r>
      </w:hyperlink>
    </w:p>
    <w:p w14:paraId="79BE71EF" w14:textId="79D72D24" w:rsidR="00D32E2B" w:rsidRPr="00D32E2B" w:rsidRDefault="00D32E2B">
      <w:pPr>
        <w:pStyle w:val="TOC2"/>
        <w:rPr>
          <w:rFonts w:eastAsiaTheme="minorEastAsia"/>
          <w:b w:val="0"/>
          <w:lang w:val="en-ZW" w:eastAsia="en-ZW"/>
          <w14:ligatures w14:val="standardContextual"/>
        </w:rPr>
      </w:pPr>
      <w:hyperlink w:anchor="_Toc184215748" w:history="1">
        <w:r w:rsidRPr="00D32E2B">
          <w:rPr>
            <w:rStyle w:val="Hyperlink"/>
            <w:b w:val="0"/>
          </w:rPr>
          <w:t>8.2</w:t>
        </w:r>
        <w:r w:rsidRPr="00D32E2B">
          <w:rPr>
            <w:rFonts w:eastAsiaTheme="minorEastAsia"/>
            <w:b w:val="0"/>
            <w:lang w:val="en-ZW" w:eastAsia="en-ZW"/>
            <w14:ligatures w14:val="standardContextual"/>
          </w:rPr>
          <w:tab/>
        </w:r>
        <w:r w:rsidRPr="00D32E2B">
          <w:rPr>
            <w:rStyle w:val="Hyperlink"/>
            <w:b w:val="0"/>
          </w:rPr>
          <w:t>Victoria Falls Stock Exchange (VFEX)</w:t>
        </w:r>
        <w:r w:rsidRPr="00D32E2B">
          <w:rPr>
            <w:b w:val="0"/>
            <w:webHidden/>
          </w:rPr>
          <w:tab/>
        </w:r>
        <w:r w:rsidRPr="00D32E2B">
          <w:rPr>
            <w:b w:val="0"/>
            <w:webHidden/>
          </w:rPr>
          <w:fldChar w:fldCharType="begin"/>
        </w:r>
        <w:r w:rsidRPr="00D32E2B">
          <w:rPr>
            <w:b w:val="0"/>
            <w:webHidden/>
          </w:rPr>
          <w:instrText xml:space="preserve"> PAGEREF _Toc184215748 \h </w:instrText>
        </w:r>
        <w:r w:rsidRPr="00D32E2B">
          <w:rPr>
            <w:b w:val="0"/>
            <w:webHidden/>
          </w:rPr>
        </w:r>
        <w:r w:rsidRPr="00D32E2B">
          <w:rPr>
            <w:b w:val="0"/>
            <w:webHidden/>
          </w:rPr>
          <w:fldChar w:fldCharType="separate"/>
        </w:r>
        <w:r w:rsidR="00450A9F">
          <w:rPr>
            <w:b w:val="0"/>
            <w:webHidden/>
          </w:rPr>
          <w:t>9</w:t>
        </w:r>
        <w:r w:rsidRPr="00D32E2B">
          <w:rPr>
            <w:b w:val="0"/>
            <w:webHidden/>
          </w:rPr>
          <w:fldChar w:fldCharType="end"/>
        </w:r>
      </w:hyperlink>
    </w:p>
    <w:p w14:paraId="1A25E526" w14:textId="7ADDF12C" w:rsidR="00D32E2B" w:rsidRPr="00D32E2B" w:rsidRDefault="00D32E2B">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4215749" w:history="1">
        <w:r w:rsidRPr="00D32E2B">
          <w:rPr>
            <w:rStyle w:val="Hyperlink"/>
            <w:rFonts w:ascii="Tahoma" w:hAnsi="Tahoma" w:cs="Tahoma"/>
            <w:noProof/>
            <w:sz w:val="24"/>
            <w:szCs w:val="24"/>
            <w:lang w:val="en-US"/>
          </w:rPr>
          <w:t>9.0</w:t>
        </w:r>
        <w:r w:rsidRPr="00D32E2B">
          <w:rPr>
            <w:rFonts w:ascii="Tahoma" w:eastAsiaTheme="minorEastAsia" w:hAnsi="Tahoma" w:cs="Tahoma"/>
            <w:noProof/>
            <w:sz w:val="24"/>
            <w:szCs w:val="24"/>
            <w:lang w:eastAsia="en-ZW"/>
            <w14:ligatures w14:val="standardContextual"/>
          </w:rPr>
          <w:tab/>
        </w:r>
        <w:r w:rsidRPr="00D32E2B">
          <w:rPr>
            <w:rStyle w:val="Hyperlink"/>
            <w:rFonts w:ascii="Tahoma" w:hAnsi="Tahoma" w:cs="Tahoma"/>
            <w:noProof/>
            <w:sz w:val="24"/>
            <w:szCs w:val="24"/>
            <w:lang w:val="en-US"/>
          </w:rPr>
          <w:t>Recommendations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_Toc184215749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10</w:t>
        </w:r>
        <w:r w:rsidRPr="00D32E2B">
          <w:rPr>
            <w:rFonts w:ascii="Tahoma" w:hAnsi="Tahoma" w:cs="Tahoma"/>
            <w:noProof/>
            <w:webHidden/>
            <w:sz w:val="24"/>
            <w:szCs w:val="24"/>
          </w:rPr>
          <w:fldChar w:fldCharType="end"/>
        </w:r>
      </w:hyperlink>
    </w:p>
    <w:p w14:paraId="3AD49814" w14:textId="0C334DEE" w:rsidR="00D32E2B" w:rsidRDefault="00D32E2B">
      <w:pPr>
        <w:pStyle w:val="TOC1"/>
        <w:tabs>
          <w:tab w:val="right" w:leader="dot" w:pos="9016"/>
        </w:tabs>
        <w:rPr>
          <w:rFonts w:asciiTheme="minorHAnsi" w:eastAsiaTheme="minorEastAsia" w:hAnsiTheme="minorHAnsi" w:cstheme="minorBidi"/>
          <w:noProof/>
          <w:sz w:val="24"/>
          <w:szCs w:val="24"/>
          <w:lang w:eastAsia="en-ZW"/>
          <w14:ligatures w14:val="standardContextual"/>
        </w:rPr>
      </w:pPr>
      <w:hyperlink w:anchor="_Toc184215750" w:history="1">
        <w:r w:rsidRPr="00D32E2B">
          <w:rPr>
            <w:rStyle w:val="Hyperlink"/>
            <w:rFonts w:ascii="Tahoma" w:hAnsi="Tahoma" w:cs="Tahoma"/>
            <w:noProof/>
            <w:sz w:val="24"/>
            <w:szCs w:val="24"/>
          </w:rPr>
          <w:t>10.0 References</w:t>
        </w:r>
        <w:r w:rsidRPr="00D32E2B">
          <w:rPr>
            <w:rFonts w:ascii="Tahoma" w:hAnsi="Tahoma" w:cs="Tahoma"/>
            <w:noProof/>
            <w:webHidden/>
            <w:sz w:val="24"/>
            <w:szCs w:val="24"/>
          </w:rPr>
          <w:tab/>
        </w:r>
        <w:r w:rsidRPr="00D32E2B">
          <w:rPr>
            <w:rFonts w:ascii="Tahoma" w:hAnsi="Tahoma" w:cs="Tahoma"/>
            <w:noProof/>
            <w:webHidden/>
            <w:sz w:val="24"/>
            <w:szCs w:val="24"/>
          </w:rPr>
          <w:fldChar w:fldCharType="begin"/>
        </w:r>
        <w:r w:rsidRPr="00D32E2B">
          <w:rPr>
            <w:rFonts w:ascii="Tahoma" w:hAnsi="Tahoma" w:cs="Tahoma"/>
            <w:noProof/>
            <w:webHidden/>
            <w:sz w:val="24"/>
            <w:szCs w:val="24"/>
          </w:rPr>
          <w:instrText xml:space="preserve"> PAGEREF _Toc184215750 \h </w:instrText>
        </w:r>
        <w:r w:rsidRPr="00D32E2B">
          <w:rPr>
            <w:rFonts w:ascii="Tahoma" w:hAnsi="Tahoma" w:cs="Tahoma"/>
            <w:noProof/>
            <w:webHidden/>
            <w:sz w:val="24"/>
            <w:szCs w:val="24"/>
          </w:rPr>
        </w:r>
        <w:r w:rsidRPr="00D32E2B">
          <w:rPr>
            <w:rFonts w:ascii="Tahoma" w:hAnsi="Tahoma" w:cs="Tahoma"/>
            <w:noProof/>
            <w:webHidden/>
            <w:sz w:val="24"/>
            <w:szCs w:val="24"/>
          </w:rPr>
          <w:fldChar w:fldCharType="separate"/>
        </w:r>
        <w:r w:rsidR="00450A9F">
          <w:rPr>
            <w:rFonts w:ascii="Tahoma" w:hAnsi="Tahoma" w:cs="Tahoma"/>
            <w:noProof/>
            <w:webHidden/>
            <w:sz w:val="24"/>
            <w:szCs w:val="24"/>
          </w:rPr>
          <w:t>11</w:t>
        </w:r>
        <w:r w:rsidRPr="00D32E2B">
          <w:rPr>
            <w:rFonts w:ascii="Tahoma" w:hAnsi="Tahoma" w:cs="Tahoma"/>
            <w:noProof/>
            <w:webHidden/>
            <w:sz w:val="24"/>
            <w:szCs w:val="24"/>
          </w:rPr>
          <w:fldChar w:fldCharType="end"/>
        </w:r>
      </w:hyperlink>
    </w:p>
    <w:p w14:paraId="05A57219" w14:textId="08DB16BA" w:rsidR="00D46F37" w:rsidRPr="00F05BD5" w:rsidRDefault="00D46F37" w:rsidP="00F05BD5">
      <w:pPr>
        <w:jc w:val="both"/>
      </w:pPr>
      <w:r w:rsidRPr="00F05BD5">
        <w:rPr>
          <w:rFonts w:ascii="Tahoma" w:hAnsi="Tahoma" w:cs="Tahoma"/>
          <w:noProof/>
          <w:sz w:val="24"/>
          <w:szCs w:val="24"/>
        </w:rPr>
        <w:fldChar w:fldCharType="end"/>
      </w:r>
    </w:p>
    <w:p w14:paraId="3716E9F9" w14:textId="77777777" w:rsidR="00D46F37" w:rsidRDefault="00D46F37" w:rsidP="00D46F37">
      <w:pPr>
        <w:rPr>
          <w:lang w:val="en-US"/>
        </w:rPr>
      </w:pPr>
    </w:p>
    <w:p w14:paraId="051AB47A" w14:textId="77777777" w:rsidR="00D46F37" w:rsidRDefault="00D46F37" w:rsidP="00D46F37">
      <w:pPr>
        <w:rPr>
          <w:lang w:val="en-US"/>
        </w:rPr>
      </w:pPr>
    </w:p>
    <w:p w14:paraId="6C8A5694" w14:textId="77777777" w:rsidR="00D46F37" w:rsidRDefault="00D46F37" w:rsidP="00D46F37">
      <w:pPr>
        <w:rPr>
          <w:lang w:val="en-US"/>
        </w:rPr>
      </w:pPr>
    </w:p>
    <w:p w14:paraId="122856B1" w14:textId="77777777" w:rsidR="00D46F37" w:rsidRDefault="00D46F37" w:rsidP="00D46F37">
      <w:pPr>
        <w:rPr>
          <w:lang w:val="en-US"/>
        </w:rPr>
      </w:pPr>
    </w:p>
    <w:p w14:paraId="30927F92" w14:textId="77777777" w:rsidR="00D46F37" w:rsidRDefault="00D46F37" w:rsidP="00D46F37">
      <w:pPr>
        <w:rPr>
          <w:lang w:val="en-US"/>
        </w:rPr>
      </w:pPr>
    </w:p>
    <w:p w14:paraId="7F34D183" w14:textId="77777777" w:rsidR="00A26B7B" w:rsidRDefault="00A26B7B" w:rsidP="00D46F37">
      <w:pPr>
        <w:rPr>
          <w:lang w:val="en-US"/>
        </w:rPr>
      </w:pPr>
    </w:p>
    <w:p w14:paraId="285687C0" w14:textId="77777777" w:rsidR="00D46F37" w:rsidRDefault="00D46F37" w:rsidP="00D46F37">
      <w:pPr>
        <w:rPr>
          <w:lang w:val="en-US"/>
        </w:rPr>
      </w:pPr>
    </w:p>
    <w:p w14:paraId="0E800797" w14:textId="77777777" w:rsidR="002912BB" w:rsidRDefault="002912BB" w:rsidP="00D46F37">
      <w:pPr>
        <w:rPr>
          <w:lang w:val="en-US"/>
        </w:rPr>
      </w:pPr>
    </w:p>
    <w:p w14:paraId="2D212C56" w14:textId="77777777" w:rsidR="002912BB" w:rsidRDefault="002912BB" w:rsidP="00D46F37">
      <w:pPr>
        <w:rPr>
          <w:lang w:val="en-US"/>
        </w:rPr>
      </w:pPr>
    </w:p>
    <w:p w14:paraId="2CFE9466" w14:textId="77777777" w:rsidR="00D46F37" w:rsidRDefault="00D46F37" w:rsidP="00D46F37">
      <w:pPr>
        <w:rPr>
          <w:lang w:val="en-US"/>
        </w:rPr>
      </w:pPr>
    </w:p>
    <w:p w14:paraId="3D8FCB05" w14:textId="77777777" w:rsidR="00732393" w:rsidRPr="00E36073" w:rsidRDefault="00F67469" w:rsidP="005D76CA">
      <w:pPr>
        <w:rPr>
          <w:rFonts w:ascii="Tahoma" w:hAnsi="Tahoma" w:cs="Tahoma"/>
          <w:b/>
          <w:color w:val="000000"/>
          <w:sz w:val="24"/>
          <w:szCs w:val="24"/>
          <w:lang w:val="en-US"/>
        </w:rPr>
      </w:pPr>
      <w:r w:rsidRPr="00863A17">
        <w:rPr>
          <w:rFonts w:ascii="Tahoma" w:hAnsi="Tahoma" w:cs="Tahoma"/>
          <w:b/>
          <w:color w:val="000000"/>
          <w:sz w:val="24"/>
          <w:szCs w:val="24"/>
          <w:lang w:val="en-US"/>
        </w:rPr>
        <w:lastRenderedPageBreak/>
        <w:t xml:space="preserve">List of </w:t>
      </w:r>
      <w:r w:rsidR="009744EB">
        <w:rPr>
          <w:rFonts w:ascii="Tahoma" w:hAnsi="Tahoma" w:cs="Tahoma"/>
          <w:b/>
          <w:color w:val="000000"/>
          <w:sz w:val="24"/>
          <w:szCs w:val="24"/>
          <w:lang w:val="en-US"/>
        </w:rPr>
        <w:t>Tables</w:t>
      </w:r>
      <w:r w:rsidRPr="00863A17">
        <w:rPr>
          <w:rFonts w:ascii="Tahoma" w:hAnsi="Tahoma" w:cs="Tahoma"/>
          <w:b/>
          <w:color w:val="000000"/>
          <w:sz w:val="24"/>
          <w:szCs w:val="24"/>
          <w:lang w:val="en-US"/>
        </w:rPr>
        <w:t xml:space="preserve"> </w:t>
      </w:r>
    </w:p>
    <w:p w14:paraId="4A69D199" w14:textId="06AD144B" w:rsidR="003833D6" w:rsidRPr="003833D6" w:rsidRDefault="00E36073">
      <w:pPr>
        <w:pStyle w:val="TableofFigures"/>
        <w:tabs>
          <w:tab w:val="right" w:leader="dot" w:pos="9016"/>
        </w:tabs>
        <w:rPr>
          <w:rFonts w:ascii="Tahoma" w:eastAsiaTheme="minorEastAsia" w:hAnsi="Tahoma" w:cs="Tahoma"/>
          <w:noProof/>
          <w:sz w:val="24"/>
          <w:szCs w:val="24"/>
          <w:lang w:eastAsia="en-ZW"/>
          <w14:ligatures w14:val="standardContextual"/>
        </w:rPr>
      </w:pPr>
      <w:r w:rsidRPr="004D35AC">
        <w:rPr>
          <w:rFonts w:ascii="Tahoma" w:hAnsi="Tahoma" w:cs="Tahoma"/>
          <w:b/>
          <w:iCs/>
          <w:sz w:val="24"/>
          <w:szCs w:val="24"/>
          <w:lang w:val="en-US"/>
        </w:rPr>
        <w:fldChar w:fldCharType="begin"/>
      </w:r>
      <w:r w:rsidRPr="004D35AC">
        <w:rPr>
          <w:rFonts w:ascii="Tahoma" w:hAnsi="Tahoma" w:cs="Tahoma"/>
          <w:b/>
          <w:iCs/>
          <w:sz w:val="24"/>
          <w:szCs w:val="24"/>
          <w:lang w:val="en-US"/>
        </w:rPr>
        <w:instrText xml:space="preserve"> TOC \f F \h \z \t "List of Tables" \c </w:instrText>
      </w:r>
      <w:r w:rsidRPr="004D35AC">
        <w:rPr>
          <w:rFonts w:ascii="Tahoma" w:hAnsi="Tahoma" w:cs="Tahoma"/>
          <w:b/>
          <w:iCs/>
          <w:sz w:val="24"/>
          <w:szCs w:val="24"/>
          <w:lang w:val="en-US"/>
        </w:rPr>
        <w:fldChar w:fldCharType="separate"/>
      </w:r>
      <w:hyperlink w:anchor="_Toc184287491" w:history="1">
        <w:r w:rsidR="003833D6" w:rsidRPr="003833D6">
          <w:rPr>
            <w:rStyle w:val="Hyperlink"/>
            <w:rFonts w:ascii="Tahoma" w:hAnsi="Tahoma" w:cs="Tahoma"/>
            <w:noProof/>
            <w:sz w:val="24"/>
            <w:szCs w:val="24"/>
          </w:rPr>
          <w:t>Table 1:</w:t>
        </w:r>
        <w:r w:rsidR="003833D6" w:rsidRPr="003833D6">
          <w:rPr>
            <w:rStyle w:val="Hyperlink"/>
            <w:rFonts w:ascii="Tahoma" w:hAnsi="Tahoma" w:cs="Tahoma"/>
            <w:noProof/>
            <w:sz w:val="24"/>
            <w:szCs w:val="24"/>
            <w:lang w:val="en-US"/>
          </w:rPr>
          <w:t xml:space="preserve"> Commodity Price Movements – Month Ending 29 November 2024</w:t>
        </w:r>
        <w:r w:rsidR="003833D6" w:rsidRPr="003833D6">
          <w:rPr>
            <w:rFonts w:ascii="Tahoma" w:hAnsi="Tahoma" w:cs="Tahoma"/>
            <w:noProof/>
            <w:webHidden/>
            <w:sz w:val="24"/>
            <w:szCs w:val="24"/>
          </w:rPr>
          <w:tab/>
        </w:r>
        <w:r w:rsidR="003833D6" w:rsidRPr="003833D6">
          <w:rPr>
            <w:rFonts w:ascii="Tahoma" w:hAnsi="Tahoma" w:cs="Tahoma"/>
            <w:noProof/>
            <w:webHidden/>
            <w:sz w:val="24"/>
            <w:szCs w:val="24"/>
          </w:rPr>
          <w:fldChar w:fldCharType="begin"/>
        </w:r>
        <w:r w:rsidR="003833D6" w:rsidRPr="003833D6">
          <w:rPr>
            <w:rFonts w:ascii="Tahoma" w:hAnsi="Tahoma" w:cs="Tahoma"/>
            <w:noProof/>
            <w:webHidden/>
            <w:sz w:val="24"/>
            <w:szCs w:val="24"/>
          </w:rPr>
          <w:instrText xml:space="preserve"> PAGEREF _Toc184287491 \h </w:instrText>
        </w:r>
        <w:r w:rsidR="003833D6" w:rsidRPr="003833D6">
          <w:rPr>
            <w:rFonts w:ascii="Tahoma" w:hAnsi="Tahoma" w:cs="Tahoma"/>
            <w:noProof/>
            <w:webHidden/>
            <w:sz w:val="24"/>
            <w:szCs w:val="24"/>
          </w:rPr>
        </w:r>
        <w:r w:rsidR="003833D6" w:rsidRPr="003833D6">
          <w:rPr>
            <w:rFonts w:ascii="Tahoma" w:hAnsi="Tahoma" w:cs="Tahoma"/>
            <w:noProof/>
            <w:webHidden/>
            <w:sz w:val="24"/>
            <w:szCs w:val="24"/>
          </w:rPr>
          <w:fldChar w:fldCharType="separate"/>
        </w:r>
        <w:r w:rsidR="00450A9F">
          <w:rPr>
            <w:rFonts w:ascii="Tahoma" w:hAnsi="Tahoma" w:cs="Tahoma"/>
            <w:noProof/>
            <w:webHidden/>
            <w:sz w:val="24"/>
            <w:szCs w:val="24"/>
          </w:rPr>
          <w:t>2</w:t>
        </w:r>
        <w:r w:rsidR="003833D6" w:rsidRPr="003833D6">
          <w:rPr>
            <w:rFonts w:ascii="Tahoma" w:hAnsi="Tahoma" w:cs="Tahoma"/>
            <w:noProof/>
            <w:webHidden/>
            <w:sz w:val="24"/>
            <w:szCs w:val="24"/>
          </w:rPr>
          <w:fldChar w:fldCharType="end"/>
        </w:r>
      </w:hyperlink>
    </w:p>
    <w:p w14:paraId="589ABCF6" w14:textId="3A08EBA8" w:rsidR="003833D6" w:rsidRPr="003833D6" w:rsidRDefault="003833D6">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87492" w:history="1">
        <w:r w:rsidRPr="003833D6">
          <w:rPr>
            <w:rStyle w:val="Hyperlink"/>
            <w:rFonts w:ascii="Tahoma" w:hAnsi="Tahoma" w:cs="Tahoma"/>
            <w:noProof/>
            <w:sz w:val="24"/>
            <w:szCs w:val="24"/>
          </w:rPr>
          <w:t>Table 2: ZWG Exchange Rate Movements-Month Ending 29 November 2024</w:t>
        </w:r>
        <w:r w:rsidRPr="003833D6">
          <w:rPr>
            <w:rFonts w:ascii="Tahoma" w:hAnsi="Tahoma" w:cs="Tahoma"/>
            <w:noProof/>
            <w:webHidden/>
            <w:sz w:val="24"/>
            <w:szCs w:val="24"/>
          </w:rPr>
          <w:tab/>
        </w:r>
        <w:r w:rsidRPr="003833D6">
          <w:rPr>
            <w:rFonts w:ascii="Tahoma" w:hAnsi="Tahoma" w:cs="Tahoma"/>
            <w:noProof/>
            <w:webHidden/>
            <w:sz w:val="24"/>
            <w:szCs w:val="24"/>
          </w:rPr>
          <w:fldChar w:fldCharType="begin"/>
        </w:r>
        <w:r w:rsidRPr="003833D6">
          <w:rPr>
            <w:rFonts w:ascii="Tahoma" w:hAnsi="Tahoma" w:cs="Tahoma"/>
            <w:noProof/>
            <w:webHidden/>
            <w:sz w:val="24"/>
            <w:szCs w:val="24"/>
          </w:rPr>
          <w:instrText xml:space="preserve"> PAGEREF _Toc184287492 \h </w:instrText>
        </w:r>
        <w:r w:rsidRPr="003833D6">
          <w:rPr>
            <w:rFonts w:ascii="Tahoma" w:hAnsi="Tahoma" w:cs="Tahoma"/>
            <w:noProof/>
            <w:webHidden/>
            <w:sz w:val="24"/>
            <w:szCs w:val="24"/>
          </w:rPr>
        </w:r>
        <w:r w:rsidRPr="003833D6">
          <w:rPr>
            <w:rFonts w:ascii="Tahoma" w:hAnsi="Tahoma" w:cs="Tahoma"/>
            <w:noProof/>
            <w:webHidden/>
            <w:sz w:val="24"/>
            <w:szCs w:val="24"/>
          </w:rPr>
          <w:fldChar w:fldCharType="separate"/>
        </w:r>
        <w:r w:rsidR="00450A9F">
          <w:rPr>
            <w:rFonts w:ascii="Tahoma" w:hAnsi="Tahoma" w:cs="Tahoma"/>
            <w:noProof/>
            <w:webHidden/>
            <w:sz w:val="24"/>
            <w:szCs w:val="24"/>
          </w:rPr>
          <w:t>4</w:t>
        </w:r>
        <w:r w:rsidRPr="003833D6">
          <w:rPr>
            <w:rFonts w:ascii="Tahoma" w:hAnsi="Tahoma" w:cs="Tahoma"/>
            <w:noProof/>
            <w:webHidden/>
            <w:sz w:val="24"/>
            <w:szCs w:val="24"/>
          </w:rPr>
          <w:fldChar w:fldCharType="end"/>
        </w:r>
      </w:hyperlink>
    </w:p>
    <w:p w14:paraId="4350162A" w14:textId="6C7D25F2" w:rsidR="003833D6" w:rsidRPr="003833D6" w:rsidRDefault="003833D6">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87493" w:history="1">
        <w:r w:rsidRPr="003833D6">
          <w:rPr>
            <w:rStyle w:val="Hyperlink"/>
            <w:rFonts w:ascii="Tahoma" w:hAnsi="Tahoma" w:cs="Tahoma"/>
            <w:noProof/>
            <w:sz w:val="24"/>
            <w:szCs w:val="24"/>
          </w:rPr>
          <w:t xml:space="preserve">Table 3: </w:t>
        </w:r>
        <w:r w:rsidRPr="003833D6">
          <w:rPr>
            <w:rStyle w:val="Hyperlink"/>
            <w:rFonts w:ascii="Tahoma" w:hAnsi="Tahoma" w:cs="Tahoma"/>
            <w:noProof/>
            <w:sz w:val="24"/>
            <w:szCs w:val="24"/>
            <w:lang w:val="en-US"/>
          </w:rPr>
          <w:t>USD Exchange Rate Movements–Month Ended 29 November 2024</w:t>
        </w:r>
        <w:r w:rsidRPr="003833D6">
          <w:rPr>
            <w:rFonts w:ascii="Tahoma" w:hAnsi="Tahoma" w:cs="Tahoma"/>
            <w:noProof/>
            <w:webHidden/>
            <w:sz w:val="24"/>
            <w:szCs w:val="24"/>
          </w:rPr>
          <w:tab/>
        </w:r>
        <w:r w:rsidRPr="003833D6">
          <w:rPr>
            <w:rFonts w:ascii="Tahoma" w:hAnsi="Tahoma" w:cs="Tahoma"/>
            <w:noProof/>
            <w:webHidden/>
            <w:sz w:val="24"/>
            <w:szCs w:val="24"/>
          </w:rPr>
          <w:fldChar w:fldCharType="begin"/>
        </w:r>
        <w:r w:rsidRPr="003833D6">
          <w:rPr>
            <w:rFonts w:ascii="Tahoma" w:hAnsi="Tahoma" w:cs="Tahoma"/>
            <w:noProof/>
            <w:webHidden/>
            <w:sz w:val="24"/>
            <w:szCs w:val="24"/>
          </w:rPr>
          <w:instrText xml:space="preserve"> PAGEREF _Toc184287493 \h </w:instrText>
        </w:r>
        <w:r w:rsidRPr="003833D6">
          <w:rPr>
            <w:rFonts w:ascii="Tahoma" w:hAnsi="Tahoma" w:cs="Tahoma"/>
            <w:noProof/>
            <w:webHidden/>
            <w:sz w:val="24"/>
            <w:szCs w:val="24"/>
          </w:rPr>
        </w:r>
        <w:r w:rsidRPr="003833D6">
          <w:rPr>
            <w:rFonts w:ascii="Tahoma" w:hAnsi="Tahoma" w:cs="Tahoma"/>
            <w:noProof/>
            <w:webHidden/>
            <w:sz w:val="24"/>
            <w:szCs w:val="24"/>
          </w:rPr>
          <w:fldChar w:fldCharType="separate"/>
        </w:r>
        <w:r w:rsidR="00450A9F">
          <w:rPr>
            <w:rFonts w:ascii="Tahoma" w:hAnsi="Tahoma" w:cs="Tahoma"/>
            <w:noProof/>
            <w:webHidden/>
            <w:sz w:val="24"/>
            <w:szCs w:val="24"/>
          </w:rPr>
          <w:t>5</w:t>
        </w:r>
        <w:r w:rsidRPr="003833D6">
          <w:rPr>
            <w:rFonts w:ascii="Tahoma" w:hAnsi="Tahoma" w:cs="Tahoma"/>
            <w:noProof/>
            <w:webHidden/>
            <w:sz w:val="24"/>
            <w:szCs w:val="24"/>
          </w:rPr>
          <w:fldChar w:fldCharType="end"/>
        </w:r>
      </w:hyperlink>
    </w:p>
    <w:p w14:paraId="726F1934" w14:textId="4BF3A5B7" w:rsidR="003833D6" w:rsidRPr="003833D6" w:rsidRDefault="003833D6">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87494" w:history="1">
        <w:r w:rsidRPr="003833D6">
          <w:rPr>
            <w:rStyle w:val="Hyperlink"/>
            <w:rFonts w:ascii="Tahoma" w:hAnsi="Tahoma" w:cs="Tahoma"/>
            <w:noProof/>
            <w:sz w:val="24"/>
            <w:szCs w:val="24"/>
          </w:rPr>
          <w:t xml:space="preserve">Table 4: Monthly </w:t>
        </w:r>
        <w:r w:rsidRPr="003833D6">
          <w:rPr>
            <w:rStyle w:val="Hyperlink"/>
            <w:rFonts w:ascii="Tahoma" w:hAnsi="Tahoma" w:cs="Tahoma"/>
            <w:noProof/>
            <w:sz w:val="24"/>
            <w:szCs w:val="24"/>
            <w:lang w:val="en-US"/>
          </w:rPr>
          <w:t>Inflation for November 2024</w:t>
        </w:r>
        <w:r w:rsidRPr="003833D6">
          <w:rPr>
            <w:rFonts w:ascii="Tahoma" w:hAnsi="Tahoma" w:cs="Tahoma"/>
            <w:noProof/>
            <w:webHidden/>
            <w:sz w:val="24"/>
            <w:szCs w:val="24"/>
          </w:rPr>
          <w:tab/>
        </w:r>
        <w:r w:rsidRPr="003833D6">
          <w:rPr>
            <w:rFonts w:ascii="Tahoma" w:hAnsi="Tahoma" w:cs="Tahoma"/>
            <w:noProof/>
            <w:webHidden/>
            <w:sz w:val="24"/>
            <w:szCs w:val="24"/>
          </w:rPr>
          <w:fldChar w:fldCharType="begin"/>
        </w:r>
        <w:r w:rsidRPr="003833D6">
          <w:rPr>
            <w:rFonts w:ascii="Tahoma" w:hAnsi="Tahoma" w:cs="Tahoma"/>
            <w:noProof/>
            <w:webHidden/>
            <w:sz w:val="24"/>
            <w:szCs w:val="24"/>
          </w:rPr>
          <w:instrText xml:space="preserve"> PAGEREF _Toc184287494 \h </w:instrText>
        </w:r>
        <w:r w:rsidRPr="003833D6">
          <w:rPr>
            <w:rFonts w:ascii="Tahoma" w:hAnsi="Tahoma" w:cs="Tahoma"/>
            <w:noProof/>
            <w:webHidden/>
            <w:sz w:val="24"/>
            <w:szCs w:val="24"/>
          </w:rPr>
        </w:r>
        <w:r w:rsidRPr="003833D6">
          <w:rPr>
            <w:rFonts w:ascii="Tahoma" w:hAnsi="Tahoma" w:cs="Tahoma"/>
            <w:noProof/>
            <w:webHidden/>
            <w:sz w:val="24"/>
            <w:szCs w:val="24"/>
          </w:rPr>
          <w:fldChar w:fldCharType="separate"/>
        </w:r>
        <w:r w:rsidR="00450A9F">
          <w:rPr>
            <w:rFonts w:ascii="Tahoma" w:hAnsi="Tahoma" w:cs="Tahoma"/>
            <w:noProof/>
            <w:webHidden/>
            <w:sz w:val="24"/>
            <w:szCs w:val="24"/>
          </w:rPr>
          <w:t>7</w:t>
        </w:r>
        <w:r w:rsidRPr="003833D6">
          <w:rPr>
            <w:rFonts w:ascii="Tahoma" w:hAnsi="Tahoma" w:cs="Tahoma"/>
            <w:noProof/>
            <w:webHidden/>
            <w:sz w:val="24"/>
            <w:szCs w:val="24"/>
          </w:rPr>
          <w:fldChar w:fldCharType="end"/>
        </w:r>
      </w:hyperlink>
    </w:p>
    <w:p w14:paraId="2B26D8D4" w14:textId="3F38574D" w:rsidR="003833D6" w:rsidRPr="003833D6" w:rsidRDefault="003833D6">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87495" w:history="1">
        <w:r w:rsidRPr="003833D6">
          <w:rPr>
            <w:rStyle w:val="Hyperlink"/>
            <w:rFonts w:ascii="Tahoma" w:hAnsi="Tahoma" w:cs="Tahoma"/>
            <w:noProof/>
            <w:sz w:val="24"/>
            <w:szCs w:val="24"/>
            <w:lang w:val="en-US"/>
          </w:rPr>
          <w:t>Table 5: Interest Rates as of 15 November 2024</w:t>
        </w:r>
        <w:r w:rsidRPr="003833D6">
          <w:rPr>
            <w:rFonts w:ascii="Tahoma" w:hAnsi="Tahoma" w:cs="Tahoma"/>
            <w:noProof/>
            <w:webHidden/>
            <w:sz w:val="24"/>
            <w:szCs w:val="24"/>
          </w:rPr>
          <w:tab/>
        </w:r>
        <w:r w:rsidRPr="003833D6">
          <w:rPr>
            <w:rFonts w:ascii="Tahoma" w:hAnsi="Tahoma" w:cs="Tahoma"/>
            <w:noProof/>
            <w:webHidden/>
            <w:sz w:val="24"/>
            <w:szCs w:val="24"/>
          </w:rPr>
          <w:fldChar w:fldCharType="begin"/>
        </w:r>
        <w:r w:rsidRPr="003833D6">
          <w:rPr>
            <w:rFonts w:ascii="Tahoma" w:hAnsi="Tahoma" w:cs="Tahoma"/>
            <w:noProof/>
            <w:webHidden/>
            <w:sz w:val="24"/>
            <w:szCs w:val="24"/>
          </w:rPr>
          <w:instrText xml:space="preserve"> PAGEREF _Toc184287495 \h </w:instrText>
        </w:r>
        <w:r w:rsidRPr="003833D6">
          <w:rPr>
            <w:rFonts w:ascii="Tahoma" w:hAnsi="Tahoma" w:cs="Tahoma"/>
            <w:noProof/>
            <w:webHidden/>
            <w:sz w:val="24"/>
            <w:szCs w:val="24"/>
          </w:rPr>
        </w:r>
        <w:r w:rsidRPr="003833D6">
          <w:rPr>
            <w:rFonts w:ascii="Tahoma" w:hAnsi="Tahoma" w:cs="Tahoma"/>
            <w:noProof/>
            <w:webHidden/>
            <w:sz w:val="24"/>
            <w:szCs w:val="24"/>
          </w:rPr>
          <w:fldChar w:fldCharType="separate"/>
        </w:r>
        <w:r w:rsidR="00450A9F">
          <w:rPr>
            <w:rFonts w:ascii="Tahoma" w:hAnsi="Tahoma" w:cs="Tahoma"/>
            <w:noProof/>
            <w:webHidden/>
            <w:sz w:val="24"/>
            <w:szCs w:val="24"/>
          </w:rPr>
          <w:t>8</w:t>
        </w:r>
        <w:r w:rsidRPr="003833D6">
          <w:rPr>
            <w:rFonts w:ascii="Tahoma" w:hAnsi="Tahoma" w:cs="Tahoma"/>
            <w:noProof/>
            <w:webHidden/>
            <w:sz w:val="24"/>
            <w:szCs w:val="24"/>
          </w:rPr>
          <w:fldChar w:fldCharType="end"/>
        </w:r>
      </w:hyperlink>
    </w:p>
    <w:p w14:paraId="0C58F717" w14:textId="448B8950" w:rsidR="003833D6" w:rsidRPr="003833D6" w:rsidRDefault="003833D6">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87496" w:history="1">
        <w:r w:rsidRPr="003833D6">
          <w:rPr>
            <w:rStyle w:val="Hyperlink"/>
            <w:rFonts w:ascii="Tahoma" w:hAnsi="Tahoma" w:cs="Tahoma"/>
            <w:noProof/>
            <w:sz w:val="24"/>
            <w:szCs w:val="24"/>
          </w:rPr>
          <w:t>Table 6: Zimbabwe Stock Exchange Movements</w:t>
        </w:r>
        <w:r w:rsidRPr="003833D6">
          <w:rPr>
            <w:rFonts w:ascii="Tahoma" w:hAnsi="Tahoma" w:cs="Tahoma"/>
            <w:noProof/>
            <w:webHidden/>
            <w:sz w:val="24"/>
            <w:szCs w:val="24"/>
          </w:rPr>
          <w:tab/>
        </w:r>
        <w:r w:rsidRPr="003833D6">
          <w:rPr>
            <w:rFonts w:ascii="Tahoma" w:hAnsi="Tahoma" w:cs="Tahoma"/>
            <w:noProof/>
            <w:webHidden/>
            <w:sz w:val="24"/>
            <w:szCs w:val="24"/>
          </w:rPr>
          <w:fldChar w:fldCharType="begin"/>
        </w:r>
        <w:r w:rsidRPr="003833D6">
          <w:rPr>
            <w:rFonts w:ascii="Tahoma" w:hAnsi="Tahoma" w:cs="Tahoma"/>
            <w:noProof/>
            <w:webHidden/>
            <w:sz w:val="24"/>
            <w:szCs w:val="24"/>
          </w:rPr>
          <w:instrText xml:space="preserve"> PAGEREF _Toc184287496 \h </w:instrText>
        </w:r>
        <w:r w:rsidRPr="003833D6">
          <w:rPr>
            <w:rFonts w:ascii="Tahoma" w:hAnsi="Tahoma" w:cs="Tahoma"/>
            <w:noProof/>
            <w:webHidden/>
            <w:sz w:val="24"/>
            <w:szCs w:val="24"/>
          </w:rPr>
        </w:r>
        <w:r w:rsidRPr="003833D6">
          <w:rPr>
            <w:rFonts w:ascii="Tahoma" w:hAnsi="Tahoma" w:cs="Tahoma"/>
            <w:noProof/>
            <w:webHidden/>
            <w:sz w:val="24"/>
            <w:szCs w:val="24"/>
          </w:rPr>
          <w:fldChar w:fldCharType="separate"/>
        </w:r>
        <w:r w:rsidR="00450A9F">
          <w:rPr>
            <w:rFonts w:ascii="Tahoma" w:hAnsi="Tahoma" w:cs="Tahoma"/>
            <w:noProof/>
            <w:webHidden/>
            <w:sz w:val="24"/>
            <w:szCs w:val="24"/>
          </w:rPr>
          <w:t>9</w:t>
        </w:r>
        <w:r w:rsidRPr="003833D6">
          <w:rPr>
            <w:rFonts w:ascii="Tahoma" w:hAnsi="Tahoma" w:cs="Tahoma"/>
            <w:noProof/>
            <w:webHidden/>
            <w:sz w:val="24"/>
            <w:szCs w:val="24"/>
          </w:rPr>
          <w:fldChar w:fldCharType="end"/>
        </w:r>
      </w:hyperlink>
    </w:p>
    <w:p w14:paraId="4C0BD810" w14:textId="0FCAE937" w:rsidR="003833D6" w:rsidRDefault="003833D6">
      <w:pPr>
        <w:pStyle w:val="TableofFigures"/>
        <w:tabs>
          <w:tab w:val="right" w:leader="dot" w:pos="9016"/>
        </w:tabs>
        <w:rPr>
          <w:rFonts w:asciiTheme="minorHAnsi" w:eastAsiaTheme="minorEastAsia" w:hAnsiTheme="minorHAnsi" w:cstheme="minorBidi"/>
          <w:noProof/>
          <w:sz w:val="24"/>
          <w:szCs w:val="24"/>
          <w:lang w:eastAsia="en-ZW"/>
          <w14:ligatures w14:val="standardContextual"/>
        </w:rPr>
      </w:pPr>
      <w:hyperlink w:anchor="_Toc184287497" w:history="1">
        <w:r w:rsidRPr="003833D6">
          <w:rPr>
            <w:rStyle w:val="Hyperlink"/>
            <w:rFonts w:ascii="Tahoma" w:hAnsi="Tahoma" w:cs="Tahoma"/>
            <w:noProof/>
            <w:sz w:val="24"/>
            <w:szCs w:val="24"/>
          </w:rPr>
          <w:t>Table 7: Victoria Falls Stock Exchange Movements</w:t>
        </w:r>
        <w:r w:rsidRPr="003833D6">
          <w:rPr>
            <w:rFonts w:ascii="Tahoma" w:hAnsi="Tahoma" w:cs="Tahoma"/>
            <w:noProof/>
            <w:webHidden/>
            <w:sz w:val="24"/>
            <w:szCs w:val="24"/>
          </w:rPr>
          <w:tab/>
        </w:r>
        <w:r w:rsidRPr="003833D6">
          <w:rPr>
            <w:rFonts w:ascii="Tahoma" w:hAnsi="Tahoma" w:cs="Tahoma"/>
            <w:noProof/>
            <w:webHidden/>
            <w:sz w:val="24"/>
            <w:szCs w:val="24"/>
          </w:rPr>
          <w:fldChar w:fldCharType="begin"/>
        </w:r>
        <w:r w:rsidRPr="003833D6">
          <w:rPr>
            <w:rFonts w:ascii="Tahoma" w:hAnsi="Tahoma" w:cs="Tahoma"/>
            <w:noProof/>
            <w:webHidden/>
            <w:sz w:val="24"/>
            <w:szCs w:val="24"/>
          </w:rPr>
          <w:instrText xml:space="preserve"> PAGEREF _Toc184287497 \h </w:instrText>
        </w:r>
        <w:r w:rsidRPr="003833D6">
          <w:rPr>
            <w:rFonts w:ascii="Tahoma" w:hAnsi="Tahoma" w:cs="Tahoma"/>
            <w:noProof/>
            <w:webHidden/>
            <w:sz w:val="24"/>
            <w:szCs w:val="24"/>
          </w:rPr>
        </w:r>
        <w:r w:rsidRPr="003833D6">
          <w:rPr>
            <w:rFonts w:ascii="Tahoma" w:hAnsi="Tahoma" w:cs="Tahoma"/>
            <w:noProof/>
            <w:webHidden/>
            <w:sz w:val="24"/>
            <w:szCs w:val="24"/>
          </w:rPr>
          <w:fldChar w:fldCharType="separate"/>
        </w:r>
        <w:r w:rsidR="00450A9F">
          <w:rPr>
            <w:rFonts w:ascii="Tahoma" w:hAnsi="Tahoma" w:cs="Tahoma"/>
            <w:noProof/>
            <w:webHidden/>
            <w:sz w:val="24"/>
            <w:szCs w:val="24"/>
          </w:rPr>
          <w:t>9</w:t>
        </w:r>
        <w:r w:rsidRPr="003833D6">
          <w:rPr>
            <w:rFonts w:ascii="Tahoma" w:hAnsi="Tahoma" w:cs="Tahoma"/>
            <w:noProof/>
            <w:webHidden/>
            <w:sz w:val="24"/>
            <w:szCs w:val="24"/>
          </w:rPr>
          <w:fldChar w:fldCharType="end"/>
        </w:r>
      </w:hyperlink>
    </w:p>
    <w:p w14:paraId="06881970" w14:textId="7D6CCC2E" w:rsidR="00DA458A" w:rsidRPr="008A3AD2" w:rsidRDefault="00E36073">
      <w:pPr>
        <w:rPr>
          <w:rFonts w:ascii="Tahoma" w:hAnsi="Tahoma" w:cs="Tahoma"/>
          <w:b/>
          <w:bCs/>
          <w:sz w:val="24"/>
          <w:szCs w:val="24"/>
          <w:lang w:val="en-US"/>
        </w:rPr>
      </w:pPr>
      <w:r w:rsidRPr="004D35AC">
        <w:rPr>
          <w:rFonts w:ascii="Tahoma" w:hAnsi="Tahoma" w:cs="Tahoma"/>
          <w:b/>
          <w:iCs/>
          <w:sz w:val="24"/>
          <w:szCs w:val="24"/>
          <w:lang w:val="en-US"/>
        </w:rPr>
        <w:fldChar w:fldCharType="end"/>
      </w:r>
    </w:p>
    <w:p w14:paraId="7BEA0E8F" w14:textId="77777777" w:rsidR="00B3127C" w:rsidRDefault="00654F03" w:rsidP="000129B7">
      <w:pPr>
        <w:rPr>
          <w:noProof/>
        </w:rPr>
      </w:pPr>
      <w:r w:rsidRPr="00863A17">
        <w:rPr>
          <w:rFonts w:ascii="Tahoma" w:hAnsi="Tahoma" w:cs="Tahoma"/>
          <w:sz w:val="24"/>
          <w:szCs w:val="24"/>
          <w:lang w:val="en-US"/>
        </w:rPr>
        <w:br w:type="page"/>
      </w:r>
      <w:r w:rsidR="00E76009" w:rsidRPr="00DB4775">
        <w:rPr>
          <w:rFonts w:ascii="Tahoma" w:hAnsi="Tahoma" w:cs="Tahoma"/>
          <w:b/>
          <w:bCs/>
          <w:sz w:val="24"/>
          <w:szCs w:val="24"/>
          <w:lang w:val="en-US"/>
        </w:rPr>
        <w:lastRenderedPageBreak/>
        <w:t>List of Figures</w:t>
      </w:r>
      <w:r w:rsidR="00E76009" w:rsidRPr="009950A4">
        <w:rPr>
          <w:rFonts w:ascii="Tahoma" w:hAnsi="Tahoma" w:cs="Tahoma"/>
          <w:b/>
          <w:bCs/>
          <w:sz w:val="24"/>
          <w:szCs w:val="24"/>
          <w:lang w:val="en-US"/>
        </w:rPr>
        <w:fldChar w:fldCharType="begin"/>
      </w:r>
      <w:r w:rsidR="00E76009" w:rsidRPr="009950A4">
        <w:rPr>
          <w:rFonts w:ascii="Tahoma" w:hAnsi="Tahoma" w:cs="Tahoma"/>
          <w:b/>
          <w:bCs/>
          <w:sz w:val="24"/>
          <w:szCs w:val="24"/>
          <w:lang w:val="en-US"/>
        </w:rPr>
        <w:instrText xml:space="preserve"> TOC \h \z \t "List of Figures" \c </w:instrText>
      </w:r>
      <w:r w:rsidR="00E76009" w:rsidRPr="009950A4">
        <w:rPr>
          <w:rFonts w:ascii="Tahoma" w:hAnsi="Tahoma" w:cs="Tahoma"/>
          <w:b/>
          <w:bCs/>
          <w:sz w:val="24"/>
          <w:szCs w:val="24"/>
          <w:lang w:val="en-US"/>
        </w:rPr>
        <w:fldChar w:fldCharType="separate"/>
      </w:r>
    </w:p>
    <w:p w14:paraId="5D3D74F1" w14:textId="4C3BDA27"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2" w:history="1">
        <w:r w:rsidRPr="00556E35">
          <w:rPr>
            <w:rStyle w:val="Hyperlink"/>
            <w:rFonts w:ascii="Tahoma" w:hAnsi="Tahoma" w:cs="Tahoma"/>
            <w:noProof/>
            <w:sz w:val="24"/>
            <w:szCs w:val="24"/>
          </w:rPr>
          <w:t xml:space="preserve">Figure 1: </w:t>
        </w:r>
        <w:r w:rsidRPr="00556E35">
          <w:rPr>
            <w:rStyle w:val="Hyperlink"/>
            <w:rFonts w:ascii="Tahoma" w:hAnsi="Tahoma" w:cs="Tahoma"/>
            <w:noProof/>
            <w:sz w:val="24"/>
            <w:szCs w:val="24"/>
            <w:lang w:val="en-US"/>
          </w:rPr>
          <w:t>Global Economic Growth Developments</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_Toc184215202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1</w:t>
        </w:r>
        <w:r w:rsidRPr="00556E35">
          <w:rPr>
            <w:rFonts w:ascii="Tahoma" w:hAnsi="Tahoma" w:cs="Tahoma"/>
            <w:noProof/>
            <w:webHidden/>
            <w:sz w:val="24"/>
            <w:szCs w:val="24"/>
          </w:rPr>
          <w:fldChar w:fldCharType="end"/>
        </w:r>
      </w:hyperlink>
    </w:p>
    <w:p w14:paraId="19BC1818" w14:textId="7020007C"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3" w:history="1">
        <w:r w:rsidRPr="00556E35">
          <w:rPr>
            <w:rStyle w:val="Hyperlink"/>
            <w:rFonts w:ascii="Tahoma" w:hAnsi="Tahoma" w:cs="Tahoma"/>
            <w:noProof/>
            <w:sz w:val="24"/>
            <w:szCs w:val="24"/>
            <w:lang w:val="en-US"/>
          </w:rPr>
          <w:t>Figure 2: Zimbabwe Economic Growth Prospects</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_Toc184215203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3</w:t>
        </w:r>
        <w:r w:rsidRPr="00556E35">
          <w:rPr>
            <w:rFonts w:ascii="Tahoma" w:hAnsi="Tahoma" w:cs="Tahoma"/>
            <w:noProof/>
            <w:webHidden/>
            <w:sz w:val="24"/>
            <w:szCs w:val="24"/>
          </w:rPr>
          <w:fldChar w:fldCharType="end"/>
        </w:r>
      </w:hyperlink>
    </w:p>
    <w:p w14:paraId="5FF522B0" w14:textId="5AC5F768"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4" w:history="1">
        <w:r w:rsidRPr="00556E35">
          <w:rPr>
            <w:rStyle w:val="Hyperlink"/>
            <w:rFonts w:ascii="Tahoma" w:hAnsi="Tahoma" w:cs="Tahoma"/>
            <w:noProof/>
            <w:sz w:val="24"/>
            <w:szCs w:val="24"/>
          </w:rPr>
          <w:t xml:space="preserve">Figure </w:t>
        </w:r>
        <w:r w:rsidRPr="00556E35">
          <w:rPr>
            <w:rStyle w:val="Hyperlink"/>
            <w:rFonts w:ascii="Tahoma" w:hAnsi="Tahoma" w:cs="Tahoma"/>
            <w:bCs/>
            <w:noProof/>
            <w:sz w:val="24"/>
            <w:szCs w:val="24"/>
          </w:rPr>
          <w:t>3</w:t>
        </w:r>
        <w:r w:rsidRPr="00556E35">
          <w:rPr>
            <w:rStyle w:val="Hyperlink"/>
            <w:rFonts w:ascii="Tahoma" w:hAnsi="Tahoma" w:cs="Tahoma"/>
            <w:noProof/>
            <w:sz w:val="24"/>
            <w:szCs w:val="24"/>
          </w:rPr>
          <w:t xml:space="preserve">: </w:t>
        </w:r>
        <w:r w:rsidRPr="00556E35">
          <w:rPr>
            <w:rStyle w:val="Hyperlink"/>
            <w:rFonts w:ascii="Tahoma" w:hAnsi="Tahoma" w:cs="Tahoma"/>
            <w:noProof/>
            <w:sz w:val="24"/>
            <w:szCs w:val="24"/>
            <w:lang w:val="en-US"/>
          </w:rPr>
          <w:t>Merchandise Trade Developments</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_Toc184215204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4</w:t>
        </w:r>
        <w:r w:rsidRPr="00556E35">
          <w:rPr>
            <w:rFonts w:ascii="Tahoma" w:hAnsi="Tahoma" w:cs="Tahoma"/>
            <w:noProof/>
            <w:webHidden/>
            <w:sz w:val="24"/>
            <w:szCs w:val="24"/>
          </w:rPr>
          <w:fldChar w:fldCharType="end"/>
        </w:r>
      </w:hyperlink>
    </w:p>
    <w:p w14:paraId="5A40AF33" w14:textId="0274BCEA"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5" w:history="1">
        <w:r w:rsidRPr="00556E35">
          <w:rPr>
            <w:rStyle w:val="Hyperlink"/>
            <w:rFonts w:ascii="Tahoma" w:hAnsi="Tahoma" w:cs="Tahoma"/>
            <w:noProof/>
            <w:sz w:val="24"/>
            <w:szCs w:val="24"/>
          </w:rPr>
          <w:t>Figure 4: Parallel Market Developments - November 2024</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_Toc184215205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5</w:t>
        </w:r>
        <w:r w:rsidRPr="00556E35">
          <w:rPr>
            <w:rFonts w:ascii="Tahoma" w:hAnsi="Tahoma" w:cs="Tahoma"/>
            <w:noProof/>
            <w:webHidden/>
            <w:sz w:val="24"/>
            <w:szCs w:val="24"/>
          </w:rPr>
          <w:fldChar w:fldCharType="end"/>
        </w:r>
      </w:hyperlink>
    </w:p>
    <w:p w14:paraId="7E8E1BA1" w14:textId="399B1BE3"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6" w:history="1">
        <w:r w:rsidRPr="00556E35">
          <w:rPr>
            <w:rStyle w:val="Hyperlink"/>
            <w:rFonts w:ascii="Tahoma" w:hAnsi="Tahoma" w:cs="Tahoma"/>
            <w:noProof/>
            <w:sz w:val="24"/>
            <w:szCs w:val="24"/>
          </w:rPr>
          <w:t>Figure 5: Month-on-Month ZWG Inflation Outturn</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_Toc184215206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6</w:t>
        </w:r>
        <w:r w:rsidRPr="00556E35">
          <w:rPr>
            <w:rFonts w:ascii="Tahoma" w:hAnsi="Tahoma" w:cs="Tahoma"/>
            <w:noProof/>
            <w:webHidden/>
            <w:sz w:val="24"/>
            <w:szCs w:val="24"/>
          </w:rPr>
          <w:fldChar w:fldCharType="end"/>
        </w:r>
      </w:hyperlink>
    </w:p>
    <w:p w14:paraId="2CC6E31B" w14:textId="1F8FDCBE"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7" w:history="1">
        <w:r w:rsidRPr="00556E35">
          <w:rPr>
            <w:rStyle w:val="Hyperlink"/>
            <w:rFonts w:ascii="Tahoma" w:hAnsi="Tahoma" w:cs="Tahoma"/>
            <w:noProof/>
            <w:sz w:val="24"/>
            <w:szCs w:val="24"/>
          </w:rPr>
          <w:t xml:space="preserve">Figure </w:t>
        </w:r>
        <w:r w:rsidRPr="00556E35">
          <w:rPr>
            <w:rStyle w:val="Hyperlink"/>
            <w:rFonts w:ascii="Tahoma" w:hAnsi="Tahoma" w:cs="Tahoma"/>
            <w:bCs/>
            <w:noProof/>
            <w:sz w:val="24"/>
            <w:szCs w:val="24"/>
          </w:rPr>
          <w:t>6</w:t>
        </w:r>
        <w:r w:rsidRPr="00556E35">
          <w:rPr>
            <w:rStyle w:val="Hyperlink"/>
            <w:rFonts w:ascii="Tahoma" w:hAnsi="Tahoma" w:cs="Tahoma"/>
            <w:noProof/>
            <w:sz w:val="24"/>
            <w:szCs w:val="24"/>
          </w:rPr>
          <w:t xml:space="preserve">: </w:t>
        </w:r>
        <w:r w:rsidRPr="00556E35">
          <w:rPr>
            <w:rStyle w:val="Hyperlink"/>
            <w:rFonts w:ascii="Tahoma" w:hAnsi="Tahoma" w:cs="Tahoma"/>
            <w:noProof/>
            <w:sz w:val="24"/>
            <w:szCs w:val="24"/>
            <w:lang w:val="en-US"/>
          </w:rPr>
          <w:t>Month-on-Month Weighted Inflation Outturn</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_Toc184215207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6</w:t>
        </w:r>
        <w:r w:rsidRPr="00556E35">
          <w:rPr>
            <w:rFonts w:ascii="Tahoma" w:hAnsi="Tahoma" w:cs="Tahoma"/>
            <w:noProof/>
            <w:webHidden/>
            <w:sz w:val="24"/>
            <w:szCs w:val="24"/>
          </w:rPr>
          <w:fldChar w:fldCharType="end"/>
        </w:r>
      </w:hyperlink>
    </w:p>
    <w:p w14:paraId="650340C6" w14:textId="35D84311" w:rsidR="00B3127C" w:rsidRPr="00556E35" w:rsidRDefault="00B3127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4215208" w:history="1">
        <w:r w:rsidRPr="00556E35">
          <w:rPr>
            <w:rStyle w:val="Hyperlink"/>
            <w:rFonts w:ascii="Tahoma" w:hAnsi="Tahoma" w:cs="Tahoma"/>
            <w:noProof/>
            <w:sz w:val="24"/>
            <w:szCs w:val="24"/>
          </w:rPr>
          <w:t>Figure 7: Broad Money (M3) Supply</w:t>
        </w:r>
        <w:r w:rsidRPr="00556E35">
          <w:rPr>
            <w:rFonts w:ascii="Tahoma" w:hAnsi="Tahoma" w:cs="Tahoma"/>
            <w:noProof/>
            <w:webHidden/>
            <w:sz w:val="24"/>
            <w:szCs w:val="24"/>
          </w:rPr>
          <w:tab/>
        </w:r>
        <w:r w:rsidRPr="00556E35">
          <w:rPr>
            <w:rFonts w:ascii="Tahoma" w:hAnsi="Tahoma" w:cs="Tahoma"/>
            <w:noProof/>
            <w:webHidden/>
            <w:sz w:val="24"/>
            <w:szCs w:val="24"/>
          </w:rPr>
          <w:fldChar w:fldCharType="begin"/>
        </w:r>
        <w:r w:rsidRPr="00556E35">
          <w:rPr>
            <w:rFonts w:ascii="Tahoma" w:hAnsi="Tahoma" w:cs="Tahoma"/>
            <w:noProof/>
            <w:webHidden/>
            <w:sz w:val="24"/>
            <w:szCs w:val="24"/>
          </w:rPr>
          <w:instrText xml:space="preserve"> PAGEREF _Toc184215208 \h </w:instrText>
        </w:r>
        <w:r w:rsidRPr="00556E35">
          <w:rPr>
            <w:rFonts w:ascii="Tahoma" w:hAnsi="Tahoma" w:cs="Tahoma"/>
            <w:noProof/>
            <w:webHidden/>
            <w:sz w:val="24"/>
            <w:szCs w:val="24"/>
          </w:rPr>
        </w:r>
        <w:r w:rsidRPr="00556E35">
          <w:rPr>
            <w:rFonts w:ascii="Tahoma" w:hAnsi="Tahoma" w:cs="Tahoma"/>
            <w:noProof/>
            <w:webHidden/>
            <w:sz w:val="24"/>
            <w:szCs w:val="24"/>
          </w:rPr>
          <w:fldChar w:fldCharType="separate"/>
        </w:r>
        <w:r w:rsidR="00450A9F">
          <w:rPr>
            <w:rFonts w:ascii="Tahoma" w:hAnsi="Tahoma" w:cs="Tahoma"/>
            <w:noProof/>
            <w:webHidden/>
            <w:sz w:val="24"/>
            <w:szCs w:val="24"/>
          </w:rPr>
          <w:t>8</w:t>
        </w:r>
        <w:r w:rsidRPr="00556E35">
          <w:rPr>
            <w:rFonts w:ascii="Tahoma" w:hAnsi="Tahoma" w:cs="Tahoma"/>
            <w:noProof/>
            <w:webHidden/>
            <w:sz w:val="24"/>
            <w:szCs w:val="24"/>
          </w:rPr>
          <w:fldChar w:fldCharType="end"/>
        </w:r>
      </w:hyperlink>
    </w:p>
    <w:p w14:paraId="45D7305C" w14:textId="77777777" w:rsidR="000129B7" w:rsidRPr="009950A4" w:rsidRDefault="00E76009" w:rsidP="000129B7">
      <w:pPr>
        <w:rPr>
          <w:rFonts w:ascii="Tahoma" w:hAnsi="Tahoma" w:cs="Tahoma"/>
          <w:b/>
          <w:color w:val="000000"/>
          <w:sz w:val="24"/>
          <w:szCs w:val="24"/>
          <w:lang w:val="en-US"/>
        </w:rPr>
        <w:sectPr w:rsidR="000129B7" w:rsidRPr="009950A4" w:rsidSect="006D22C2">
          <w:pgSz w:w="11906" w:h="16838"/>
          <w:pgMar w:top="1440" w:right="1440" w:bottom="1440" w:left="1440" w:header="708" w:footer="708" w:gutter="0"/>
          <w:pgNumType w:fmt="lowerRoman" w:start="1"/>
          <w:cols w:space="708"/>
          <w:docGrid w:linePitch="360"/>
        </w:sectPr>
      </w:pPr>
      <w:r w:rsidRPr="009950A4">
        <w:rPr>
          <w:rFonts w:ascii="Tahoma" w:hAnsi="Tahoma" w:cs="Tahoma"/>
          <w:sz w:val="24"/>
          <w:szCs w:val="24"/>
          <w:lang w:val="en-US"/>
        </w:rPr>
        <w:fldChar w:fldCharType="end"/>
      </w:r>
    </w:p>
    <w:p w14:paraId="6B671069" w14:textId="77777777" w:rsidR="007A3E1D" w:rsidRPr="00721CC2" w:rsidRDefault="004F680D" w:rsidP="00F05BD5">
      <w:pPr>
        <w:pStyle w:val="Heading1"/>
        <w:spacing w:before="0" w:after="240"/>
        <w:rPr>
          <w:lang w:val="en-US"/>
        </w:rPr>
      </w:pPr>
      <w:bookmarkStart w:id="2" w:name="_Toc166607889"/>
      <w:bookmarkStart w:id="3" w:name="_Toc184215732"/>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2"/>
      <w:bookmarkEnd w:id="3"/>
      <w:r w:rsidR="007A3E1D" w:rsidRPr="00721CC2">
        <w:rPr>
          <w:lang w:val="en-US"/>
        </w:rPr>
        <w:t xml:space="preserve"> </w:t>
      </w:r>
    </w:p>
    <w:p w14:paraId="6BED87EC" w14:textId="77777777" w:rsidR="00E0023D" w:rsidRPr="00863A17" w:rsidRDefault="004F680D" w:rsidP="00BC5A90">
      <w:pPr>
        <w:pStyle w:val="Heading2"/>
        <w:spacing w:before="0" w:after="240" w:line="240" w:lineRule="auto"/>
        <w:rPr>
          <w:rFonts w:cs="Tahoma"/>
          <w:b/>
          <w:color w:val="000000"/>
          <w:szCs w:val="24"/>
          <w:lang w:val="en-US"/>
        </w:rPr>
      </w:pPr>
      <w:bookmarkStart w:id="4" w:name="_Toc166607890"/>
      <w:bookmarkStart w:id="5" w:name="_Toc184215733"/>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4"/>
      <w:bookmarkEnd w:id="5"/>
      <w:r w:rsidR="00E0023D" w:rsidRPr="00863A17">
        <w:rPr>
          <w:rFonts w:cs="Tahoma"/>
          <w:b/>
          <w:color w:val="000000"/>
          <w:szCs w:val="24"/>
          <w:lang w:val="en-US"/>
        </w:rPr>
        <w:t xml:space="preserve"> </w:t>
      </w:r>
    </w:p>
    <w:p w14:paraId="71C8C3A7" w14:textId="436EC17B" w:rsidR="00AB70DE" w:rsidRDefault="004F680D" w:rsidP="00187505">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AB70DE">
        <w:rPr>
          <w:rFonts w:ascii="Tahoma" w:hAnsi="Tahoma" w:cs="Tahoma"/>
          <w:sz w:val="24"/>
          <w:szCs w:val="24"/>
        </w:rPr>
        <w:tab/>
      </w:r>
      <w:r w:rsidR="00BB45D5">
        <w:rPr>
          <w:rFonts w:ascii="Tahoma" w:hAnsi="Tahoma" w:cs="Tahoma"/>
          <w:sz w:val="24"/>
          <w:szCs w:val="24"/>
        </w:rPr>
        <w:t>According to OECD Economic Outlook (2024)</w:t>
      </w:r>
      <w:r w:rsidR="002912BB">
        <w:rPr>
          <w:rFonts w:ascii="Tahoma" w:hAnsi="Tahoma" w:cs="Tahoma"/>
          <w:sz w:val="24"/>
          <w:szCs w:val="24"/>
        </w:rPr>
        <w:t xml:space="preserve"> and the</w:t>
      </w:r>
      <w:r w:rsidR="00BB45D5">
        <w:rPr>
          <w:rFonts w:ascii="Tahoma" w:hAnsi="Tahoma" w:cs="Tahoma"/>
          <w:sz w:val="24"/>
          <w:szCs w:val="24"/>
        </w:rPr>
        <w:t xml:space="preserve"> </w:t>
      </w:r>
      <w:r w:rsidR="002912BB">
        <w:rPr>
          <w:rFonts w:ascii="Tahoma" w:hAnsi="Tahoma" w:cs="Tahoma"/>
          <w:sz w:val="24"/>
          <w:szCs w:val="24"/>
        </w:rPr>
        <w:t xml:space="preserve">International Monetary Fund (IMF) World Economic Outlook (WEO) October 2024 Update, </w:t>
      </w:r>
      <w:r w:rsidR="00BB45D5">
        <w:rPr>
          <w:rFonts w:ascii="Tahoma" w:hAnsi="Tahoma" w:cs="Tahoma"/>
          <w:sz w:val="24"/>
          <w:szCs w:val="24"/>
        </w:rPr>
        <w:t xml:space="preserve">global economy has remained resilient in 2024 with a growth projection of 3.2%. In the advanced economies, growth in the United States remain </w:t>
      </w:r>
      <w:r w:rsidR="001C3D17">
        <w:rPr>
          <w:rFonts w:ascii="Tahoma" w:hAnsi="Tahoma" w:cs="Tahoma"/>
          <w:sz w:val="24"/>
          <w:szCs w:val="24"/>
        </w:rPr>
        <w:t>solid,</w:t>
      </w:r>
      <w:r w:rsidR="00BB45D5">
        <w:rPr>
          <w:rFonts w:ascii="Tahoma" w:hAnsi="Tahoma" w:cs="Tahoma"/>
          <w:sz w:val="24"/>
          <w:szCs w:val="24"/>
        </w:rPr>
        <w:t xml:space="preserve"> with private consumption underpinned by wage gains and relatively robust in Netherlands and Spain.</w:t>
      </w:r>
      <w:r w:rsidR="001C3D17">
        <w:rPr>
          <w:rFonts w:ascii="Tahoma" w:hAnsi="Tahoma" w:cs="Tahoma"/>
          <w:sz w:val="24"/>
          <w:szCs w:val="24"/>
        </w:rPr>
        <w:t xml:space="preserve"> In emerging markets, China growth held up in third quarter, with industrial growth due to exports strengthening but demand remained soft while India and Indonesia expansion being driven by domestic demand. In the European countries, activity remain more modest in manufacturing than in service sector.</w:t>
      </w:r>
    </w:p>
    <w:p w14:paraId="78FCC6A4" w14:textId="4D3C52E6" w:rsidR="00AB70DE" w:rsidRDefault="00AB70DE" w:rsidP="004F680D">
      <w:pPr>
        <w:ind w:left="720" w:hanging="720"/>
        <w:jc w:val="both"/>
        <w:rPr>
          <w:rFonts w:ascii="Tahoma" w:hAnsi="Tahoma" w:cs="Tahoma"/>
          <w:sz w:val="24"/>
          <w:szCs w:val="24"/>
        </w:rPr>
      </w:pPr>
      <w:r>
        <w:rPr>
          <w:rFonts w:ascii="Tahoma" w:hAnsi="Tahoma" w:cs="Tahoma"/>
          <w:sz w:val="24"/>
          <w:szCs w:val="24"/>
        </w:rPr>
        <w:t>1.1.2</w:t>
      </w:r>
      <w:r>
        <w:rPr>
          <w:rFonts w:ascii="Tahoma" w:hAnsi="Tahoma" w:cs="Tahoma"/>
          <w:sz w:val="24"/>
          <w:szCs w:val="24"/>
        </w:rPr>
        <w:tab/>
      </w:r>
      <w:r w:rsidR="002912BB">
        <w:rPr>
          <w:rFonts w:ascii="Tahoma" w:hAnsi="Tahoma" w:cs="Tahoma"/>
          <w:sz w:val="24"/>
          <w:szCs w:val="24"/>
        </w:rPr>
        <w:t xml:space="preserve">Looking ahead, </w:t>
      </w:r>
      <w:bookmarkStart w:id="6" w:name="_Hlk166602890"/>
      <w:r w:rsidR="002912BB">
        <w:rPr>
          <w:rFonts w:ascii="Tahoma" w:hAnsi="Tahoma" w:cs="Tahoma"/>
          <w:sz w:val="24"/>
          <w:szCs w:val="24"/>
        </w:rPr>
        <w:t>t</w:t>
      </w:r>
      <w:r w:rsidR="00187505">
        <w:rPr>
          <w:rFonts w:ascii="Tahoma" w:hAnsi="Tahoma" w:cs="Tahoma"/>
          <w:sz w:val="24"/>
          <w:szCs w:val="24"/>
        </w:rPr>
        <w:t>he OECD Economic Outlook (2024) project</w:t>
      </w:r>
      <w:r w:rsidR="002912BB">
        <w:rPr>
          <w:rFonts w:ascii="Tahoma" w:hAnsi="Tahoma" w:cs="Tahoma"/>
          <w:sz w:val="24"/>
          <w:szCs w:val="24"/>
        </w:rPr>
        <w:t>s</w:t>
      </w:r>
      <w:r w:rsidR="00934976">
        <w:rPr>
          <w:rFonts w:ascii="Tahoma" w:hAnsi="Tahoma" w:cs="Tahoma"/>
          <w:sz w:val="24"/>
          <w:szCs w:val="24"/>
        </w:rPr>
        <w:t xml:space="preserve"> a 3.3% global growth in 2025 and 2026</w:t>
      </w:r>
      <w:r w:rsidR="00870C37">
        <w:rPr>
          <w:rFonts w:ascii="Tahoma" w:hAnsi="Tahoma" w:cs="Tahoma"/>
          <w:sz w:val="24"/>
          <w:szCs w:val="24"/>
        </w:rPr>
        <w:t xml:space="preserve"> due to legged impact of monetary tightening, declining global inflation</w:t>
      </w:r>
      <w:r w:rsidR="00DF0833">
        <w:rPr>
          <w:rFonts w:ascii="Tahoma" w:hAnsi="Tahoma" w:cs="Tahoma"/>
          <w:sz w:val="24"/>
          <w:szCs w:val="24"/>
        </w:rPr>
        <w:t>, see Figure 1</w:t>
      </w:r>
      <w:r w:rsidR="00870C37">
        <w:rPr>
          <w:rFonts w:ascii="Tahoma" w:hAnsi="Tahoma" w:cs="Tahoma"/>
          <w:sz w:val="24"/>
          <w:szCs w:val="24"/>
        </w:rPr>
        <w:t>.</w:t>
      </w:r>
    </w:p>
    <w:p w14:paraId="7D220C46" w14:textId="007CCE9F" w:rsidR="00E31148" w:rsidRDefault="000038E5" w:rsidP="000038E5">
      <w:pPr>
        <w:pStyle w:val="ListofFigures"/>
        <w:rPr>
          <w:lang w:val="en-US"/>
        </w:rPr>
      </w:pPr>
      <w:bookmarkStart w:id="7" w:name="_Toc164072362"/>
      <w:bookmarkStart w:id="8" w:name="_Toc166658889"/>
      <w:bookmarkStart w:id="9" w:name="_Toc184215202"/>
      <w:bookmarkEnd w:id="6"/>
      <w:r>
        <w:t>Figure</w:t>
      </w:r>
      <w:r w:rsidR="00BC5A90" w:rsidRPr="00863A17">
        <w:t xml:space="preserve"> </w:t>
      </w:r>
      <w:r w:rsidR="00BC5A90" w:rsidRPr="00863A17">
        <w:fldChar w:fldCharType="begin"/>
      </w:r>
      <w:r w:rsidR="00BC5A90" w:rsidRPr="00863A17">
        <w:instrText xml:space="preserve"> SEQ Table \* ARABIC </w:instrText>
      </w:r>
      <w:r w:rsidR="00BC5A90" w:rsidRPr="00863A17">
        <w:fldChar w:fldCharType="separate"/>
      </w:r>
      <w:r w:rsidR="00D30418">
        <w:t>1</w:t>
      </w:r>
      <w:r w:rsidR="00BC5A90" w:rsidRPr="00863A17">
        <w:fldChar w:fldCharType="end"/>
      </w:r>
      <w:r w:rsidR="00BC5A90" w:rsidRPr="00863A17">
        <w:t xml:space="preserve">: </w:t>
      </w:r>
      <w:r w:rsidR="00BC5A90" w:rsidRPr="00863A17">
        <w:rPr>
          <w:lang w:val="en-US"/>
        </w:rPr>
        <w:t>Global Economic Growth Developments</w:t>
      </w:r>
      <w:bookmarkEnd w:id="7"/>
      <w:bookmarkEnd w:id="8"/>
      <w:bookmarkEnd w:id="9"/>
    </w:p>
    <w:p w14:paraId="0F0E57A0" w14:textId="7A3D215B" w:rsidR="000038E5" w:rsidRPr="000038E5" w:rsidRDefault="005219CF" w:rsidP="00F05BD5">
      <w:pPr>
        <w:rPr>
          <w:rFonts w:ascii="Tahoma" w:hAnsi="Tahoma" w:cs="Tahoma"/>
          <w:iCs/>
          <w:sz w:val="24"/>
          <w:szCs w:val="24"/>
          <w:lang w:val="en-US"/>
        </w:rPr>
      </w:pPr>
      <w:r>
        <w:rPr>
          <w:noProof/>
        </w:rPr>
        <w:drawing>
          <wp:inline distT="0" distB="0" distL="0" distR="0" wp14:anchorId="1635A489" wp14:editId="51C36BBC">
            <wp:extent cx="5731510" cy="2414905"/>
            <wp:effectExtent l="0" t="0" r="2540" b="4445"/>
            <wp:docPr id="2010903863" name="Chart 1">
              <a:extLst xmlns:a="http://schemas.openxmlformats.org/drawingml/2006/main">
                <a:ext uri="{FF2B5EF4-FFF2-40B4-BE49-F238E27FC236}">
                  <a16:creationId xmlns:a16="http://schemas.microsoft.com/office/drawing/2014/main" id="{50136E8B-512E-A365-6A44-5E25CD5D6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2A3983" w14:textId="069A0EB4" w:rsidR="00E36CF6" w:rsidRPr="00863A17" w:rsidRDefault="00E31148" w:rsidP="00F05BD5">
      <w:pPr>
        <w:rPr>
          <w:rFonts w:ascii="Tahoma" w:hAnsi="Tahoma" w:cs="Tahoma"/>
          <w:i/>
          <w:sz w:val="24"/>
          <w:szCs w:val="24"/>
        </w:rPr>
      </w:pPr>
      <w:r w:rsidRPr="00863A17">
        <w:rPr>
          <w:rFonts w:ascii="Tahoma" w:hAnsi="Tahoma" w:cs="Tahoma"/>
          <w:i/>
          <w:sz w:val="24"/>
          <w:szCs w:val="24"/>
          <w:lang w:val="en-US"/>
        </w:rPr>
        <w:t xml:space="preserve">Source: </w:t>
      </w:r>
      <w:r w:rsidR="00FC73FE">
        <w:rPr>
          <w:rFonts w:ascii="Tahoma" w:hAnsi="Tahoma" w:cs="Tahoma"/>
          <w:i/>
          <w:sz w:val="24"/>
          <w:szCs w:val="24"/>
          <w:lang w:val="en-US"/>
        </w:rPr>
        <w:t xml:space="preserve">IMF, WEO </w:t>
      </w:r>
      <w:r w:rsidR="00A41D77">
        <w:rPr>
          <w:rFonts w:ascii="Tahoma" w:hAnsi="Tahoma" w:cs="Tahoma"/>
          <w:i/>
          <w:sz w:val="24"/>
          <w:szCs w:val="24"/>
          <w:lang w:val="en-US"/>
        </w:rPr>
        <w:t>October</w:t>
      </w:r>
      <w:r w:rsidR="00FC73FE">
        <w:rPr>
          <w:rFonts w:ascii="Tahoma" w:hAnsi="Tahoma" w:cs="Tahoma"/>
          <w:i/>
          <w:sz w:val="24"/>
          <w:szCs w:val="24"/>
          <w:lang w:val="en-US"/>
        </w:rPr>
        <w:t xml:space="preserve"> 2024 </w:t>
      </w:r>
      <w:r w:rsidR="00664692">
        <w:rPr>
          <w:rFonts w:ascii="Tahoma" w:hAnsi="Tahoma" w:cs="Tahoma"/>
          <w:i/>
          <w:sz w:val="24"/>
          <w:szCs w:val="24"/>
          <w:lang w:val="en-US"/>
        </w:rPr>
        <w:t>U</w:t>
      </w:r>
      <w:r w:rsidR="00FC73FE">
        <w:rPr>
          <w:rFonts w:ascii="Tahoma" w:hAnsi="Tahoma" w:cs="Tahoma"/>
          <w:i/>
          <w:sz w:val="24"/>
          <w:szCs w:val="24"/>
          <w:lang w:val="en-US"/>
        </w:rPr>
        <w:t>pdate</w:t>
      </w:r>
      <w:r w:rsidR="00DA7560">
        <w:rPr>
          <w:rFonts w:ascii="Tahoma" w:hAnsi="Tahoma" w:cs="Tahoma"/>
          <w:i/>
          <w:sz w:val="24"/>
          <w:szCs w:val="24"/>
          <w:lang w:val="en-US"/>
        </w:rPr>
        <w:t xml:space="preserve"> and OECD Economic Outlook (2024)</w:t>
      </w:r>
    </w:p>
    <w:p w14:paraId="572B34D6" w14:textId="77777777" w:rsidR="007A3E1D" w:rsidRPr="00863A17" w:rsidRDefault="004F680D" w:rsidP="00BC5A90">
      <w:pPr>
        <w:pStyle w:val="Heading2"/>
        <w:spacing w:before="0" w:after="240" w:line="240" w:lineRule="auto"/>
        <w:rPr>
          <w:rFonts w:cs="Tahoma"/>
          <w:b/>
          <w:color w:val="000000"/>
          <w:szCs w:val="24"/>
          <w:lang w:val="en-US"/>
        </w:rPr>
      </w:pPr>
      <w:bookmarkStart w:id="10" w:name="_Toc166607891"/>
      <w:bookmarkStart w:id="11" w:name="_Toc184215734"/>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10"/>
      <w:bookmarkEnd w:id="11"/>
      <w:r w:rsidR="007A3E1D" w:rsidRPr="00863A17">
        <w:rPr>
          <w:rFonts w:cs="Tahoma"/>
          <w:b/>
          <w:color w:val="000000"/>
          <w:szCs w:val="24"/>
          <w:lang w:val="en-US"/>
        </w:rPr>
        <w:t xml:space="preserve"> </w:t>
      </w:r>
    </w:p>
    <w:p w14:paraId="7A40DC3A" w14:textId="37435315" w:rsidR="005B02E0" w:rsidRPr="00DE3766" w:rsidRDefault="004F680D" w:rsidP="00DE3766">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r w:rsidR="00E87DBE">
        <w:rPr>
          <w:rFonts w:ascii="Tahoma" w:hAnsi="Tahoma" w:cs="Tahoma"/>
          <w:sz w:val="24"/>
          <w:szCs w:val="24"/>
          <w:lang w:val="en-US"/>
        </w:rPr>
        <w:t>Global i</w:t>
      </w:r>
      <w:r w:rsidR="00BC7AAF">
        <w:rPr>
          <w:rFonts w:ascii="Tahoma" w:hAnsi="Tahoma" w:cs="Tahoma"/>
          <w:sz w:val="24"/>
          <w:szCs w:val="24"/>
          <w:lang w:val="en-US"/>
        </w:rPr>
        <w:t>nflation</w:t>
      </w:r>
      <w:r w:rsidR="00E87DBE">
        <w:rPr>
          <w:rFonts w:ascii="Tahoma" w:hAnsi="Tahoma" w:cs="Tahoma"/>
          <w:sz w:val="24"/>
          <w:szCs w:val="24"/>
          <w:lang w:val="en-US"/>
        </w:rPr>
        <w:t xml:space="preserve"> remains projected to </w:t>
      </w:r>
      <w:r w:rsidR="0043763F">
        <w:rPr>
          <w:rFonts w:ascii="Tahoma" w:hAnsi="Tahoma" w:cs="Tahoma"/>
          <w:sz w:val="24"/>
          <w:szCs w:val="24"/>
          <w:lang w:val="en-US"/>
        </w:rPr>
        <w:t>steadily</w:t>
      </w:r>
      <w:r w:rsidR="00E87DBE">
        <w:rPr>
          <w:rFonts w:ascii="Tahoma" w:hAnsi="Tahoma" w:cs="Tahoma"/>
          <w:sz w:val="24"/>
          <w:szCs w:val="24"/>
          <w:lang w:val="en-US"/>
        </w:rPr>
        <w:t xml:space="preserve"> decelerate from 6.7% in 2023 to 5.8% in 2024 and to </w:t>
      </w:r>
      <w:r w:rsidR="00606D9C">
        <w:rPr>
          <w:rFonts w:ascii="Tahoma" w:hAnsi="Tahoma" w:cs="Tahoma"/>
          <w:sz w:val="24"/>
          <w:szCs w:val="24"/>
          <w:lang w:val="en-US"/>
        </w:rPr>
        <w:t xml:space="preserve">4.3% in 2025 </w:t>
      </w:r>
      <w:r w:rsidR="00E87DBE">
        <w:rPr>
          <w:rFonts w:ascii="Tahoma" w:hAnsi="Tahoma" w:cs="Tahoma"/>
          <w:sz w:val="24"/>
          <w:szCs w:val="24"/>
          <w:lang w:val="en-US"/>
        </w:rPr>
        <w:t>due to decreasing commodity prices especially oil</w:t>
      </w:r>
      <w:bookmarkStart w:id="12" w:name="_Toc166608987"/>
      <w:r w:rsidR="00DE3766">
        <w:rPr>
          <w:rFonts w:ascii="Tahoma" w:hAnsi="Tahoma" w:cs="Tahoma"/>
          <w:sz w:val="24"/>
          <w:szCs w:val="24"/>
          <w:lang w:val="en-US"/>
        </w:rPr>
        <w:t xml:space="preserve"> and tight monetary policies adopted by many central banks.</w:t>
      </w:r>
    </w:p>
    <w:p w14:paraId="254D8D04" w14:textId="77777777" w:rsidR="00BB6E27" w:rsidRPr="00546CD8" w:rsidRDefault="004F680D" w:rsidP="00B42926">
      <w:pPr>
        <w:pStyle w:val="Heading1"/>
        <w:spacing w:before="0" w:after="240"/>
        <w:rPr>
          <w:lang w:val="en-US"/>
        </w:rPr>
      </w:pPr>
      <w:bookmarkStart w:id="13" w:name="_Toc166607892"/>
      <w:bookmarkStart w:id="14" w:name="_Toc184215735"/>
      <w:bookmarkEnd w:id="12"/>
      <w:r w:rsidRPr="00546CD8">
        <w:rPr>
          <w:lang w:val="en-US"/>
        </w:rPr>
        <w:t>2.0</w:t>
      </w:r>
      <w:r w:rsidRPr="00546CD8">
        <w:rPr>
          <w:lang w:val="en-US"/>
        </w:rPr>
        <w:tab/>
      </w:r>
      <w:r w:rsidR="00EF37FE" w:rsidRPr="00546CD8">
        <w:rPr>
          <w:lang w:val="en-US"/>
        </w:rPr>
        <w:t>International Commodity Prices</w:t>
      </w:r>
      <w:bookmarkEnd w:id="13"/>
      <w:bookmarkEnd w:id="14"/>
      <w:r w:rsidR="00EF37FE" w:rsidRPr="00546CD8">
        <w:rPr>
          <w:lang w:val="en-US"/>
        </w:rPr>
        <w:t xml:space="preserve"> </w:t>
      </w:r>
    </w:p>
    <w:p w14:paraId="2B279451" w14:textId="47DF7AD6" w:rsidR="00E63C0D" w:rsidRPr="00863A17" w:rsidRDefault="004F680D" w:rsidP="0047159F">
      <w:pPr>
        <w:ind w:left="720" w:hanging="720"/>
        <w:jc w:val="both"/>
        <w:rPr>
          <w:rFonts w:ascii="Tahoma" w:hAnsi="Tahoma" w:cs="Tahoma"/>
          <w:sz w:val="24"/>
          <w:szCs w:val="24"/>
          <w:lang w:val="en-US"/>
        </w:rPr>
      </w:pPr>
      <w:r w:rsidRPr="00863A17">
        <w:rPr>
          <w:rFonts w:ascii="Tahoma" w:hAnsi="Tahoma" w:cs="Tahoma"/>
          <w:sz w:val="24"/>
          <w:szCs w:val="24"/>
          <w:lang w:val="en-US"/>
        </w:rPr>
        <w:t>2.1</w:t>
      </w:r>
      <w:r w:rsidRPr="00863A17">
        <w:rPr>
          <w:rFonts w:ascii="Tahoma" w:hAnsi="Tahoma" w:cs="Tahoma"/>
          <w:sz w:val="24"/>
          <w:szCs w:val="24"/>
          <w:lang w:val="en-US"/>
        </w:rPr>
        <w:tab/>
      </w:r>
      <w:r w:rsidR="00EC632F">
        <w:rPr>
          <w:rFonts w:ascii="Tahoma" w:hAnsi="Tahoma" w:cs="Tahoma"/>
          <w:sz w:val="24"/>
          <w:szCs w:val="24"/>
          <w:lang w:val="en-US"/>
        </w:rPr>
        <w:t>The month-on-month prices for natural gas, nickel, cotton, soybeans and corn increased while crude oil, aluminum, copper, gold and wheat prices retreated</w:t>
      </w:r>
      <w:r w:rsidR="002912BB">
        <w:rPr>
          <w:rFonts w:ascii="Tahoma" w:hAnsi="Tahoma" w:cs="Tahoma"/>
          <w:sz w:val="24"/>
          <w:szCs w:val="24"/>
          <w:lang w:val="en-US"/>
        </w:rPr>
        <w:t xml:space="preserve">, see </w:t>
      </w:r>
      <w:r w:rsidR="00EC632F">
        <w:rPr>
          <w:rFonts w:ascii="Tahoma" w:hAnsi="Tahoma" w:cs="Tahoma"/>
          <w:sz w:val="24"/>
          <w:szCs w:val="24"/>
          <w:lang w:val="en-US"/>
        </w:rPr>
        <w:t xml:space="preserve">Table </w:t>
      </w:r>
      <w:r w:rsidR="000C2206">
        <w:rPr>
          <w:rFonts w:ascii="Tahoma" w:hAnsi="Tahoma" w:cs="Tahoma"/>
          <w:sz w:val="24"/>
          <w:szCs w:val="24"/>
          <w:lang w:val="en-US"/>
        </w:rPr>
        <w:t>1</w:t>
      </w:r>
      <w:r w:rsidR="00EC632F">
        <w:rPr>
          <w:rFonts w:ascii="Tahoma" w:hAnsi="Tahoma" w:cs="Tahoma"/>
          <w:sz w:val="24"/>
          <w:szCs w:val="24"/>
          <w:lang w:val="en-US"/>
        </w:rPr>
        <w:t xml:space="preserve">. </w:t>
      </w:r>
    </w:p>
    <w:p w14:paraId="717AAB46" w14:textId="2A7C650F" w:rsidR="00EC632F" w:rsidRPr="00E63C0D" w:rsidRDefault="004F680D" w:rsidP="00B13FFB">
      <w:pPr>
        <w:ind w:left="720" w:hanging="720"/>
        <w:jc w:val="both"/>
        <w:rPr>
          <w:rFonts w:ascii="Tahoma" w:hAnsi="Tahoma" w:cs="Tahoma"/>
          <w:sz w:val="24"/>
          <w:szCs w:val="24"/>
          <w:lang w:val="en-US"/>
        </w:rPr>
      </w:pPr>
      <w:r w:rsidRPr="00863A17">
        <w:rPr>
          <w:rFonts w:ascii="Tahoma" w:hAnsi="Tahoma" w:cs="Tahoma"/>
          <w:sz w:val="24"/>
          <w:szCs w:val="24"/>
          <w:lang w:val="en-US"/>
        </w:rPr>
        <w:lastRenderedPageBreak/>
        <w:t>2.2</w:t>
      </w:r>
      <w:r w:rsidRPr="00863A17">
        <w:rPr>
          <w:rFonts w:ascii="Tahoma" w:hAnsi="Tahoma" w:cs="Tahoma"/>
          <w:sz w:val="24"/>
          <w:szCs w:val="24"/>
          <w:lang w:val="en-US"/>
        </w:rPr>
        <w:tab/>
      </w:r>
      <w:r w:rsidR="00EC632F">
        <w:rPr>
          <w:rFonts w:ascii="Tahoma" w:hAnsi="Tahoma" w:cs="Tahoma"/>
          <w:sz w:val="24"/>
          <w:szCs w:val="24"/>
          <w:lang w:val="en-US"/>
        </w:rPr>
        <w:t xml:space="preserve">On a month-on-month basis, crude oil, aluminum, copper, gold and wheat prices declined by 0.59%, 0,91%, 5.4%, 3.24% and 6.7% respectively. </w:t>
      </w:r>
      <w:r w:rsidR="006D311F">
        <w:rPr>
          <w:rFonts w:ascii="Tahoma" w:hAnsi="Tahoma" w:cs="Tahoma"/>
          <w:sz w:val="24"/>
          <w:szCs w:val="24"/>
          <w:lang w:val="en-US"/>
        </w:rPr>
        <w:t>The gainers are natural gas, nickel, cotton, soybeans, and corn with 23.2%, 1.76%, 1.95%, 0.71% and 3.47% respectively.</w:t>
      </w:r>
    </w:p>
    <w:p w14:paraId="63F4D1CA" w14:textId="47ADF61A" w:rsidR="00D2737C"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bookmarkStart w:id="15" w:name="_Hlk181774988"/>
      <w:r w:rsidR="00B13FFB">
        <w:rPr>
          <w:rFonts w:ascii="Tahoma" w:hAnsi="Tahoma" w:cs="Tahoma"/>
          <w:sz w:val="24"/>
          <w:szCs w:val="24"/>
          <w:lang w:val="en-US"/>
        </w:rPr>
        <w:t xml:space="preserve">Natural gas, aluminum, copper and gold prices gained on both YtD and YoY basis while crude oil, nickel, cotton, soybeans, corn and wheat prices retreated on both YtD and YoY basis. </w:t>
      </w:r>
      <w:bookmarkEnd w:id="15"/>
    </w:p>
    <w:p w14:paraId="2D1ED5C0" w14:textId="637835C9" w:rsidR="000732CC" w:rsidRPr="00D811C9" w:rsidRDefault="00D2737C" w:rsidP="004F680D">
      <w:pPr>
        <w:ind w:left="720" w:hanging="720"/>
        <w:jc w:val="both"/>
        <w:rPr>
          <w:rFonts w:ascii="Tahoma" w:hAnsi="Tahoma" w:cs="Tahoma"/>
          <w:sz w:val="24"/>
          <w:szCs w:val="24"/>
          <w:lang w:val="en-US"/>
        </w:rPr>
      </w:pPr>
      <w:r>
        <w:rPr>
          <w:rFonts w:ascii="Tahoma" w:hAnsi="Tahoma" w:cs="Tahoma"/>
          <w:sz w:val="24"/>
          <w:szCs w:val="24"/>
          <w:lang w:val="en-US"/>
        </w:rPr>
        <w:t>2.4</w:t>
      </w:r>
      <w:r>
        <w:rPr>
          <w:rFonts w:ascii="Tahoma" w:hAnsi="Tahoma" w:cs="Tahoma"/>
          <w:sz w:val="24"/>
          <w:szCs w:val="24"/>
          <w:lang w:val="en-US"/>
        </w:rPr>
        <w:tab/>
      </w:r>
      <w:r w:rsidR="00B13FFB">
        <w:rPr>
          <w:rFonts w:ascii="Tahoma" w:hAnsi="Tahoma" w:cs="Tahoma"/>
          <w:sz w:val="24"/>
          <w:szCs w:val="24"/>
          <w:lang w:val="en-US"/>
        </w:rPr>
        <w:t xml:space="preserve">According to RBZ (2024), crude oil prices retreated due to persistent concerns over weakening global demand and expectations of increased supply from Libya and the broader OPEC+ group. </w:t>
      </w:r>
      <w:r w:rsidR="002912BB">
        <w:rPr>
          <w:rFonts w:ascii="Tahoma" w:hAnsi="Tahoma" w:cs="Tahoma"/>
          <w:sz w:val="24"/>
          <w:szCs w:val="24"/>
          <w:lang w:val="en-US"/>
        </w:rPr>
        <w:t>T</w:t>
      </w:r>
      <w:r w:rsidR="002912BB" w:rsidRPr="002912BB">
        <w:rPr>
          <w:rFonts w:ascii="Tahoma" w:hAnsi="Tahoma" w:cs="Tahoma"/>
          <w:sz w:val="24"/>
          <w:szCs w:val="24"/>
          <w:lang w:val="en-US"/>
        </w:rPr>
        <w:t xml:space="preserve">he price trend for crude oil (brent) if maintained, indicates that </w:t>
      </w:r>
      <w:r w:rsidR="002912BB">
        <w:rPr>
          <w:rFonts w:ascii="Tahoma" w:hAnsi="Tahoma" w:cs="Tahoma"/>
          <w:sz w:val="24"/>
          <w:szCs w:val="24"/>
          <w:lang w:val="en-US"/>
        </w:rPr>
        <w:t>Zimbabwe</w:t>
      </w:r>
      <w:r w:rsidR="002912BB" w:rsidRPr="002912BB">
        <w:rPr>
          <w:rFonts w:ascii="Tahoma" w:hAnsi="Tahoma" w:cs="Tahoma"/>
          <w:sz w:val="24"/>
          <w:szCs w:val="24"/>
          <w:lang w:val="en-US"/>
        </w:rPr>
        <w:t xml:space="preserve"> is likely to experience reduction in fuel prices going forward. </w:t>
      </w:r>
    </w:p>
    <w:p w14:paraId="12FAF02F" w14:textId="2F5F31B7" w:rsidR="00EF37FE" w:rsidRPr="00AB0841" w:rsidRDefault="009F5CE5" w:rsidP="00E63964">
      <w:pPr>
        <w:pStyle w:val="ListofTables"/>
        <w:rPr>
          <w:lang w:val="en-US"/>
        </w:rPr>
      </w:pPr>
      <w:bookmarkStart w:id="16" w:name="_Toc164072363"/>
      <w:bookmarkStart w:id="17" w:name="_Toc166658890"/>
      <w:bookmarkStart w:id="18" w:name="_Toc184287491"/>
      <w:r w:rsidRPr="00863A17">
        <w:t xml:space="preserve">Table </w:t>
      </w:r>
      <w:r w:rsidR="000A7B2C">
        <w:t>1</w:t>
      </w:r>
      <w:r w:rsidRPr="00863A17">
        <w:t>:</w:t>
      </w:r>
      <w:r w:rsidRPr="00863A17">
        <w:rPr>
          <w:lang w:val="en-US"/>
        </w:rPr>
        <w:t xml:space="preserve"> Commodity Price Movements – </w:t>
      </w:r>
      <w:r w:rsidR="00761C54" w:rsidRPr="00863A17">
        <w:rPr>
          <w:lang w:val="en-US"/>
        </w:rPr>
        <w:t>Month</w:t>
      </w:r>
      <w:r w:rsidRPr="00863A17">
        <w:rPr>
          <w:lang w:val="en-US"/>
        </w:rPr>
        <w:t xml:space="preserve"> Ending </w:t>
      </w:r>
      <w:r w:rsidR="000A7B2C">
        <w:rPr>
          <w:lang w:val="en-US"/>
        </w:rPr>
        <w:t>29 November</w:t>
      </w:r>
      <w:r w:rsidRPr="00863A17">
        <w:rPr>
          <w:lang w:val="en-US"/>
        </w:rPr>
        <w:t xml:space="preserve"> 202</w:t>
      </w:r>
      <w:r w:rsidR="007A3D03" w:rsidRPr="00863A17">
        <w:rPr>
          <w:lang w:val="en-US"/>
        </w:rPr>
        <w:t>4</w:t>
      </w:r>
      <w:bookmarkEnd w:id="16"/>
      <w:bookmarkEnd w:id="17"/>
      <w:bookmarkEnd w:id="18"/>
    </w:p>
    <w:p w14:paraId="3FDCEEDA" w14:textId="6C29CE54" w:rsidR="009D4508" w:rsidRPr="00AB0841" w:rsidRDefault="00EC632F" w:rsidP="0076325F">
      <w:pPr>
        <w:spacing w:after="0"/>
        <w:rPr>
          <w:rFonts w:ascii="Tahoma" w:hAnsi="Tahoma" w:cs="Tahoma"/>
          <w:noProof/>
          <w:sz w:val="24"/>
          <w:szCs w:val="24"/>
          <w:lang w:eastAsia="en-ZW"/>
        </w:rPr>
      </w:pPr>
      <w:r w:rsidRPr="00EC632F">
        <w:rPr>
          <w:noProof/>
        </w:rPr>
        <w:drawing>
          <wp:inline distT="0" distB="0" distL="0" distR="0" wp14:anchorId="1ADD6394" wp14:editId="7F741E3E">
            <wp:extent cx="5731510" cy="1965325"/>
            <wp:effectExtent l="0" t="0" r="2540" b="0"/>
            <wp:docPr id="30402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160" name=""/>
                    <pic:cNvPicPr/>
                  </pic:nvPicPr>
                  <pic:blipFill>
                    <a:blip r:embed="rId11"/>
                    <a:stretch>
                      <a:fillRect/>
                    </a:stretch>
                  </pic:blipFill>
                  <pic:spPr>
                    <a:xfrm>
                      <a:off x="0" y="0"/>
                      <a:ext cx="5731510" cy="1965325"/>
                    </a:xfrm>
                    <a:prstGeom prst="rect">
                      <a:avLst/>
                    </a:prstGeom>
                  </pic:spPr>
                </pic:pic>
              </a:graphicData>
            </a:graphic>
          </wp:inline>
        </w:drawing>
      </w:r>
    </w:p>
    <w:p w14:paraId="19C3E861" w14:textId="77777777" w:rsidR="00EF37FE" w:rsidRPr="00863A17" w:rsidRDefault="00EF37FE" w:rsidP="00F05BD5">
      <w:pPr>
        <w:spacing w:line="480" w:lineRule="auto"/>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1F13" w:rsidRPr="00863A17">
        <w:rPr>
          <w:rFonts w:ascii="Tahoma" w:hAnsi="Tahoma" w:cs="Tahoma"/>
          <w:i/>
          <w:sz w:val="24"/>
          <w:szCs w:val="24"/>
          <w:lang w:val="en-US"/>
        </w:rPr>
        <w:t>4</w:t>
      </w:r>
      <w:r w:rsidR="006B3019" w:rsidRPr="00863A17">
        <w:rPr>
          <w:rFonts w:ascii="Tahoma" w:hAnsi="Tahoma" w:cs="Tahoma"/>
          <w:i/>
          <w:sz w:val="24"/>
          <w:szCs w:val="24"/>
          <w:lang w:val="en-US"/>
        </w:rPr>
        <w:t>)</w:t>
      </w:r>
    </w:p>
    <w:p w14:paraId="0BB69A26" w14:textId="77777777" w:rsidR="00EF37FE" w:rsidRPr="00863A17" w:rsidRDefault="004F680D" w:rsidP="00F05BD5">
      <w:pPr>
        <w:pStyle w:val="Heading1"/>
        <w:spacing w:before="0" w:after="240"/>
        <w:rPr>
          <w:lang w:val="en-US"/>
        </w:rPr>
      </w:pPr>
      <w:bookmarkStart w:id="19" w:name="_Toc166607893"/>
      <w:bookmarkStart w:id="20" w:name="_Toc184215736"/>
      <w:r w:rsidRPr="00863A17">
        <w:rPr>
          <w:lang w:val="en-US"/>
        </w:rPr>
        <w:t>3.0</w:t>
      </w:r>
      <w:r w:rsidRPr="00863A17">
        <w:rPr>
          <w:lang w:val="en-US"/>
        </w:rPr>
        <w:tab/>
      </w:r>
      <w:r w:rsidR="00476766" w:rsidRPr="00863A17">
        <w:rPr>
          <w:lang w:val="en-US"/>
        </w:rPr>
        <w:t>Zimbabwe GDP Growth Update</w:t>
      </w:r>
      <w:bookmarkEnd w:id="19"/>
      <w:bookmarkEnd w:id="20"/>
      <w:r w:rsidR="00476766" w:rsidRPr="00863A17">
        <w:rPr>
          <w:lang w:val="en-US"/>
        </w:rPr>
        <w:t xml:space="preserve"> </w:t>
      </w:r>
      <w:r w:rsidR="00EF37FE" w:rsidRPr="00863A17">
        <w:rPr>
          <w:lang w:val="en-US"/>
        </w:rPr>
        <w:t xml:space="preserve"> </w:t>
      </w:r>
    </w:p>
    <w:p w14:paraId="77444D29" w14:textId="1E71426D" w:rsidR="0076325F" w:rsidRDefault="004F680D" w:rsidP="0064734D">
      <w:pPr>
        <w:ind w:left="720" w:hanging="720"/>
        <w:jc w:val="both"/>
        <w:rPr>
          <w:rFonts w:ascii="Tahoma" w:hAnsi="Tahoma" w:cs="Tahoma"/>
          <w:sz w:val="24"/>
          <w:szCs w:val="24"/>
          <w:lang w:val="en-US"/>
        </w:rPr>
      </w:pPr>
      <w:r w:rsidRPr="00863A17">
        <w:rPr>
          <w:rFonts w:ascii="Tahoma" w:hAnsi="Tahoma" w:cs="Tahoma"/>
          <w:sz w:val="24"/>
          <w:szCs w:val="24"/>
          <w:lang w:val="en-US"/>
        </w:rPr>
        <w:t>3.1</w:t>
      </w:r>
      <w:r w:rsidRPr="00863A17">
        <w:rPr>
          <w:rFonts w:ascii="Tahoma" w:hAnsi="Tahoma" w:cs="Tahoma"/>
          <w:sz w:val="24"/>
          <w:szCs w:val="24"/>
          <w:lang w:val="en-US"/>
        </w:rPr>
        <w:tab/>
      </w:r>
      <w:bookmarkStart w:id="21" w:name="_Hlk181775021"/>
      <w:r w:rsidR="00067C6D">
        <w:rPr>
          <w:rFonts w:ascii="Tahoma" w:hAnsi="Tahoma" w:cs="Tahoma"/>
          <w:sz w:val="24"/>
          <w:szCs w:val="24"/>
          <w:lang w:val="en-US"/>
        </w:rPr>
        <w:t>The e</w:t>
      </w:r>
      <w:r w:rsidR="00D735AB">
        <w:rPr>
          <w:rFonts w:ascii="Tahoma" w:hAnsi="Tahoma" w:cs="Tahoma"/>
          <w:sz w:val="24"/>
          <w:szCs w:val="24"/>
          <w:lang w:val="en-US"/>
        </w:rPr>
        <w:t xml:space="preserve">conomic growth </w:t>
      </w:r>
      <w:r w:rsidR="002912BB">
        <w:rPr>
          <w:rFonts w:ascii="Tahoma" w:hAnsi="Tahoma" w:cs="Tahoma"/>
          <w:sz w:val="24"/>
          <w:szCs w:val="24"/>
          <w:lang w:val="en-US"/>
        </w:rPr>
        <w:t>is</w:t>
      </w:r>
      <w:r w:rsidR="00D735AB">
        <w:rPr>
          <w:rFonts w:ascii="Tahoma" w:hAnsi="Tahoma" w:cs="Tahoma"/>
          <w:sz w:val="24"/>
          <w:szCs w:val="24"/>
          <w:lang w:val="en-US"/>
        </w:rPr>
        <w:t xml:space="preserve"> estimated at 2% in 2024</w:t>
      </w:r>
      <w:r w:rsidR="000C2206">
        <w:rPr>
          <w:rFonts w:ascii="Tahoma" w:hAnsi="Tahoma" w:cs="Tahoma"/>
          <w:sz w:val="24"/>
          <w:szCs w:val="24"/>
          <w:lang w:val="en-US"/>
        </w:rPr>
        <w:t xml:space="preserve"> (see Figure 2).</w:t>
      </w:r>
      <w:r w:rsidR="00D735AB">
        <w:rPr>
          <w:rFonts w:ascii="Tahoma" w:hAnsi="Tahoma" w:cs="Tahoma"/>
          <w:sz w:val="24"/>
          <w:szCs w:val="24"/>
          <w:lang w:val="en-US"/>
        </w:rPr>
        <w:t xml:space="preserve"> According to the MoFED&amp;IP (2024), 2024 agriculture sector output projection was revised from -21% to -15% </w:t>
      </w:r>
      <w:r w:rsidR="002912BB">
        <w:rPr>
          <w:rFonts w:ascii="Tahoma" w:hAnsi="Tahoma" w:cs="Tahoma"/>
          <w:sz w:val="24"/>
          <w:szCs w:val="24"/>
          <w:lang w:val="en-US"/>
        </w:rPr>
        <w:t>on</w:t>
      </w:r>
      <w:r w:rsidR="00D735AB">
        <w:rPr>
          <w:rFonts w:ascii="Tahoma" w:hAnsi="Tahoma" w:cs="Tahoma"/>
          <w:sz w:val="24"/>
          <w:szCs w:val="24"/>
          <w:lang w:val="en-US"/>
        </w:rPr>
        <w:t xml:space="preserve"> account of better than anticipated output on wheat and dairy, however the revision was offset by lower mining and manufacturing</w:t>
      </w:r>
      <w:r w:rsidR="00E81D19">
        <w:rPr>
          <w:rFonts w:ascii="Tahoma" w:hAnsi="Tahoma" w:cs="Tahoma"/>
          <w:sz w:val="24"/>
          <w:szCs w:val="24"/>
          <w:lang w:val="en-US"/>
        </w:rPr>
        <w:t xml:space="preserve"> </w:t>
      </w:r>
      <w:r w:rsidR="00D735AB">
        <w:rPr>
          <w:rFonts w:ascii="Tahoma" w:hAnsi="Tahoma" w:cs="Tahoma"/>
          <w:sz w:val="24"/>
          <w:szCs w:val="24"/>
          <w:lang w:val="en-US"/>
        </w:rPr>
        <w:t>performance</w:t>
      </w:r>
      <w:bookmarkStart w:id="22" w:name="_Hlk166603728"/>
      <w:bookmarkEnd w:id="21"/>
      <w:r w:rsidR="004416F2">
        <w:rPr>
          <w:rFonts w:ascii="Tahoma" w:hAnsi="Tahoma" w:cs="Tahoma"/>
          <w:sz w:val="24"/>
          <w:szCs w:val="24"/>
          <w:lang w:val="en-US"/>
        </w:rPr>
        <w:t>.</w:t>
      </w:r>
    </w:p>
    <w:p w14:paraId="7AF89520" w14:textId="7A0E09F7" w:rsidR="00E81D19" w:rsidRDefault="00E81D19" w:rsidP="0064734D">
      <w:pPr>
        <w:ind w:left="720" w:hanging="720"/>
        <w:jc w:val="both"/>
        <w:rPr>
          <w:rFonts w:ascii="Tahoma" w:hAnsi="Tahoma" w:cs="Tahoma"/>
          <w:sz w:val="24"/>
          <w:szCs w:val="24"/>
          <w:lang w:val="en-US"/>
        </w:rPr>
      </w:pPr>
      <w:r>
        <w:rPr>
          <w:rFonts w:ascii="Tahoma" w:hAnsi="Tahoma" w:cs="Tahoma"/>
          <w:sz w:val="24"/>
          <w:szCs w:val="24"/>
          <w:lang w:val="en-US"/>
        </w:rPr>
        <w:t>3.2</w:t>
      </w:r>
      <w:r>
        <w:rPr>
          <w:rFonts w:ascii="Tahoma" w:hAnsi="Tahoma" w:cs="Tahoma"/>
          <w:sz w:val="24"/>
          <w:szCs w:val="24"/>
          <w:lang w:val="en-US"/>
        </w:rPr>
        <w:tab/>
      </w:r>
      <w:r w:rsidR="002912BB">
        <w:rPr>
          <w:rFonts w:ascii="Tahoma" w:hAnsi="Tahoma" w:cs="Tahoma"/>
          <w:sz w:val="24"/>
          <w:szCs w:val="24"/>
          <w:lang w:val="en-US"/>
        </w:rPr>
        <w:t>Looking ahead, t</w:t>
      </w:r>
      <w:r w:rsidR="00067C6D">
        <w:rPr>
          <w:rFonts w:ascii="Tahoma" w:hAnsi="Tahoma" w:cs="Tahoma"/>
          <w:sz w:val="24"/>
          <w:szCs w:val="24"/>
          <w:lang w:val="en-US"/>
        </w:rPr>
        <w:t>he economy is projected to grow by 6% in 2025 due to improvement</w:t>
      </w:r>
      <w:r w:rsidR="008D70BE">
        <w:rPr>
          <w:rFonts w:ascii="Tahoma" w:hAnsi="Tahoma" w:cs="Tahoma"/>
          <w:sz w:val="24"/>
          <w:szCs w:val="24"/>
          <w:lang w:val="en-US"/>
        </w:rPr>
        <w:t>s</w:t>
      </w:r>
      <w:r w:rsidR="00067C6D">
        <w:rPr>
          <w:rFonts w:ascii="Tahoma" w:hAnsi="Tahoma" w:cs="Tahoma"/>
          <w:sz w:val="24"/>
          <w:szCs w:val="24"/>
          <w:lang w:val="en-US"/>
        </w:rPr>
        <w:t xml:space="preserve"> in agriculture and electricity generation driven by </w:t>
      </w:r>
      <w:proofErr w:type="gramStart"/>
      <w:r w:rsidR="00067C6D">
        <w:rPr>
          <w:rFonts w:ascii="Tahoma" w:hAnsi="Tahoma" w:cs="Tahoma"/>
          <w:sz w:val="24"/>
          <w:szCs w:val="24"/>
          <w:lang w:val="en-US"/>
        </w:rPr>
        <w:t>anticipated</w:t>
      </w:r>
      <w:proofErr w:type="gramEnd"/>
      <w:r w:rsidR="00067C6D">
        <w:rPr>
          <w:rFonts w:ascii="Tahoma" w:hAnsi="Tahoma" w:cs="Tahoma"/>
          <w:sz w:val="24"/>
          <w:szCs w:val="24"/>
          <w:lang w:val="en-US"/>
        </w:rPr>
        <w:t xml:space="preserve"> La-Nina phenomenon, growth in information technology</w:t>
      </w:r>
      <w:r w:rsidR="00FF5F65">
        <w:rPr>
          <w:rFonts w:ascii="Tahoma" w:hAnsi="Tahoma" w:cs="Tahoma"/>
          <w:sz w:val="24"/>
          <w:szCs w:val="24"/>
          <w:lang w:val="en-US"/>
        </w:rPr>
        <w:t>,</w:t>
      </w:r>
      <w:r w:rsidR="00067C6D">
        <w:rPr>
          <w:rFonts w:ascii="Tahoma" w:hAnsi="Tahoma" w:cs="Tahoma"/>
          <w:sz w:val="24"/>
          <w:szCs w:val="24"/>
          <w:lang w:val="en-US"/>
        </w:rPr>
        <w:t xml:space="preserve"> mining</w:t>
      </w:r>
      <w:r w:rsidR="00FF5F65">
        <w:rPr>
          <w:rFonts w:ascii="Tahoma" w:hAnsi="Tahoma" w:cs="Tahoma"/>
          <w:sz w:val="24"/>
          <w:szCs w:val="24"/>
          <w:lang w:val="en-US"/>
        </w:rPr>
        <w:t xml:space="preserve"> stable exchange rate and low inflation, tight fiscal and monetary policies.</w:t>
      </w:r>
      <w:r w:rsidR="006C48F4">
        <w:rPr>
          <w:rFonts w:ascii="Tahoma" w:hAnsi="Tahoma" w:cs="Tahoma"/>
          <w:sz w:val="24"/>
          <w:szCs w:val="24"/>
          <w:lang w:val="en-US"/>
        </w:rPr>
        <w:t xml:space="preserve"> Beyond 2025, economic growth is projected to remain steady at 5% driven by private consumption and investments.</w:t>
      </w:r>
    </w:p>
    <w:p w14:paraId="3DA3F106" w14:textId="51464FEC" w:rsidR="00F71A8A" w:rsidRDefault="00F71A8A" w:rsidP="0064734D">
      <w:pPr>
        <w:ind w:left="720" w:hanging="720"/>
        <w:jc w:val="both"/>
        <w:rPr>
          <w:rFonts w:ascii="Tahoma" w:hAnsi="Tahoma" w:cs="Tahoma"/>
          <w:sz w:val="24"/>
          <w:szCs w:val="24"/>
          <w:lang w:val="en-US"/>
        </w:rPr>
      </w:pPr>
    </w:p>
    <w:p w14:paraId="7B32541B" w14:textId="77777777" w:rsidR="00256E40" w:rsidRDefault="00256E40" w:rsidP="0064734D">
      <w:pPr>
        <w:ind w:left="720" w:hanging="720"/>
        <w:jc w:val="both"/>
        <w:rPr>
          <w:rFonts w:ascii="Tahoma" w:hAnsi="Tahoma" w:cs="Tahoma"/>
          <w:sz w:val="24"/>
          <w:szCs w:val="24"/>
          <w:lang w:val="en-US"/>
        </w:rPr>
      </w:pPr>
    </w:p>
    <w:p w14:paraId="07B6A798" w14:textId="77777777" w:rsidR="00256E40" w:rsidRDefault="00256E40" w:rsidP="0064734D">
      <w:pPr>
        <w:ind w:left="720" w:hanging="720"/>
        <w:jc w:val="both"/>
        <w:rPr>
          <w:rFonts w:ascii="Tahoma" w:hAnsi="Tahoma" w:cs="Tahoma"/>
          <w:sz w:val="24"/>
          <w:szCs w:val="24"/>
          <w:lang w:val="en-US"/>
        </w:rPr>
      </w:pPr>
    </w:p>
    <w:p w14:paraId="074BAD73" w14:textId="631569A1" w:rsidR="009E7083" w:rsidRDefault="009E7083" w:rsidP="009E7083">
      <w:pPr>
        <w:pStyle w:val="ListofFigures"/>
        <w:rPr>
          <w:lang w:val="en-US"/>
        </w:rPr>
      </w:pPr>
      <w:bookmarkStart w:id="23" w:name="_Toc184215203"/>
      <w:r>
        <w:rPr>
          <w:lang w:val="en-US"/>
        </w:rPr>
        <w:lastRenderedPageBreak/>
        <w:t>Figure 2: Zimbabwe Economic Growth Prospects</w:t>
      </w:r>
      <w:bookmarkEnd w:id="23"/>
    </w:p>
    <w:p w14:paraId="6209DB53" w14:textId="3EAEB619" w:rsidR="00487413" w:rsidRDefault="00487413" w:rsidP="009E7083">
      <w:pPr>
        <w:pStyle w:val="NoSpacing"/>
        <w:rPr>
          <w:lang w:val="en-US"/>
        </w:rPr>
      </w:pPr>
      <w:r>
        <w:rPr>
          <w:noProof/>
          <w:lang w:val="en-US"/>
        </w:rPr>
        <w:drawing>
          <wp:inline distT="0" distB="0" distL="0" distR="0" wp14:anchorId="3186B577" wp14:editId="799D2A7F">
            <wp:extent cx="5840730" cy="2240280"/>
            <wp:effectExtent l="0" t="0" r="7620" b="7620"/>
            <wp:docPr id="451645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730" cy="2240280"/>
                    </a:xfrm>
                    <a:prstGeom prst="rect">
                      <a:avLst/>
                    </a:prstGeom>
                    <a:noFill/>
                  </pic:spPr>
                </pic:pic>
              </a:graphicData>
            </a:graphic>
          </wp:inline>
        </w:drawing>
      </w:r>
    </w:p>
    <w:p w14:paraId="0F6C1357" w14:textId="21919815" w:rsidR="00487413" w:rsidRPr="009E7083" w:rsidRDefault="00487413" w:rsidP="0064734D">
      <w:pPr>
        <w:ind w:left="720" w:hanging="720"/>
        <w:jc w:val="both"/>
        <w:rPr>
          <w:rFonts w:ascii="Tahoma" w:hAnsi="Tahoma" w:cs="Tahoma"/>
          <w:i/>
          <w:iCs/>
          <w:sz w:val="24"/>
          <w:szCs w:val="24"/>
          <w:lang w:val="en-US"/>
        </w:rPr>
      </w:pPr>
      <w:r w:rsidRPr="009E7083">
        <w:rPr>
          <w:rFonts w:ascii="Tahoma" w:hAnsi="Tahoma" w:cs="Tahoma"/>
          <w:i/>
          <w:iCs/>
          <w:sz w:val="24"/>
          <w:szCs w:val="24"/>
          <w:lang w:val="en-US"/>
        </w:rPr>
        <w:t>Source: MoFED&amp;IP</w:t>
      </w:r>
      <w:r w:rsidR="0083213C">
        <w:rPr>
          <w:rFonts w:ascii="Tahoma" w:hAnsi="Tahoma" w:cs="Tahoma"/>
          <w:i/>
          <w:iCs/>
          <w:sz w:val="24"/>
          <w:szCs w:val="24"/>
          <w:lang w:val="en-US"/>
        </w:rPr>
        <w:t xml:space="preserve"> </w:t>
      </w:r>
      <w:r w:rsidRPr="009E7083">
        <w:rPr>
          <w:rFonts w:ascii="Tahoma" w:hAnsi="Tahoma" w:cs="Tahoma"/>
          <w:i/>
          <w:iCs/>
          <w:sz w:val="24"/>
          <w:szCs w:val="24"/>
          <w:lang w:val="en-US"/>
        </w:rPr>
        <w:t>(2024)</w:t>
      </w:r>
    </w:p>
    <w:p w14:paraId="1251284A" w14:textId="77777777" w:rsidR="00EF37FE" w:rsidRPr="00086539" w:rsidRDefault="00B1678A" w:rsidP="009F5CE5">
      <w:pPr>
        <w:pStyle w:val="Heading1"/>
        <w:spacing w:before="0" w:after="240" w:line="240" w:lineRule="auto"/>
        <w:rPr>
          <w:rFonts w:cs="Tahoma"/>
          <w:bCs/>
          <w:color w:val="000000"/>
          <w:szCs w:val="24"/>
          <w:lang w:val="en-US"/>
        </w:rPr>
      </w:pPr>
      <w:bookmarkStart w:id="24" w:name="_Toc166607894"/>
      <w:bookmarkStart w:id="25" w:name="_Toc184215737"/>
      <w:bookmarkEnd w:id="22"/>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4"/>
      <w:bookmarkEnd w:id="25"/>
      <w:r w:rsidR="00EF37FE" w:rsidRPr="00086539">
        <w:rPr>
          <w:rFonts w:cs="Tahoma"/>
          <w:bCs/>
          <w:color w:val="000000"/>
          <w:szCs w:val="24"/>
          <w:lang w:val="en-US"/>
        </w:rPr>
        <w:t xml:space="preserve"> </w:t>
      </w:r>
    </w:p>
    <w:p w14:paraId="4E83653D" w14:textId="7F46820C" w:rsidR="00D75883" w:rsidRDefault="00B1678A" w:rsidP="00C262AF">
      <w:pPr>
        <w:ind w:left="720" w:hanging="720"/>
        <w:jc w:val="both"/>
        <w:rPr>
          <w:rFonts w:ascii="Tahoma" w:hAnsi="Tahoma" w:cs="Tahoma"/>
          <w:sz w:val="24"/>
          <w:szCs w:val="24"/>
          <w:lang w:val="en-US"/>
        </w:rPr>
      </w:pPr>
      <w:r w:rsidRPr="00863A17">
        <w:rPr>
          <w:rFonts w:ascii="Tahoma" w:hAnsi="Tahoma" w:cs="Tahoma"/>
          <w:sz w:val="24"/>
          <w:szCs w:val="24"/>
          <w:lang w:val="en-US"/>
        </w:rPr>
        <w:t>4.1</w:t>
      </w:r>
      <w:r w:rsidRPr="00863A17">
        <w:rPr>
          <w:rFonts w:ascii="Tahoma" w:hAnsi="Tahoma" w:cs="Tahoma"/>
          <w:sz w:val="24"/>
          <w:szCs w:val="24"/>
          <w:lang w:val="en-US"/>
        </w:rPr>
        <w:tab/>
      </w:r>
      <w:r w:rsidR="00A55EE7">
        <w:rPr>
          <w:rFonts w:ascii="Tahoma" w:hAnsi="Tahoma" w:cs="Tahoma"/>
          <w:sz w:val="24"/>
          <w:szCs w:val="24"/>
          <w:lang w:val="en-US"/>
        </w:rPr>
        <w:t>Zimbabwe National Statistics Agency (ZimStat) had not published the merchandise trade data for</w:t>
      </w:r>
      <w:r w:rsidR="00224681">
        <w:rPr>
          <w:rFonts w:ascii="Tahoma" w:hAnsi="Tahoma" w:cs="Tahoma"/>
          <w:sz w:val="24"/>
          <w:szCs w:val="24"/>
          <w:lang w:val="en-US"/>
        </w:rPr>
        <w:t xml:space="preserve"> </w:t>
      </w:r>
      <w:r w:rsidR="002912BB">
        <w:rPr>
          <w:rFonts w:ascii="Tahoma" w:hAnsi="Tahoma" w:cs="Tahoma"/>
          <w:sz w:val="24"/>
          <w:szCs w:val="24"/>
          <w:lang w:val="en-US"/>
        </w:rPr>
        <w:t>November</w:t>
      </w:r>
      <w:r w:rsidR="00A55EE7">
        <w:rPr>
          <w:rFonts w:ascii="Tahoma" w:hAnsi="Tahoma" w:cs="Tahoma"/>
          <w:sz w:val="24"/>
          <w:szCs w:val="24"/>
          <w:lang w:val="en-US"/>
        </w:rPr>
        <w:t xml:space="preserve"> 2024 </w:t>
      </w:r>
      <w:r w:rsidR="00D75883">
        <w:rPr>
          <w:rFonts w:ascii="Tahoma" w:hAnsi="Tahoma" w:cs="Tahoma"/>
          <w:sz w:val="24"/>
          <w:szCs w:val="24"/>
          <w:lang w:val="en-US"/>
        </w:rPr>
        <w:t xml:space="preserve">by </w:t>
      </w:r>
      <w:r w:rsidR="00A55EE7">
        <w:rPr>
          <w:rFonts w:ascii="Tahoma" w:hAnsi="Tahoma" w:cs="Tahoma"/>
          <w:sz w:val="24"/>
          <w:szCs w:val="24"/>
          <w:lang w:val="en-US"/>
        </w:rPr>
        <w:t xml:space="preserve">the time of compiling this report, thus the analysis is based on </w:t>
      </w:r>
      <w:r w:rsidR="002912BB">
        <w:rPr>
          <w:rFonts w:ascii="Tahoma" w:hAnsi="Tahoma" w:cs="Tahoma"/>
          <w:sz w:val="24"/>
          <w:szCs w:val="24"/>
          <w:lang w:val="en-US"/>
        </w:rPr>
        <w:t>September</w:t>
      </w:r>
      <w:r w:rsidR="00A55EE7">
        <w:rPr>
          <w:rFonts w:ascii="Tahoma" w:hAnsi="Tahoma" w:cs="Tahoma"/>
          <w:sz w:val="24"/>
          <w:szCs w:val="24"/>
          <w:lang w:val="en-US"/>
        </w:rPr>
        <w:t xml:space="preserve"> 2024 data.</w:t>
      </w:r>
    </w:p>
    <w:p w14:paraId="21CFC481" w14:textId="0C9CE3DD" w:rsidR="00897CB3" w:rsidRDefault="00D75883" w:rsidP="00C262AF">
      <w:pPr>
        <w:ind w:left="720" w:hanging="720"/>
        <w:jc w:val="both"/>
        <w:rPr>
          <w:rFonts w:ascii="Tahoma" w:hAnsi="Tahoma" w:cs="Tahoma"/>
          <w:sz w:val="24"/>
          <w:szCs w:val="24"/>
          <w:lang w:val="en-US"/>
        </w:rPr>
      </w:pPr>
      <w:r>
        <w:rPr>
          <w:rFonts w:ascii="Tahoma" w:hAnsi="Tahoma" w:cs="Tahoma"/>
          <w:sz w:val="24"/>
          <w:szCs w:val="24"/>
          <w:lang w:val="en-US"/>
        </w:rPr>
        <w:t>4.2</w:t>
      </w:r>
      <w:r>
        <w:rPr>
          <w:rFonts w:ascii="Tahoma" w:hAnsi="Tahoma" w:cs="Tahoma"/>
          <w:sz w:val="24"/>
          <w:szCs w:val="24"/>
          <w:lang w:val="en-US"/>
        </w:rPr>
        <w:tab/>
      </w:r>
      <w:bookmarkStart w:id="26" w:name="_Hlk181775050"/>
      <w:r w:rsidR="00534F79">
        <w:rPr>
          <w:rFonts w:ascii="Tahoma" w:hAnsi="Tahoma" w:cs="Tahoma"/>
          <w:sz w:val="24"/>
          <w:szCs w:val="24"/>
          <w:lang w:val="en-US"/>
        </w:rPr>
        <w:t>T</w:t>
      </w:r>
      <w:r w:rsidR="00A55EE7">
        <w:rPr>
          <w:rFonts w:ascii="Tahoma" w:hAnsi="Tahoma" w:cs="Tahoma"/>
          <w:sz w:val="24"/>
          <w:szCs w:val="24"/>
          <w:lang w:val="en-US"/>
        </w:rPr>
        <w:t>otal merchandise trade</w:t>
      </w:r>
      <w:r w:rsidR="00534F79">
        <w:rPr>
          <w:rFonts w:ascii="Tahoma" w:hAnsi="Tahoma" w:cs="Tahoma"/>
          <w:sz w:val="24"/>
          <w:szCs w:val="24"/>
          <w:lang w:val="en-US"/>
        </w:rPr>
        <w:t xml:space="preserve"> amounted to</w:t>
      </w:r>
      <w:r w:rsidR="00A55EE7">
        <w:rPr>
          <w:rFonts w:ascii="Tahoma" w:hAnsi="Tahoma" w:cs="Tahoma"/>
          <w:sz w:val="24"/>
          <w:szCs w:val="24"/>
          <w:lang w:val="en-US"/>
        </w:rPr>
        <w:t xml:space="preserve"> </w:t>
      </w:r>
      <w:r w:rsidR="006574DF">
        <w:rPr>
          <w:rFonts w:ascii="Tahoma" w:hAnsi="Tahoma" w:cs="Tahoma"/>
          <w:sz w:val="24"/>
          <w:szCs w:val="24"/>
          <w:lang w:val="en-US"/>
        </w:rPr>
        <w:t xml:space="preserve">USD1357.5 </w:t>
      </w:r>
      <w:r w:rsidR="00A55EE7">
        <w:rPr>
          <w:rFonts w:ascii="Tahoma" w:hAnsi="Tahoma" w:cs="Tahoma"/>
          <w:sz w:val="24"/>
          <w:szCs w:val="24"/>
          <w:lang w:val="en-US"/>
        </w:rPr>
        <w:t>million</w:t>
      </w:r>
      <w:r w:rsidR="00534F79">
        <w:rPr>
          <w:rFonts w:ascii="Tahoma" w:hAnsi="Tahoma" w:cs="Tahoma"/>
          <w:sz w:val="24"/>
          <w:szCs w:val="24"/>
          <w:lang w:val="en-US"/>
        </w:rPr>
        <w:t xml:space="preserve"> in </w:t>
      </w:r>
      <w:r w:rsidR="006574DF">
        <w:rPr>
          <w:rFonts w:ascii="Tahoma" w:hAnsi="Tahoma" w:cs="Tahoma"/>
          <w:sz w:val="24"/>
          <w:szCs w:val="24"/>
          <w:lang w:val="en-US"/>
        </w:rPr>
        <w:t>September</w:t>
      </w:r>
      <w:r w:rsidR="00534F79">
        <w:rPr>
          <w:rFonts w:ascii="Tahoma" w:hAnsi="Tahoma" w:cs="Tahoma"/>
          <w:sz w:val="24"/>
          <w:szCs w:val="24"/>
          <w:lang w:val="en-US"/>
        </w:rPr>
        <w:t xml:space="preserve"> 2024</w:t>
      </w:r>
      <w:r w:rsidR="00A55EE7">
        <w:rPr>
          <w:rFonts w:ascii="Tahoma" w:hAnsi="Tahoma" w:cs="Tahoma"/>
          <w:sz w:val="24"/>
          <w:szCs w:val="24"/>
          <w:lang w:val="en-US"/>
        </w:rPr>
        <w:t>,</w:t>
      </w:r>
      <w:r w:rsidR="00534F79">
        <w:rPr>
          <w:rFonts w:ascii="Tahoma" w:hAnsi="Tahoma" w:cs="Tahoma"/>
          <w:sz w:val="24"/>
          <w:szCs w:val="24"/>
          <w:lang w:val="en-US"/>
        </w:rPr>
        <w:t xml:space="preserve"> </w:t>
      </w:r>
      <w:r w:rsidR="006574DF">
        <w:rPr>
          <w:rFonts w:ascii="Tahoma" w:hAnsi="Tahoma" w:cs="Tahoma"/>
          <w:sz w:val="24"/>
          <w:szCs w:val="24"/>
          <w:lang w:val="en-US"/>
        </w:rPr>
        <w:t>a 12.3% decrease from USD1547.3 million in August 2024 due to a reduction in both exports and imports. On YoY, merchandise trade retreated by 6.5% down from USD1451.7 million in September 2023</w:t>
      </w:r>
      <w:bookmarkEnd w:id="26"/>
      <w:r w:rsidR="006574DF">
        <w:rPr>
          <w:rFonts w:ascii="Tahoma" w:hAnsi="Tahoma" w:cs="Tahoma"/>
          <w:sz w:val="24"/>
          <w:szCs w:val="24"/>
          <w:lang w:val="en-US"/>
        </w:rPr>
        <w:t xml:space="preserve"> </w:t>
      </w:r>
      <w:r w:rsidR="00EB16D2">
        <w:rPr>
          <w:rFonts w:ascii="Tahoma" w:hAnsi="Tahoma" w:cs="Tahoma"/>
          <w:sz w:val="24"/>
          <w:szCs w:val="24"/>
          <w:lang w:val="en-US"/>
        </w:rPr>
        <w:t>(</w:t>
      </w:r>
      <w:r w:rsidR="00A55EE7">
        <w:rPr>
          <w:rFonts w:ascii="Tahoma" w:hAnsi="Tahoma" w:cs="Tahoma"/>
          <w:sz w:val="24"/>
          <w:szCs w:val="24"/>
          <w:lang w:val="en-US"/>
        </w:rPr>
        <w:t>RBZ</w:t>
      </w:r>
      <w:r w:rsidR="009C1166">
        <w:rPr>
          <w:rFonts w:ascii="Tahoma" w:hAnsi="Tahoma" w:cs="Tahoma"/>
          <w:sz w:val="24"/>
          <w:szCs w:val="24"/>
          <w:lang w:val="en-US"/>
        </w:rPr>
        <w:t xml:space="preserve"> </w:t>
      </w:r>
      <w:r w:rsidR="006574DF">
        <w:rPr>
          <w:rFonts w:ascii="Tahoma" w:hAnsi="Tahoma" w:cs="Tahoma"/>
          <w:sz w:val="24"/>
          <w:szCs w:val="24"/>
          <w:lang w:val="en-US"/>
        </w:rPr>
        <w:t>September</w:t>
      </w:r>
      <w:r w:rsidR="00C928AA">
        <w:rPr>
          <w:rFonts w:ascii="Tahoma" w:hAnsi="Tahoma" w:cs="Tahoma"/>
          <w:sz w:val="24"/>
          <w:szCs w:val="24"/>
          <w:lang w:val="en-US"/>
        </w:rPr>
        <w:t xml:space="preserve"> 2024</w:t>
      </w:r>
      <w:r w:rsidR="00A55EE7">
        <w:rPr>
          <w:rFonts w:ascii="Tahoma" w:hAnsi="Tahoma" w:cs="Tahoma"/>
          <w:sz w:val="24"/>
          <w:szCs w:val="24"/>
          <w:lang w:val="en-US"/>
        </w:rPr>
        <w:t xml:space="preserve"> Monthly Re</w:t>
      </w:r>
      <w:r w:rsidR="00C928AA">
        <w:rPr>
          <w:rFonts w:ascii="Tahoma" w:hAnsi="Tahoma" w:cs="Tahoma"/>
          <w:sz w:val="24"/>
          <w:szCs w:val="24"/>
          <w:lang w:val="en-US"/>
        </w:rPr>
        <w:t>view</w:t>
      </w:r>
      <w:r w:rsidR="00EB16D2">
        <w:rPr>
          <w:rFonts w:ascii="Tahoma" w:hAnsi="Tahoma" w:cs="Tahoma"/>
          <w:sz w:val="24"/>
          <w:szCs w:val="24"/>
          <w:lang w:val="en-US"/>
        </w:rPr>
        <w:t>).</w:t>
      </w:r>
    </w:p>
    <w:p w14:paraId="3AB25F8E" w14:textId="36D37435" w:rsidR="00D75883" w:rsidRDefault="00354CAD" w:rsidP="00340BCF">
      <w:pPr>
        <w:ind w:left="720" w:hanging="720"/>
        <w:jc w:val="both"/>
        <w:rPr>
          <w:rFonts w:ascii="Tahoma" w:hAnsi="Tahoma" w:cs="Tahoma"/>
          <w:noProof/>
          <w:sz w:val="24"/>
          <w:szCs w:val="24"/>
          <w:lang w:eastAsia="en-ZW"/>
        </w:rPr>
      </w:pPr>
      <w:r>
        <w:rPr>
          <w:rFonts w:ascii="Tahoma" w:hAnsi="Tahoma" w:cs="Tahoma"/>
          <w:noProof/>
          <w:sz w:val="24"/>
          <w:szCs w:val="24"/>
          <w:lang w:eastAsia="en-ZW"/>
        </w:rPr>
        <w:t>4.1</w:t>
      </w:r>
      <w:r w:rsidR="00056C3C">
        <w:rPr>
          <w:rFonts w:ascii="Tahoma" w:hAnsi="Tahoma" w:cs="Tahoma"/>
          <w:noProof/>
          <w:sz w:val="24"/>
          <w:szCs w:val="24"/>
          <w:lang w:eastAsia="en-ZW"/>
        </w:rPr>
        <w:tab/>
      </w:r>
      <w:bookmarkStart w:id="27" w:name="_Hlk181775076"/>
      <w:r w:rsidR="004C15AC">
        <w:rPr>
          <w:rFonts w:ascii="Tahoma" w:hAnsi="Tahoma" w:cs="Tahoma"/>
          <w:noProof/>
          <w:sz w:val="24"/>
          <w:szCs w:val="24"/>
          <w:lang w:eastAsia="en-ZW"/>
        </w:rPr>
        <w:t>T</w:t>
      </w:r>
      <w:r w:rsidR="00252C38">
        <w:rPr>
          <w:rFonts w:ascii="Tahoma" w:hAnsi="Tahoma" w:cs="Tahoma"/>
          <w:noProof/>
          <w:sz w:val="24"/>
          <w:szCs w:val="24"/>
          <w:lang w:eastAsia="en-ZW"/>
        </w:rPr>
        <w:t xml:space="preserve">he trade deficit </w:t>
      </w:r>
      <w:r w:rsidR="004C15AC">
        <w:rPr>
          <w:rFonts w:ascii="Tahoma" w:hAnsi="Tahoma" w:cs="Tahoma"/>
          <w:noProof/>
          <w:sz w:val="24"/>
          <w:szCs w:val="24"/>
          <w:lang w:eastAsia="en-ZW"/>
        </w:rPr>
        <w:t xml:space="preserve">worsened in September 2024 from USD198.8 million to USD207.6 million </w:t>
      </w:r>
      <w:r w:rsidR="00252C38">
        <w:rPr>
          <w:rFonts w:ascii="Tahoma" w:hAnsi="Tahoma" w:cs="Tahoma"/>
          <w:noProof/>
          <w:sz w:val="24"/>
          <w:szCs w:val="24"/>
          <w:lang w:eastAsia="en-ZW"/>
        </w:rPr>
        <w:t xml:space="preserve"> in August 2024 </w:t>
      </w:r>
      <w:r w:rsidR="00136197">
        <w:rPr>
          <w:rFonts w:ascii="Tahoma" w:hAnsi="Tahoma" w:cs="Tahoma"/>
          <w:noProof/>
          <w:sz w:val="24"/>
          <w:szCs w:val="24"/>
          <w:lang w:eastAsia="en-ZW"/>
        </w:rPr>
        <w:t xml:space="preserve">(see Figure </w:t>
      </w:r>
      <w:r w:rsidR="00686026">
        <w:rPr>
          <w:rFonts w:ascii="Tahoma" w:hAnsi="Tahoma" w:cs="Tahoma"/>
          <w:noProof/>
          <w:sz w:val="24"/>
          <w:szCs w:val="24"/>
          <w:lang w:eastAsia="en-ZW"/>
        </w:rPr>
        <w:t>3</w:t>
      </w:r>
      <w:r w:rsidR="00136197">
        <w:rPr>
          <w:rFonts w:ascii="Tahoma" w:hAnsi="Tahoma" w:cs="Tahoma"/>
          <w:noProof/>
          <w:sz w:val="24"/>
          <w:szCs w:val="24"/>
          <w:lang w:eastAsia="en-ZW"/>
        </w:rPr>
        <w:t>)</w:t>
      </w:r>
      <w:r w:rsidR="00BB518F">
        <w:rPr>
          <w:rFonts w:ascii="Tahoma" w:hAnsi="Tahoma" w:cs="Tahoma"/>
          <w:noProof/>
          <w:sz w:val="24"/>
          <w:szCs w:val="24"/>
          <w:lang w:eastAsia="en-ZW"/>
        </w:rPr>
        <w:t>.</w:t>
      </w:r>
      <w:r w:rsidR="00136197">
        <w:rPr>
          <w:rFonts w:ascii="Tahoma" w:hAnsi="Tahoma" w:cs="Tahoma"/>
          <w:noProof/>
          <w:sz w:val="24"/>
          <w:szCs w:val="24"/>
          <w:lang w:eastAsia="en-ZW"/>
        </w:rPr>
        <w:t xml:space="preserve"> </w:t>
      </w:r>
      <w:r w:rsidR="00BB518F">
        <w:rPr>
          <w:rFonts w:ascii="Tahoma" w:hAnsi="Tahoma" w:cs="Tahoma"/>
          <w:noProof/>
          <w:sz w:val="24"/>
          <w:szCs w:val="24"/>
          <w:lang w:eastAsia="en-ZW"/>
        </w:rPr>
        <w:t>Exports were USD</w:t>
      </w:r>
      <w:r w:rsidR="00A02B17">
        <w:rPr>
          <w:rFonts w:ascii="Tahoma" w:hAnsi="Tahoma" w:cs="Tahoma"/>
          <w:noProof/>
          <w:sz w:val="24"/>
          <w:szCs w:val="24"/>
          <w:lang w:eastAsia="en-ZW"/>
        </w:rPr>
        <w:t>575</w:t>
      </w:r>
      <w:r w:rsidR="00BB518F">
        <w:rPr>
          <w:rFonts w:ascii="Tahoma" w:hAnsi="Tahoma" w:cs="Tahoma"/>
          <w:noProof/>
          <w:sz w:val="24"/>
          <w:szCs w:val="24"/>
          <w:lang w:eastAsia="en-ZW"/>
        </w:rPr>
        <w:t xml:space="preserve"> million</w:t>
      </w:r>
      <w:r w:rsidR="009053C6">
        <w:rPr>
          <w:rFonts w:ascii="Tahoma" w:hAnsi="Tahoma" w:cs="Tahoma"/>
          <w:noProof/>
          <w:sz w:val="24"/>
          <w:szCs w:val="24"/>
          <w:lang w:eastAsia="en-ZW"/>
        </w:rPr>
        <w:t xml:space="preserve"> (mainly gold, PMGs and Ferrochromium) mostly to United Arab Emir</w:t>
      </w:r>
      <w:r w:rsidR="002100F7">
        <w:rPr>
          <w:rFonts w:ascii="Tahoma" w:hAnsi="Tahoma" w:cs="Tahoma"/>
          <w:noProof/>
          <w:sz w:val="24"/>
          <w:szCs w:val="24"/>
          <w:lang w:eastAsia="en-ZW"/>
        </w:rPr>
        <w:t>a</w:t>
      </w:r>
      <w:r w:rsidR="009053C6">
        <w:rPr>
          <w:rFonts w:ascii="Tahoma" w:hAnsi="Tahoma" w:cs="Tahoma"/>
          <w:noProof/>
          <w:sz w:val="24"/>
          <w:szCs w:val="24"/>
          <w:lang w:eastAsia="en-ZW"/>
        </w:rPr>
        <w:t>tes, South Africa and China</w:t>
      </w:r>
      <w:r w:rsidR="00BB518F">
        <w:rPr>
          <w:rFonts w:ascii="Tahoma" w:hAnsi="Tahoma" w:cs="Tahoma"/>
          <w:noProof/>
          <w:sz w:val="24"/>
          <w:szCs w:val="24"/>
          <w:lang w:eastAsia="en-ZW"/>
        </w:rPr>
        <w:t xml:space="preserve">, </w:t>
      </w:r>
      <w:r w:rsidR="009053C6">
        <w:rPr>
          <w:rFonts w:ascii="Tahoma" w:hAnsi="Tahoma" w:cs="Tahoma"/>
          <w:noProof/>
          <w:sz w:val="24"/>
          <w:szCs w:val="24"/>
          <w:lang w:eastAsia="en-ZW"/>
        </w:rPr>
        <w:t>a 14.7% m-o-m decline due to a decline in export of gold and PMGs and a 15.2% YoY decline.</w:t>
      </w:r>
      <w:r w:rsidR="00BB518F">
        <w:rPr>
          <w:rFonts w:ascii="Tahoma" w:hAnsi="Tahoma" w:cs="Tahoma"/>
          <w:noProof/>
          <w:sz w:val="24"/>
          <w:szCs w:val="24"/>
          <w:lang w:eastAsia="en-ZW"/>
        </w:rPr>
        <w:t xml:space="preserve"> </w:t>
      </w:r>
      <w:r w:rsidR="00136197">
        <w:rPr>
          <w:rFonts w:ascii="Tahoma" w:hAnsi="Tahoma" w:cs="Tahoma"/>
          <w:noProof/>
          <w:sz w:val="24"/>
          <w:szCs w:val="24"/>
          <w:lang w:eastAsia="en-ZW"/>
        </w:rPr>
        <w:t>Import bill amounted to USD</w:t>
      </w:r>
      <w:r w:rsidR="00E06872">
        <w:rPr>
          <w:rFonts w:ascii="Tahoma" w:hAnsi="Tahoma" w:cs="Tahoma"/>
          <w:noProof/>
          <w:sz w:val="24"/>
          <w:szCs w:val="24"/>
          <w:lang w:eastAsia="en-ZW"/>
        </w:rPr>
        <w:t>782.6</w:t>
      </w:r>
      <w:r w:rsidR="00136197">
        <w:rPr>
          <w:rFonts w:ascii="Tahoma" w:hAnsi="Tahoma" w:cs="Tahoma"/>
          <w:noProof/>
          <w:sz w:val="24"/>
          <w:szCs w:val="24"/>
          <w:lang w:eastAsia="en-ZW"/>
        </w:rPr>
        <w:t xml:space="preserve"> million in </w:t>
      </w:r>
      <w:r w:rsidR="00E06872">
        <w:rPr>
          <w:rFonts w:ascii="Tahoma" w:hAnsi="Tahoma" w:cs="Tahoma"/>
          <w:noProof/>
          <w:sz w:val="24"/>
          <w:szCs w:val="24"/>
          <w:lang w:eastAsia="en-ZW"/>
        </w:rPr>
        <w:t>September</w:t>
      </w:r>
      <w:r w:rsidR="00136197">
        <w:rPr>
          <w:rFonts w:ascii="Tahoma" w:hAnsi="Tahoma" w:cs="Tahoma"/>
          <w:noProof/>
          <w:sz w:val="24"/>
          <w:szCs w:val="24"/>
          <w:lang w:eastAsia="en-ZW"/>
        </w:rPr>
        <w:t xml:space="preserve"> 2024,</w:t>
      </w:r>
      <w:r w:rsidR="00E06872">
        <w:rPr>
          <w:rFonts w:ascii="Tahoma" w:hAnsi="Tahoma" w:cs="Tahoma"/>
          <w:noProof/>
          <w:sz w:val="24"/>
          <w:szCs w:val="24"/>
          <w:lang w:eastAsia="en-ZW"/>
        </w:rPr>
        <w:t xml:space="preserve"> </w:t>
      </w:r>
      <w:r w:rsidR="00136197">
        <w:rPr>
          <w:rFonts w:ascii="Tahoma" w:hAnsi="Tahoma" w:cs="Tahoma"/>
          <w:noProof/>
          <w:sz w:val="24"/>
          <w:szCs w:val="24"/>
          <w:lang w:eastAsia="en-ZW"/>
        </w:rPr>
        <w:t xml:space="preserve">a </w:t>
      </w:r>
      <w:r w:rsidR="00E06872">
        <w:rPr>
          <w:rFonts w:ascii="Tahoma" w:hAnsi="Tahoma" w:cs="Tahoma"/>
          <w:noProof/>
          <w:sz w:val="24"/>
          <w:szCs w:val="24"/>
          <w:lang w:eastAsia="en-ZW"/>
        </w:rPr>
        <w:t>10.4</w:t>
      </w:r>
      <w:r w:rsidR="00136197">
        <w:rPr>
          <w:rFonts w:ascii="Tahoma" w:hAnsi="Tahoma" w:cs="Tahoma"/>
          <w:noProof/>
          <w:sz w:val="24"/>
          <w:szCs w:val="24"/>
          <w:lang w:eastAsia="en-ZW"/>
        </w:rPr>
        <w:t>%</w:t>
      </w:r>
      <w:r w:rsidR="00E06872">
        <w:rPr>
          <w:rFonts w:ascii="Tahoma" w:hAnsi="Tahoma" w:cs="Tahoma"/>
          <w:noProof/>
          <w:sz w:val="24"/>
          <w:szCs w:val="24"/>
          <w:lang w:eastAsia="en-ZW"/>
        </w:rPr>
        <w:t xml:space="preserve"> down from USD973.2 million in August 202, slightly higher than USD773.6 million in September 2023. Imports were dominated by di</w:t>
      </w:r>
      <w:r w:rsidR="00E4337A">
        <w:rPr>
          <w:rFonts w:ascii="Tahoma" w:hAnsi="Tahoma" w:cs="Tahoma"/>
          <w:noProof/>
          <w:sz w:val="24"/>
          <w:szCs w:val="24"/>
          <w:lang w:eastAsia="en-ZW"/>
        </w:rPr>
        <w:t>e</w:t>
      </w:r>
      <w:r w:rsidR="00E06872">
        <w:rPr>
          <w:rFonts w:ascii="Tahoma" w:hAnsi="Tahoma" w:cs="Tahoma"/>
          <w:noProof/>
          <w:sz w:val="24"/>
          <w:szCs w:val="24"/>
          <w:lang w:eastAsia="en-ZW"/>
        </w:rPr>
        <w:t xml:space="preserve">sel, maize, steam and other vapor turbine parts and petrol mainly from South Africa, </w:t>
      </w:r>
      <w:r w:rsidR="00E4337A">
        <w:rPr>
          <w:rFonts w:ascii="Tahoma" w:hAnsi="Tahoma" w:cs="Tahoma"/>
          <w:noProof/>
          <w:sz w:val="24"/>
          <w:szCs w:val="24"/>
          <w:lang w:eastAsia="en-ZW"/>
        </w:rPr>
        <w:t>C</w:t>
      </w:r>
      <w:r w:rsidR="00E06872">
        <w:rPr>
          <w:rFonts w:ascii="Tahoma" w:hAnsi="Tahoma" w:cs="Tahoma"/>
          <w:noProof/>
          <w:sz w:val="24"/>
          <w:szCs w:val="24"/>
          <w:lang w:eastAsia="en-ZW"/>
        </w:rPr>
        <w:t>hina, Bahamas and Singapore</w:t>
      </w:r>
      <w:bookmarkEnd w:id="27"/>
      <w:r w:rsidR="00E06872">
        <w:rPr>
          <w:rFonts w:ascii="Tahoma" w:hAnsi="Tahoma" w:cs="Tahoma"/>
          <w:noProof/>
          <w:sz w:val="24"/>
          <w:szCs w:val="24"/>
          <w:lang w:eastAsia="en-ZW"/>
        </w:rPr>
        <w:t>.</w:t>
      </w:r>
    </w:p>
    <w:p w14:paraId="3616D67A" w14:textId="77777777" w:rsidR="00E2017D" w:rsidRDefault="00E2017D" w:rsidP="00340BCF">
      <w:pPr>
        <w:ind w:left="720" w:hanging="720"/>
        <w:jc w:val="both"/>
        <w:rPr>
          <w:rFonts w:ascii="Tahoma" w:hAnsi="Tahoma" w:cs="Tahoma"/>
          <w:noProof/>
          <w:sz w:val="24"/>
          <w:szCs w:val="24"/>
          <w:lang w:eastAsia="en-ZW"/>
        </w:rPr>
      </w:pPr>
    </w:p>
    <w:p w14:paraId="1D13EFBB" w14:textId="77777777" w:rsidR="00E2017D" w:rsidRDefault="00E2017D" w:rsidP="00340BCF">
      <w:pPr>
        <w:ind w:left="720" w:hanging="720"/>
        <w:jc w:val="both"/>
        <w:rPr>
          <w:rFonts w:ascii="Tahoma" w:hAnsi="Tahoma" w:cs="Tahoma"/>
          <w:noProof/>
          <w:sz w:val="24"/>
          <w:szCs w:val="24"/>
          <w:lang w:eastAsia="en-ZW"/>
        </w:rPr>
      </w:pPr>
    </w:p>
    <w:p w14:paraId="7916E225" w14:textId="77777777" w:rsidR="00E2017D" w:rsidRDefault="00E2017D" w:rsidP="00340BCF">
      <w:pPr>
        <w:ind w:left="720" w:hanging="720"/>
        <w:jc w:val="both"/>
        <w:rPr>
          <w:rFonts w:ascii="Tahoma" w:hAnsi="Tahoma" w:cs="Tahoma"/>
          <w:noProof/>
          <w:sz w:val="24"/>
          <w:szCs w:val="24"/>
          <w:lang w:eastAsia="en-ZW"/>
        </w:rPr>
      </w:pPr>
    </w:p>
    <w:p w14:paraId="575E61F5" w14:textId="77777777" w:rsidR="00E2017D" w:rsidRDefault="00E2017D" w:rsidP="00340BCF">
      <w:pPr>
        <w:ind w:left="720" w:hanging="720"/>
        <w:jc w:val="both"/>
        <w:rPr>
          <w:rFonts w:ascii="Tahoma" w:hAnsi="Tahoma" w:cs="Tahoma"/>
          <w:noProof/>
          <w:sz w:val="24"/>
          <w:szCs w:val="24"/>
          <w:lang w:eastAsia="en-ZW"/>
        </w:rPr>
      </w:pPr>
    </w:p>
    <w:p w14:paraId="50F280DD" w14:textId="77777777" w:rsidR="00E2017D" w:rsidRDefault="00E2017D" w:rsidP="00340BCF">
      <w:pPr>
        <w:ind w:left="720" w:hanging="720"/>
        <w:jc w:val="both"/>
        <w:rPr>
          <w:rFonts w:ascii="Tahoma" w:hAnsi="Tahoma" w:cs="Tahoma"/>
          <w:noProof/>
          <w:sz w:val="24"/>
          <w:szCs w:val="24"/>
          <w:lang w:eastAsia="en-ZW"/>
        </w:rPr>
      </w:pPr>
    </w:p>
    <w:p w14:paraId="3E8033C1" w14:textId="77777777" w:rsidR="00E2017D" w:rsidRDefault="00E2017D" w:rsidP="00340BCF">
      <w:pPr>
        <w:ind w:left="720" w:hanging="720"/>
        <w:jc w:val="both"/>
        <w:rPr>
          <w:rFonts w:ascii="Tahoma" w:hAnsi="Tahoma" w:cs="Tahoma"/>
          <w:noProof/>
          <w:sz w:val="24"/>
          <w:szCs w:val="24"/>
          <w:lang w:eastAsia="en-ZW"/>
        </w:rPr>
      </w:pPr>
    </w:p>
    <w:p w14:paraId="2AD1DC18" w14:textId="77777777" w:rsidR="00E2017D" w:rsidRDefault="00E2017D" w:rsidP="00340BCF">
      <w:pPr>
        <w:ind w:left="720" w:hanging="720"/>
        <w:jc w:val="both"/>
        <w:rPr>
          <w:rFonts w:ascii="Tahoma" w:hAnsi="Tahoma" w:cs="Tahoma"/>
          <w:noProof/>
          <w:sz w:val="24"/>
          <w:szCs w:val="24"/>
          <w:lang w:eastAsia="en-ZW"/>
        </w:rPr>
      </w:pPr>
    </w:p>
    <w:p w14:paraId="6808AA7E" w14:textId="6F22E513" w:rsidR="00D75883" w:rsidRPr="00E1754A" w:rsidRDefault="00D75883" w:rsidP="00D75883">
      <w:pPr>
        <w:pStyle w:val="ListofFigures"/>
      </w:pPr>
      <w:bookmarkStart w:id="28" w:name="_Toc184215204"/>
      <w:r w:rsidRPr="00863A17">
        <w:lastRenderedPageBreak/>
        <w:t xml:space="preserve">Figure </w:t>
      </w:r>
      <w:r w:rsidR="0065553A">
        <w:rPr>
          <w:bCs/>
        </w:rPr>
        <w:t>3</w:t>
      </w:r>
      <w:r w:rsidRPr="00863A17">
        <w:t xml:space="preserve">: </w:t>
      </w:r>
      <w:r>
        <w:rPr>
          <w:lang w:val="en-US"/>
        </w:rPr>
        <w:t>Merchandise Trade Developments</w:t>
      </w:r>
      <w:bookmarkEnd w:id="28"/>
      <w:r>
        <w:rPr>
          <w:lang w:val="en-US"/>
        </w:rPr>
        <w:t xml:space="preserve"> </w:t>
      </w:r>
    </w:p>
    <w:p w14:paraId="2F8190CC" w14:textId="1416AE32" w:rsidR="00D75883" w:rsidRDefault="0000732F" w:rsidP="00D75883">
      <w:pPr>
        <w:spacing w:after="0"/>
        <w:ind w:left="720" w:hanging="720"/>
        <w:jc w:val="both"/>
        <w:rPr>
          <w:noProof/>
          <w:lang w:eastAsia="en-ZW"/>
        </w:rPr>
      </w:pPr>
      <w:r>
        <w:rPr>
          <w:noProof/>
          <w:lang w:eastAsia="en-ZW"/>
        </w:rPr>
        <w:drawing>
          <wp:inline distT="0" distB="0" distL="0" distR="0" wp14:anchorId="49E5E6A5" wp14:editId="23BEE230">
            <wp:extent cx="5676900" cy="2575560"/>
            <wp:effectExtent l="0" t="0" r="0" b="0"/>
            <wp:docPr id="241376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575560"/>
                    </a:xfrm>
                    <a:prstGeom prst="rect">
                      <a:avLst/>
                    </a:prstGeom>
                    <a:noFill/>
                  </pic:spPr>
                </pic:pic>
              </a:graphicData>
            </a:graphic>
          </wp:inline>
        </w:drawing>
      </w:r>
    </w:p>
    <w:p w14:paraId="189CA09A" w14:textId="77777777" w:rsidR="00D75883" w:rsidRPr="00746F8E" w:rsidRDefault="00D75883" w:rsidP="00D75883">
      <w:pPr>
        <w:spacing w:after="0"/>
        <w:ind w:left="720" w:hanging="720"/>
        <w:jc w:val="both"/>
        <w:rPr>
          <w:rFonts w:ascii="Tahoma" w:hAnsi="Tahoma" w:cs="Tahoma"/>
          <w:i/>
          <w:noProof/>
          <w:sz w:val="24"/>
          <w:szCs w:val="24"/>
          <w:lang w:eastAsia="en-ZW"/>
        </w:rPr>
      </w:pPr>
      <w:r w:rsidRPr="00746F8E">
        <w:rPr>
          <w:rFonts w:ascii="Tahoma" w:hAnsi="Tahoma" w:cs="Tahoma"/>
          <w:i/>
          <w:noProof/>
          <w:sz w:val="24"/>
          <w:szCs w:val="24"/>
          <w:lang w:eastAsia="en-ZW"/>
        </w:rPr>
        <w:t>Source: RBZ (2024)</w:t>
      </w:r>
    </w:p>
    <w:p w14:paraId="4BC9FA27" w14:textId="77777777" w:rsidR="00D75883" w:rsidRPr="00354CAD" w:rsidRDefault="00D75883" w:rsidP="00C262AF">
      <w:pPr>
        <w:ind w:left="720" w:hanging="720"/>
        <w:jc w:val="both"/>
        <w:rPr>
          <w:rFonts w:ascii="Tahoma" w:hAnsi="Tahoma" w:cs="Tahoma"/>
          <w:sz w:val="24"/>
          <w:szCs w:val="24"/>
          <w:lang w:val="en-US"/>
        </w:rPr>
      </w:pPr>
    </w:p>
    <w:p w14:paraId="1E8E8B94" w14:textId="77777777" w:rsidR="00EF37FE" w:rsidRPr="00086539" w:rsidRDefault="00B1678A" w:rsidP="009F5CE5">
      <w:pPr>
        <w:pStyle w:val="Heading1"/>
        <w:spacing w:before="0" w:after="240" w:line="240" w:lineRule="auto"/>
        <w:rPr>
          <w:rFonts w:cs="Tahoma"/>
          <w:bCs/>
          <w:color w:val="000000"/>
          <w:szCs w:val="24"/>
          <w:lang w:val="en-US"/>
        </w:rPr>
      </w:pPr>
      <w:bookmarkStart w:id="29" w:name="_Toc166607895"/>
      <w:bookmarkStart w:id="30" w:name="_Toc184215738"/>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9"/>
      <w:bookmarkEnd w:id="30"/>
      <w:r w:rsidR="00EF37FE" w:rsidRPr="00086539">
        <w:rPr>
          <w:rFonts w:cs="Tahoma"/>
          <w:bCs/>
          <w:color w:val="000000"/>
          <w:szCs w:val="24"/>
          <w:lang w:val="en-US"/>
        </w:rPr>
        <w:t xml:space="preserve"> </w:t>
      </w:r>
    </w:p>
    <w:p w14:paraId="5D8D6556" w14:textId="77777777" w:rsidR="00EF25BB" w:rsidRPr="00863A17" w:rsidRDefault="00B1678A" w:rsidP="003C1D2F">
      <w:pPr>
        <w:pStyle w:val="Heading2"/>
        <w:spacing w:before="0" w:after="240" w:line="240" w:lineRule="auto"/>
        <w:rPr>
          <w:rFonts w:cs="Tahoma"/>
          <w:b/>
          <w:color w:val="000000"/>
          <w:szCs w:val="24"/>
          <w:lang w:val="en-US"/>
        </w:rPr>
      </w:pPr>
      <w:bookmarkStart w:id="31" w:name="_Toc166607896"/>
      <w:bookmarkStart w:id="32" w:name="_Toc184215739"/>
      <w:r w:rsidRPr="00863A17">
        <w:rPr>
          <w:rFonts w:cs="Tahoma"/>
          <w:b/>
          <w:color w:val="000000"/>
          <w:szCs w:val="24"/>
          <w:lang w:val="en-US"/>
        </w:rPr>
        <w:t>5.1</w:t>
      </w:r>
      <w:r w:rsidRPr="00863A17">
        <w:rPr>
          <w:rFonts w:cs="Tahoma"/>
          <w:b/>
          <w:color w:val="000000"/>
          <w:szCs w:val="24"/>
          <w:lang w:val="en-US"/>
        </w:rPr>
        <w:tab/>
      </w:r>
      <w:r w:rsidR="0093372C">
        <w:rPr>
          <w:rFonts w:cs="Tahoma"/>
          <w:b/>
          <w:color w:val="000000"/>
          <w:szCs w:val="24"/>
          <w:lang w:val="en-US"/>
        </w:rPr>
        <w:t>ZWG</w:t>
      </w:r>
      <w:r w:rsidR="00EF25BB" w:rsidRPr="00863A17">
        <w:rPr>
          <w:rFonts w:cs="Tahoma"/>
          <w:b/>
          <w:color w:val="000000"/>
          <w:szCs w:val="24"/>
          <w:lang w:val="en-US"/>
        </w:rPr>
        <w:t xml:space="preserve"> Exchange Rate Developments</w:t>
      </w:r>
      <w:bookmarkEnd w:id="31"/>
      <w:bookmarkEnd w:id="32"/>
      <w:r w:rsidR="00EF25BB" w:rsidRPr="00863A17">
        <w:rPr>
          <w:rFonts w:cs="Tahoma"/>
          <w:b/>
          <w:color w:val="000000"/>
          <w:szCs w:val="24"/>
          <w:lang w:val="en-US"/>
        </w:rPr>
        <w:t xml:space="preserve"> </w:t>
      </w:r>
    </w:p>
    <w:p w14:paraId="14757367" w14:textId="631A0401" w:rsidR="00D51501" w:rsidRPr="00D51501" w:rsidRDefault="00D51501" w:rsidP="00D51501">
      <w:pPr>
        <w:ind w:left="720" w:hanging="720"/>
        <w:jc w:val="both"/>
        <w:rPr>
          <w:rFonts w:ascii="Tahoma" w:hAnsi="Tahoma" w:cs="Tahoma"/>
          <w:sz w:val="24"/>
          <w:szCs w:val="24"/>
          <w:lang w:val="en-US"/>
        </w:rPr>
      </w:pPr>
      <w:r w:rsidRPr="00D51501">
        <w:rPr>
          <w:rFonts w:ascii="Tahoma" w:hAnsi="Tahoma" w:cs="Tahoma"/>
          <w:sz w:val="24"/>
          <w:szCs w:val="24"/>
          <w:lang w:val="en-US"/>
        </w:rPr>
        <w:t>5.1.1</w:t>
      </w:r>
      <w:r w:rsidRPr="00D51501">
        <w:rPr>
          <w:rFonts w:ascii="Tahoma" w:hAnsi="Tahoma" w:cs="Tahoma"/>
          <w:sz w:val="24"/>
          <w:szCs w:val="24"/>
          <w:lang w:val="en-US"/>
        </w:rPr>
        <w:tab/>
      </w:r>
      <w:r w:rsidR="00E93DB0">
        <w:rPr>
          <w:rFonts w:ascii="Tahoma" w:hAnsi="Tahoma" w:cs="Tahoma"/>
          <w:sz w:val="24"/>
          <w:szCs w:val="24"/>
          <w:lang w:val="en-US"/>
        </w:rPr>
        <w:t>T</w:t>
      </w:r>
      <w:r w:rsidRPr="00D51501">
        <w:rPr>
          <w:rFonts w:ascii="Tahoma" w:hAnsi="Tahoma" w:cs="Tahoma"/>
          <w:sz w:val="24"/>
          <w:szCs w:val="24"/>
          <w:lang w:val="en-US"/>
        </w:rPr>
        <w:t xml:space="preserve">he ZWG </w:t>
      </w:r>
      <w:r w:rsidR="0068460A">
        <w:rPr>
          <w:rFonts w:ascii="Tahoma" w:hAnsi="Tahoma" w:cs="Tahoma"/>
          <w:sz w:val="24"/>
          <w:szCs w:val="24"/>
          <w:lang w:val="en-US"/>
        </w:rPr>
        <w:t xml:space="preserve">gained </w:t>
      </w:r>
      <w:r w:rsidR="00EF7AF6">
        <w:rPr>
          <w:rFonts w:ascii="Tahoma" w:hAnsi="Tahoma" w:cs="Tahoma"/>
          <w:sz w:val="24"/>
          <w:szCs w:val="24"/>
          <w:lang w:val="en-US"/>
        </w:rPr>
        <w:t xml:space="preserve">some </w:t>
      </w:r>
      <w:r w:rsidR="00DB4903">
        <w:rPr>
          <w:rFonts w:ascii="Tahoma" w:hAnsi="Tahoma" w:cs="Tahoma"/>
          <w:sz w:val="24"/>
          <w:szCs w:val="24"/>
          <w:lang w:val="en-US"/>
        </w:rPr>
        <w:t>momentum</w:t>
      </w:r>
      <w:r w:rsidR="0068460A">
        <w:rPr>
          <w:rFonts w:ascii="Tahoma" w:hAnsi="Tahoma" w:cs="Tahoma"/>
          <w:sz w:val="24"/>
          <w:szCs w:val="24"/>
          <w:lang w:val="en-US"/>
        </w:rPr>
        <w:t xml:space="preserve"> </w:t>
      </w:r>
      <w:r w:rsidR="002912BB">
        <w:rPr>
          <w:rFonts w:ascii="Tahoma" w:hAnsi="Tahoma" w:cs="Tahoma"/>
          <w:sz w:val="24"/>
          <w:szCs w:val="24"/>
          <w:lang w:val="en-US"/>
        </w:rPr>
        <w:t>during the month under review</w:t>
      </w:r>
      <w:r w:rsidR="00EF7AF6">
        <w:rPr>
          <w:rFonts w:ascii="Tahoma" w:hAnsi="Tahoma" w:cs="Tahoma"/>
          <w:sz w:val="24"/>
          <w:szCs w:val="24"/>
          <w:lang w:val="en-US"/>
        </w:rPr>
        <w:t>,</w:t>
      </w:r>
      <w:r w:rsidR="0068460A">
        <w:rPr>
          <w:rFonts w:ascii="Tahoma" w:hAnsi="Tahoma" w:cs="Tahoma"/>
          <w:sz w:val="24"/>
          <w:szCs w:val="24"/>
          <w:lang w:val="en-US"/>
        </w:rPr>
        <w:t xml:space="preserve"> mainly due to stringent measures to contain expenditure for November and December 2024</w:t>
      </w:r>
      <w:r w:rsidR="00D03BB1">
        <w:rPr>
          <w:rFonts w:ascii="Tahoma" w:hAnsi="Tahoma" w:cs="Tahoma"/>
          <w:sz w:val="24"/>
          <w:szCs w:val="24"/>
          <w:lang w:val="en-US"/>
        </w:rPr>
        <w:t xml:space="preserve"> contained in Treasury Circular No. 7 of 2024</w:t>
      </w:r>
      <w:r w:rsidR="0068460A">
        <w:rPr>
          <w:rFonts w:ascii="Tahoma" w:hAnsi="Tahoma" w:cs="Tahoma"/>
          <w:sz w:val="24"/>
          <w:szCs w:val="24"/>
          <w:lang w:val="en-US"/>
        </w:rPr>
        <w:t>.</w:t>
      </w:r>
      <w:r w:rsidR="007E3794">
        <w:rPr>
          <w:rFonts w:ascii="Tahoma" w:hAnsi="Tahoma" w:cs="Tahoma"/>
          <w:sz w:val="24"/>
          <w:szCs w:val="24"/>
          <w:lang w:val="en-US"/>
        </w:rPr>
        <w:t xml:space="preserve"> On a month-on-month basis, the ZWG gained against the GBP, EUR and ZAR by 2.93%, 3.18% and 3.24% respectively, while lost 2.28% against the USD</w:t>
      </w:r>
      <w:r w:rsidR="00686026">
        <w:rPr>
          <w:rFonts w:ascii="Tahoma" w:hAnsi="Tahoma" w:cs="Tahoma"/>
          <w:sz w:val="24"/>
          <w:szCs w:val="24"/>
          <w:lang w:val="en-US"/>
        </w:rPr>
        <w:t xml:space="preserve"> as shown in Table 2</w:t>
      </w:r>
      <w:r w:rsidR="007E3794">
        <w:rPr>
          <w:rFonts w:ascii="Tahoma" w:hAnsi="Tahoma" w:cs="Tahoma"/>
          <w:sz w:val="24"/>
          <w:szCs w:val="24"/>
          <w:lang w:val="en-US"/>
        </w:rPr>
        <w:t>.</w:t>
      </w:r>
      <w:r w:rsidR="006C2DE1">
        <w:rPr>
          <w:rFonts w:ascii="Tahoma" w:hAnsi="Tahoma" w:cs="Tahoma"/>
          <w:sz w:val="24"/>
          <w:szCs w:val="24"/>
          <w:lang w:val="en-US"/>
        </w:rPr>
        <w:t xml:space="preserve"> However, the ZWG lost value against all major currencies on a year-to-date and year-on-year basis.</w:t>
      </w:r>
    </w:p>
    <w:p w14:paraId="78D9041E" w14:textId="560AB2E6" w:rsidR="00D51501" w:rsidRPr="00134E84" w:rsidRDefault="00D51501" w:rsidP="00DB4903">
      <w:pPr>
        <w:pStyle w:val="ListofTables"/>
        <w:jc w:val="both"/>
      </w:pPr>
      <w:bookmarkStart w:id="33" w:name="_Toc184287492"/>
      <w:r w:rsidRPr="00134E84">
        <w:t xml:space="preserve">Table </w:t>
      </w:r>
      <w:r w:rsidR="00C514A7">
        <w:t>2</w:t>
      </w:r>
      <w:r w:rsidRPr="00134E84">
        <w:t>: ZWG Exchange Rate Movements</w:t>
      </w:r>
      <w:r w:rsidR="00824F12">
        <w:t>-</w:t>
      </w:r>
      <w:r w:rsidRPr="00134E84">
        <w:t xml:space="preserve">Month Ending </w:t>
      </w:r>
      <w:r w:rsidR="00612036">
        <w:t>29 November</w:t>
      </w:r>
      <w:r w:rsidRPr="00134E84">
        <w:t xml:space="preserve"> 2024</w:t>
      </w:r>
      <w:bookmarkEnd w:id="33"/>
    </w:p>
    <w:p w14:paraId="387FDA9A" w14:textId="28386DBE" w:rsidR="00D51501" w:rsidRPr="00D51501" w:rsidRDefault="00D006C3" w:rsidP="00134E84">
      <w:pPr>
        <w:spacing w:after="0"/>
        <w:ind w:left="720" w:hanging="720"/>
        <w:jc w:val="both"/>
        <w:rPr>
          <w:rFonts w:ascii="Tahoma" w:hAnsi="Tahoma" w:cs="Tahoma"/>
          <w:sz w:val="24"/>
          <w:szCs w:val="24"/>
          <w:lang w:val="en-US"/>
        </w:rPr>
      </w:pPr>
      <w:r w:rsidRPr="00D006C3">
        <w:rPr>
          <w:noProof/>
        </w:rPr>
        <w:drawing>
          <wp:inline distT="0" distB="0" distL="0" distR="0" wp14:anchorId="17D6E5DF" wp14:editId="2EB53C92">
            <wp:extent cx="5731510" cy="1283335"/>
            <wp:effectExtent l="0" t="0" r="2540" b="0"/>
            <wp:docPr id="4936352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5240" name="Picture 1" descr="A screenshot of a computer screen&#10;&#10;Description automatically generated"/>
                    <pic:cNvPicPr/>
                  </pic:nvPicPr>
                  <pic:blipFill>
                    <a:blip r:embed="rId14"/>
                    <a:stretch>
                      <a:fillRect/>
                    </a:stretch>
                  </pic:blipFill>
                  <pic:spPr>
                    <a:xfrm>
                      <a:off x="0" y="0"/>
                      <a:ext cx="5731510" cy="1283335"/>
                    </a:xfrm>
                    <a:prstGeom prst="rect">
                      <a:avLst/>
                    </a:prstGeom>
                  </pic:spPr>
                </pic:pic>
              </a:graphicData>
            </a:graphic>
          </wp:inline>
        </w:drawing>
      </w:r>
    </w:p>
    <w:p w14:paraId="1BF20869" w14:textId="77777777" w:rsidR="00D51501" w:rsidRDefault="00D51501" w:rsidP="00340BCF">
      <w:pPr>
        <w:spacing w:after="0"/>
        <w:ind w:left="720" w:hanging="720"/>
        <w:jc w:val="both"/>
        <w:rPr>
          <w:rFonts w:ascii="Tahoma" w:hAnsi="Tahoma" w:cs="Tahoma"/>
          <w:i/>
          <w:sz w:val="24"/>
          <w:szCs w:val="24"/>
          <w:lang w:val="en-US"/>
        </w:rPr>
      </w:pPr>
      <w:r w:rsidRPr="00D51501">
        <w:rPr>
          <w:rFonts w:ascii="Tahoma" w:hAnsi="Tahoma" w:cs="Tahoma"/>
          <w:i/>
          <w:sz w:val="24"/>
          <w:szCs w:val="24"/>
          <w:lang w:val="en-US"/>
        </w:rPr>
        <w:t xml:space="preserve">Source: RBZ (2024) </w:t>
      </w:r>
    </w:p>
    <w:p w14:paraId="77951DB2" w14:textId="77777777" w:rsidR="001B17C0" w:rsidRDefault="001B17C0" w:rsidP="00340BCF">
      <w:pPr>
        <w:spacing w:after="0"/>
        <w:ind w:left="720" w:hanging="720"/>
        <w:jc w:val="both"/>
        <w:rPr>
          <w:rFonts w:ascii="Tahoma" w:hAnsi="Tahoma" w:cs="Tahoma"/>
          <w:i/>
          <w:sz w:val="24"/>
          <w:szCs w:val="24"/>
          <w:lang w:val="en-US"/>
        </w:rPr>
      </w:pPr>
    </w:p>
    <w:p w14:paraId="3E60409B" w14:textId="30B0F0A5" w:rsidR="001B17C0" w:rsidRPr="001B17C0" w:rsidRDefault="001B17C0" w:rsidP="00340BCF">
      <w:pPr>
        <w:spacing w:after="0"/>
        <w:ind w:left="720" w:hanging="720"/>
        <w:jc w:val="both"/>
        <w:rPr>
          <w:rFonts w:ascii="Tahoma" w:hAnsi="Tahoma" w:cs="Tahoma"/>
          <w:iCs/>
          <w:sz w:val="24"/>
          <w:szCs w:val="24"/>
          <w:lang w:val="en-US"/>
        </w:rPr>
      </w:pPr>
      <w:r w:rsidRPr="00E63964">
        <w:rPr>
          <w:rFonts w:ascii="Tahoma" w:hAnsi="Tahoma" w:cs="Tahoma"/>
          <w:iCs/>
          <w:sz w:val="24"/>
          <w:szCs w:val="24"/>
          <w:lang w:val="en-US"/>
        </w:rPr>
        <w:t>5.1.2</w:t>
      </w:r>
      <w:r w:rsidRPr="00E63964">
        <w:rPr>
          <w:rFonts w:ascii="Tahoma" w:hAnsi="Tahoma" w:cs="Tahoma"/>
          <w:iCs/>
          <w:sz w:val="24"/>
          <w:szCs w:val="24"/>
          <w:lang w:val="en-US"/>
        </w:rPr>
        <w:tab/>
      </w:r>
      <w:r w:rsidR="00F0484B">
        <w:rPr>
          <w:rFonts w:ascii="Tahoma" w:hAnsi="Tahoma" w:cs="Tahoma"/>
          <w:iCs/>
          <w:sz w:val="24"/>
          <w:szCs w:val="24"/>
          <w:lang w:val="en-US"/>
        </w:rPr>
        <w:t>Government fiscal discipline remains critical in s</w:t>
      </w:r>
      <w:r>
        <w:rPr>
          <w:rFonts w:ascii="Tahoma" w:hAnsi="Tahoma" w:cs="Tahoma"/>
          <w:iCs/>
          <w:sz w:val="24"/>
          <w:szCs w:val="24"/>
          <w:lang w:val="en-US"/>
        </w:rPr>
        <w:t>trengthening</w:t>
      </w:r>
      <w:r w:rsidR="00F0484B">
        <w:rPr>
          <w:rFonts w:ascii="Tahoma" w:hAnsi="Tahoma" w:cs="Tahoma"/>
          <w:iCs/>
          <w:sz w:val="24"/>
          <w:szCs w:val="24"/>
          <w:lang w:val="en-US"/>
        </w:rPr>
        <w:t xml:space="preserve"> and stabilizing the</w:t>
      </w:r>
      <w:r>
        <w:rPr>
          <w:rFonts w:ascii="Tahoma" w:hAnsi="Tahoma" w:cs="Tahoma"/>
          <w:iCs/>
          <w:sz w:val="24"/>
          <w:szCs w:val="24"/>
          <w:lang w:val="en-US"/>
        </w:rPr>
        <w:t xml:space="preserve"> ZWG</w:t>
      </w:r>
      <w:r w:rsidR="00F0484B">
        <w:rPr>
          <w:rFonts w:ascii="Tahoma" w:hAnsi="Tahoma" w:cs="Tahoma"/>
          <w:iCs/>
          <w:sz w:val="24"/>
          <w:szCs w:val="24"/>
          <w:lang w:val="en-US"/>
        </w:rPr>
        <w:t xml:space="preserve"> </w:t>
      </w:r>
      <w:r w:rsidR="00987E36">
        <w:rPr>
          <w:rFonts w:ascii="Tahoma" w:hAnsi="Tahoma" w:cs="Tahoma"/>
          <w:iCs/>
          <w:sz w:val="24"/>
          <w:szCs w:val="24"/>
          <w:lang w:val="en-US"/>
        </w:rPr>
        <w:t xml:space="preserve">as well as </w:t>
      </w:r>
      <w:r w:rsidR="00F0484B">
        <w:rPr>
          <w:rFonts w:ascii="Tahoma" w:hAnsi="Tahoma" w:cs="Tahoma"/>
          <w:iCs/>
          <w:sz w:val="24"/>
          <w:szCs w:val="24"/>
          <w:lang w:val="en-US"/>
        </w:rPr>
        <w:t xml:space="preserve">promoting economic growth </w:t>
      </w:r>
      <w:r w:rsidR="00987E36">
        <w:rPr>
          <w:rFonts w:ascii="Tahoma" w:hAnsi="Tahoma" w:cs="Tahoma"/>
          <w:iCs/>
          <w:sz w:val="24"/>
          <w:szCs w:val="24"/>
          <w:lang w:val="en-US"/>
        </w:rPr>
        <w:t xml:space="preserve">and development </w:t>
      </w:r>
      <w:r w:rsidR="00F0484B">
        <w:rPr>
          <w:rFonts w:ascii="Tahoma" w:hAnsi="Tahoma" w:cs="Tahoma"/>
          <w:iCs/>
          <w:sz w:val="24"/>
          <w:szCs w:val="24"/>
          <w:lang w:val="en-US"/>
        </w:rPr>
        <w:t>in Zimbabwe.</w:t>
      </w:r>
    </w:p>
    <w:p w14:paraId="2F395C0B" w14:textId="77777777" w:rsidR="00340BCF" w:rsidRDefault="00340BCF" w:rsidP="00340BCF">
      <w:pPr>
        <w:spacing w:after="0"/>
        <w:ind w:left="720" w:hanging="720"/>
        <w:jc w:val="both"/>
        <w:rPr>
          <w:rFonts w:ascii="Tahoma" w:hAnsi="Tahoma" w:cs="Tahoma"/>
          <w:sz w:val="24"/>
          <w:szCs w:val="24"/>
          <w:lang w:val="en-US"/>
        </w:rPr>
      </w:pPr>
    </w:p>
    <w:p w14:paraId="468CD8CE" w14:textId="77777777" w:rsidR="001E6E33" w:rsidRPr="00F05BD5" w:rsidRDefault="00D51501" w:rsidP="00F05BD5">
      <w:pPr>
        <w:pStyle w:val="Heading2"/>
        <w:spacing w:before="0" w:after="240" w:line="240" w:lineRule="auto"/>
        <w:rPr>
          <w:rFonts w:cs="Tahoma"/>
          <w:b/>
          <w:bCs/>
          <w:szCs w:val="24"/>
          <w:lang w:val="en-US"/>
        </w:rPr>
      </w:pPr>
      <w:bookmarkStart w:id="34" w:name="_Toc184215740"/>
      <w:r w:rsidRPr="00F05BD5">
        <w:rPr>
          <w:rFonts w:cs="Tahoma"/>
          <w:b/>
          <w:color w:val="000000"/>
          <w:szCs w:val="24"/>
          <w:lang w:val="en-US"/>
        </w:rPr>
        <w:t>5.</w:t>
      </w:r>
      <w:r w:rsidR="001E6E33" w:rsidRPr="00F05BD5">
        <w:rPr>
          <w:rFonts w:cs="Tahoma"/>
          <w:b/>
          <w:color w:val="000000"/>
          <w:szCs w:val="24"/>
          <w:lang w:val="en-US"/>
        </w:rPr>
        <w:t>2</w:t>
      </w:r>
      <w:r w:rsidR="001E6E33" w:rsidRPr="00F05BD5">
        <w:rPr>
          <w:rFonts w:cs="Tahoma"/>
          <w:b/>
          <w:color w:val="000000"/>
          <w:szCs w:val="24"/>
          <w:lang w:val="en-US"/>
        </w:rPr>
        <w:tab/>
        <w:t>Parallel Market Developments</w:t>
      </w:r>
      <w:bookmarkEnd w:id="34"/>
      <w:r w:rsidR="001E6E33" w:rsidRPr="00F05BD5">
        <w:rPr>
          <w:rFonts w:cs="Tahoma"/>
          <w:b/>
          <w:color w:val="000000"/>
          <w:szCs w:val="24"/>
          <w:lang w:val="en-US"/>
        </w:rPr>
        <w:t xml:space="preserve"> </w:t>
      </w:r>
    </w:p>
    <w:p w14:paraId="24662344" w14:textId="3E146EC6" w:rsidR="00C10419" w:rsidRPr="00E05277" w:rsidRDefault="001E6E33" w:rsidP="00E05277">
      <w:pPr>
        <w:ind w:left="720" w:hanging="720"/>
        <w:jc w:val="both"/>
        <w:rPr>
          <w:rFonts w:ascii="Tahoma" w:hAnsi="Tahoma" w:cs="Tahoma"/>
          <w:sz w:val="24"/>
          <w:szCs w:val="24"/>
          <w:lang w:val="en-US"/>
        </w:rPr>
      </w:pPr>
      <w:r>
        <w:rPr>
          <w:rFonts w:ascii="Tahoma" w:hAnsi="Tahoma" w:cs="Tahoma"/>
          <w:sz w:val="24"/>
          <w:szCs w:val="24"/>
          <w:lang w:val="en-US"/>
        </w:rPr>
        <w:t>5.2.1</w:t>
      </w:r>
      <w:r>
        <w:rPr>
          <w:rFonts w:ascii="Tahoma" w:hAnsi="Tahoma" w:cs="Tahoma"/>
          <w:sz w:val="24"/>
          <w:szCs w:val="24"/>
          <w:lang w:val="en-US"/>
        </w:rPr>
        <w:tab/>
      </w:r>
      <w:r w:rsidR="008F4B14">
        <w:rPr>
          <w:rFonts w:ascii="Tahoma" w:hAnsi="Tahoma" w:cs="Tahoma"/>
          <w:sz w:val="24"/>
          <w:szCs w:val="24"/>
          <w:lang w:val="en-US"/>
        </w:rPr>
        <w:t>During the period under review</w:t>
      </w:r>
      <w:r w:rsidR="00C017BF">
        <w:rPr>
          <w:rFonts w:ascii="Tahoma" w:hAnsi="Tahoma" w:cs="Tahoma"/>
          <w:sz w:val="24"/>
          <w:szCs w:val="24"/>
          <w:lang w:val="en-US"/>
        </w:rPr>
        <w:t xml:space="preserve">, </w:t>
      </w:r>
      <w:r w:rsidR="00133028">
        <w:rPr>
          <w:rFonts w:ascii="Tahoma" w:hAnsi="Tahoma" w:cs="Tahoma"/>
          <w:sz w:val="24"/>
          <w:szCs w:val="24"/>
          <w:lang w:val="en-US"/>
        </w:rPr>
        <w:t xml:space="preserve">parallel market </w:t>
      </w:r>
      <w:r w:rsidR="008F4B14">
        <w:rPr>
          <w:rFonts w:ascii="Tahoma" w:hAnsi="Tahoma" w:cs="Tahoma"/>
          <w:sz w:val="24"/>
          <w:szCs w:val="24"/>
          <w:lang w:val="en-US"/>
        </w:rPr>
        <w:t xml:space="preserve">remained high and official exchange rate decelerated from around USD/ZWG28.68 and stabilized at </w:t>
      </w:r>
      <w:r w:rsidR="008F4B14">
        <w:rPr>
          <w:rFonts w:ascii="Tahoma" w:hAnsi="Tahoma" w:cs="Tahoma"/>
          <w:sz w:val="24"/>
          <w:szCs w:val="24"/>
          <w:lang w:val="en-US"/>
        </w:rPr>
        <w:lastRenderedPageBreak/>
        <w:t>around USD/ZWG25.50 with a parallel</w:t>
      </w:r>
      <w:r w:rsidR="00133028">
        <w:rPr>
          <w:rFonts w:ascii="Tahoma" w:hAnsi="Tahoma" w:cs="Tahoma"/>
          <w:sz w:val="24"/>
          <w:szCs w:val="24"/>
          <w:lang w:val="en-US"/>
        </w:rPr>
        <w:t xml:space="preserve"> market premium </w:t>
      </w:r>
      <w:r w:rsidR="008F4B14">
        <w:rPr>
          <w:rFonts w:ascii="Tahoma" w:hAnsi="Tahoma" w:cs="Tahoma"/>
          <w:sz w:val="24"/>
          <w:szCs w:val="24"/>
          <w:lang w:val="en-US"/>
        </w:rPr>
        <w:t xml:space="preserve">ranging from around 38% to 58% </w:t>
      </w:r>
      <w:r w:rsidR="000C5E77">
        <w:rPr>
          <w:rFonts w:ascii="Tahoma" w:hAnsi="Tahoma" w:cs="Tahoma"/>
          <w:sz w:val="24"/>
          <w:szCs w:val="24"/>
          <w:lang w:val="en-US"/>
        </w:rPr>
        <w:t xml:space="preserve">(see Figure </w:t>
      </w:r>
      <w:r w:rsidR="00686026">
        <w:rPr>
          <w:rFonts w:ascii="Tahoma" w:hAnsi="Tahoma" w:cs="Tahoma"/>
          <w:sz w:val="24"/>
          <w:szCs w:val="24"/>
          <w:lang w:val="en-US"/>
        </w:rPr>
        <w:t>4</w:t>
      </w:r>
      <w:r w:rsidR="000C5E77">
        <w:rPr>
          <w:rFonts w:ascii="Tahoma" w:hAnsi="Tahoma" w:cs="Tahoma"/>
          <w:sz w:val="24"/>
          <w:szCs w:val="24"/>
          <w:lang w:val="en-US"/>
        </w:rPr>
        <w:t xml:space="preserve">). </w:t>
      </w:r>
      <w:r w:rsidR="00292C22">
        <w:rPr>
          <w:rFonts w:ascii="Tahoma" w:hAnsi="Tahoma" w:cs="Tahoma"/>
          <w:sz w:val="24"/>
          <w:szCs w:val="24"/>
          <w:lang w:val="en-US"/>
        </w:rPr>
        <w:t>Parallel market premium remains high discouraging the convergence of the two exchange rates, this points that there is punitive exchange rate policy.</w:t>
      </w:r>
    </w:p>
    <w:p w14:paraId="7D63A5AA" w14:textId="2A4EE611" w:rsidR="00B36D27" w:rsidRPr="00B36D27" w:rsidRDefault="00632EC8" w:rsidP="00F05BD5">
      <w:pPr>
        <w:pStyle w:val="ListofFigures"/>
      </w:pPr>
      <w:bookmarkStart w:id="35" w:name="_Toc184215205"/>
      <w:r>
        <w:t xml:space="preserve">Figure </w:t>
      </w:r>
      <w:r w:rsidR="0086233B">
        <w:t>4</w:t>
      </w:r>
      <w:r w:rsidR="00B36D27">
        <w:t xml:space="preserve">: </w:t>
      </w:r>
      <w:r w:rsidR="00C10419">
        <w:t xml:space="preserve">Parallel Market Developments - </w:t>
      </w:r>
      <w:r w:rsidR="006311F9">
        <w:t>November</w:t>
      </w:r>
      <w:r w:rsidR="004B2536">
        <w:t xml:space="preserve"> 2024</w:t>
      </w:r>
      <w:bookmarkEnd w:id="35"/>
      <w:r w:rsidR="004B2536">
        <w:t xml:space="preserve"> </w:t>
      </w:r>
    </w:p>
    <w:p w14:paraId="72D77346" w14:textId="400C7DBF" w:rsidR="00FD0116" w:rsidRPr="00863A17" w:rsidRDefault="00D006C3" w:rsidP="00A60CE8">
      <w:pPr>
        <w:spacing w:after="0"/>
        <w:ind w:left="720" w:hanging="720"/>
        <w:jc w:val="both"/>
        <w:rPr>
          <w:rFonts w:ascii="Tahoma" w:hAnsi="Tahoma" w:cs="Tahoma"/>
          <w:sz w:val="24"/>
          <w:szCs w:val="24"/>
          <w:lang w:val="en-US"/>
        </w:rPr>
      </w:pPr>
      <w:r>
        <w:rPr>
          <w:rFonts w:ascii="Tahoma" w:hAnsi="Tahoma" w:cs="Tahoma"/>
          <w:noProof/>
          <w:sz w:val="24"/>
          <w:szCs w:val="24"/>
          <w:lang w:val="en-US"/>
        </w:rPr>
        <w:drawing>
          <wp:inline distT="0" distB="0" distL="0" distR="0" wp14:anchorId="2EE27074" wp14:editId="32A23437">
            <wp:extent cx="5958840" cy="3176270"/>
            <wp:effectExtent l="0" t="0" r="3810" b="5080"/>
            <wp:docPr id="1734182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40" cy="3176270"/>
                    </a:xfrm>
                    <a:prstGeom prst="rect">
                      <a:avLst/>
                    </a:prstGeom>
                    <a:noFill/>
                  </pic:spPr>
                </pic:pic>
              </a:graphicData>
            </a:graphic>
          </wp:inline>
        </w:drawing>
      </w:r>
    </w:p>
    <w:p w14:paraId="4E6E42D5" w14:textId="77777777" w:rsidR="00AB120F" w:rsidRPr="00340BCF" w:rsidRDefault="007B4687" w:rsidP="00340BCF">
      <w:pPr>
        <w:rPr>
          <w:rFonts w:ascii="Tahoma" w:hAnsi="Tahoma" w:cs="Tahoma"/>
          <w:i/>
          <w:sz w:val="24"/>
          <w:szCs w:val="24"/>
        </w:rPr>
      </w:pPr>
      <w:bookmarkStart w:id="36" w:name="_Toc164072364"/>
      <w:bookmarkStart w:id="37" w:name="_Toc166658891"/>
      <w:r>
        <w:rPr>
          <w:rFonts w:ascii="Tahoma" w:hAnsi="Tahoma" w:cs="Tahoma"/>
          <w:i/>
          <w:sz w:val="24"/>
          <w:szCs w:val="24"/>
        </w:rPr>
        <w:t xml:space="preserve">Source: RBZ and Harare </w:t>
      </w:r>
      <w:r w:rsidR="00EE71C0">
        <w:rPr>
          <w:rFonts w:ascii="Tahoma" w:hAnsi="Tahoma" w:cs="Tahoma"/>
          <w:i/>
          <w:sz w:val="24"/>
          <w:szCs w:val="24"/>
        </w:rPr>
        <w:t>S</w:t>
      </w:r>
      <w:r>
        <w:rPr>
          <w:rFonts w:ascii="Tahoma" w:hAnsi="Tahoma" w:cs="Tahoma"/>
          <w:i/>
          <w:sz w:val="24"/>
          <w:szCs w:val="24"/>
        </w:rPr>
        <w:t>treets</w:t>
      </w:r>
      <w:r w:rsidR="00AB120F" w:rsidRPr="004149E4">
        <w:rPr>
          <w:rFonts w:ascii="Tahoma" w:hAnsi="Tahoma" w:cs="Tahoma"/>
          <w:i/>
          <w:sz w:val="24"/>
          <w:szCs w:val="24"/>
        </w:rPr>
        <w:t xml:space="preserve"> (2024)</w:t>
      </w:r>
    </w:p>
    <w:p w14:paraId="7706CFB3" w14:textId="77777777" w:rsidR="00C65CC6" w:rsidRPr="00863A17" w:rsidRDefault="004C7E36" w:rsidP="003C1D2F">
      <w:pPr>
        <w:pStyle w:val="Heading2"/>
        <w:spacing w:before="0" w:after="240" w:line="240" w:lineRule="auto"/>
        <w:rPr>
          <w:rFonts w:cs="Tahoma"/>
          <w:b/>
          <w:color w:val="000000"/>
          <w:szCs w:val="24"/>
          <w:lang w:val="en-US"/>
        </w:rPr>
      </w:pPr>
      <w:bookmarkStart w:id="38" w:name="_Toc166607897"/>
      <w:bookmarkStart w:id="39" w:name="_Toc184215741"/>
      <w:bookmarkEnd w:id="36"/>
      <w:bookmarkEnd w:id="37"/>
      <w:r w:rsidRPr="00863A17">
        <w:rPr>
          <w:rFonts w:cs="Tahoma"/>
          <w:b/>
          <w:color w:val="000000"/>
          <w:szCs w:val="24"/>
          <w:lang w:val="en-US"/>
        </w:rPr>
        <w:t>5.</w:t>
      </w:r>
      <w:r w:rsidR="00F05BD5">
        <w:rPr>
          <w:rFonts w:cs="Tahoma"/>
          <w:b/>
          <w:color w:val="000000"/>
          <w:szCs w:val="24"/>
          <w:lang w:val="en-US"/>
        </w:rPr>
        <w:t>3</w:t>
      </w:r>
      <w:r w:rsidRPr="00863A17">
        <w:rPr>
          <w:rFonts w:cs="Tahoma"/>
          <w:b/>
          <w:color w:val="000000"/>
          <w:szCs w:val="24"/>
          <w:lang w:val="en-US"/>
        </w:rPr>
        <w:tab/>
      </w:r>
      <w:r w:rsidR="00EF25BB" w:rsidRPr="00863A17">
        <w:rPr>
          <w:rFonts w:cs="Tahoma"/>
          <w:b/>
          <w:color w:val="000000"/>
          <w:szCs w:val="24"/>
          <w:lang w:val="en-US"/>
        </w:rPr>
        <w:t>Cross Rate Developments</w:t>
      </w:r>
      <w:bookmarkEnd w:id="38"/>
      <w:bookmarkEnd w:id="39"/>
      <w:r w:rsidR="00EF25BB" w:rsidRPr="00863A17">
        <w:rPr>
          <w:rFonts w:cs="Tahoma"/>
          <w:b/>
          <w:color w:val="000000"/>
          <w:szCs w:val="24"/>
          <w:lang w:val="en-US"/>
        </w:rPr>
        <w:t xml:space="preserve"> </w:t>
      </w:r>
    </w:p>
    <w:p w14:paraId="5B5AFC90" w14:textId="2EF1425C" w:rsidR="00C65CC6"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w:t>
      </w:r>
      <w:r w:rsidR="00F05BD5">
        <w:rPr>
          <w:rFonts w:ascii="Tahoma" w:hAnsi="Tahoma" w:cs="Tahoma"/>
          <w:sz w:val="24"/>
          <w:szCs w:val="24"/>
          <w:lang w:val="en-US"/>
        </w:rPr>
        <w:t>3</w:t>
      </w:r>
      <w:r w:rsidRPr="00863A17">
        <w:rPr>
          <w:rFonts w:ascii="Tahoma" w:hAnsi="Tahoma" w:cs="Tahoma"/>
          <w:sz w:val="24"/>
          <w:szCs w:val="24"/>
          <w:lang w:val="en-US"/>
        </w:rPr>
        <w:t>.1</w:t>
      </w:r>
      <w:r w:rsidRPr="00863A17">
        <w:rPr>
          <w:rFonts w:ascii="Tahoma" w:hAnsi="Tahoma" w:cs="Tahoma"/>
          <w:sz w:val="24"/>
          <w:szCs w:val="24"/>
          <w:lang w:val="en-US"/>
        </w:rPr>
        <w:tab/>
      </w:r>
      <w:r w:rsidR="004E5FEA">
        <w:rPr>
          <w:rFonts w:ascii="Tahoma" w:hAnsi="Tahoma" w:cs="Tahoma"/>
          <w:sz w:val="24"/>
          <w:szCs w:val="24"/>
          <w:lang w:val="en-US"/>
        </w:rPr>
        <w:t>On a month-on-month, the USD gained by 1.93%, 2.65% and 2.14% against the GBP, EUR and ZAR respectively</w:t>
      </w:r>
      <w:r w:rsidR="00500F38">
        <w:rPr>
          <w:rFonts w:ascii="Tahoma" w:hAnsi="Tahoma" w:cs="Tahoma"/>
          <w:sz w:val="24"/>
          <w:szCs w:val="24"/>
          <w:lang w:val="en-US"/>
        </w:rPr>
        <w:t>,</w:t>
      </w:r>
      <w:r w:rsidR="004E5FEA">
        <w:rPr>
          <w:rFonts w:ascii="Tahoma" w:hAnsi="Tahoma" w:cs="Tahoma"/>
          <w:sz w:val="24"/>
          <w:szCs w:val="24"/>
          <w:lang w:val="en-US"/>
        </w:rPr>
        <w:t xml:space="preserve"> </w:t>
      </w:r>
      <w:r w:rsidR="00623F3A">
        <w:rPr>
          <w:rFonts w:ascii="Tahoma" w:hAnsi="Tahoma" w:cs="Tahoma"/>
          <w:sz w:val="24"/>
          <w:szCs w:val="24"/>
          <w:lang w:val="en-US"/>
        </w:rPr>
        <w:t xml:space="preserve">see Table </w:t>
      </w:r>
      <w:r w:rsidR="00686026">
        <w:rPr>
          <w:rFonts w:ascii="Tahoma" w:hAnsi="Tahoma" w:cs="Tahoma"/>
          <w:sz w:val="24"/>
          <w:szCs w:val="24"/>
          <w:lang w:val="en-US"/>
        </w:rPr>
        <w:t>3</w:t>
      </w:r>
      <w:r w:rsidR="00EB11EA">
        <w:rPr>
          <w:rFonts w:ascii="Tahoma" w:hAnsi="Tahoma" w:cs="Tahoma"/>
          <w:sz w:val="24"/>
          <w:szCs w:val="24"/>
          <w:lang w:val="en-US"/>
        </w:rPr>
        <w:t>.</w:t>
      </w:r>
      <w:r w:rsidR="009034D4">
        <w:rPr>
          <w:rFonts w:ascii="Tahoma" w:hAnsi="Tahoma" w:cs="Tahoma"/>
          <w:sz w:val="24"/>
          <w:szCs w:val="24"/>
          <w:lang w:val="en-US"/>
        </w:rPr>
        <w:t xml:space="preserve"> </w:t>
      </w:r>
      <w:r w:rsidR="00446A6B">
        <w:rPr>
          <w:rFonts w:ascii="Tahoma" w:hAnsi="Tahoma" w:cs="Tahoma"/>
          <w:sz w:val="24"/>
          <w:szCs w:val="24"/>
          <w:lang w:val="en-US"/>
        </w:rPr>
        <w:t>The USD also gained against the EUR on YtD and YoY basis, however, lost value against the GBP and ZAR on both YtD and YoY basis.</w:t>
      </w:r>
    </w:p>
    <w:p w14:paraId="4C9807F0" w14:textId="02BD325B" w:rsidR="00E664AA" w:rsidRPr="00E664AA" w:rsidRDefault="003C1D2F" w:rsidP="00E664AA">
      <w:pPr>
        <w:pStyle w:val="ListofTables"/>
        <w:rPr>
          <w:lang w:val="en-US"/>
        </w:rPr>
      </w:pPr>
      <w:bookmarkStart w:id="40" w:name="_Toc164072365"/>
      <w:bookmarkStart w:id="41" w:name="_Toc166658892"/>
      <w:bookmarkStart w:id="42" w:name="_Toc184287493"/>
      <w:r w:rsidRPr="00863A17">
        <w:t xml:space="preserve">Table </w:t>
      </w:r>
      <w:r w:rsidR="00BD0F65">
        <w:t>3</w:t>
      </w:r>
      <w:r w:rsidRPr="00863A17">
        <w:t xml:space="preserve">: </w:t>
      </w:r>
      <w:r w:rsidRPr="00863A17">
        <w:rPr>
          <w:lang w:val="en-US"/>
        </w:rPr>
        <w:t>USD Exchange Rate Movements–</w:t>
      </w:r>
      <w:r w:rsidR="00642C66" w:rsidRPr="00863A17">
        <w:rPr>
          <w:lang w:val="en-US"/>
        </w:rPr>
        <w:t>Month</w:t>
      </w:r>
      <w:r w:rsidRPr="00863A17">
        <w:rPr>
          <w:lang w:val="en-US"/>
        </w:rPr>
        <w:t xml:space="preserve"> Ended </w:t>
      </w:r>
      <w:r w:rsidR="00C05DD6">
        <w:rPr>
          <w:lang w:val="en-US"/>
        </w:rPr>
        <w:t>29</w:t>
      </w:r>
      <w:r w:rsidR="006C1DD6">
        <w:rPr>
          <w:lang w:val="en-US"/>
        </w:rPr>
        <w:t xml:space="preserve"> </w:t>
      </w:r>
      <w:r w:rsidR="00C05DD6">
        <w:rPr>
          <w:lang w:val="en-US"/>
        </w:rPr>
        <w:t>November</w:t>
      </w:r>
      <w:r w:rsidRPr="00863A17">
        <w:rPr>
          <w:lang w:val="en-US"/>
        </w:rPr>
        <w:t xml:space="preserve"> 202</w:t>
      </w:r>
      <w:r w:rsidR="00642C66" w:rsidRPr="00863A17">
        <w:rPr>
          <w:lang w:val="en-US"/>
        </w:rPr>
        <w:t>4</w:t>
      </w:r>
      <w:bookmarkEnd w:id="40"/>
      <w:bookmarkEnd w:id="41"/>
      <w:bookmarkEnd w:id="42"/>
    </w:p>
    <w:p w14:paraId="7F75640A" w14:textId="7BD618FC" w:rsidR="00E664AA" w:rsidRPr="00863A17" w:rsidRDefault="00D006C3" w:rsidP="00CB6A80">
      <w:pPr>
        <w:spacing w:after="0"/>
        <w:rPr>
          <w:rFonts w:ascii="Tahoma" w:hAnsi="Tahoma" w:cs="Tahoma"/>
          <w:sz w:val="24"/>
          <w:szCs w:val="24"/>
          <w:lang w:val="en-US"/>
        </w:rPr>
      </w:pPr>
      <w:r w:rsidRPr="00D006C3">
        <w:rPr>
          <w:noProof/>
        </w:rPr>
        <w:drawing>
          <wp:inline distT="0" distB="0" distL="0" distR="0" wp14:anchorId="5F896DD0" wp14:editId="10C30EB5">
            <wp:extent cx="5731510" cy="1299845"/>
            <wp:effectExtent l="0" t="0" r="2540" b="0"/>
            <wp:docPr id="43595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52535" name=""/>
                    <pic:cNvPicPr/>
                  </pic:nvPicPr>
                  <pic:blipFill>
                    <a:blip r:embed="rId16"/>
                    <a:stretch>
                      <a:fillRect/>
                    </a:stretch>
                  </pic:blipFill>
                  <pic:spPr>
                    <a:xfrm>
                      <a:off x="0" y="0"/>
                      <a:ext cx="5731510" cy="1299845"/>
                    </a:xfrm>
                    <a:prstGeom prst="rect">
                      <a:avLst/>
                    </a:prstGeom>
                  </pic:spPr>
                </pic:pic>
              </a:graphicData>
            </a:graphic>
          </wp:inline>
        </w:drawing>
      </w:r>
    </w:p>
    <w:p w14:paraId="558BDC60" w14:textId="77777777" w:rsidR="00184FA3"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Pr="00863A17">
        <w:rPr>
          <w:rFonts w:ascii="Tahoma" w:hAnsi="Tahoma" w:cs="Tahoma"/>
          <w:i/>
          <w:sz w:val="24"/>
          <w:szCs w:val="24"/>
          <w:lang w:val="en-US"/>
        </w:rPr>
        <w:t>)</w:t>
      </w:r>
    </w:p>
    <w:p w14:paraId="51CCD863" w14:textId="73C04F5E" w:rsidR="000C5E77" w:rsidRPr="00E63964" w:rsidRDefault="000C5E77" w:rsidP="00E63964">
      <w:pPr>
        <w:ind w:left="720" w:hanging="720"/>
        <w:jc w:val="both"/>
        <w:rPr>
          <w:rFonts w:ascii="Tahoma" w:hAnsi="Tahoma" w:cs="Tahoma"/>
          <w:iCs/>
          <w:sz w:val="24"/>
          <w:szCs w:val="24"/>
          <w:lang w:val="en-US"/>
        </w:rPr>
      </w:pPr>
      <w:r>
        <w:rPr>
          <w:rFonts w:ascii="Tahoma" w:hAnsi="Tahoma" w:cs="Tahoma"/>
          <w:iCs/>
          <w:sz w:val="24"/>
          <w:szCs w:val="24"/>
          <w:lang w:val="en-US"/>
        </w:rPr>
        <w:t>5.3.2</w:t>
      </w:r>
      <w:r>
        <w:rPr>
          <w:rFonts w:ascii="Tahoma" w:hAnsi="Tahoma" w:cs="Tahoma"/>
          <w:iCs/>
          <w:sz w:val="24"/>
          <w:szCs w:val="24"/>
          <w:lang w:val="en-US"/>
        </w:rPr>
        <w:tab/>
      </w:r>
      <w:r>
        <w:rPr>
          <w:rFonts w:ascii="Tahoma" w:hAnsi="Tahoma" w:cs="Tahoma"/>
          <w:sz w:val="24"/>
          <w:szCs w:val="24"/>
          <w:lang w:val="en-US"/>
        </w:rPr>
        <w:t>The appreciation of USD against</w:t>
      </w:r>
      <w:r w:rsidR="00CD2224">
        <w:rPr>
          <w:rFonts w:ascii="Tahoma" w:hAnsi="Tahoma" w:cs="Tahoma"/>
          <w:sz w:val="24"/>
          <w:szCs w:val="24"/>
          <w:lang w:val="en-US"/>
        </w:rPr>
        <w:t xml:space="preserve"> other major currencies discourages the country’s exports to </w:t>
      </w:r>
      <w:r w:rsidR="00987E36">
        <w:rPr>
          <w:rFonts w:ascii="Tahoma" w:hAnsi="Tahoma" w:cs="Tahoma"/>
          <w:sz w:val="24"/>
          <w:szCs w:val="24"/>
          <w:lang w:val="en-US"/>
        </w:rPr>
        <w:t xml:space="preserve">its major trading partner, </w:t>
      </w:r>
      <w:r w:rsidR="00CD2224">
        <w:rPr>
          <w:rFonts w:ascii="Tahoma" w:hAnsi="Tahoma" w:cs="Tahoma"/>
          <w:sz w:val="24"/>
          <w:szCs w:val="24"/>
          <w:lang w:val="en-US"/>
        </w:rPr>
        <w:t>South Africa.</w:t>
      </w:r>
    </w:p>
    <w:p w14:paraId="71923BBE" w14:textId="77777777" w:rsidR="00184FA3" w:rsidRPr="00A64F64" w:rsidRDefault="004C7E36" w:rsidP="003C1D2F">
      <w:pPr>
        <w:pStyle w:val="Heading1"/>
        <w:spacing w:before="0" w:after="240" w:line="240" w:lineRule="auto"/>
        <w:rPr>
          <w:rFonts w:cs="Tahoma"/>
          <w:bCs/>
          <w:color w:val="000000"/>
          <w:szCs w:val="24"/>
          <w:lang w:val="en-US"/>
        </w:rPr>
      </w:pPr>
      <w:bookmarkStart w:id="43" w:name="_Toc166607898"/>
      <w:bookmarkStart w:id="44" w:name="_Toc184215742"/>
      <w:r w:rsidRPr="00A64F64">
        <w:rPr>
          <w:rFonts w:cs="Tahoma"/>
          <w:bCs/>
          <w:color w:val="000000"/>
          <w:szCs w:val="24"/>
          <w:lang w:val="en-US"/>
        </w:rPr>
        <w:lastRenderedPageBreak/>
        <w:t>6.0</w:t>
      </w:r>
      <w:r w:rsidRPr="00A64F64">
        <w:rPr>
          <w:rFonts w:cs="Tahoma"/>
          <w:bCs/>
          <w:color w:val="000000"/>
          <w:szCs w:val="24"/>
          <w:lang w:val="en-US"/>
        </w:rPr>
        <w:tab/>
      </w:r>
      <w:r w:rsidR="00184FA3" w:rsidRPr="00A64F64">
        <w:rPr>
          <w:rFonts w:cs="Tahoma"/>
          <w:bCs/>
          <w:color w:val="000000"/>
          <w:szCs w:val="24"/>
          <w:lang w:val="en-US"/>
        </w:rPr>
        <w:t>Inflation Developments</w:t>
      </w:r>
      <w:bookmarkEnd w:id="43"/>
      <w:bookmarkEnd w:id="44"/>
      <w:r w:rsidR="00184FA3" w:rsidRPr="00A64F64">
        <w:rPr>
          <w:rFonts w:cs="Tahoma"/>
          <w:bCs/>
          <w:color w:val="000000"/>
          <w:szCs w:val="24"/>
          <w:lang w:val="en-US"/>
        </w:rPr>
        <w:t xml:space="preserve"> </w:t>
      </w:r>
    </w:p>
    <w:p w14:paraId="120AE54F" w14:textId="44D2F1E7" w:rsidR="005D4799" w:rsidRPr="00340BCF" w:rsidRDefault="00744659" w:rsidP="00340BCF">
      <w:pPr>
        <w:ind w:left="720" w:hanging="720"/>
        <w:jc w:val="both"/>
        <w:rPr>
          <w:rFonts w:ascii="Tahoma" w:hAnsi="Tahoma" w:cs="Tahoma"/>
          <w:sz w:val="24"/>
          <w:szCs w:val="24"/>
        </w:rPr>
      </w:pPr>
      <w:r w:rsidRPr="00744659">
        <w:rPr>
          <w:rFonts w:ascii="Tahoma" w:hAnsi="Tahoma" w:cs="Tahoma"/>
          <w:sz w:val="24"/>
          <w:szCs w:val="24"/>
        </w:rPr>
        <w:t>6.</w:t>
      </w:r>
      <w:r w:rsidR="00106F16">
        <w:rPr>
          <w:rFonts w:ascii="Tahoma" w:hAnsi="Tahoma" w:cs="Tahoma"/>
          <w:sz w:val="24"/>
          <w:szCs w:val="24"/>
        </w:rPr>
        <w:t>1</w:t>
      </w:r>
      <w:r w:rsidRPr="00744659">
        <w:rPr>
          <w:rFonts w:ascii="Tahoma" w:hAnsi="Tahoma" w:cs="Tahoma"/>
          <w:sz w:val="24"/>
          <w:szCs w:val="24"/>
        </w:rPr>
        <w:tab/>
      </w:r>
      <w:r w:rsidR="0020598F">
        <w:rPr>
          <w:rFonts w:ascii="Tahoma" w:hAnsi="Tahoma" w:cs="Tahoma"/>
          <w:sz w:val="24"/>
          <w:szCs w:val="24"/>
        </w:rPr>
        <w:t xml:space="preserve">In November 2024, month-on-month </w:t>
      </w:r>
      <w:r w:rsidR="005C0350">
        <w:rPr>
          <w:rFonts w:ascii="Tahoma" w:hAnsi="Tahoma" w:cs="Tahoma"/>
          <w:sz w:val="24"/>
          <w:szCs w:val="24"/>
        </w:rPr>
        <w:t>ZWG</w:t>
      </w:r>
      <w:r w:rsidR="005C0350" w:rsidRPr="00744659">
        <w:rPr>
          <w:rFonts w:ascii="Tahoma" w:hAnsi="Tahoma" w:cs="Tahoma"/>
          <w:sz w:val="24"/>
          <w:szCs w:val="24"/>
        </w:rPr>
        <w:t xml:space="preserve"> inflation </w:t>
      </w:r>
      <w:r w:rsidR="0020598F">
        <w:rPr>
          <w:rFonts w:ascii="Tahoma" w:hAnsi="Tahoma" w:cs="Tahoma"/>
          <w:sz w:val="24"/>
          <w:szCs w:val="24"/>
        </w:rPr>
        <w:t>declined from</w:t>
      </w:r>
      <w:r w:rsidR="00EC512C">
        <w:rPr>
          <w:rFonts w:ascii="Tahoma" w:hAnsi="Tahoma" w:cs="Tahoma"/>
          <w:sz w:val="24"/>
          <w:szCs w:val="24"/>
        </w:rPr>
        <w:t xml:space="preserve"> </w:t>
      </w:r>
      <w:r w:rsidR="00472DF5">
        <w:rPr>
          <w:rFonts w:ascii="Tahoma" w:hAnsi="Tahoma" w:cs="Tahoma"/>
          <w:sz w:val="24"/>
          <w:szCs w:val="24"/>
        </w:rPr>
        <w:t>37.2</w:t>
      </w:r>
      <w:r w:rsidR="00EC512C">
        <w:rPr>
          <w:rFonts w:ascii="Tahoma" w:hAnsi="Tahoma" w:cs="Tahoma"/>
          <w:sz w:val="24"/>
          <w:szCs w:val="24"/>
        </w:rPr>
        <w:t>%</w:t>
      </w:r>
      <w:r w:rsidR="00145005">
        <w:rPr>
          <w:rFonts w:ascii="Tahoma" w:hAnsi="Tahoma" w:cs="Tahoma"/>
          <w:sz w:val="24"/>
          <w:szCs w:val="24"/>
        </w:rPr>
        <w:t xml:space="preserve"> in October 2024</w:t>
      </w:r>
      <w:r w:rsidR="0020598F">
        <w:rPr>
          <w:rFonts w:ascii="Tahoma" w:hAnsi="Tahoma" w:cs="Tahoma"/>
          <w:sz w:val="24"/>
          <w:szCs w:val="24"/>
        </w:rPr>
        <w:t xml:space="preserve"> to 11.7% in November 2024</w:t>
      </w:r>
      <w:r w:rsidR="00336354">
        <w:rPr>
          <w:rFonts w:ascii="Tahoma" w:hAnsi="Tahoma" w:cs="Tahoma"/>
          <w:sz w:val="24"/>
          <w:szCs w:val="24"/>
        </w:rPr>
        <w:t xml:space="preserve">, </w:t>
      </w:r>
      <w:r w:rsidRPr="00744659">
        <w:rPr>
          <w:rFonts w:ascii="Tahoma" w:hAnsi="Tahoma" w:cs="Tahoma"/>
          <w:sz w:val="24"/>
          <w:szCs w:val="24"/>
        </w:rPr>
        <w:t xml:space="preserve">see Figure </w:t>
      </w:r>
      <w:r w:rsidR="00686026">
        <w:rPr>
          <w:rFonts w:ascii="Tahoma" w:hAnsi="Tahoma" w:cs="Tahoma"/>
          <w:sz w:val="24"/>
          <w:szCs w:val="24"/>
        </w:rPr>
        <w:t>5</w:t>
      </w:r>
      <w:r w:rsidRPr="00744659">
        <w:rPr>
          <w:rFonts w:ascii="Tahoma" w:hAnsi="Tahoma" w:cs="Tahoma"/>
          <w:sz w:val="24"/>
          <w:szCs w:val="24"/>
        </w:rPr>
        <w:t>.</w:t>
      </w:r>
      <w:r w:rsidR="009369AC">
        <w:rPr>
          <w:rFonts w:ascii="Tahoma" w:hAnsi="Tahoma" w:cs="Tahoma"/>
          <w:sz w:val="24"/>
          <w:szCs w:val="24"/>
        </w:rPr>
        <w:t xml:space="preserve"> The ZWG m-o-m inflation declined for the first time since the introduction of the Z</w:t>
      </w:r>
      <w:r w:rsidR="003A04F3">
        <w:rPr>
          <w:rFonts w:ascii="Tahoma" w:hAnsi="Tahoma" w:cs="Tahoma"/>
          <w:sz w:val="24"/>
          <w:szCs w:val="24"/>
        </w:rPr>
        <w:t>W</w:t>
      </w:r>
      <w:r w:rsidR="009369AC">
        <w:rPr>
          <w:rFonts w:ascii="Tahoma" w:hAnsi="Tahoma" w:cs="Tahoma"/>
          <w:sz w:val="24"/>
          <w:szCs w:val="24"/>
        </w:rPr>
        <w:t>G</w:t>
      </w:r>
      <w:r w:rsidR="003A04F3">
        <w:rPr>
          <w:rFonts w:ascii="Tahoma" w:hAnsi="Tahoma" w:cs="Tahoma"/>
          <w:sz w:val="24"/>
          <w:szCs w:val="24"/>
        </w:rPr>
        <w:t xml:space="preserve">, due to stability surrounding the ZWG due to tight monetary </w:t>
      </w:r>
      <w:r w:rsidR="00987E36">
        <w:rPr>
          <w:rFonts w:ascii="Tahoma" w:hAnsi="Tahoma" w:cs="Tahoma"/>
          <w:sz w:val="24"/>
          <w:szCs w:val="24"/>
        </w:rPr>
        <w:t xml:space="preserve">policy </w:t>
      </w:r>
      <w:r w:rsidR="003A04F3">
        <w:rPr>
          <w:rFonts w:ascii="Tahoma" w:hAnsi="Tahoma" w:cs="Tahoma"/>
          <w:sz w:val="24"/>
          <w:szCs w:val="24"/>
        </w:rPr>
        <w:t>stance.</w:t>
      </w:r>
    </w:p>
    <w:p w14:paraId="470BAFC9" w14:textId="7F8252B7" w:rsidR="005F0769" w:rsidRDefault="005D4799" w:rsidP="00F05BD5">
      <w:pPr>
        <w:pStyle w:val="ListofFigures"/>
      </w:pPr>
      <w:bookmarkStart w:id="45" w:name="_Toc184215206"/>
      <w:r>
        <w:t xml:space="preserve">Figure </w:t>
      </w:r>
      <w:r w:rsidR="00BD0F65">
        <w:t>5</w:t>
      </w:r>
      <w:r>
        <w:t>: Month-on-Month</w:t>
      </w:r>
      <w:r w:rsidR="000C78EC">
        <w:t xml:space="preserve"> ZWG</w:t>
      </w:r>
      <w:r>
        <w:t xml:space="preserve"> Inflation Outturn</w:t>
      </w:r>
      <w:bookmarkEnd w:id="45"/>
      <w:r>
        <w:t xml:space="preserve"> </w:t>
      </w:r>
    </w:p>
    <w:p w14:paraId="266392AE" w14:textId="25145712" w:rsidR="005F0769" w:rsidRDefault="00B00A82" w:rsidP="005D4799">
      <w:pPr>
        <w:spacing w:after="0"/>
        <w:ind w:left="720" w:hanging="720"/>
        <w:jc w:val="both"/>
        <w:rPr>
          <w:rFonts w:ascii="Tahoma" w:hAnsi="Tahoma" w:cs="Tahoma"/>
          <w:sz w:val="24"/>
          <w:szCs w:val="24"/>
        </w:rPr>
      </w:pPr>
      <w:r>
        <w:rPr>
          <w:rFonts w:ascii="Tahoma" w:hAnsi="Tahoma" w:cs="Tahoma"/>
          <w:noProof/>
          <w:sz w:val="24"/>
          <w:szCs w:val="24"/>
        </w:rPr>
        <w:drawing>
          <wp:inline distT="0" distB="0" distL="0" distR="0" wp14:anchorId="7A996368" wp14:editId="657756CF">
            <wp:extent cx="5629275" cy="2743200"/>
            <wp:effectExtent l="0" t="0" r="9525" b="0"/>
            <wp:docPr id="343465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275" cy="2743200"/>
                    </a:xfrm>
                    <a:prstGeom prst="rect">
                      <a:avLst/>
                    </a:prstGeom>
                    <a:noFill/>
                  </pic:spPr>
                </pic:pic>
              </a:graphicData>
            </a:graphic>
          </wp:inline>
        </w:drawing>
      </w:r>
    </w:p>
    <w:p w14:paraId="54FEDCD3" w14:textId="77777777" w:rsidR="005F0769" w:rsidRDefault="005D4799" w:rsidP="005D4799">
      <w:pPr>
        <w:spacing w:after="0"/>
        <w:ind w:left="720" w:hanging="720"/>
        <w:jc w:val="both"/>
        <w:rPr>
          <w:rFonts w:ascii="Tahoma" w:hAnsi="Tahoma" w:cs="Tahoma"/>
          <w:i/>
          <w:sz w:val="24"/>
          <w:szCs w:val="24"/>
        </w:rPr>
      </w:pPr>
      <w:r w:rsidRPr="005D4799">
        <w:rPr>
          <w:rFonts w:ascii="Tahoma" w:hAnsi="Tahoma" w:cs="Tahoma"/>
          <w:i/>
          <w:sz w:val="24"/>
          <w:szCs w:val="24"/>
        </w:rPr>
        <w:t xml:space="preserve">Source: ZimStat (2024) </w:t>
      </w:r>
    </w:p>
    <w:p w14:paraId="506A6CA8" w14:textId="77777777" w:rsidR="005D4799" w:rsidRPr="005D4799" w:rsidRDefault="005D4799" w:rsidP="005D4799">
      <w:pPr>
        <w:spacing w:after="0"/>
        <w:ind w:left="720" w:hanging="720"/>
        <w:jc w:val="both"/>
        <w:rPr>
          <w:rFonts w:ascii="Tahoma" w:hAnsi="Tahoma" w:cs="Tahoma"/>
          <w:sz w:val="24"/>
          <w:szCs w:val="24"/>
        </w:rPr>
      </w:pPr>
    </w:p>
    <w:p w14:paraId="1DD7595A" w14:textId="5DAC4B4D" w:rsidR="00FC71BF" w:rsidRPr="00863A17" w:rsidRDefault="005F0769" w:rsidP="004C7E36">
      <w:pPr>
        <w:ind w:left="720" w:hanging="720"/>
        <w:jc w:val="both"/>
        <w:rPr>
          <w:rFonts w:ascii="Tahoma" w:hAnsi="Tahoma" w:cs="Tahoma"/>
          <w:sz w:val="24"/>
          <w:szCs w:val="24"/>
        </w:rPr>
      </w:pPr>
      <w:r>
        <w:rPr>
          <w:rFonts w:ascii="Tahoma" w:hAnsi="Tahoma" w:cs="Tahoma"/>
          <w:sz w:val="24"/>
          <w:szCs w:val="24"/>
        </w:rPr>
        <w:t>6.2</w:t>
      </w:r>
      <w:r w:rsidR="004C7E36" w:rsidRPr="00863A17">
        <w:rPr>
          <w:rFonts w:ascii="Tahoma" w:hAnsi="Tahoma" w:cs="Tahoma"/>
          <w:sz w:val="24"/>
          <w:szCs w:val="24"/>
        </w:rPr>
        <w:tab/>
      </w:r>
      <w:bookmarkStart w:id="46" w:name="_Hlk166606180"/>
      <w:r w:rsidR="00E90A43">
        <w:rPr>
          <w:rFonts w:ascii="Tahoma" w:hAnsi="Tahoma" w:cs="Tahoma"/>
          <w:sz w:val="24"/>
          <w:szCs w:val="24"/>
        </w:rPr>
        <w:t>MoM</w:t>
      </w:r>
      <w:r w:rsidR="005C0350">
        <w:rPr>
          <w:rFonts w:ascii="Tahoma" w:hAnsi="Tahoma" w:cs="Tahoma"/>
          <w:sz w:val="24"/>
          <w:szCs w:val="24"/>
        </w:rPr>
        <w:t xml:space="preserve"> </w:t>
      </w:r>
      <w:r w:rsidR="000C2AA3">
        <w:rPr>
          <w:rFonts w:ascii="Tahoma" w:hAnsi="Tahoma" w:cs="Tahoma"/>
          <w:sz w:val="24"/>
          <w:szCs w:val="24"/>
        </w:rPr>
        <w:t xml:space="preserve">weighted </w:t>
      </w:r>
      <w:r w:rsidR="00B45B57">
        <w:rPr>
          <w:rFonts w:ascii="Tahoma" w:hAnsi="Tahoma" w:cs="Tahoma"/>
          <w:sz w:val="24"/>
          <w:szCs w:val="24"/>
        </w:rPr>
        <w:t>inflation</w:t>
      </w:r>
      <w:r w:rsidR="00145005">
        <w:rPr>
          <w:rFonts w:ascii="Tahoma" w:hAnsi="Tahoma" w:cs="Tahoma"/>
          <w:sz w:val="24"/>
          <w:szCs w:val="24"/>
        </w:rPr>
        <w:t xml:space="preserve"> also dropped from 7.3% in October 2024 to 2.2%</w:t>
      </w:r>
      <w:r w:rsidR="00796037">
        <w:rPr>
          <w:rFonts w:ascii="Tahoma" w:hAnsi="Tahoma" w:cs="Tahoma"/>
          <w:sz w:val="24"/>
          <w:szCs w:val="24"/>
        </w:rPr>
        <w:t xml:space="preserve"> </w:t>
      </w:r>
      <w:r w:rsidR="00145005">
        <w:rPr>
          <w:rFonts w:ascii="Tahoma" w:hAnsi="Tahoma" w:cs="Tahoma"/>
          <w:sz w:val="24"/>
          <w:szCs w:val="24"/>
        </w:rPr>
        <w:t>in November 2024</w:t>
      </w:r>
      <w:r w:rsidR="00866860">
        <w:rPr>
          <w:rFonts w:ascii="Tahoma" w:hAnsi="Tahoma" w:cs="Tahoma"/>
          <w:sz w:val="24"/>
          <w:szCs w:val="24"/>
        </w:rPr>
        <w:t xml:space="preserve"> </w:t>
      </w:r>
      <w:r w:rsidR="005C0350">
        <w:rPr>
          <w:rFonts w:ascii="Tahoma" w:hAnsi="Tahoma" w:cs="Tahoma"/>
          <w:sz w:val="24"/>
          <w:szCs w:val="24"/>
        </w:rPr>
        <w:t>(</w:t>
      </w:r>
      <w:r w:rsidR="00670FF1" w:rsidRPr="00863A17">
        <w:rPr>
          <w:rFonts w:ascii="Tahoma" w:hAnsi="Tahoma" w:cs="Tahoma"/>
          <w:sz w:val="24"/>
          <w:szCs w:val="24"/>
        </w:rPr>
        <w:t xml:space="preserve">see Figure </w:t>
      </w:r>
      <w:r w:rsidR="004C564F">
        <w:rPr>
          <w:rFonts w:ascii="Tahoma" w:hAnsi="Tahoma" w:cs="Tahoma"/>
          <w:sz w:val="24"/>
          <w:szCs w:val="24"/>
        </w:rPr>
        <w:t>6</w:t>
      </w:r>
      <w:r w:rsidR="005C0350">
        <w:rPr>
          <w:rFonts w:ascii="Tahoma" w:hAnsi="Tahoma" w:cs="Tahoma"/>
          <w:sz w:val="24"/>
          <w:szCs w:val="24"/>
        </w:rPr>
        <w:t>)</w:t>
      </w:r>
      <w:r w:rsidR="00670FF1" w:rsidRPr="00863A17">
        <w:rPr>
          <w:rFonts w:ascii="Tahoma" w:hAnsi="Tahoma" w:cs="Tahoma"/>
          <w:sz w:val="24"/>
          <w:szCs w:val="24"/>
        </w:rPr>
        <w:t xml:space="preserve">. </w:t>
      </w:r>
      <w:r w:rsidR="00796037">
        <w:rPr>
          <w:rFonts w:ascii="Tahoma" w:hAnsi="Tahoma" w:cs="Tahoma"/>
          <w:sz w:val="24"/>
          <w:szCs w:val="24"/>
        </w:rPr>
        <w:t>A fall in weighted inflation was attributed to a decline in ZWG inflation.</w:t>
      </w:r>
    </w:p>
    <w:p w14:paraId="698B8FE2" w14:textId="7ABD891D" w:rsidR="00474E3B" w:rsidRDefault="00FA3C4E" w:rsidP="00087E0F">
      <w:pPr>
        <w:pStyle w:val="ListofFigures"/>
      </w:pPr>
      <w:bookmarkStart w:id="47" w:name="_Toc184215207"/>
      <w:bookmarkEnd w:id="46"/>
      <w:r w:rsidRPr="00863A17">
        <w:t xml:space="preserve">Figure </w:t>
      </w:r>
      <w:r w:rsidR="00BD0F65">
        <w:rPr>
          <w:bCs/>
        </w:rPr>
        <w:t>6</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000C78EC">
        <w:rPr>
          <w:lang w:val="en-US"/>
        </w:rPr>
        <w:t xml:space="preserve"> Weighted</w:t>
      </w:r>
      <w:r w:rsidRPr="00863A17">
        <w:rPr>
          <w:lang w:val="en-US"/>
        </w:rPr>
        <w:t xml:space="preserve"> Inflation Outturn</w:t>
      </w:r>
      <w:bookmarkEnd w:id="47"/>
    </w:p>
    <w:p w14:paraId="2A1BC82A" w14:textId="1D57289F" w:rsidR="00087E0F" w:rsidRPr="00863A17" w:rsidRDefault="00B00A82" w:rsidP="004C7E36">
      <w:pPr>
        <w:spacing w:after="0"/>
        <w:rPr>
          <w:rFonts w:ascii="Tahoma" w:hAnsi="Tahoma" w:cs="Tahoma"/>
          <w:sz w:val="24"/>
          <w:szCs w:val="24"/>
          <w:lang w:val="en-US"/>
        </w:rPr>
      </w:pPr>
      <w:r>
        <w:rPr>
          <w:rFonts w:ascii="Tahoma" w:hAnsi="Tahoma" w:cs="Tahoma"/>
          <w:noProof/>
          <w:sz w:val="24"/>
          <w:szCs w:val="24"/>
          <w:lang w:val="en-US"/>
        </w:rPr>
        <w:drawing>
          <wp:inline distT="0" distB="0" distL="0" distR="0" wp14:anchorId="2AD2B11D" wp14:editId="4FC865BB">
            <wp:extent cx="5657850" cy="2838450"/>
            <wp:effectExtent l="0" t="0" r="0" b="0"/>
            <wp:docPr id="1473078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2838450"/>
                    </a:xfrm>
                    <a:prstGeom prst="rect">
                      <a:avLst/>
                    </a:prstGeom>
                    <a:noFill/>
                  </pic:spPr>
                </pic:pic>
              </a:graphicData>
            </a:graphic>
          </wp:inline>
        </w:drawing>
      </w:r>
    </w:p>
    <w:p w14:paraId="06DABECA" w14:textId="77777777"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FF16B2" w:rsidRPr="00863A17">
        <w:rPr>
          <w:rFonts w:ascii="Tahoma" w:hAnsi="Tahoma" w:cs="Tahoma"/>
          <w:i/>
          <w:sz w:val="24"/>
          <w:szCs w:val="24"/>
          <w:lang w:val="en-US"/>
        </w:rPr>
        <w:t>4</w:t>
      </w:r>
      <w:r w:rsidRPr="00863A17">
        <w:rPr>
          <w:rFonts w:ascii="Tahoma" w:hAnsi="Tahoma" w:cs="Tahoma"/>
          <w:i/>
          <w:sz w:val="24"/>
          <w:szCs w:val="24"/>
          <w:lang w:val="en-US"/>
        </w:rPr>
        <w:t>)</w:t>
      </w:r>
    </w:p>
    <w:p w14:paraId="5090E71F" w14:textId="46209A14" w:rsidR="00365637" w:rsidRPr="00365637" w:rsidRDefault="004C7E36" w:rsidP="00365637">
      <w:pPr>
        <w:ind w:left="720" w:hanging="720"/>
        <w:jc w:val="both"/>
        <w:rPr>
          <w:rFonts w:ascii="Tahoma" w:hAnsi="Tahoma" w:cs="Tahoma"/>
          <w:sz w:val="24"/>
          <w:szCs w:val="24"/>
        </w:rPr>
      </w:pPr>
      <w:r w:rsidRPr="00863A17">
        <w:rPr>
          <w:rFonts w:ascii="Tahoma" w:hAnsi="Tahoma" w:cs="Tahoma"/>
          <w:sz w:val="24"/>
          <w:szCs w:val="24"/>
          <w:lang w:val="en-US"/>
        </w:rPr>
        <w:lastRenderedPageBreak/>
        <w:t>6.</w:t>
      </w:r>
      <w:r w:rsidR="005F0769">
        <w:rPr>
          <w:rFonts w:ascii="Tahoma" w:hAnsi="Tahoma" w:cs="Tahoma"/>
          <w:sz w:val="24"/>
          <w:szCs w:val="24"/>
          <w:lang w:val="en-US"/>
        </w:rPr>
        <w:t>3</w:t>
      </w:r>
      <w:r w:rsidRPr="00863A17">
        <w:rPr>
          <w:rFonts w:ascii="Tahoma" w:hAnsi="Tahoma" w:cs="Tahoma"/>
          <w:sz w:val="24"/>
          <w:szCs w:val="24"/>
          <w:lang w:val="en-US"/>
        </w:rPr>
        <w:tab/>
      </w:r>
      <w:r w:rsidR="00365637" w:rsidRPr="00365637">
        <w:rPr>
          <w:rFonts w:ascii="Tahoma" w:hAnsi="Tahoma" w:cs="Tahoma"/>
          <w:sz w:val="24"/>
          <w:szCs w:val="24"/>
        </w:rPr>
        <w:t xml:space="preserve">Food and non-alcoholic drinks, as well as housing, water, electricity, gas, and other fuels, continue to be the largest drivers to both weighted and ZWG inflation in November 2024 (see Table </w:t>
      </w:r>
      <w:r w:rsidR="004C564F">
        <w:rPr>
          <w:rFonts w:ascii="Tahoma" w:hAnsi="Tahoma" w:cs="Tahoma"/>
          <w:sz w:val="24"/>
          <w:szCs w:val="24"/>
        </w:rPr>
        <w:t>4</w:t>
      </w:r>
      <w:r w:rsidR="00365637" w:rsidRPr="00365637">
        <w:rPr>
          <w:rFonts w:ascii="Tahoma" w:hAnsi="Tahoma" w:cs="Tahoma"/>
          <w:sz w:val="24"/>
          <w:szCs w:val="24"/>
        </w:rPr>
        <w:t xml:space="preserve">). </w:t>
      </w:r>
    </w:p>
    <w:p w14:paraId="10D60275" w14:textId="61FF7424" w:rsidR="00474E3B" w:rsidRPr="00863A17" w:rsidRDefault="00474E3B" w:rsidP="00F05BD5">
      <w:pPr>
        <w:ind w:left="720" w:hanging="720"/>
        <w:jc w:val="both"/>
        <w:rPr>
          <w:rFonts w:ascii="Tahoma" w:hAnsi="Tahoma" w:cs="Tahoma"/>
          <w:sz w:val="24"/>
          <w:szCs w:val="24"/>
          <w:lang w:val="en-US"/>
        </w:rPr>
      </w:pPr>
    </w:p>
    <w:p w14:paraId="7D290962" w14:textId="7479CCB0" w:rsidR="00364947" w:rsidRDefault="003C1D2F" w:rsidP="00F05BD5">
      <w:pPr>
        <w:pStyle w:val="ListofTables"/>
        <w:spacing w:after="240"/>
      </w:pPr>
      <w:bookmarkStart w:id="48" w:name="_Toc164072366"/>
      <w:bookmarkStart w:id="49" w:name="_Toc166658893"/>
      <w:bookmarkStart w:id="50" w:name="_Toc184287494"/>
      <w:r w:rsidRPr="00863A17">
        <w:t xml:space="preserve">Table </w:t>
      </w:r>
      <w:r w:rsidR="00BD0F65">
        <w:t>4</w:t>
      </w:r>
      <w:r w:rsidRPr="00863A17">
        <w:t xml:space="preserve">: </w:t>
      </w:r>
      <w:r w:rsidR="0008600D">
        <w:t xml:space="preserve">Monthly </w:t>
      </w:r>
      <w:r w:rsidRPr="00863A17">
        <w:rPr>
          <w:lang w:val="en-US"/>
        </w:rPr>
        <w:t xml:space="preserve">Inflation </w:t>
      </w:r>
      <w:r w:rsidR="00DF0401">
        <w:rPr>
          <w:lang w:val="en-US"/>
        </w:rPr>
        <w:t xml:space="preserve">for </w:t>
      </w:r>
      <w:r w:rsidR="000B5F4D">
        <w:rPr>
          <w:lang w:val="en-US"/>
        </w:rPr>
        <w:t>November</w:t>
      </w:r>
      <w:r w:rsidRPr="00863A17">
        <w:rPr>
          <w:lang w:val="en-US"/>
        </w:rPr>
        <w:t xml:space="preserve"> 202</w:t>
      </w:r>
      <w:r w:rsidR="002525BF" w:rsidRPr="00863A17">
        <w:rPr>
          <w:lang w:val="en-US"/>
        </w:rPr>
        <w:t>4</w:t>
      </w:r>
      <w:bookmarkEnd w:id="48"/>
      <w:bookmarkEnd w:id="49"/>
      <w:bookmarkEnd w:id="50"/>
    </w:p>
    <w:p w14:paraId="2A59EE5D" w14:textId="789449E5" w:rsidR="001C152E" w:rsidRPr="00863A17" w:rsidRDefault="00B00A82" w:rsidP="004C7E36">
      <w:pPr>
        <w:spacing w:after="0"/>
        <w:rPr>
          <w:rFonts w:ascii="Tahoma" w:hAnsi="Tahoma" w:cs="Tahoma"/>
          <w:sz w:val="24"/>
          <w:szCs w:val="24"/>
          <w:lang w:val="en-US"/>
        </w:rPr>
      </w:pPr>
      <w:r w:rsidRPr="00B00A82">
        <w:rPr>
          <w:noProof/>
        </w:rPr>
        <w:drawing>
          <wp:inline distT="0" distB="0" distL="0" distR="0" wp14:anchorId="6BE3BFD7" wp14:editId="7A635DB4">
            <wp:extent cx="5731510" cy="2456180"/>
            <wp:effectExtent l="0" t="0" r="2540" b="1270"/>
            <wp:docPr id="39812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28981" name=""/>
                    <pic:cNvPicPr/>
                  </pic:nvPicPr>
                  <pic:blipFill>
                    <a:blip r:embed="rId19"/>
                    <a:stretch>
                      <a:fillRect/>
                    </a:stretch>
                  </pic:blipFill>
                  <pic:spPr>
                    <a:xfrm>
                      <a:off x="0" y="0"/>
                      <a:ext cx="5731510" cy="2456180"/>
                    </a:xfrm>
                    <a:prstGeom prst="rect">
                      <a:avLst/>
                    </a:prstGeom>
                  </pic:spPr>
                </pic:pic>
              </a:graphicData>
            </a:graphic>
          </wp:inline>
        </w:drawing>
      </w:r>
    </w:p>
    <w:p w14:paraId="571A1FB4" w14:textId="77777777"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386A89" w:rsidRPr="00863A17">
        <w:rPr>
          <w:rFonts w:ascii="Tahoma" w:hAnsi="Tahoma" w:cs="Tahoma"/>
          <w:i/>
          <w:sz w:val="24"/>
          <w:szCs w:val="24"/>
          <w:lang w:val="en-US"/>
        </w:rPr>
        <w:t>4</w:t>
      </w:r>
      <w:r w:rsidR="004C7E36" w:rsidRPr="00863A17">
        <w:rPr>
          <w:rFonts w:ascii="Tahoma" w:hAnsi="Tahoma" w:cs="Tahoma"/>
          <w:i/>
          <w:sz w:val="24"/>
          <w:szCs w:val="24"/>
          <w:lang w:val="en-US"/>
        </w:rPr>
        <w:t>)</w:t>
      </w:r>
    </w:p>
    <w:p w14:paraId="203F25E4"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51" w:name="_Toc166607899"/>
      <w:bookmarkStart w:id="52" w:name="_Toc184215743"/>
      <w:r w:rsidRPr="00A64F64">
        <w:rPr>
          <w:rFonts w:cs="Tahoma"/>
          <w:bCs/>
          <w:color w:val="000000"/>
          <w:szCs w:val="24"/>
          <w:lang w:val="en-US"/>
        </w:rPr>
        <w:t>Monetary Developments</w:t>
      </w:r>
      <w:bookmarkEnd w:id="51"/>
      <w:bookmarkEnd w:id="52"/>
      <w:r w:rsidRPr="00A64F64">
        <w:rPr>
          <w:rFonts w:cs="Tahoma"/>
          <w:bCs/>
          <w:color w:val="000000"/>
          <w:szCs w:val="24"/>
          <w:lang w:val="en-US"/>
        </w:rPr>
        <w:t xml:space="preserve"> </w:t>
      </w:r>
    </w:p>
    <w:p w14:paraId="319D6C14" w14:textId="77777777" w:rsidR="003D0C8C" w:rsidRPr="003D0C8C" w:rsidRDefault="003D0C8C" w:rsidP="003D0C8C">
      <w:pPr>
        <w:pStyle w:val="Heading2"/>
        <w:spacing w:before="0" w:after="240" w:line="240" w:lineRule="auto"/>
        <w:rPr>
          <w:rFonts w:cs="Tahoma"/>
          <w:b/>
          <w:color w:val="000000"/>
          <w:szCs w:val="24"/>
          <w:lang w:val="en-US"/>
        </w:rPr>
      </w:pPr>
      <w:bookmarkStart w:id="53" w:name="_Toc166607900"/>
      <w:bookmarkStart w:id="54" w:name="_Toc184215744"/>
      <w:r w:rsidRPr="003D0C8C">
        <w:rPr>
          <w:rFonts w:cs="Tahoma"/>
          <w:b/>
          <w:color w:val="000000"/>
          <w:szCs w:val="24"/>
          <w:lang w:val="en-US"/>
        </w:rPr>
        <w:t>7.1</w:t>
      </w:r>
      <w:r w:rsidRPr="003D0C8C">
        <w:rPr>
          <w:rFonts w:cs="Tahoma"/>
          <w:b/>
          <w:color w:val="000000"/>
          <w:szCs w:val="24"/>
          <w:lang w:val="en-US"/>
        </w:rPr>
        <w:tab/>
        <w:t>Money Supply</w:t>
      </w:r>
      <w:bookmarkEnd w:id="53"/>
      <w:bookmarkEnd w:id="54"/>
      <w:r w:rsidR="00CF7A33">
        <w:rPr>
          <w:rFonts w:cs="Tahoma"/>
          <w:b/>
          <w:color w:val="000000"/>
          <w:szCs w:val="24"/>
          <w:lang w:val="en-US"/>
        </w:rPr>
        <w:t xml:space="preserve"> </w:t>
      </w:r>
    </w:p>
    <w:p w14:paraId="052D8D56" w14:textId="583E6A88" w:rsidR="00106F16" w:rsidRDefault="004C7E36" w:rsidP="00E63964">
      <w:pPr>
        <w:ind w:left="720" w:hanging="720"/>
        <w:jc w:val="both"/>
        <w:rPr>
          <w:rFonts w:ascii="Tahoma" w:hAnsi="Tahoma" w:cs="Tahoma"/>
          <w:sz w:val="24"/>
          <w:szCs w:val="24"/>
          <w:lang w:val="en-US"/>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bookmarkStart w:id="55" w:name="_Hlk179978693"/>
      <w:r w:rsidR="00106F16">
        <w:rPr>
          <w:rFonts w:ascii="Tahoma" w:hAnsi="Tahoma" w:cs="Tahoma"/>
          <w:sz w:val="24"/>
          <w:szCs w:val="24"/>
          <w:lang w:val="en-US"/>
        </w:rPr>
        <w:t xml:space="preserve">By the time of compiling this report, </w:t>
      </w:r>
      <w:r w:rsidR="00D00A39">
        <w:rPr>
          <w:rFonts w:ascii="Tahoma" w:hAnsi="Tahoma" w:cs="Tahoma"/>
          <w:sz w:val="24"/>
          <w:szCs w:val="24"/>
          <w:lang w:val="en-US"/>
        </w:rPr>
        <w:t>November 2024</w:t>
      </w:r>
      <w:r w:rsidR="00106F16">
        <w:rPr>
          <w:rFonts w:ascii="Tahoma" w:hAnsi="Tahoma" w:cs="Tahoma"/>
          <w:sz w:val="24"/>
          <w:szCs w:val="24"/>
          <w:lang w:val="en-US"/>
        </w:rPr>
        <w:t xml:space="preserve"> money supply statistics had not been published thus analysis in based on </w:t>
      </w:r>
      <w:r w:rsidR="00D00A39">
        <w:rPr>
          <w:rFonts w:ascii="Tahoma" w:hAnsi="Tahoma" w:cs="Tahoma"/>
          <w:sz w:val="24"/>
          <w:szCs w:val="24"/>
          <w:lang w:val="en-US"/>
        </w:rPr>
        <w:t>September</w:t>
      </w:r>
      <w:r w:rsidR="00106F16">
        <w:rPr>
          <w:rFonts w:ascii="Tahoma" w:hAnsi="Tahoma" w:cs="Tahoma"/>
          <w:sz w:val="24"/>
          <w:szCs w:val="24"/>
          <w:lang w:val="en-US"/>
        </w:rPr>
        <w:t xml:space="preserve"> 2024 data. </w:t>
      </w:r>
    </w:p>
    <w:p w14:paraId="7F480358" w14:textId="67D7986C" w:rsidR="000A50AA" w:rsidRDefault="00106F16" w:rsidP="00E63964">
      <w:pPr>
        <w:ind w:left="720" w:hanging="720"/>
        <w:jc w:val="both"/>
        <w:rPr>
          <w:rFonts w:ascii="Tahoma" w:hAnsi="Tahoma" w:cs="Tahoma"/>
          <w:sz w:val="24"/>
          <w:szCs w:val="24"/>
          <w:lang w:val="en-US"/>
        </w:rPr>
      </w:pPr>
      <w:r>
        <w:rPr>
          <w:rFonts w:ascii="Tahoma" w:hAnsi="Tahoma" w:cs="Tahoma"/>
          <w:sz w:val="24"/>
          <w:szCs w:val="24"/>
          <w:lang w:val="en-US"/>
        </w:rPr>
        <w:t>7.1.2</w:t>
      </w:r>
      <w:r>
        <w:rPr>
          <w:rFonts w:ascii="Tahoma" w:hAnsi="Tahoma" w:cs="Tahoma"/>
          <w:sz w:val="24"/>
          <w:szCs w:val="24"/>
          <w:lang w:val="en-US"/>
        </w:rPr>
        <w:tab/>
      </w:r>
      <w:r w:rsidR="005E2242">
        <w:rPr>
          <w:rFonts w:ascii="Tahoma" w:hAnsi="Tahoma" w:cs="Tahoma"/>
          <w:sz w:val="24"/>
          <w:szCs w:val="24"/>
          <w:lang w:val="en-US"/>
        </w:rPr>
        <w:t xml:space="preserve">In </w:t>
      </w:r>
      <w:r w:rsidR="000250F2">
        <w:rPr>
          <w:rFonts w:ascii="Tahoma" w:hAnsi="Tahoma" w:cs="Tahoma"/>
          <w:sz w:val="24"/>
          <w:szCs w:val="24"/>
          <w:lang w:val="en-US"/>
        </w:rPr>
        <w:t>September</w:t>
      </w:r>
      <w:r w:rsidR="005E2242">
        <w:rPr>
          <w:rFonts w:ascii="Tahoma" w:hAnsi="Tahoma" w:cs="Tahoma"/>
          <w:sz w:val="24"/>
          <w:szCs w:val="24"/>
          <w:lang w:val="en-US"/>
        </w:rPr>
        <w:t xml:space="preserve"> 2024, b</w:t>
      </w:r>
      <w:r w:rsidR="00C15011">
        <w:rPr>
          <w:rFonts w:ascii="Tahoma" w:hAnsi="Tahoma" w:cs="Tahoma"/>
          <w:sz w:val="24"/>
          <w:szCs w:val="24"/>
          <w:lang w:val="en-US"/>
        </w:rPr>
        <w:t>road money stock stood at ZW</w:t>
      </w:r>
      <w:r w:rsidR="00CD06BB">
        <w:rPr>
          <w:rFonts w:ascii="Tahoma" w:hAnsi="Tahoma" w:cs="Tahoma"/>
          <w:sz w:val="24"/>
          <w:szCs w:val="24"/>
          <w:lang w:val="en-US"/>
        </w:rPr>
        <w:t>G</w:t>
      </w:r>
      <w:r w:rsidR="000250F2">
        <w:rPr>
          <w:rFonts w:ascii="Tahoma" w:hAnsi="Tahoma" w:cs="Tahoma"/>
          <w:sz w:val="24"/>
          <w:szCs w:val="24"/>
          <w:lang w:val="en-US"/>
        </w:rPr>
        <w:t>75.007 billion</w:t>
      </w:r>
      <w:r w:rsidR="005E2242">
        <w:rPr>
          <w:rFonts w:ascii="Tahoma" w:hAnsi="Tahoma" w:cs="Tahoma"/>
          <w:sz w:val="24"/>
          <w:szCs w:val="24"/>
          <w:lang w:val="en-US"/>
        </w:rPr>
        <w:t xml:space="preserve">, a </w:t>
      </w:r>
      <w:r w:rsidR="000250F2">
        <w:rPr>
          <w:rFonts w:ascii="Tahoma" w:hAnsi="Tahoma" w:cs="Tahoma"/>
          <w:sz w:val="24"/>
          <w:szCs w:val="24"/>
          <w:lang w:val="en-US"/>
        </w:rPr>
        <w:t>61.4%</w:t>
      </w:r>
      <w:r w:rsidR="005E2242">
        <w:rPr>
          <w:rFonts w:ascii="Tahoma" w:hAnsi="Tahoma" w:cs="Tahoma"/>
          <w:sz w:val="24"/>
          <w:szCs w:val="24"/>
          <w:lang w:val="en-US"/>
        </w:rPr>
        <w:t>%</w:t>
      </w:r>
      <w:r w:rsidR="000250F2">
        <w:rPr>
          <w:rFonts w:ascii="Tahoma" w:hAnsi="Tahoma" w:cs="Tahoma"/>
          <w:sz w:val="24"/>
          <w:szCs w:val="24"/>
          <w:lang w:val="en-US"/>
        </w:rPr>
        <w:t xml:space="preserve"> increase from ZWG46.47 billion</w:t>
      </w:r>
      <w:r w:rsidR="005E2242">
        <w:rPr>
          <w:rFonts w:ascii="Tahoma" w:hAnsi="Tahoma" w:cs="Tahoma"/>
          <w:sz w:val="24"/>
          <w:szCs w:val="24"/>
          <w:lang w:val="en-US"/>
        </w:rPr>
        <w:t xml:space="preserve"> </w:t>
      </w:r>
      <w:r w:rsidR="000250F2">
        <w:rPr>
          <w:rFonts w:ascii="Tahoma" w:hAnsi="Tahoma" w:cs="Tahoma"/>
          <w:sz w:val="24"/>
          <w:szCs w:val="24"/>
          <w:lang w:val="en-US"/>
        </w:rPr>
        <w:t>in August 2024</w:t>
      </w:r>
      <w:r w:rsidR="00A06EBA">
        <w:rPr>
          <w:rFonts w:ascii="Tahoma" w:hAnsi="Tahoma" w:cs="Tahoma"/>
          <w:sz w:val="24"/>
          <w:szCs w:val="24"/>
          <w:lang w:val="en-US"/>
        </w:rPr>
        <w:t xml:space="preserve"> </w:t>
      </w:r>
      <w:r w:rsidR="005E2242">
        <w:rPr>
          <w:rFonts w:ascii="Tahoma" w:hAnsi="Tahoma" w:cs="Tahoma"/>
          <w:sz w:val="24"/>
          <w:szCs w:val="24"/>
          <w:lang w:val="en-US"/>
        </w:rPr>
        <w:t xml:space="preserve">as shown in Figure </w:t>
      </w:r>
      <w:r w:rsidR="009B6068">
        <w:rPr>
          <w:rFonts w:ascii="Tahoma" w:hAnsi="Tahoma" w:cs="Tahoma"/>
          <w:sz w:val="24"/>
          <w:szCs w:val="24"/>
          <w:lang w:val="en-US"/>
        </w:rPr>
        <w:t>7</w:t>
      </w:r>
      <w:r w:rsidR="005E2242">
        <w:rPr>
          <w:rFonts w:ascii="Tahoma" w:hAnsi="Tahoma" w:cs="Tahoma"/>
          <w:sz w:val="24"/>
          <w:szCs w:val="24"/>
          <w:lang w:val="en-US"/>
        </w:rPr>
        <w:t xml:space="preserve"> </w:t>
      </w:r>
      <w:r w:rsidR="003D514B">
        <w:rPr>
          <w:rFonts w:ascii="Tahoma" w:hAnsi="Tahoma" w:cs="Tahoma"/>
          <w:sz w:val="24"/>
          <w:szCs w:val="24"/>
          <w:lang w:val="en-US"/>
        </w:rPr>
        <w:t xml:space="preserve">(RBZ </w:t>
      </w:r>
      <w:r w:rsidR="005E2242">
        <w:rPr>
          <w:rFonts w:ascii="Tahoma" w:hAnsi="Tahoma" w:cs="Tahoma"/>
          <w:sz w:val="24"/>
          <w:szCs w:val="24"/>
          <w:lang w:val="en-US"/>
        </w:rPr>
        <w:t>August</w:t>
      </w:r>
      <w:r w:rsidR="003D514B">
        <w:rPr>
          <w:rFonts w:ascii="Tahoma" w:hAnsi="Tahoma" w:cs="Tahoma"/>
          <w:sz w:val="24"/>
          <w:szCs w:val="24"/>
          <w:lang w:val="en-US"/>
        </w:rPr>
        <w:t xml:space="preserve"> 2024 Monthly Economic Review)</w:t>
      </w:r>
      <w:r w:rsidR="005C0350">
        <w:rPr>
          <w:rFonts w:ascii="Tahoma" w:hAnsi="Tahoma" w:cs="Tahoma"/>
          <w:sz w:val="24"/>
          <w:szCs w:val="24"/>
          <w:lang w:val="en-US"/>
        </w:rPr>
        <w:t xml:space="preserve">. </w:t>
      </w:r>
      <w:r w:rsidR="00A06EBA">
        <w:rPr>
          <w:rFonts w:ascii="Tahoma" w:hAnsi="Tahoma" w:cs="Tahoma"/>
          <w:sz w:val="24"/>
          <w:szCs w:val="24"/>
          <w:lang w:val="en-US"/>
        </w:rPr>
        <w:t>The increase in broad money largely reflected valuation changes of foreign currency deposits related to exchange rate depreciation.</w:t>
      </w:r>
      <w:bookmarkEnd w:id="55"/>
      <w:r w:rsidR="00A06EBA">
        <w:rPr>
          <w:rFonts w:ascii="Tahoma" w:hAnsi="Tahoma" w:cs="Tahoma"/>
          <w:sz w:val="24"/>
          <w:szCs w:val="24"/>
          <w:lang w:val="en-US"/>
        </w:rPr>
        <w:t xml:space="preserve">  The money stock comprised of foreign currency deposits of 82.59%, local currency deposits of 17.30% and local currency in circulation 0.11%.</w:t>
      </w:r>
    </w:p>
    <w:p w14:paraId="08B53D22" w14:textId="77777777" w:rsidR="005C0350" w:rsidRDefault="005C0350" w:rsidP="00F05BD5">
      <w:pPr>
        <w:spacing w:after="0"/>
        <w:ind w:left="720" w:hanging="720"/>
        <w:jc w:val="both"/>
        <w:rPr>
          <w:rFonts w:ascii="Tahoma" w:hAnsi="Tahoma" w:cs="Tahoma"/>
          <w:sz w:val="24"/>
          <w:szCs w:val="24"/>
          <w:lang w:val="en-US"/>
        </w:rPr>
      </w:pPr>
    </w:p>
    <w:p w14:paraId="24EA766D" w14:textId="77777777" w:rsidR="00987E36" w:rsidRDefault="00987E36" w:rsidP="006C526D">
      <w:pPr>
        <w:pStyle w:val="ListofFigures"/>
      </w:pPr>
      <w:bookmarkStart w:id="56" w:name="_Toc184215208"/>
    </w:p>
    <w:p w14:paraId="2D9074A7" w14:textId="77777777" w:rsidR="00987E36" w:rsidRDefault="00987E36" w:rsidP="006C526D">
      <w:pPr>
        <w:pStyle w:val="ListofFigures"/>
      </w:pPr>
    </w:p>
    <w:p w14:paraId="5BF41309" w14:textId="77777777" w:rsidR="00987E36" w:rsidRDefault="00987E36" w:rsidP="006C526D">
      <w:pPr>
        <w:pStyle w:val="ListofFigures"/>
      </w:pPr>
    </w:p>
    <w:p w14:paraId="4ADF3027" w14:textId="77777777" w:rsidR="00987E36" w:rsidRDefault="00987E36" w:rsidP="006C526D">
      <w:pPr>
        <w:pStyle w:val="ListofFigures"/>
      </w:pPr>
    </w:p>
    <w:p w14:paraId="681006C1" w14:textId="77777777" w:rsidR="00987E36" w:rsidRDefault="00987E36" w:rsidP="006C526D">
      <w:pPr>
        <w:pStyle w:val="ListofFigures"/>
      </w:pPr>
    </w:p>
    <w:p w14:paraId="108033C7" w14:textId="77777777" w:rsidR="00987E36" w:rsidRDefault="00987E36" w:rsidP="006C526D">
      <w:pPr>
        <w:pStyle w:val="ListofFigures"/>
      </w:pPr>
    </w:p>
    <w:p w14:paraId="3EB05CF1" w14:textId="5DC2AD53" w:rsidR="000A50AA" w:rsidRDefault="000A50AA" w:rsidP="006C526D">
      <w:pPr>
        <w:pStyle w:val="ListofFigures"/>
      </w:pPr>
      <w:r w:rsidRPr="00E70553">
        <w:lastRenderedPageBreak/>
        <w:t xml:space="preserve">Figure </w:t>
      </w:r>
      <w:r w:rsidR="00BD0F65">
        <w:t>7</w:t>
      </w:r>
      <w:r w:rsidR="005C0350">
        <w:t>:</w:t>
      </w:r>
      <w:r w:rsidRPr="00E70553">
        <w:t xml:space="preserve"> Broad Money (M3) Supply</w:t>
      </w:r>
      <w:bookmarkEnd w:id="56"/>
    </w:p>
    <w:p w14:paraId="0CE5423E" w14:textId="4B8668E6" w:rsidR="006C526D" w:rsidRDefault="006C526D" w:rsidP="00C36C70">
      <w:pPr>
        <w:spacing w:after="0"/>
        <w:ind w:left="720" w:hanging="720"/>
        <w:jc w:val="both"/>
        <w:rPr>
          <w:noProof/>
          <w:lang w:eastAsia="en-ZW"/>
        </w:rPr>
      </w:pPr>
      <w:r>
        <w:rPr>
          <w:noProof/>
          <w:lang w:eastAsia="en-ZW"/>
        </w:rPr>
        <w:drawing>
          <wp:inline distT="0" distB="0" distL="0" distR="0" wp14:anchorId="09A7AD7F" wp14:editId="17106764">
            <wp:extent cx="5803900" cy="2771775"/>
            <wp:effectExtent l="0" t="0" r="6350" b="9525"/>
            <wp:docPr id="17947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0" cy="2771775"/>
                    </a:xfrm>
                    <a:prstGeom prst="rect">
                      <a:avLst/>
                    </a:prstGeom>
                    <a:noFill/>
                  </pic:spPr>
                </pic:pic>
              </a:graphicData>
            </a:graphic>
          </wp:inline>
        </w:drawing>
      </w:r>
    </w:p>
    <w:p w14:paraId="0EEA6E2F" w14:textId="31FA208A" w:rsidR="00C36C70" w:rsidRDefault="00C36C70" w:rsidP="00C36C70">
      <w:pPr>
        <w:spacing w:after="0"/>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(2024)</w:t>
      </w:r>
    </w:p>
    <w:p w14:paraId="5E84D12C" w14:textId="77777777" w:rsidR="00DB4903" w:rsidRDefault="00DB4903" w:rsidP="00C36C70">
      <w:pPr>
        <w:spacing w:after="0"/>
        <w:ind w:left="720" w:hanging="720"/>
        <w:jc w:val="both"/>
        <w:rPr>
          <w:rFonts w:ascii="Tahoma" w:hAnsi="Tahoma" w:cs="Tahoma"/>
          <w:i/>
          <w:noProof/>
          <w:sz w:val="24"/>
          <w:szCs w:val="24"/>
          <w:lang w:eastAsia="en-ZW"/>
        </w:rPr>
      </w:pPr>
    </w:p>
    <w:p w14:paraId="3A74FAA5" w14:textId="77777777" w:rsidR="00C36C70" w:rsidRPr="00FE4A95" w:rsidRDefault="005D2E94" w:rsidP="00FE4A95">
      <w:pPr>
        <w:pStyle w:val="Heading2"/>
        <w:spacing w:before="0" w:after="240" w:line="240" w:lineRule="auto"/>
        <w:rPr>
          <w:rFonts w:cs="Tahoma"/>
          <w:b/>
          <w:color w:val="000000"/>
          <w:szCs w:val="24"/>
          <w:lang w:val="en-US"/>
        </w:rPr>
      </w:pPr>
      <w:bookmarkStart w:id="57" w:name="_Toc184215745"/>
      <w:r>
        <w:rPr>
          <w:rFonts w:cs="Tahoma"/>
          <w:b/>
          <w:color w:val="000000"/>
          <w:szCs w:val="24"/>
          <w:lang w:val="en-US"/>
        </w:rPr>
        <w:t>7.2</w:t>
      </w:r>
      <w:r w:rsidR="00D6287E">
        <w:rPr>
          <w:rFonts w:cs="Tahoma"/>
          <w:b/>
          <w:color w:val="000000"/>
          <w:szCs w:val="24"/>
          <w:lang w:val="en-US"/>
        </w:rPr>
        <w:tab/>
        <w:t>Interest Rates</w:t>
      </w:r>
      <w:bookmarkEnd w:id="57"/>
      <w:r>
        <w:rPr>
          <w:rFonts w:cs="Tahoma"/>
          <w:b/>
          <w:color w:val="000000"/>
          <w:szCs w:val="24"/>
          <w:lang w:val="en-US"/>
        </w:rPr>
        <w:t xml:space="preserve"> </w:t>
      </w:r>
    </w:p>
    <w:p w14:paraId="34C069C1" w14:textId="1A0A01F6" w:rsidR="00D50A5E" w:rsidRDefault="005D2E94" w:rsidP="00113183">
      <w:pPr>
        <w:ind w:left="720" w:hanging="720"/>
        <w:jc w:val="both"/>
        <w:rPr>
          <w:rFonts w:ascii="Tahoma" w:hAnsi="Tahoma" w:cs="Tahoma"/>
          <w:sz w:val="24"/>
          <w:szCs w:val="24"/>
          <w:lang w:val="en-US"/>
        </w:rPr>
      </w:pPr>
      <w:r>
        <w:rPr>
          <w:rFonts w:ascii="Tahoma" w:hAnsi="Tahoma" w:cs="Tahoma"/>
          <w:sz w:val="24"/>
          <w:szCs w:val="24"/>
          <w:lang w:val="en-US"/>
        </w:rPr>
        <w:t>7.1.1</w:t>
      </w:r>
      <w:r w:rsidR="00866209">
        <w:rPr>
          <w:rFonts w:ascii="Tahoma" w:hAnsi="Tahoma" w:cs="Tahoma"/>
          <w:sz w:val="24"/>
          <w:szCs w:val="24"/>
          <w:lang w:val="en-US"/>
        </w:rPr>
        <w:tab/>
      </w:r>
      <w:bookmarkStart w:id="58" w:name="_Hlk179978750"/>
      <w:bookmarkStart w:id="59" w:name="_Hlk166606487"/>
      <w:r w:rsidR="00113183">
        <w:rPr>
          <w:rFonts w:ascii="Tahoma" w:hAnsi="Tahoma" w:cs="Tahoma"/>
          <w:sz w:val="24"/>
          <w:szCs w:val="24"/>
          <w:lang w:val="en-US"/>
        </w:rPr>
        <w:t xml:space="preserve">As </w:t>
      </w:r>
      <w:r w:rsidR="00C708EB">
        <w:rPr>
          <w:rFonts w:ascii="Tahoma" w:hAnsi="Tahoma" w:cs="Tahoma"/>
          <w:sz w:val="24"/>
          <w:szCs w:val="24"/>
          <w:lang w:val="en-US"/>
        </w:rPr>
        <w:t>of</w:t>
      </w:r>
      <w:r w:rsidR="00113183">
        <w:rPr>
          <w:rFonts w:ascii="Tahoma" w:hAnsi="Tahoma" w:cs="Tahoma"/>
          <w:sz w:val="24"/>
          <w:szCs w:val="24"/>
          <w:lang w:val="en-US"/>
        </w:rPr>
        <w:t xml:space="preserve"> 1</w:t>
      </w:r>
      <w:r w:rsidR="00B06DC1">
        <w:rPr>
          <w:rFonts w:ascii="Tahoma" w:hAnsi="Tahoma" w:cs="Tahoma"/>
          <w:sz w:val="24"/>
          <w:szCs w:val="24"/>
          <w:lang w:val="en-US"/>
        </w:rPr>
        <w:t>5</w:t>
      </w:r>
      <w:r w:rsidR="00113183">
        <w:rPr>
          <w:rFonts w:ascii="Tahoma" w:hAnsi="Tahoma" w:cs="Tahoma"/>
          <w:sz w:val="24"/>
          <w:szCs w:val="24"/>
          <w:lang w:val="en-US"/>
        </w:rPr>
        <w:t xml:space="preserve"> </w:t>
      </w:r>
      <w:r w:rsidR="00B06DC1">
        <w:rPr>
          <w:rFonts w:ascii="Tahoma" w:hAnsi="Tahoma" w:cs="Tahoma"/>
          <w:sz w:val="24"/>
          <w:szCs w:val="24"/>
          <w:lang w:val="en-US"/>
        </w:rPr>
        <w:t>November</w:t>
      </w:r>
      <w:r w:rsidR="00113183">
        <w:rPr>
          <w:rFonts w:ascii="Tahoma" w:hAnsi="Tahoma" w:cs="Tahoma"/>
          <w:sz w:val="24"/>
          <w:szCs w:val="24"/>
          <w:lang w:val="en-US"/>
        </w:rPr>
        <w:t xml:space="preserve"> 2024, the average commercial bank deposit rate for savings on foreign currency </w:t>
      </w:r>
      <w:r w:rsidR="00B06DC1">
        <w:rPr>
          <w:rFonts w:ascii="Tahoma" w:hAnsi="Tahoma" w:cs="Tahoma"/>
          <w:sz w:val="24"/>
          <w:szCs w:val="24"/>
          <w:lang w:val="en-US"/>
        </w:rPr>
        <w:t>was revised by raising a minimum to 1.38% and lowering a maximum to 1.50%</w:t>
      </w:r>
      <w:r w:rsidR="00271553">
        <w:rPr>
          <w:rFonts w:ascii="Tahoma" w:hAnsi="Tahoma" w:cs="Tahoma"/>
          <w:sz w:val="24"/>
          <w:szCs w:val="24"/>
          <w:lang w:val="en-US"/>
        </w:rPr>
        <w:t xml:space="preserve">. Also, the </w:t>
      </w:r>
      <w:r w:rsidR="00B06DC1">
        <w:rPr>
          <w:rFonts w:ascii="Tahoma" w:hAnsi="Tahoma" w:cs="Tahoma"/>
          <w:sz w:val="24"/>
          <w:szCs w:val="24"/>
          <w:lang w:val="en-US"/>
        </w:rPr>
        <w:t xml:space="preserve">weighted lending rate on foreign currency for individuals was raised to a minimum 12.85% and maximum of 17.16%, </w:t>
      </w:r>
      <w:r w:rsidR="00271553">
        <w:rPr>
          <w:rFonts w:ascii="Tahoma" w:hAnsi="Tahoma" w:cs="Tahoma"/>
          <w:sz w:val="24"/>
          <w:szCs w:val="24"/>
          <w:lang w:val="en-US"/>
        </w:rPr>
        <w:t xml:space="preserve">while </w:t>
      </w:r>
      <w:r w:rsidR="00B06DC1">
        <w:rPr>
          <w:rFonts w:ascii="Tahoma" w:hAnsi="Tahoma" w:cs="Tahoma"/>
          <w:sz w:val="24"/>
          <w:szCs w:val="24"/>
          <w:lang w:val="en-US"/>
        </w:rPr>
        <w:t xml:space="preserve">for corporates, it was revised to 10.65% minimum and a maximum of 14.89%. </w:t>
      </w:r>
      <w:r w:rsidR="00113183">
        <w:rPr>
          <w:rFonts w:ascii="Tahoma" w:hAnsi="Tahoma" w:cs="Tahoma"/>
          <w:sz w:val="24"/>
          <w:szCs w:val="24"/>
          <w:lang w:val="en-US"/>
        </w:rPr>
        <w:t xml:space="preserve"> </w:t>
      </w:r>
      <w:bookmarkEnd w:id="58"/>
      <w:r w:rsidR="00B06DC1">
        <w:rPr>
          <w:rFonts w:ascii="Tahoma" w:hAnsi="Tahoma" w:cs="Tahoma"/>
          <w:sz w:val="24"/>
          <w:szCs w:val="24"/>
          <w:lang w:val="en-US"/>
        </w:rPr>
        <w:t xml:space="preserve">Weighted lending rates on local currency </w:t>
      </w:r>
      <w:proofErr w:type="gramStart"/>
      <w:r w:rsidR="00B06DC1">
        <w:rPr>
          <w:rFonts w:ascii="Tahoma" w:hAnsi="Tahoma" w:cs="Tahoma"/>
          <w:sz w:val="24"/>
          <w:szCs w:val="24"/>
          <w:lang w:val="en-US"/>
        </w:rPr>
        <w:t>was</w:t>
      </w:r>
      <w:proofErr w:type="gramEnd"/>
      <w:r w:rsidR="00B06DC1">
        <w:rPr>
          <w:rFonts w:ascii="Tahoma" w:hAnsi="Tahoma" w:cs="Tahoma"/>
          <w:sz w:val="24"/>
          <w:szCs w:val="24"/>
          <w:lang w:val="en-US"/>
        </w:rPr>
        <w:t xml:space="preserve"> revised upwards, to 37.97% minimum and 43.47% maximum </w:t>
      </w:r>
      <w:r w:rsidR="00271553">
        <w:rPr>
          <w:rFonts w:ascii="Tahoma" w:hAnsi="Tahoma" w:cs="Tahoma"/>
          <w:sz w:val="24"/>
          <w:szCs w:val="24"/>
          <w:lang w:val="en-US"/>
        </w:rPr>
        <w:t xml:space="preserve">while </w:t>
      </w:r>
      <w:r w:rsidR="00B06DC1">
        <w:rPr>
          <w:rFonts w:ascii="Tahoma" w:hAnsi="Tahoma" w:cs="Tahoma"/>
          <w:sz w:val="24"/>
          <w:szCs w:val="24"/>
          <w:lang w:val="en-US"/>
        </w:rPr>
        <w:t xml:space="preserve">for individuals </w:t>
      </w:r>
      <w:r w:rsidR="00271553">
        <w:rPr>
          <w:rFonts w:ascii="Tahoma" w:hAnsi="Tahoma" w:cs="Tahoma"/>
          <w:sz w:val="24"/>
          <w:szCs w:val="24"/>
          <w:lang w:val="en-US"/>
        </w:rPr>
        <w:t xml:space="preserve">it was raised </w:t>
      </w:r>
      <w:r w:rsidR="00B06DC1">
        <w:rPr>
          <w:rFonts w:ascii="Tahoma" w:hAnsi="Tahoma" w:cs="Tahoma"/>
          <w:sz w:val="24"/>
          <w:szCs w:val="24"/>
          <w:lang w:val="en-US"/>
        </w:rPr>
        <w:t>to 33.01% minimum and 38.83% maximum for corporates</w:t>
      </w:r>
      <w:r w:rsidR="0010522F">
        <w:rPr>
          <w:rFonts w:ascii="Tahoma" w:hAnsi="Tahoma" w:cs="Tahoma"/>
          <w:sz w:val="24"/>
          <w:szCs w:val="24"/>
          <w:lang w:val="en-US"/>
        </w:rPr>
        <w:t xml:space="preserve"> (see Table </w:t>
      </w:r>
      <w:r w:rsidR="00986C6F">
        <w:rPr>
          <w:rFonts w:ascii="Tahoma" w:hAnsi="Tahoma" w:cs="Tahoma"/>
          <w:sz w:val="24"/>
          <w:szCs w:val="24"/>
          <w:lang w:val="en-US"/>
        </w:rPr>
        <w:t>5</w:t>
      </w:r>
      <w:r w:rsidR="0010522F">
        <w:rPr>
          <w:rFonts w:ascii="Tahoma" w:hAnsi="Tahoma" w:cs="Tahoma"/>
          <w:sz w:val="24"/>
          <w:szCs w:val="24"/>
          <w:lang w:val="en-US"/>
        </w:rPr>
        <w:t>).</w:t>
      </w:r>
    </w:p>
    <w:p w14:paraId="30AF733D" w14:textId="2E165EA7" w:rsidR="00873DFE" w:rsidRDefault="00873DFE" w:rsidP="00873DFE">
      <w:pPr>
        <w:pStyle w:val="ListofTables"/>
        <w:rPr>
          <w:lang w:val="en-US"/>
        </w:rPr>
      </w:pPr>
      <w:bookmarkStart w:id="60" w:name="_Toc184287495"/>
      <w:r>
        <w:rPr>
          <w:lang w:val="en-US"/>
        </w:rPr>
        <w:t xml:space="preserve">Table </w:t>
      </w:r>
      <w:r w:rsidR="00B3127C">
        <w:rPr>
          <w:lang w:val="en-US"/>
        </w:rPr>
        <w:t>5</w:t>
      </w:r>
      <w:r>
        <w:rPr>
          <w:lang w:val="en-US"/>
        </w:rPr>
        <w:t>: Interest Rates as of 15 November 2024</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1418"/>
        <w:gridCol w:w="1417"/>
        <w:gridCol w:w="1418"/>
        <w:gridCol w:w="1479"/>
      </w:tblGrid>
      <w:tr w:rsidR="00631976" w:rsidRPr="00271553" w14:paraId="119C99A3" w14:textId="77777777" w:rsidTr="007E405A">
        <w:tc>
          <w:tcPr>
            <w:tcW w:w="3510" w:type="dxa"/>
            <w:gridSpan w:val="2"/>
          </w:tcPr>
          <w:p w14:paraId="0AFD6126" w14:textId="77777777" w:rsidR="00631976" w:rsidRPr="00271553" w:rsidRDefault="00631976" w:rsidP="00631976">
            <w:pPr>
              <w:spacing w:after="0" w:line="240" w:lineRule="auto"/>
              <w:jc w:val="center"/>
              <w:rPr>
                <w:rFonts w:ascii="Tahoma" w:eastAsia="Times New Roman" w:hAnsi="Tahoma" w:cs="Tahoma"/>
                <w:b/>
                <w:bCs/>
              </w:rPr>
            </w:pPr>
            <w:r w:rsidRPr="00271553">
              <w:rPr>
                <w:rFonts w:ascii="Tahoma" w:eastAsia="Times New Roman" w:hAnsi="Tahoma" w:cs="Tahoma"/>
                <w:b/>
                <w:bCs/>
              </w:rPr>
              <w:t>Classification</w:t>
            </w:r>
          </w:p>
        </w:tc>
        <w:tc>
          <w:tcPr>
            <w:tcW w:w="2835" w:type="dxa"/>
            <w:gridSpan w:val="2"/>
          </w:tcPr>
          <w:p w14:paraId="3584946B" w14:textId="77777777" w:rsidR="00631976" w:rsidRPr="00271553" w:rsidRDefault="00631976" w:rsidP="00631976">
            <w:pPr>
              <w:spacing w:after="0" w:line="240" w:lineRule="auto"/>
              <w:rPr>
                <w:rFonts w:ascii="Tahoma" w:eastAsia="Times New Roman" w:hAnsi="Tahoma" w:cs="Tahoma"/>
                <w:b/>
                <w:bCs/>
              </w:rPr>
            </w:pPr>
            <w:r w:rsidRPr="00271553">
              <w:rPr>
                <w:rFonts w:ascii="Tahoma" w:eastAsia="Times New Roman" w:hAnsi="Tahoma" w:cs="Tahoma"/>
                <w:b/>
                <w:bCs/>
              </w:rPr>
              <w:t>Minimum (%)</w:t>
            </w:r>
          </w:p>
        </w:tc>
        <w:tc>
          <w:tcPr>
            <w:tcW w:w="2897" w:type="dxa"/>
            <w:gridSpan w:val="2"/>
          </w:tcPr>
          <w:p w14:paraId="3A3EADC1" w14:textId="77777777" w:rsidR="00631976" w:rsidRPr="00271553" w:rsidRDefault="00631976" w:rsidP="00631976">
            <w:pPr>
              <w:spacing w:after="0" w:line="240" w:lineRule="auto"/>
              <w:rPr>
                <w:rFonts w:ascii="Tahoma" w:eastAsia="Times New Roman" w:hAnsi="Tahoma" w:cs="Tahoma"/>
                <w:b/>
                <w:bCs/>
              </w:rPr>
            </w:pPr>
            <w:r w:rsidRPr="00271553">
              <w:rPr>
                <w:rFonts w:ascii="Tahoma" w:eastAsia="Times New Roman" w:hAnsi="Tahoma" w:cs="Tahoma"/>
                <w:b/>
                <w:bCs/>
              </w:rPr>
              <w:t>Maximum (%)</w:t>
            </w:r>
          </w:p>
        </w:tc>
      </w:tr>
      <w:tr w:rsidR="00631976" w:rsidRPr="00271553" w14:paraId="0747831C" w14:textId="77777777" w:rsidTr="007E405A">
        <w:tc>
          <w:tcPr>
            <w:tcW w:w="3510" w:type="dxa"/>
            <w:gridSpan w:val="2"/>
          </w:tcPr>
          <w:p w14:paraId="3FBEB17F" w14:textId="77777777" w:rsidR="00631976" w:rsidRPr="00271553" w:rsidRDefault="00631976" w:rsidP="00631976">
            <w:pPr>
              <w:spacing w:after="0" w:line="240" w:lineRule="auto"/>
              <w:jc w:val="center"/>
              <w:rPr>
                <w:rFonts w:ascii="Tahoma" w:eastAsia="Times New Roman" w:hAnsi="Tahoma" w:cs="Tahoma"/>
                <w:b/>
                <w:bCs/>
              </w:rPr>
            </w:pPr>
          </w:p>
        </w:tc>
        <w:tc>
          <w:tcPr>
            <w:tcW w:w="1418" w:type="dxa"/>
          </w:tcPr>
          <w:p w14:paraId="11AC2038" w14:textId="77777777" w:rsidR="00631976" w:rsidRPr="00271553" w:rsidRDefault="00631976" w:rsidP="00631976">
            <w:pPr>
              <w:spacing w:after="0" w:line="240" w:lineRule="auto"/>
              <w:rPr>
                <w:rFonts w:ascii="Tahoma" w:eastAsia="Times New Roman" w:hAnsi="Tahoma" w:cs="Tahoma"/>
                <w:b/>
                <w:bCs/>
              </w:rPr>
            </w:pPr>
            <w:r w:rsidRPr="00271553">
              <w:rPr>
                <w:rFonts w:ascii="Tahoma" w:eastAsia="Times New Roman" w:hAnsi="Tahoma" w:cs="Tahoma"/>
                <w:b/>
                <w:bCs/>
              </w:rPr>
              <w:t>11/10/24</w:t>
            </w:r>
          </w:p>
        </w:tc>
        <w:tc>
          <w:tcPr>
            <w:tcW w:w="1417" w:type="dxa"/>
          </w:tcPr>
          <w:p w14:paraId="135CB7F9" w14:textId="77777777" w:rsidR="00631976" w:rsidRPr="00271553" w:rsidRDefault="00631976" w:rsidP="00631976">
            <w:pPr>
              <w:spacing w:after="0" w:line="240" w:lineRule="auto"/>
              <w:rPr>
                <w:rFonts w:ascii="Tahoma" w:eastAsia="Times New Roman" w:hAnsi="Tahoma" w:cs="Tahoma"/>
                <w:b/>
                <w:bCs/>
              </w:rPr>
            </w:pPr>
            <w:r w:rsidRPr="00271553">
              <w:rPr>
                <w:rFonts w:ascii="Tahoma" w:eastAsia="Times New Roman" w:hAnsi="Tahoma" w:cs="Tahoma"/>
                <w:b/>
                <w:bCs/>
              </w:rPr>
              <w:t>15/11/24</w:t>
            </w:r>
          </w:p>
        </w:tc>
        <w:tc>
          <w:tcPr>
            <w:tcW w:w="1418" w:type="dxa"/>
          </w:tcPr>
          <w:p w14:paraId="670A84B3" w14:textId="77777777" w:rsidR="00631976" w:rsidRPr="00271553" w:rsidRDefault="00631976" w:rsidP="00631976">
            <w:pPr>
              <w:spacing w:after="0" w:line="240" w:lineRule="auto"/>
              <w:rPr>
                <w:rFonts w:ascii="Tahoma" w:eastAsia="Times New Roman" w:hAnsi="Tahoma" w:cs="Tahoma"/>
                <w:b/>
                <w:bCs/>
              </w:rPr>
            </w:pPr>
            <w:r w:rsidRPr="00271553">
              <w:rPr>
                <w:rFonts w:ascii="Tahoma" w:eastAsia="Times New Roman" w:hAnsi="Tahoma" w:cs="Tahoma"/>
                <w:b/>
                <w:bCs/>
              </w:rPr>
              <w:t>11/10/24</w:t>
            </w:r>
          </w:p>
        </w:tc>
        <w:tc>
          <w:tcPr>
            <w:tcW w:w="1479" w:type="dxa"/>
          </w:tcPr>
          <w:p w14:paraId="1991BE8A" w14:textId="77777777" w:rsidR="00631976" w:rsidRPr="00271553" w:rsidRDefault="00631976" w:rsidP="00631976">
            <w:pPr>
              <w:spacing w:after="0" w:line="240" w:lineRule="auto"/>
              <w:rPr>
                <w:rFonts w:ascii="Tahoma" w:eastAsia="Times New Roman" w:hAnsi="Tahoma" w:cs="Tahoma"/>
                <w:b/>
                <w:bCs/>
              </w:rPr>
            </w:pPr>
            <w:r w:rsidRPr="00271553">
              <w:rPr>
                <w:rFonts w:ascii="Tahoma" w:eastAsia="Times New Roman" w:hAnsi="Tahoma" w:cs="Tahoma"/>
                <w:b/>
                <w:bCs/>
              </w:rPr>
              <w:t>15/11/24</w:t>
            </w:r>
          </w:p>
        </w:tc>
      </w:tr>
      <w:tr w:rsidR="00631976" w:rsidRPr="00271553" w14:paraId="613DB7FB" w14:textId="77777777" w:rsidTr="007E405A">
        <w:trPr>
          <w:trHeight w:val="277"/>
        </w:trPr>
        <w:tc>
          <w:tcPr>
            <w:tcW w:w="1668" w:type="dxa"/>
            <w:vMerge w:val="restart"/>
          </w:tcPr>
          <w:p w14:paraId="5D7D8DE1"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Average Commercial Bank Deposit Rates</w:t>
            </w:r>
          </w:p>
        </w:tc>
        <w:tc>
          <w:tcPr>
            <w:tcW w:w="1842" w:type="dxa"/>
          </w:tcPr>
          <w:p w14:paraId="34B8E03C"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Local Currency</w:t>
            </w:r>
          </w:p>
        </w:tc>
        <w:tc>
          <w:tcPr>
            <w:tcW w:w="1418" w:type="dxa"/>
          </w:tcPr>
          <w:p w14:paraId="337F1C10"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3.75</w:t>
            </w:r>
          </w:p>
        </w:tc>
        <w:tc>
          <w:tcPr>
            <w:tcW w:w="1417" w:type="dxa"/>
          </w:tcPr>
          <w:p w14:paraId="2E64697B"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3.75</w:t>
            </w:r>
          </w:p>
        </w:tc>
        <w:tc>
          <w:tcPr>
            <w:tcW w:w="1418" w:type="dxa"/>
          </w:tcPr>
          <w:p w14:paraId="5D2F5B17"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3.88</w:t>
            </w:r>
          </w:p>
        </w:tc>
        <w:tc>
          <w:tcPr>
            <w:tcW w:w="1479" w:type="dxa"/>
          </w:tcPr>
          <w:p w14:paraId="7CC65F2A"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3.88</w:t>
            </w:r>
          </w:p>
        </w:tc>
      </w:tr>
      <w:tr w:rsidR="00631976" w:rsidRPr="00271553" w14:paraId="0FBAF284" w14:textId="77777777" w:rsidTr="007E405A">
        <w:tc>
          <w:tcPr>
            <w:tcW w:w="1668" w:type="dxa"/>
            <w:vMerge/>
          </w:tcPr>
          <w:p w14:paraId="17C7FD6A" w14:textId="77777777" w:rsidR="00631976" w:rsidRPr="00271553" w:rsidRDefault="00631976" w:rsidP="00631976">
            <w:pPr>
              <w:spacing w:after="0" w:line="240" w:lineRule="auto"/>
              <w:rPr>
                <w:rFonts w:ascii="Tahoma" w:eastAsia="Times New Roman" w:hAnsi="Tahoma" w:cs="Tahoma"/>
              </w:rPr>
            </w:pPr>
          </w:p>
        </w:tc>
        <w:tc>
          <w:tcPr>
            <w:tcW w:w="1842" w:type="dxa"/>
          </w:tcPr>
          <w:p w14:paraId="6E518E31"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Foreign Currency</w:t>
            </w:r>
          </w:p>
        </w:tc>
        <w:tc>
          <w:tcPr>
            <w:tcW w:w="1418" w:type="dxa"/>
          </w:tcPr>
          <w:p w14:paraId="49C8E0F7"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1.22</w:t>
            </w:r>
          </w:p>
        </w:tc>
        <w:tc>
          <w:tcPr>
            <w:tcW w:w="1417" w:type="dxa"/>
          </w:tcPr>
          <w:p w14:paraId="3A6B449D"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1.38</w:t>
            </w:r>
          </w:p>
        </w:tc>
        <w:tc>
          <w:tcPr>
            <w:tcW w:w="1418" w:type="dxa"/>
          </w:tcPr>
          <w:p w14:paraId="40340F8E"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1.86</w:t>
            </w:r>
          </w:p>
        </w:tc>
        <w:tc>
          <w:tcPr>
            <w:tcW w:w="1479" w:type="dxa"/>
          </w:tcPr>
          <w:p w14:paraId="2845903B"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1.50</w:t>
            </w:r>
          </w:p>
        </w:tc>
      </w:tr>
      <w:tr w:rsidR="00631976" w:rsidRPr="00271553" w14:paraId="6F9EB02A" w14:textId="77777777" w:rsidTr="007E405A">
        <w:trPr>
          <w:trHeight w:val="288"/>
        </w:trPr>
        <w:tc>
          <w:tcPr>
            <w:tcW w:w="1668" w:type="dxa"/>
            <w:vMerge w:val="restart"/>
          </w:tcPr>
          <w:p w14:paraId="11F66595"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Commercial Banks Weighted Lending Rates (Forex)</w:t>
            </w:r>
          </w:p>
        </w:tc>
        <w:tc>
          <w:tcPr>
            <w:tcW w:w="1842" w:type="dxa"/>
          </w:tcPr>
          <w:p w14:paraId="34A3BE60"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Individuals</w:t>
            </w:r>
          </w:p>
        </w:tc>
        <w:tc>
          <w:tcPr>
            <w:tcW w:w="1418" w:type="dxa"/>
          </w:tcPr>
          <w:p w14:paraId="08CB3A07"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10.85</w:t>
            </w:r>
          </w:p>
        </w:tc>
        <w:tc>
          <w:tcPr>
            <w:tcW w:w="1417" w:type="dxa"/>
          </w:tcPr>
          <w:p w14:paraId="777DC727"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12.85</w:t>
            </w:r>
          </w:p>
        </w:tc>
        <w:tc>
          <w:tcPr>
            <w:tcW w:w="1418" w:type="dxa"/>
          </w:tcPr>
          <w:p w14:paraId="2F4E0E3E"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14.93</w:t>
            </w:r>
          </w:p>
        </w:tc>
        <w:tc>
          <w:tcPr>
            <w:tcW w:w="1479" w:type="dxa"/>
          </w:tcPr>
          <w:p w14:paraId="608529BA"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17.16</w:t>
            </w:r>
          </w:p>
        </w:tc>
      </w:tr>
      <w:tr w:rsidR="00631976" w:rsidRPr="00271553" w14:paraId="2E883677" w14:textId="77777777" w:rsidTr="007E405A">
        <w:tc>
          <w:tcPr>
            <w:tcW w:w="1668" w:type="dxa"/>
            <w:vMerge/>
          </w:tcPr>
          <w:p w14:paraId="35D9352B" w14:textId="77777777" w:rsidR="00631976" w:rsidRPr="00271553" w:rsidRDefault="00631976" w:rsidP="00631976">
            <w:pPr>
              <w:spacing w:after="0" w:line="240" w:lineRule="auto"/>
              <w:rPr>
                <w:rFonts w:ascii="Tahoma" w:eastAsia="Times New Roman" w:hAnsi="Tahoma" w:cs="Tahoma"/>
              </w:rPr>
            </w:pPr>
          </w:p>
        </w:tc>
        <w:tc>
          <w:tcPr>
            <w:tcW w:w="1842" w:type="dxa"/>
          </w:tcPr>
          <w:p w14:paraId="68D97A7A"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Corporates</w:t>
            </w:r>
          </w:p>
        </w:tc>
        <w:tc>
          <w:tcPr>
            <w:tcW w:w="1418" w:type="dxa"/>
          </w:tcPr>
          <w:p w14:paraId="7A3C7B93"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9.57</w:t>
            </w:r>
          </w:p>
        </w:tc>
        <w:tc>
          <w:tcPr>
            <w:tcW w:w="1417" w:type="dxa"/>
          </w:tcPr>
          <w:p w14:paraId="7D5DADC2"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10.65</w:t>
            </w:r>
          </w:p>
        </w:tc>
        <w:tc>
          <w:tcPr>
            <w:tcW w:w="1418" w:type="dxa"/>
          </w:tcPr>
          <w:p w14:paraId="0DDFF952"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15.09</w:t>
            </w:r>
          </w:p>
        </w:tc>
        <w:tc>
          <w:tcPr>
            <w:tcW w:w="1479" w:type="dxa"/>
          </w:tcPr>
          <w:p w14:paraId="646C6C6B"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14.89</w:t>
            </w:r>
          </w:p>
        </w:tc>
      </w:tr>
      <w:tr w:rsidR="00631976" w:rsidRPr="00271553" w14:paraId="1FFDFCF6" w14:textId="77777777" w:rsidTr="007E405A">
        <w:tc>
          <w:tcPr>
            <w:tcW w:w="1668" w:type="dxa"/>
            <w:vMerge w:val="restart"/>
          </w:tcPr>
          <w:p w14:paraId="3A9E34CB"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Commercial Banks Weighted Lending Rates (ZWG)</w:t>
            </w:r>
          </w:p>
        </w:tc>
        <w:tc>
          <w:tcPr>
            <w:tcW w:w="1842" w:type="dxa"/>
          </w:tcPr>
          <w:p w14:paraId="625C271C"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Individuals</w:t>
            </w:r>
          </w:p>
        </w:tc>
        <w:tc>
          <w:tcPr>
            <w:tcW w:w="1418" w:type="dxa"/>
          </w:tcPr>
          <w:p w14:paraId="04555570"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24.31</w:t>
            </w:r>
          </w:p>
        </w:tc>
        <w:tc>
          <w:tcPr>
            <w:tcW w:w="1417" w:type="dxa"/>
          </w:tcPr>
          <w:p w14:paraId="58BB4B41"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37.97</w:t>
            </w:r>
          </w:p>
        </w:tc>
        <w:tc>
          <w:tcPr>
            <w:tcW w:w="1418" w:type="dxa"/>
          </w:tcPr>
          <w:p w14:paraId="2442E4D7"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30.45</w:t>
            </w:r>
          </w:p>
        </w:tc>
        <w:tc>
          <w:tcPr>
            <w:tcW w:w="1479" w:type="dxa"/>
          </w:tcPr>
          <w:p w14:paraId="3551D8FC"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43.47</w:t>
            </w:r>
          </w:p>
        </w:tc>
      </w:tr>
      <w:tr w:rsidR="00631976" w:rsidRPr="00271553" w14:paraId="069317D6" w14:textId="77777777" w:rsidTr="007E405A">
        <w:tc>
          <w:tcPr>
            <w:tcW w:w="1668" w:type="dxa"/>
            <w:vMerge/>
          </w:tcPr>
          <w:p w14:paraId="6DDE32CB" w14:textId="77777777" w:rsidR="00631976" w:rsidRPr="00271553" w:rsidRDefault="00631976" w:rsidP="00631976">
            <w:pPr>
              <w:spacing w:after="0" w:line="240" w:lineRule="auto"/>
              <w:rPr>
                <w:rFonts w:ascii="Tahoma" w:eastAsia="Times New Roman" w:hAnsi="Tahoma" w:cs="Tahoma"/>
              </w:rPr>
            </w:pPr>
          </w:p>
        </w:tc>
        <w:tc>
          <w:tcPr>
            <w:tcW w:w="1842" w:type="dxa"/>
          </w:tcPr>
          <w:p w14:paraId="004F9641"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Corporates</w:t>
            </w:r>
          </w:p>
        </w:tc>
        <w:tc>
          <w:tcPr>
            <w:tcW w:w="1418" w:type="dxa"/>
          </w:tcPr>
          <w:p w14:paraId="0843DC83"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23.99</w:t>
            </w:r>
          </w:p>
        </w:tc>
        <w:tc>
          <w:tcPr>
            <w:tcW w:w="1417" w:type="dxa"/>
          </w:tcPr>
          <w:p w14:paraId="2E6F371A"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33.01</w:t>
            </w:r>
          </w:p>
        </w:tc>
        <w:tc>
          <w:tcPr>
            <w:tcW w:w="1418" w:type="dxa"/>
          </w:tcPr>
          <w:p w14:paraId="7BA1BA6C"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32.78</w:t>
            </w:r>
          </w:p>
        </w:tc>
        <w:tc>
          <w:tcPr>
            <w:tcW w:w="1479" w:type="dxa"/>
          </w:tcPr>
          <w:p w14:paraId="0679B7F6" w14:textId="77777777" w:rsidR="00631976" w:rsidRPr="00271553" w:rsidRDefault="00631976" w:rsidP="00631976">
            <w:pPr>
              <w:spacing w:after="0" w:line="240" w:lineRule="auto"/>
              <w:rPr>
                <w:rFonts w:ascii="Tahoma" w:eastAsia="Times New Roman" w:hAnsi="Tahoma" w:cs="Tahoma"/>
              </w:rPr>
            </w:pPr>
            <w:r w:rsidRPr="00271553">
              <w:rPr>
                <w:rFonts w:ascii="Tahoma" w:eastAsia="Times New Roman" w:hAnsi="Tahoma" w:cs="Tahoma"/>
              </w:rPr>
              <w:t>38.83</w:t>
            </w:r>
          </w:p>
        </w:tc>
      </w:tr>
    </w:tbl>
    <w:p w14:paraId="3074E033" w14:textId="07AFE1C0" w:rsidR="00631976" w:rsidRPr="00FA77E0" w:rsidRDefault="00FA77E0" w:rsidP="00113183">
      <w:pPr>
        <w:ind w:left="720" w:hanging="720"/>
        <w:jc w:val="both"/>
        <w:rPr>
          <w:rFonts w:ascii="Tahoma" w:eastAsia="Times New Roman" w:hAnsi="Tahoma" w:cs="Tahoma"/>
          <w:i/>
          <w:kern w:val="0"/>
          <w:sz w:val="24"/>
          <w:szCs w:val="24"/>
          <w:lang w:eastAsia="en-ZW"/>
        </w:rPr>
      </w:pPr>
      <w:r w:rsidRPr="00FA77E0">
        <w:rPr>
          <w:rFonts w:ascii="Tahoma" w:eastAsia="Times New Roman" w:hAnsi="Tahoma" w:cs="Tahoma"/>
          <w:i/>
          <w:kern w:val="0"/>
          <w:sz w:val="24"/>
          <w:szCs w:val="24"/>
          <w:lang w:eastAsia="en-ZW"/>
        </w:rPr>
        <w:t>Source: RBZ (2024)</w:t>
      </w:r>
    </w:p>
    <w:bookmarkEnd w:id="59"/>
    <w:p w14:paraId="78D50B1B" w14:textId="747DC011" w:rsidR="004514A3" w:rsidRDefault="00A1045C" w:rsidP="00E63964">
      <w:pPr>
        <w:spacing w:line="240" w:lineRule="auto"/>
        <w:ind w:left="720" w:hanging="720"/>
        <w:jc w:val="both"/>
        <w:rPr>
          <w:rFonts w:ascii="Tahoma" w:hAnsi="Tahoma" w:cs="Tahoma"/>
          <w:sz w:val="24"/>
          <w:szCs w:val="24"/>
        </w:rPr>
      </w:pPr>
      <w:r>
        <w:rPr>
          <w:rFonts w:ascii="Tahoma" w:hAnsi="Tahoma" w:cs="Tahoma"/>
          <w:sz w:val="24"/>
          <w:szCs w:val="24"/>
        </w:rPr>
        <w:lastRenderedPageBreak/>
        <w:t>7.1.2</w:t>
      </w:r>
      <w:r>
        <w:rPr>
          <w:rFonts w:ascii="Tahoma" w:hAnsi="Tahoma" w:cs="Tahoma"/>
          <w:sz w:val="24"/>
          <w:szCs w:val="24"/>
        </w:rPr>
        <w:tab/>
      </w:r>
      <w:bookmarkStart w:id="61" w:name="_Hlk179978781"/>
      <w:r w:rsidR="00987E36">
        <w:rPr>
          <w:rFonts w:ascii="Tahoma" w:hAnsi="Tahoma" w:cs="Tahoma"/>
          <w:sz w:val="24"/>
          <w:szCs w:val="24"/>
        </w:rPr>
        <w:t>B</w:t>
      </w:r>
      <w:r w:rsidR="005954DA">
        <w:rPr>
          <w:rFonts w:ascii="Tahoma" w:hAnsi="Tahoma" w:cs="Tahoma"/>
          <w:sz w:val="24"/>
          <w:szCs w:val="24"/>
        </w:rPr>
        <w:t xml:space="preserve">ank deposit rate was revised downwards, and weighted lending rate was raised for both foreign and local currencies. </w:t>
      </w:r>
      <w:bookmarkEnd w:id="61"/>
      <w:r w:rsidR="005954DA">
        <w:rPr>
          <w:rFonts w:ascii="Tahoma" w:hAnsi="Tahoma" w:cs="Tahoma"/>
          <w:sz w:val="24"/>
          <w:szCs w:val="24"/>
        </w:rPr>
        <w:t>This revision discourages savings and makes borrowing expensive hence reduced investment retarding economic growth.</w:t>
      </w:r>
    </w:p>
    <w:p w14:paraId="20181341" w14:textId="77777777" w:rsidR="00184FA3" w:rsidRPr="00A64F64" w:rsidRDefault="00F67469" w:rsidP="00022BFE">
      <w:pPr>
        <w:pStyle w:val="Heading1"/>
        <w:spacing w:before="0" w:after="240" w:line="240" w:lineRule="auto"/>
        <w:rPr>
          <w:rFonts w:cs="Tahoma"/>
          <w:bCs/>
          <w:color w:val="000000"/>
          <w:szCs w:val="24"/>
          <w:lang w:val="en-US"/>
        </w:rPr>
      </w:pPr>
      <w:bookmarkStart w:id="62" w:name="_Toc166607902"/>
      <w:bookmarkStart w:id="63" w:name="_Toc184215746"/>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62"/>
      <w:bookmarkEnd w:id="63"/>
      <w:r w:rsidR="00184FA3" w:rsidRPr="00A64F64">
        <w:rPr>
          <w:rFonts w:cs="Tahoma"/>
          <w:bCs/>
          <w:color w:val="000000"/>
          <w:szCs w:val="24"/>
          <w:lang w:val="en-US"/>
        </w:rPr>
        <w:t xml:space="preserve"> </w:t>
      </w:r>
    </w:p>
    <w:p w14:paraId="56A7759C" w14:textId="35538552" w:rsidR="00184FA3" w:rsidRPr="00863A17" w:rsidRDefault="00F67469" w:rsidP="003C1D2F">
      <w:pPr>
        <w:pStyle w:val="Heading2"/>
        <w:spacing w:before="0" w:after="240" w:line="240" w:lineRule="auto"/>
        <w:rPr>
          <w:rFonts w:cs="Tahoma"/>
          <w:b/>
          <w:color w:val="000000"/>
          <w:szCs w:val="24"/>
          <w:lang w:val="en-US"/>
        </w:rPr>
      </w:pPr>
      <w:bookmarkStart w:id="64" w:name="_Toc166607903"/>
      <w:bookmarkStart w:id="65" w:name="_Toc184215747"/>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64"/>
      <w:r w:rsidR="00184FA3" w:rsidRPr="00863A17">
        <w:rPr>
          <w:rFonts w:cs="Tahoma"/>
          <w:b/>
          <w:color w:val="000000"/>
          <w:szCs w:val="24"/>
          <w:lang w:val="en-US"/>
        </w:rPr>
        <w:t xml:space="preserve"> </w:t>
      </w:r>
      <w:r w:rsidR="00A37061">
        <w:rPr>
          <w:rFonts w:cs="Tahoma"/>
          <w:b/>
          <w:color w:val="000000"/>
          <w:szCs w:val="24"/>
          <w:lang w:val="en-US"/>
        </w:rPr>
        <w:t>(ZSE)</w:t>
      </w:r>
      <w:bookmarkEnd w:id="65"/>
    </w:p>
    <w:p w14:paraId="7157C912" w14:textId="495F6053"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w:t>
      </w:r>
      <w:r w:rsidR="009D4D20">
        <w:rPr>
          <w:rFonts w:ascii="Tahoma" w:hAnsi="Tahoma" w:cs="Tahoma"/>
          <w:sz w:val="24"/>
          <w:szCs w:val="24"/>
          <w:lang w:val="en-US"/>
        </w:rPr>
        <w:t>1</w:t>
      </w:r>
      <w:r w:rsidRPr="00863A17">
        <w:rPr>
          <w:rFonts w:ascii="Tahoma" w:hAnsi="Tahoma" w:cs="Tahoma"/>
          <w:sz w:val="24"/>
          <w:szCs w:val="24"/>
          <w:lang w:val="en-US"/>
        </w:rPr>
        <w:tab/>
      </w:r>
      <w:bookmarkStart w:id="66" w:name="_Hlk179978801"/>
      <w:r w:rsidR="00A37061">
        <w:rPr>
          <w:rFonts w:ascii="Tahoma" w:hAnsi="Tahoma" w:cs="Tahoma"/>
          <w:sz w:val="24"/>
          <w:szCs w:val="24"/>
          <w:lang w:val="en-US"/>
        </w:rPr>
        <w:t>During the month other review, t</w:t>
      </w:r>
      <w:r w:rsidR="008E7F02">
        <w:rPr>
          <w:rFonts w:ascii="Tahoma" w:hAnsi="Tahoma" w:cs="Tahoma"/>
          <w:sz w:val="24"/>
          <w:szCs w:val="24"/>
          <w:lang w:val="en-US"/>
        </w:rPr>
        <w:t>he</w:t>
      </w:r>
      <w:r w:rsidR="006809E5">
        <w:rPr>
          <w:rFonts w:ascii="Tahoma" w:hAnsi="Tahoma" w:cs="Tahoma"/>
          <w:sz w:val="24"/>
          <w:szCs w:val="24"/>
          <w:lang w:val="en-US"/>
        </w:rPr>
        <w:t xml:space="preserve"> ZSE</w:t>
      </w:r>
      <w:r w:rsidR="008E7F02">
        <w:rPr>
          <w:rFonts w:ascii="Tahoma" w:hAnsi="Tahoma" w:cs="Tahoma"/>
          <w:sz w:val="24"/>
          <w:szCs w:val="24"/>
          <w:lang w:val="en-US"/>
        </w:rPr>
        <w:t xml:space="preserve"> </w:t>
      </w:r>
      <w:r w:rsidR="00A37061">
        <w:rPr>
          <w:rFonts w:ascii="Tahoma" w:hAnsi="Tahoma" w:cs="Tahoma"/>
          <w:sz w:val="24"/>
          <w:szCs w:val="24"/>
          <w:lang w:val="en-US"/>
        </w:rPr>
        <w:t xml:space="preserve">was dominated by bearish sentiments. All share index, top 10 index, value </w:t>
      </w:r>
      <w:r w:rsidR="00BF28B5">
        <w:rPr>
          <w:rFonts w:ascii="Tahoma" w:hAnsi="Tahoma" w:cs="Tahoma"/>
          <w:sz w:val="24"/>
          <w:szCs w:val="24"/>
          <w:lang w:val="en-US"/>
        </w:rPr>
        <w:t>traded,</w:t>
      </w:r>
      <w:r w:rsidR="00A37061">
        <w:rPr>
          <w:rFonts w:ascii="Tahoma" w:hAnsi="Tahoma" w:cs="Tahoma"/>
          <w:sz w:val="24"/>
          <w:szCs w:val="24"/>
          <w:lang w:val="en-US"/>
        </w:rPr>
        <w:t xml:space="preserve"> and market capitalization fell by 8.31%, 11.95%, 94.34% and 8.58% respectively</w:t>
      </w:r>
      <w:r w:rsidR="004D31CB">
        <w:rPr>
          <w:rFonts w:ascii="Tahoma" w:hAnsi="Tahoma" w:cs="Tahoma"/>
          <w:sz w:val="24"/>
          <w:szCs w:val="24"/>
          <w:lang w:val="en-US"/>
        </w:rPr>
        <w:t xml:space="preserve">, see table </w:t>
      </w:r>
      <w:r w:rsidR="002B0281">
        <w:rPr>
          <w:rFonts w:ascii="Tahoma" w:hAnsi="Tahoma" w:cs="Tahoma"/>
          <w:sz w:val="24"/>
          <w:szCs w:val="24"/>
          <w:lang w:val="en-US"/>
        </w:rPr>
        <w:t>6</w:t>
      </w:r>
      <w:r w:rsidR="004D31CB">
        <w:rPr>
          <w:rFonts w:ascii="Tahoma" w:hAnsi="Tahoma" w:cs="Tahoma"/>
          <w:sz w:val="24"/>
          <w:szCs w:val="24"/>
          <w:lang w:val="en-US"/>
        </w:rPr>
        <w:t>. This downturn was primarily influenced by loses in 12 counters including EcoCash, CBZ and Delta.</w:t>
      </w:r>
    </w:p>
    <w:p w14:paraId="4FC9AADA" w14:textId="1F034AA7"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w:t>
      </w:r>
      <w:r w:rsidR="009D4D20">
        <w:rPr>
          <w:rFonts w:ascii="Tahoma" w:hAnsi="Tahoma" w:cs="Tahoma"/>
          <w:sz w:val="24"/>
          <w:szCs w:val="24"/>
        </w:rPr>
        <w:t>2</w:t>
      </w:r>
      <w:r w:rsidRPr="00863A17">
        <w:rPr>
          <w:rFonts w:ascii="Tahoma" w:hAnsi="Tahoma" w:cs="Tahoma"/>
          <w:sz w:val="24"/>
          <w:szCs w:val="24"/>
        </w:rPr>
        <w:tab/>
      </w:r>
      <w:r w:rsidR="00505644">
        <w:rPr>
          <w:rFonts w:ascii="Tahoma" w:hAnsi="Tahoma" w:cs="Tahoma"/>
          <w:sz w:val="24"/>
          <w:szCs w:val="24"/>
        </w:rPr>
        <w:t>On</w:t>
      </w:r>
      <w:r w:rsidR="00FA2E40">
        <w:rPr>
          <w:rFonts w:ascii="Tahoma" w:hAnsi="Tahoma" w:cs="Tahoma"/>
          <w:sz w:val="24"/>
          <w:szCs w:val="24"/>
        </w:rPr>
        <w:t xml:space="preserve"> </w:t>
      </w:r>
      <w:r w:rsidR="0040512D">
        <w:rPr>
          <w:rFonts w:ascii="Tahoma" w:hAnsi="Tahoma" w:cs="Tahoma"/>
          <w:sz w:val="24"/>
          <w:szCs w:val="24"/>
        </w:rPr>
        <w:t>year-to-date</w:t>
      </w:r>
      <w:r w:rsidR="00130CC2">
        <w:rPr>
          <w:rFonts w:ascii="Tahoma" w:hAnsi="Tahoma" w:cs="Tahoma"/>
          <w:sz w:val="24"/>
          <w:szCs w:val="24"/>
        </w:rPr>
        <w:t xml:space="preserve"> and </w:t>
      </w:r>
      <w:r w:rsidR="0040512D">
        <w:rPr>
          <w:rFonts w:ascii="Tahoma" w:hAnsi="Tahoma" w:cs="Tahoma"/>
          <w:sz w:val="24"/>
          <w:szCs w:val="24"/>
        </w:rPr>
        <w:t>year-on-year</w:t>
      </w:r>
      <w:r w:rsidR="00130CC2">
        <w:rPr>
          <w:rFonts w:ascii="Tahoma" w:hAnsi="Tahoma" w:cs="Tahoma"/>
          <w:sz w:val="24"/>
          <w:szCs w:val="24"/>
        </w:rPr>
        <w:t>,</w:t>
      </w:r>
      <w:r w:rsidR="00542DE9">
        <w:rPr>
          <w:rFonts w:ascii="Tahoma" w:hAnsi="Tahoma" w:cs="Tahoma"/>
          <w:sz w:val="24"/>
          <w:szCs w:val="24"/>
        </w:rPr>
        <w:t xml:space="preserve"> all selected indices gai</w:t>
      </w:r>
      <w:bookmarkEnd w:id="66"/>
      <w:r w:rsidR="00BF28B5">
        <w:rPr>
          <w:rFonts w:ascii="Tahoma" w:hAnsi="Tahoma" w:cs="Tahoma"/>
          <w:sz w:val="24"/>
          <w:szCs w:val="24"/>
        </w:rPr>
        <w:t>ned except value traded which dropped by 56.42%</w:t>
      </w:r>
      <w:r w:rsidR="00542DE9">
        <w:rPr>
          <w:rFonts w:ascii="Tahoma" w:hAnsi="Tahoma" w:cs="Tahoma"/>
          <w:sz w:val="24"/>
          <w:szCs w:val="24"/>
        </w:rPr>
        <w:t>.</w:t>
      </w:r>
      <w:r w:rsidR="00A1045C">
        <w:rPr>
          <w:rFonts w:ascii="Tahoma" w:hAnsi="Tahoma" w:cs="Tahoma"/>
          <w:sz w:val="24"/>
          <w:szCs w:val="24"/>
        </w:rPr>
        <w:t xml:space="preserve"> </w:t>
      </w:r>
    </w:p>
    <w:p w14:paraId="06AC5C05" w14:textId="6C381979" w:rsidR="00ED0A35" w:rsidRPr="00ED0A35" w:rsidRDefault="00595E97" w:rsidP="00ED0A35">
      <w:pPr>
        <w:pStyle w:val="ListofTables"/>
      </w:pPr>
      <w:bookmarkStart w:id="67" w:name="_Toc164072367"/>
      <w:bookmarkStart w:id="68" w:name="_Toc166658894"/>
      <w:bookmarkStart w:id="69" w:name="_Toc184287496"/>
      <w:r w:rsidRPr="0031015F">
        <w:t xml:space="preserve">Table </w:t>
      </w:r>
      <w:r w:rsidR="00B3127C">
        <w:t>6</w:t>
      </w:r>
      <w:r w:rsidRPr="0031015F">
        <w:t xml:space="preserve">: Zimbabwe Stock </w:t>
      </w:r>
      <w:r w:rsidR="00D30418" w:rsidRPr="0031015F">
        <w:t xml:space="preserve">Exchange </w:t>
      </w:r>
      <w:r w:rsidRPr="0031015F">
        <w:t>Movements</w:t>
      </w:r>
      <w:bookmarkEnd w:id="67"/>
      <w:bookmarkEnd w:id="68"/>
      <w:bookmarkEnd w:id="69"/>
    </w:p>
    <w:p w14:paraId="1D52D1BC" w14:textId="06A8A39D" w:rsidR="00E24E7D" w:rsidRDefault="00A37061" w:rsidP="00427CDA">
      <w:pPr>
        <w:spacing w:after="0"/>
        <w:ind w:left="720" w:hanging="720"/>
        <w:jc w:val="both"/>
        <w:rPr>
          <w:rFonts w:ascii="Tahoma" w:hAnsi="Tahoma" w:cs="Tahoma"/>
          <w:sz w:val="24"/>
          <w:szCs w:val="24"/>
        </w:rPr>
      </w:pPr>
      <w:r w:rsidRPr="00A37061">
        <w:rPr>
          <w:noProof/>
        </w:rPr>
        <w:drawing>
          <wp:inline distT="0" distB="0" distL="0" distR="0" wp14:anchorId="0E99769C" wp14:editId="29DC24C6">
            <wp:extent cx="5731510" cy="1171575"/>
            <wp:effectExtent l="0" t="0" r="2540" b="9525"/>
            <wp:docPr id="49166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69973" name=""/>
                    <pic:cNvPicPr/>
                  </pic:nvPicPr>
                  <pic:blipFill>
                    <a:blip r:embed="rId21"/>
                    <a:stretch>
                      <a:fillRect/>
                    </a:stretch>
                  </pic:blipFill>
                  <pic:spPr>
                    <a:xfrm>
                      <a:off x="0" y="0"/>
                      <a:ext cx="5731510" cy="1171575"/>
                    </a:xfrm>
                    <a:prstGeom prst="rect">
                      <a:avLst/>
                    </a:prstGeom>
                  </pic:spPr>
                </pic:pic>
              </a:graphicData>
            </a:graphic>
          </wp:inline>
        </w:drawing>
      </w:r>
    </w:p>
    <w:p w14:paraId="0D44C954" w14:textId="7777777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(2024)</w:t>
      </w:r>
    </w:p>
    <w:p w14:paraId="22EC5F8D" w14:textId="4AA29C48" w:rsidR="00184FA3" w:rsidRPr="00863A17" w:rsidRDefault="00F67469" w:rsidP="003C1D2F">
      <w:pPr>
        <w:pStyle w:val="Heading2"/>
        <w:spacing w:before="0" w:after="240" w:line="240" w:lineRule="auto"/>
        <w:rPr>
          <w:rFonts w:cs="Tahoma"/>
          <w:b/>
          <w:color w:val="000000"/>
          <w:szCs w:val="24"/>
          <w:lang w:val="en-US"/>
        </w:rPr>
      </w:pPr>
      <w:bookmarkStart w:id="70" w:name="_Toc166607904"/>
      <w:bookmarkStart w:id="71" w:name="_Toc184215748"/>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70"/>
      <w:r w:rsidR="00184FA3" w:rsidRPr="00863A17">
        <w:rPr>
          <w:rFonts w:cs="Tahoma"/>
          <w:b/>
          <w:color w:val="000000"/>
          <w:szCs w:val="24"/>
          <w:lang w:val="en-US"/>
        </w:rPr>
        <w:t xml:space="preserve"> </w:t>
      </w:r>
      <w:r w:rsidR="00C10E3B">
        <w:rPr>
          <w:rFonts w:cs="Tahoma"/>
          <w:b/>
          <w:color w:val="000000"/>
          <w:szCs w:val="24"/>
          <w:lang w:val="en-US"/>
        </w:rPr>
        <w:t>(VFEX)</w:t>
      </w:r>
      <w:bookmarkEnd w:id="71"/>
    </w:p>
    <w:p w14:paraId="611A7B5D" w14:textId="60933437"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bookmarkStart w:id="72" w:name="_Hlk179978821"/>
      <w:r w:rsidR="00C10E3B">
        <w:rPr>
          <w:rFonts w:ascii="Tahoma" w:hAnsi="Tahoma" w:cs="Tahoma"/>
          <w:sz w:val="24"/>
          <w:szCs w:val="24"/>
          <w:lang w:val="en-US"/>
        </w:rPr>
        <w:t>T</w:t>
      </w:r>
      <w:r w:rsidR="00427CDA">
        <w:rPr>
          <w:rFonts w:ascii="Tahoma" w:hAnsi="Tahoma" w:cs="Tahoma"/>
          <w:sz w:val="24"/>
          <w:szCs w:val="24"/>
          <w:lang w:val="en-US"/>
        </w:rPr>
        <w:t>he V</w:t>
      </w:r>
      <w:r w:rsidR="00EE1EEF">
        <w:rPr>
          <w:rFonts w:ascii="Tahoma" w:hAnsi="Tahoma" w:cs="Tahoma"/>
          <w:sz w:val="24"/>
          <w:szCs w:val="24"/>
          <w:lang w:val="en-US"/>
        </w:rPr>
        <w:t xml:space="preserve">FEX </w:t>
      </w:r>
      <w:r w:rsidR="00C10E3B">
        <w:rPr>
          <w:rFonts w:ascii="Tahoma" w:hAnsi="Tahoma" w:cs="Tahoma"/>
          <w:sz w:val="24"/>
          <w:szCs w:val="24"/>
          <w:lang w:val="en-US"/>
        </w:rPr>
        <w:t>faced headwinds in November 2024, with all share index dropping by 0.48% and market capitalization falling by 0.98%.</w:t>
      </w:r>
      <w:r w:rsidR="001C6D0E">
        <w:rPr>
          <w:rFonts w:ascii="Tahoma" w:hAnsi="Tahoma" w:cs="Tahoma"/>
          <w:sz w:val="24"/>
          <w:szCs w:val="24"/>
          <w:lang w:val="en-US"/>
        </w:rPr>
        <w:t xml:space="preserve"> According to The Herald (2024), the bearish trend was driven by seven counters which closed the month at negative territory, announcement of National Foods voluntary delisting, limited foreign investor participation and competition from USD-denominated assets. Value traded gained by 704.8%, see </w:t>
      </w:r>
      <w:r w:rsidR="00982A75">
        <w:rPr>
          <w:rFonts w:ascii="Tahoma" w:hAnsi="Tahoma" w:cs="Tahoma"/>
          <w:sz w:val="24"/>
          <w:szCs w:val="24"/>
          <w:lang w:val="en-US"/>
        </w:rPr>
        <w:t xml:space="preserve">Table </w:t>
      </w:r>
      <w:r w:rsidR="009726C7">
        <w:rPr>
          <w:rFonts w:ascii="Tahoma" w:hAnsi="Tahoma" w:cs="Tahoma"/>
          <w:sz w:val="24"/>
          <w:szCs w:val="24"/>
          <w:lang w:val="en-US"/>
        </w:rPr>
        <w:t>7</w:t>
      </w:r>
      <w:r w:rsidR="004514A3">
        <w:rPr>
          <w:rFonts w:ascii="Tahoma" w:hAnsi="Tahoma" w:cs="Tahoma"/>
          <w:sz w:val="24"/>
          <w:szCs w:val="24"/>
          <w:lang w:val="en-US"/>
        </w:rPr>
        <w:t xml:space="preserve">. </w:t>
      </w:r>
    </w:p>
    <w:p w14:paraId="4FFB8224" w14:textId="48577284"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w:t>
      </w:r>
      <w:r w:rsidR="009D4D20">
        <w:rPr>
          <w:rFonts w:ascii="Tahoma" w:hAnsi="Tahoma" w:cs="Tahoma"/>
          <w:sz w:val="24"/>
          <w:szCs w:val="24"/>
          <w:lang w:val="en-US"/>
        </w:rPr>
        <w:t>2</w:t>
      </w:r>
      <w:r w:rsidR="00F67469" w:rsidRPr="00863A17">
        <w:rPr>
          <w:rFonts w:ascii="Tahoma" w:hAnsi="Tahoma" w:cs="Tahoma"/>
          <w:sz w:val="24"/>
          <w:szCs w:val="24"/>
          <w:lang w:val="en-US"/>
        </w:rPr>
        <w:tab/>
      </w:r>
      <w:r w:rsidR="004A2699">
        <w:rPr>
          <w:rFonts w:ascii="Tahoma" w:hAnsi="Tahoma" w:cs="Tahoma"/>
          <w:sz w:val="24"/>
          <w:szCs w:val="24"/>
          <w:lang w:val="en-US"/>
        </w:rPr>
        <w:t>On a YtD basis</w:t>
      </w:r>
      <w:r w:rsidR="00D472E8">
        <w:rPr>
          <w:rFonts w:ascii="Tahoma" w:hAnsi="Tahoma" w:cs="Tahoma"/>
          <w:sz w:val="24"/>
          <w:szCs w:val="24"/>
          <w:lang w:val="en-US"/>
        </w:rPr>
        <w:t>, all share index, v</w:t>
      </w:r>
      <w:r w:rsidR="009D7A60">
        <w:rPr>
          <w:rFonts w:ascii="Tahoma" w:hAnsi="Tahoma" w:cs="Tahoma"/>
          <w:sz w:val="24"/>
          <w:szCs w:val="24"/>
          <w:lang w:val="en-US"/>
        </w:rPr>
        <w:t xml:space="preserve">alue </w:t>
      </w:r>
      <w:r w:rsidR="00630988">
        <w:rPr>
          <w:rFonts w:ascii="Tahoma" w:hAnsi="Tahoma" w:cs="Tahoma"/>
          <w:sz w:val="24"/>
          <w:szCs w:val="24"/>
          <w:lang w:val="en-US"/>
        </w:rPr>
        <w:t>traded,</w:t>
      </w:r>
      <w:r w:rsidR="00D472E8">
        <w:rPr>
          <w:rFonts w:ascii="Tahoma" w:hAnsi="Tahoma" w:cs="Tahoma"/>
          <w:sz w:val="24"/>
          <w:szCs w:val="24"/>
          <w:lang w:val="en-US"/>
        </w:rPr>
        <w:t xml:space="preserve"> and m</w:t>
      </w:r>
      <w:r w:rsidR="004A2699">
        <w:rPr>
          <w:rFonts w:ascii="Tahoma" w:hAnsi="Tahoma" w:cs="Tahoma"/>
          <w:sz w:val="24"/>
          <w:szCs w:val="24"/>
          <w:lang w:val="en-US"/>
        </w:rPr>
        <w:t xml:space="preserve">arket </w:t>
      </w:r>
      <w:r w:rsidR="00D472E8">
        <w:rPr>
          <w:rFonts w:ascii="Tahoma" w:hAnsi="Tahoma" w:cs="Tahoma"/>
          <w:sz w:val="24"/>
          <w:szCs w:val="24"/>
          <w:lang w:val="en-US"/>
        </w:rPr>
        <w:t>c</w:t>
      </w:r>
      <w:r w:rsidR="004A2699">
        <w:rPr>
          <w:rFonts w:ascii="Tahoma" w:hAnsi="Tahoma" w:cs="Tahoma"/>
          <w:sz w:val="24"/>
          <w:szCs w:val="24"/>
          <w:lang w:val="en-US"/>
        </w:rPr>
        <w:t xml:space="preserve">apitalization </w:t>
      </w:r>
      <w:r w:rsidR="00630988">
        <w:rPr>
          <w:rFonts w:ascii="Tahoma" w:hAnsi="Tahoma" w:cs="Tahoma"/>
          <w:sz w:val="24"/>
          <w:szCs w:val="24"/>
          <w:lang w:val="en-US"/>
        </w:rPr>
        <w:t>retreated yet</w:t>
      </w:r>
      <w:r w:rsidR="00D472E8">
        <w:rPr>
          <w:rFonts w:ascii="Tahoma" w:hAnsi="Tahoma" w:cs="Tahoma"/>
          <w:sz w:val="24"/>
          <w:szCs w:val="24"/>
          <w:lang w:val="en-US"/>
        </w:rPr>
        <w:t xml:space="preserve"> grew on a year-on-year basis</w:t>
      </w:r>
      <w:r w:rsidR="009726C7">
        <w:rPr>
          <w:rFonts w:ascii="Tahoma" w:hAnsi="Tahoma" w:cs="Tahoma"/>
          <w:sz w:val="24"/>
          <w:szCs w:val="24"/>
          <w:lang w:val="en-US"/>
        </w:rPr>
        <w:t xml:space="preserve"> as shown on table 7.</w:t>
      </w:r>
    </w:p>
    <w:p w14:paraId="7EBC735E" w14:textId="1CD25E5F" w:rsidR="00E57C56" w:rsidRDefault="00D30418" w:rsidP="00246949">
      <w:pPr>
        <w:pStyle w:val="ListofTables"/>
      </w:pPr>
      <w:bookmarkStart w:id="73" w:name="_Toc164072368"/>
      <w:bookmarkStart w:id="74" w:name="_Toc166658895"/>
      <w:bookmarkStart w:id="75" w:name="_Toc184287497"/>
      <w:bookmarkEnd w:id="72"/>
      <w:r w:rsidRPr="0031015F">
        <w:t xml:space="preserve">Table </w:t>
      </w:r>
      <w:r w:rsidR="00B3127C">
        <w:t>7</w:t>
      </w:r>
      <w:r w:rsidRPr="0031015F">
        <w:t>: Victoria Falls Stock Exchange Movements</w:t>
      </w:r>
      <w:bookmarkEnd w:id="73"/>
      <w:bookmarkEnd w:id="74"/>
      <w:bookmarkEnd w:id="75"/>
    </w:p>
    <w:p w14:paraId="1EA2EA9E" w14:textId="115A4B38" w:rsidR="00AB0841" w:rsidRPr="00863A17" w:rsidRDefault="0001267B" w:rsidP="00FF0FB8">
      <w:pPr>
        <w:spacing w:after="0"/>
        <w:rPr>
          <w:rFonts w:ascii="Tahoma" w:hAnsi="Tahoma" w:cs="Tahoma"/>
          <w:sz w:val="24"/>
          <w:szCs w:val="24"/>
          <w:lang w:val="en-US"/>
        </w:rPr>
      </w:pPr>
      <w:r w:rsidRPr="0001267B">
        <w:rPr>
          <w:noProof/>
        </w:rPr>
        <w:drawing>
          <wp:inline distT="0" distB="0" distL="0" distR="0" wp14:anchorId="50044CA1" wp14:editId="3426ADAE">
            <wp:extent cx="5731510" cy="1162050"/>
            <wp:effectExtent l="0" t="0" r="2540" b="0"/>
            <wp:docPr id="206072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23989" name=""/>
                    <pic:cNvPicPr/>
                  </pic:nvPicPr>
                  <pic:blipFill>
                    <a:blip r:embed="rId22"/>
                    <a:stretch>
                      <a:fillRect/>
                    </a:stretch>
                  </pic:blipFill>
                  <pic:spPr>
                    <a:xfrm>
                      <a:off x="0" y="0"/>
                      <a:ext cx="5731510" cy="1162050"/>
                    </a:xfrm>
                    <a:prstGeom prst="rect">
                      <a:avLst/>
                    </a:prstGeom>
                  </pic:spPr>
                </pic:pic>
              </a:graphicData>
            </a:graphic>
          </wp:inline>
        </w:drawing>
      </w:r>
    </w:p>
    <w:p w14:paraId="6B0F6079" w14:textId="77777777"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3F1F46" w:rsidRPr="00863A17">
        <w:rPr>
          <w:rFonts w:ascii="Tahoma" w:hAnsi="Tahoma" w:cs="Tahoma"/>
          <w:i/>
          <w:sz w:val="24"/>
          <w:szCs w:val="24"/>
          <w:lang w:val="en-US"/>
        </w:rPr>
        <w:t>4</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122B974C" w14:textId="77777777" w:rsidR="00E2017D" w:rsidRDefault="00E2017D">
      <w:pPr>
        <w:rPr>
          <w:rFonts w:ascii="Tahoma" w:hAnsi="Tahoma" w:cs="Tahoma"/>
          <w:iCs/>
          <w:sz w:val="24"/>
          <w:szCs w:val="24"/>
          <w:lang w:val="en-US"/>
        </w:rPr>
      </w:pPr>
    </w:p>
    <w:p w14:paraId="1D3B5266" w14:textId="77777777" w:rsidR="00EF3AD6" w:rsidRPr="00A64F64" w:rsidRDefault="00FC703F" w:rsidP="004B15EE">
      <w:pPr>
        <w:pStyle w:val="Heading1"/>
        <w:spacing w:before="0" w:after="240" w:line="240" w:lineRule="auto"/>
        <w:rPr>
          <w:rFonts w:cs="Tahoma"/>
          <w:bCs/>
          <w:color w:val="000000"/>
          <w:szCs w:val="24"/>
          <w:lang w:val="en-US"/>
        </w:rPr>
      </w:pPr>
      <w:bookmarkStart w:id="76" w:name="_Toc166607905"/>
      <w:bookmarkStart w:id="77" w:name="_Toc184215749"/>
      <w:r w:rsidRPr="00A64F64">
        <w:rPr>
          <w:rFonts w:cs="Tahoma"/>
          <w:bCs/>
          <w:color w:val="000000"/>
          <w:szCs w:val="24"/>
          <w:lang w:val="en-US"/>
        </w:rPr>
        <w:lastRenderedPageBreak/>
        <w:t>9.0</w:t>
      </w:r>
      <w:r w:rsidRPr="00A64F64">
        <w:rPr>
          <w:rFonts w:cs="Tahoma"/>
          <w:bCs/>
          <w:color w:val="000000"/>
          <w:szCs w:val="24"/>
          <w:lang w:val="en-US"/>
        </w:rPr>
        <w:tab/>
        <w:t>Recommendations</w:t>
      </w:r>
      <w:bookmarkEnd w:id="76"/>
      <w:bookmarkEnd w:id="77"/>
      <w:r w:rsidRPr="00A64F64">
        <w:rPr>
          <w:rFonts w:cs="Tahoma"/>
          <w:bCs/>
          <w:color w:val="000000"/>
          <w:szCs w:val="24"/>
          <w:lang w:val="en-US"/>
        </w:rPr>
        <w:t xml:space="preserve"> </w:t>
      </w:r>
    </w:p>
    <w:p w14:paraId="07D4E33B" w14:textId="77777777" w:rsidR="00790EF8" w:rsidRDefault="00EC6C43" w:rsidP="00E83A04">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The following reco</w:t>
      </w:r>
      <w:r w:rsidR="00A43C6F">
        <w:rPr>
          <w:rFonts w:ascii="Tahoma" w:hAnsi="Tahoma" w:cs="Tahoma"/>
          <w:sz w:val="24"/>
          <w:szCs w:val="24"/>
          <w:lang w:val="en-US"/>
        </w:rPr>
        <w:t>mmendations are being proposed:</w:t>
      </w:r>
    </w:p>
    <w:p w14:paraId="3F3098F5" w14:textId="6B997361" w:rsidR="004F77B5" w:rsidRDefault="003F15BF" w:rsidP="00E83A04">
      <w:pPr>
        <w:ind w:left="720" w:hanging="720"/>
        <w:rPr>
          <w:rFonts w:ascii="Tahoma" w:hAnsi="Tahoma" w:cs="Tahoma"/>
          <w:sz w:val="24"/>
          <w:szCs w:val="24"/>
          <w:lang w:val="en-US"/>
        </w:rPr>
      </w:pPr>
      <w:r w:rsidRPr="003F15BF">
        <w:rPr>
          <w:rFonts w:ascii="Tahoma" w:hAnsi="Tahoma" w:cs="Tahoma"/>
          <w:b/>
          <w:bCs/>
          <w:sz w:val="24"/>
          <w:szCs w:val="24"/>
          <w:lang w:val="en-US"/>
        </w:rPr>
        <w:t>9.1.1</w:t>
      </w:r>
      <w:r w:rsidRPr="003F15BF">
        <w:rPr>
          <w:rFonts w:ascii="Tahoma" w:hAnsi="Tahoma" w:cs="Tahoma"/>
          <w:b/>
          <w:bCs/>
          <w:sz w:val="24"/>
          <w:szCs w:val="24"/>
          <w:lang w:val="en-US"/>
        </w:rPr>
        <w:tab/>
      </w:r>
      <w:r w:rsidR="004F77B5" w:rsidRPr="003F15BF">
        <w:rPr>
          <w:rFonts w:ascii="Tahoma" w:hAnsi="Tahoma" w:cs="Tahoma"/>
          <w:b/>
          <w:bCs/>
          <w:sz w:val="24"/>
          <w:szCs w:val="24"/>
          <w:lang w:val="en-US"/>
        </w:rPr>
        <w:t>Diversify the Economy:</w:t>
      </w:r>
      <w:r w:rsidR="004F77B5">
        <w:rPr>
          <w:rFonts w:ascii="Tahoma" w:hAnsi="Tahoma" w:cs="Tahoma"/>
          <w:sz w:val="24"/>
          <w:szCs w:val="24"/>
          <w:lang w:val="en-US"/>
        </w:rPr>
        <w:t xml:space="preserve"> The government should diversify the economy by promoting other sectors such as manufacturing, tourism and services rather than depending on traditional agriculture and mining sector. </w:t>
      </w:r>
    </w:p>
    <w:p w14:paraId="285B3717" w14:textId="1C723540" w:rsidR="004F77B5" w:rsidRDefault="000054C7" w:rsidP="004F77B5">
      <w:pPr>
        <w:ind w:left="720" w:hanging="720"/>
        <w:jc w:val="both"/>
        <w:rPr>
          <w:rFonts w:ascii="Tahoma" w:hAnsi="Tahoma" w:cs="Tahoma"/>
          <w:sz w:val="24"/>
          <w:szCs w:val="24"/>
          <w:lang w:val="en-GB"/>
        </w:rPr>
      </w:pPr>
      <w:r>
        <w:rPr>
          <w:rFonts w:ascii="Tahoma" w:hAnsi="Tahoma" w:cs="Tahoma"/>
          <w:b/>
          <w:bCs/>
          <w:sz w:val="24"/>
          <w:szCs w:val="24"/>
          <w:lang w:val="en-GB"/>
        </w:rPr>
        <w:t>9.1.</w:t>
      </w:r>
      <w:r w:rsidR="003F15BF">
        <w:rPr>
          <w:rFonts w:ascii="Tahoma" w:hAnsi="Tahoma" w:cs="Tahoma"/>
          <w:b/>
          <w:bCs/>
          <w:sz w:val="24"/>
          <w:szCs w:val="24"/>
          <w:lang w:val="en-GB"/>
        </w:rPr>
        <w:t>2</w:t>
      </w:r>
      <w:r>
        <w:rPr>
          <w:rFonts w:ascii="Tahoma" w:hAnsi="Tahoma" w:cs="Tahoma"/>
          <w:b/>
          <w:bCs/>
          <w:sz w:val="24"/>
          <w:szCs w:val="24"/>
          <w:lang w:val="en-GB"/>
        </w:rPr>
        <w:tab/>
      </w:r>
      <w:r w:rsidR="004F77B5">
        <w:rPr>
          <w:rFonts w:ascii="Tahoma" w:hAnsi="Tahoma" w:cs="Tahoma"/>
          <w:b/>
          <w:bCs/>
          <w:sz w:val="24"/>
          <w:szCs w:val="24"/>
          <w:lang w:val="en-GB"/>
        </w:rPr>
        <w:t>Maintain Fiscal Discipline</w:t>
      </w:r>
      <w:r w:rsidRPr="000054C7">
        <w:rPr>
          <w:rFonts w:ascii="Tahoma" w:hAnsi="Tahoma" w:cs="Tahoma"/>
          <w:b/>
          <w:bCs/>
          <w:sz w:val="24"/>
          <w:szCs w:val="24"/>
          <w:lang w:val="en-GB"/>
        </w:rPr>
        <w:t>:</w:t>
      </w:r>
      <w:r w:rsidRPr="000054C7">
        <w:rPr>
          <w:rFonts w:ascii="Tahoma" w:hAnsi="Tahoma" w:cs="Tahoma"/>
          <w:sz w:val="24"/>
          <w:szCs w:val="24"/>
          <w:lang w:val="en-GB"/>
        </w:rPr>
        <w:t xml:space="preserve"> </w:t>
      </w:r>
      <w:r w:rsidR="004F77B5">
        <w:rPr>
          <w:rFonts w:ascii="Tahoma" w:hAnsi="Tahoma" w:cs="Tahoma"/>
          <w:sz w:val="24"/>
          <w:szCs w:val="24"/>
          <w:lang w:val="en-GB"/>
        </w:rPr>
        <w:t>Government should maintain fiscal discipline to avoid overheating the economy and ensure sustainable growth.</w:t>
      </w:r>
    </w:p>
    <w:p w14:paraId="6E7AFB8E" w14:textId="0F695AA4" w:rsidR="000054C7" w:rsidRPr="00E63964" w:rsidRDefault="004F77B5" w:rsidP="004F77B5">
      <w:pPr>
        <w:ind w:left="720" w:hanging="720"/>
        <w:jc w:val="both"/>
        <w:rPr>
          <w:rFonts w:ascii="Tahoma" w:hAnsi="Tahoma" w:cs="Tahoma"/>
          <w:sz w:val="24"/>
          <w:szCs w:val="24"/>
          <w:lang w:val="en-GB"/>
        </w:rPr>
      </w:pPr>
      <w:r>
        <w:rPr>
          <w:rFonts w:ascii="Tahoma" w:hAnsi="Tahoma" w:cs="Tahoma"/>
          <w:b/>
          <w:bCs/>
          <w:sz w:val="24"/>
          <w:szCs w:val="24"/>
          <w:lang w:val="en-GB"/>
        </w:rPr>
        <w:t>9.1.</w:t>
      </w:r>
      <w:r w:rsidR="003F15BF">
        <w:rPr>
          <w:rFonts w:ascii="Tahoma" w:hAnsi="Tahoma" w:cs="Tahoma"/>
          <w:b/>
          <w:bCs/>
          <w:sz w:val="24"/>
          <w:szCs w:val="24"/>
          <w:lang w:val="en-GB"/>
        </w:rPr>
        <w:t>3</w:t>
      </w:r>
      <w:r>
        <w:rPr>
          <w:rFonts w:ascii="Tahoma" w:hAnsi="Tahoma" w:cs="Tahoma"/>
          <w:b/>
          <w:bCs/>
          <w:sz w:val="24"/>
          <w:szCs w:val="24"/>
          <w:lang w:val="en-GB"/>
        </w:rPr>
        <w:tab/>
        <w:t>Promote Investment in Infrastructure and Trade</w:t>
      </w:r>
      <w:r w:rsidR="000054C7" w:rsidRPr="00E63964">
        <w:rPr>
          <w:rFonts w:ascii="Tahoma" w:hAnsi="Tahoma" w:cs="Tahoma"/>
          <w:b/>
          <w:bCs/>
          <w:sz w:val="24"/>
          <w:szCs w:val="24"/>
          <w:lang w:val="en-GB"/>
        </w:rPr>
        <w:t>:</w:t>
      </w:r>
      <w:r w:rsidR="000054C7" w:rsidRPr="00E63964">
        <w:rPr>
          <w:rFonts w:ascii="Tahoma" w:hAnsi="Tahoma" w:cs="Tahoma"/>
          <w:sz w:val="24"/>
          <w:szCs w:val="24"/>
          <w:lang w:val="en-GB"/>
        </w:rPr>
        <w:t xml:space="preserve"> </w:t>
      </w:r>
      <w:r>
        <w:rPr>
          <w:rFonts w:ascii="Tahoma" w:hAnsi="Tahoma" w:cs="Tahoma"/>
          <w:sz w:val="24"/>
          <w:szCs w:val="24"/>
          <w:lang w:val="en-GB"/>
        </w:rPr>
        <w:t>Investment in infrastructure such as railways and energy can help improve productivity and competitiveness.</w:t>
      </w:r>
      <w:r w:rsidR="000751D2">
        <w:rPr>
          <w:rFonts w:ascii="Tahoma" w:hAnsi="Tahoma" w:cs="Tahoma"/>
          <w:sz w:val="24"/>
          <w:szCs w:val="24"/>
          <w:lang w:val="en-GB"/>
        </w:rPr>
        <w:t xml:space="preserve"> Investment can also be promoted through promotion of private sector development. </w:t>
      </w:r>
      <w:r>
        <w:rPr>
          <w:rFonts w:ascii="Tahoma" w:hAnsi="Tahoma" w:cs="Tahoma"/>
          <w:sz w:val="24"/>
          <w:szCs w:val="24"/>
          <w:lang w:val="en-GB"/>
        </w:rPr>
        <w:t xml:space="preserve">The government should also promote trade by </w:t>
      </w:r>
      <w:r w:rsidR="009D594C">
        <w:rPr>
          <w:rFonts w:ascii="Tahoma" w:hAnsi="Tahoma" w:cs="Tahoma"/>
          <w:sz w:val="24"/>
          <w:szCs w:val="24"/>
          <w:lang w:val="en-GB"/>
        </w:rPr>
        <w:t xml:space="preserve">providing incentives for exporters, </w:t>
      </w:r>
      <w:r>
        <w:rPr>
          <w:rFonts w:ascii="Tahoma" w:hAnsi="Tahoma" w:cs="Tahoma"/>
          <w:sz w:val="24"/>
          <w:szCs w:val="24"/>
          <w:lang w:val="en-GB"/>
        </w:rPr>
        <w:t>reducing barriers and increasing access to international markets.</w:t>
      </w:r>
    </w:p>
    <w:p w14:paraId="23B34967" w14:textId="4EAC1499" w:rsidR="000054C7" w:rsidRPr="000054C7" w:rsidRDefault="000054C7" w:rsidP="003F15BF">
      <w:pPr>
        <w:ind w:left="720" w:hanging="720"/>
        <w:jc w:val="both"/>
        <w:rPr>
          <w:rFonts w:ascii="Tahoma" w:hAnsi="Tahoma" w:cs="Tahoma"/>
          <w:sz w:val="24"/>
          <w:szCs w:val="24"/>
          <w:lang w:val="en-GB"/>
        </w:rPr>
      </w:pPr>
      <w:r>
        <w:rPr>
          <w:rFonts w:ascii="Tahoma" w:hAnsi="Tahoma" w:cs="Tahoma"/>
          <w:b/>
          <w:bCs/>
          <w:sz w:val="24"/>
          <w:szCs w:val="24"/>
          <w:lang w:val="en-GB"/>
        </w:rPr>
        <w:t>9.1.</w:t>
      </w:r>
      <w:r w:rsidR="003F15BF">
        <w:rPr>
          <w:rFonts w:ascii="Tahoma" w:hAnsi="Tahoma" w:cs="Tahoma"/>
          <w:b/>
          <w:bCs/>
          <w:sz w:val="24"/>
          <w:szCs w:val="24"/>
          <w:lang w:val="en-GB"/>
        </w:rPr>
        <w:t>4</w:t>
      </w:r>
      <w:r>
        <w:rPr>
          <w:rFonts w:ascii="Tahoma" w:hAnsi="Tahoma" w:cs="Tahoma"/>
          <w:b/>
          <w:bCs/>
          <w:sz w:val="24"/>
          <w:szCs w:val="24"/>
          <w:lang w:val="en-GB"/>
        </w:rPr>
        <w:tab/>
      </w:r>
      <w:r w:rsidR="00656774">
        <w:rPr>
          <w:rFonts w:ascii="Tahoma" w:hAnsi="Tahoma" w:cs="Tahoma"/>
          <w:b/>
          <w:bCs/>
          <w:sz w:val="24"/>
          <w:szCs w:val="24"/>
          <w:lang w:val="en-GB"/>
        </w:rPr>
        <w:t xml:space="preserve">Maintain </w:t>
      </w:r>
      <w:r w:rsidR="003F15BF">
        <w:rPr>
          <w:rFonts w:ascii="Tahoma" w:hAnsi="Tahoma" w:cs="Tahoma"/>
          <w:b/>
          <w:bCs/>
          <w:sz w:val="24"/>
          <w:szCs w:val="24"/>
          <w:lang w:val="en-GB"/>
        </w:rPr>
        <w:t>T</w:t>
      </w:r>
      <w:r w:rsidR="00656774">
        <w:rPr>
          <w:rFonts w:ascii="Tahoma" w:hAnsi="Tahoma" w:cs="Tahoma"/>
          <w:b/>
          <w:bCs/>
          <w:sz w:val="24"/>
          <w:szCs w:val="24"/>
          <w:lang w:val="en-GB"/>
        </w:rPr>
        <w:t>ight Monetary Policy</w:t>
      </w:r>
      <w:r w:rsidRPr="000054C7">
        <w:rPr>
          <w:rFonts w:ascii="Tahoma" w:hAnsi="Tahoma" w:cs="Tahoma"/>
          <w:b/>
          <w:bCs/>
          <w:sz w:val="24"/>
          <w:szCs w:val="24"/>
          <w:lang w:val="en-GB"/>
        </w:rPr>
        <w:t>:</w:t>
      </w:r>
      <w:r w:rsidRPr="000054C7">
        <w:rPr>
          <w:rFonts w:ascii="Tahoma" w:hAnsi="Tahoma" w:cs="Tahoma"/>
          <w:sz w:val="24"/>
          <w:szCs w:val="24"/>
          <w:lang w:val="en-GB"/>
        </w:rPr>
        <w:t xml:space="preserve"> </w:t>
      </w:r>
      <w:r w:rsidR="00656774">
        <w:rPr>
          <w:rFonts w:ascii="Tahoma" w:hAnsi="Tahoma" w:cs="Tahoma"/>
          <w:sz w:val="24"/>
          <w:szCs w:val="24"/>
          <w:lang w:val="en-GB"/>
        </w:rPr>
        <w:t>The Reserve Bank should maintain tight monetary policy to control inflation and stabilise the</w:t>
      </w:r>
      <w:r w:rsidR="005512A6">
        <w:rPr>
          <w:rFonts w:ascii="Tahoma" w:hAnsi="Tahoma" w:cs="Tahoma"/>
          <w:sz w:val="24"/>
          <w:szCs w:val="24"/>
          <w:lang w:val="en-GB"/>
        </w:rPr>
        <w:t xml:space="preserve"> exchange rate.</w:t>
      </w:r>
      <w:r w:rsidR="00656774">
        <w:rPr>
          <w:rFonts w:ascii="Tahoma" w:hAnsi="Tahoma" w:cs="Tahoma"/>
          <w:sz w:val="24"/>
          <w:szCs w:val="24"/>
          <w:lang w:val="en-GB"/>
        </w:rPr>
        <w:t xml:space="preserve"> </w:t>
      </w:r>
    </w:p>
    <w:p w14:paraId="00DFC28B" w14:textId="0109358E" w:rsidR="000054C7" w:rsidRPr="00E63964" w:rsidRDefault="00A2473B" w:rsidP="00E63964">
      <w:pPr>
        <w:pStyle w:val="ListParagraph"/>
        <w:numPr>
          <w:ilvl w:val="2"/>
          <w:numId w:val="16"/>
        </w:numPr>
        <w:jc w:val="both"/>
        <w:rPr>
          <w:rFonts w:ascii="Tahoma" w:hAnsi="Tahoma" w:cs="Tahoma"/>
          <w:sz w:val="24"/>
          <w:szCs w:val="24"/>
          <w:lang w:val="en-GB"/>
        </w:rPr>
      </w:pPr>
      <w:r>
        <w:rPr>
          <w:rFonts w:ascii="Tahoma" w:hAnsi="Tahoma" w:cs="Tahoma"/>
          <w:b/>
          <w:bCs/>
          <w:sz w:val="24"/>
          <w:szCs w:val="24"/>
          <w:lang w:val="en-GB"/>
        </w:rPr>
        <w:t>Interest Rate Policy</w:t>
      </w:r>
      <w:r w:rsidR="000054C7" w:rsidRPr="00E63964">
        <w:rPr>
          <w:rFonts w:ascii="Tahoma" w:hAnsi="Tahoma" w:cs="Tahoma"/>
          <w:b/>
          <w:bCs/>
          <w:sz w:val="24"/>
          <w:szCs w:val="24"/>
          <w:lang w:val="en-GB"/>
        </w:rPr>
        <w:t>:</w:t>
      </w:r>
      <w:r w:rsidR="000054C7" w:rsidRPr="00E63964">
        <w:rPr>
          <w:rFonts w:ascii="Tahoma" w:hAnsi="Tahoma" w:cs="Tahoma"/>
          <w:sz w:val="24"/>
          <w:szCs w:val="24"/>
          <w:lang w:val="en-GB"/>
        </w:rPr>
        <w:t xml:space="preserve"> </w:t>
      </w:r>
      <w:r>
        <w:rPr>
          <w:rFonts w:ascii="Tahoma" w:hAnsi="Tahoma" w:cs="Tahoma"/>
          <w:sz w:val="24"/>
          <w:szCs w:val="24"/>
          <w:lang w:val="en-GB"/>
        </w:rPr>
        <w:t xml:space="preserve">Lending rates on ZWG are prohibitive </w:t>
      </w:r>
      <w:r w:rsidR="00987E36">
        <w:rPr>
          <w:rFonts w:ascii="Tahoma" w:hAnsi="Tahoma" w:cs="Tahoma"/>
          <w:sz w:val="24"/>
          <w:szCs w:val="24"/>
          <w:lang w:val="en-GB"/>
        </w:rPr>
        <w:t xml:space="preserve">while </w:t>
      </w:r>
      <w:r>
        <w:rPr>
          <w:rFonts w:ascii="Tahoma" w:hAnsi="Tahoma" w:cs="Tahoma"/>
          <w:sz w:val="24"/>
          <w:szCs w:val="24"/>
          <w:lang w:val="en-GB"/>
        </w:rPr>
        <w:t xml:space="preserve">deposit rates </w:t>
      </w:r>
      <w:r w:rsidR="00987E36">
        <w:rPr>
          <w:rFonts w:ascii="Tahoma" w:hAnsi="Tahoma" w:cs="Tahoma"/>
          <w:sz w:val="24"/>
          <w:szCs w:val="24"/>
          <w:lang w:val="en-GB"/>
        </w:rPr>
        <w:t xml:space="preserve">on </w:t>
      </w:r>
      <w:r>
        <w:rPr>
          <w:rFonts w:ascii="Tahoma" w:hAnsi="Tahoma" w:cs="Tahoma"/>
          <w:sz w:val="24"/>
          <w:szCs w:val="24"/>
          <w:lang w:val="en-GB"/>
        </w:rPr>
        <w:t xml:space="preserve">ZWG are discouraging therefore, the Reserve Bank should review interest rates to promote deposits and lending in local currency </w:t>
      </w:r>
      <w:r w:rsidR="00987E36">
        <w:rPr>
          <w:rFonts w:ascii="Tahoma" w:hAnsi="Tahoma" w:cs="Tahoma"/>
          <w:sz w:val="24"/>
          <w:szCs w:val="24"/>
          <w:lang w:val="en-GB"/>
        </w:rPr>
        <w:t xml:space="preserve">thus, </w:t>
      </w:r>
      <w:r>
        <w:rPr>
          <w:rFonts w:ascii="Tahoma" w:hAnsi="Tahoma" w:cs="Tahoma"/>
          <w:sz w:val="24"/>
          <w:szCs w:val="24"/>
          <w:lang w:val="en-GB"/>
        </w:rPr>
        <w:t xml:space="preserve">promoting the use, confidence </w:t>
      </w:r>
      <w:r w:rsidR="00CD2D9C">
        <w:rPr>
          <w:rFonts w:ascii="Tahoma" w:hAnsi="Tahoma" w:cs="Tahoma"/>
          <w:sz w:val="24"/>
          <w:szCs w:val="24"/>
          <w:lang w:val="en-GB"/>
        </w:rPr>
        <w:t>and stability of the local currency</w:t>
      </w:r>
      <w:r w:rsidR="000054C7" w:rsidRPr="00E63964">
        <w:rPr>
          <w:rFonts w:ascii="Tahoma" w:hAnsi="Tahoma" w:cs="Tahoma"/>
          <w:sz w:val="24"/>
          <w:szCs w:val="24"/>
          <w:lang w:val="en-GB"/>
        </w:rPr>
        <w:t>.</w:t>
      </w:r>
    </w:p>
    <w:p w14:paraId="2337020D" w14:textId="09ABDD21"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9.1.6</w:t>
      </w:r>
      <w:r>
        <w:rPr>
          <w:rFonts w:ascii="Tahoma" w:hAnsi="Tahoma" w:cs="Tahoma"/>
          <w:b/>
          <w:bCs/>
          <w:sz w:val="24"/>
          <w:szCs w:val="24"/>
          <w:lang w:val="en-GB"/>
        </w:rPr>
        <w:tab/>
      </w:r>
      <w:r w:rsidRPr="000054C7">
        <w:rPr>
          <w:rFonts w:ascii="Tahoma" w:hAnsi="Tahoma" w:cs="Tahoma"/>
          <w:b/>
          <w:bCs/>
          <w:sz w:val="24"/>
          <w:szCs w:val="24"/>
          <w:lang w:val="en-GB"/>
        </w:rPr>
        <w:t>Broad Money</w:t>
      </w:r>
      <w:r w:rsidR="00E61821">
        <w:rPr>
          <w:rFonts w:ascii="Tahoma" w:hAnsi="Tahoma" w:cs="Tahoma"/>
          <w:b/>
          <w:bCs/>
          <w:sz w:val="24"/>
          <w:szCs w:val="24"/>
          <w:lang w:val="en-GB"/>
        </w:rPr>
        <w:t xml:space="preserve"> Supply</w:t>
      </w:r>
      <w:r w:rsidRPr="000054C7">
        <w:rPr>
          <w:rFonts w:ascii="Tahoma" w:hAnsi="Tahoma" w:cs="Tahoma"/>
          <w:b/>
          <w:bCs/>
          <w:sz w:val="24"/>
          <w:szCs w:val="24"/>
          <w:lang w:val="en-GB"/>
        </w:rPr>
        <w:t xml:space="preserve"> Management:</w:t>
      </w:r>
      <w:r w:rsidRPr="000054C7">
        <w:rPr>
          <w:rFonts w:ascii="Tahoma" w:hAnsi="Tahoma" w:cs="Tahoma"/>
          <w:sz w:val="24"/>
          <w:szCs w:val="24"/>
          <w:lang w:val="en-GB"/>
        </w:rPr>
        <w:t xml:space="preserve"> </w:t>
      </w:r>
      <w:r w:rsidR="0081507F">
        <w:rPr>
          <w:rFonts w:ascii="Tahoma" w:hAnsi="Tahoma" w:cs="Tahoma"/>
          <w:sz w:val="24"/>
          <w:szCs w:val="24"/>
          <w:lang w:val="en-GB"/>
        </w:rPr>
        <w:t>Broad money supply grew by 61.4% in November 2024, which calls for the</w:t>
      </w:r>
      <w:r w:rsidR="00E61821">
        <w:rPr>
          <w:rFonts w:ascii="Tahoma" w:hAnsi="Tahoma" w:cs="Tahoma"/>
          <w:sz w:val="24"/>
          <w:szCs w:val="24"/>
          <w:lang w:val="en-GB"/>
        </w:rPr>
        <w:t xml:space="preserve"> Reserve Bank</w:t>
      </w:r>
      <w:r w:rsidR="0081507F">
        <w:rPr>
          <w:rFonts w:ascii="Tahoma" w:hAnsi="Tahoma" w:cs="Tahoma"/>
          <w:sz w:val="24"/>
          <w:szCs w:val="24"/>
          <w:lang w:val="en-GB"/>
        </w:rPr>
        <w:t xml:space="preserve"> to intervene and the maintain</w:t>
      </w:r>
      <w:r w:rsidR="00A2473B">
        <w:rPr>
          <w:rFonts w:ascii="Tahoma" w:hAnsi="Tahoma" w:cs="Tahoma"/>
          <w:sz w:val="24"/>
          <w:szCs w:val="24"/>
          <w:lang w:val="en-GB"/>
        </w:rPr>
        <w:t xml:space="preserve"> </w:t>
      </w:r>
      <w:r w:rsidRPr="000054C7">
        <w:rPr>
          <w:rFonts w:ascii="Tahoma" w:hAnsi="Tahoma" w:cs="Tahoma"/>
          <w:sz w:val="24"/>
          <w:szCs w:val="24"/>
          <w:lang w:val="en-GB"/>
        </w:rPr>
        <w:t>growth in money supply align</w:t>
      </w:r>
      <w:r w:rsidR="0081507F">
        <w:rPr>
          <w:rFonts w:ascii="Tahoma" w:hAnsi="Tahoma" w:cs="Tahoma"/>
          <w:sz w:val="24"/>
          <w:szCs w:val="24"/>
          <w:lang w:val="en-GB"/>
        </w:rPr>
        <w:t>ed</w:t>
      </w:r>
      <w:r w:rsidRPr="000054C7">
        <w:rPr>
          <w:rFonts w:ascii="Tahoma" w:hAnsi="Tahoma" w:cs="Tahoma"/>
          <w:sz w:val="24"/>
          <w:szCs w:val="24"/>
          <w:lang w:val="en-GB"/>
        </w:rPr>
        <w:t xml:space="preserve"> with productive sector needs to avoid fuelling inflation.</w:t>
      </w:r>
      <w:r w:rsidR="00036704">
        <w:rPr>
          <w:rFonts w:ascii="Tahoma" w:hAnsi="Tahoma" w:cs="Tahoma"/>
          <w:sz w:val="24"/>
          <w:szCs w:val="24"/>
          <w:lang w:val="en-GB"/>
        </w:rPr>
        <w:t xml:space="preserve"> </w:t>
      </w:r>
    </w:p>
    <w:p w14:paraId="6FA36E7D" w14:textId="5958443A"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w:t>
      </w:r>
      <w:r w:rsidR="00036704">
        <w:rPr>
          <w:rFonts w:ascii="Tahoma" w:hAnsi="Tahoma" w:cs="Tahoma"/>
          <w:b/>
          <w:bCs/>
          <w:sz w:val="24"/>
          <w:szCs w:val="24"/>
          <w:lang w:val="en-GB"/>
        </w:rPr>
        <w:t>7</w:t>
      </w:r>
      <w:r>
        <w:rPr>
          <w:rFonts w:ascii="Tahoma" w:hAnsi="Tahoma" w:cs="Tahoma"/>
          <w:b/>
          <w:bCs/>
          <w:sz w:val="24"/>
          <w:szCs w:val="24"/>
          <w:lang w:val="en-GB"/>
        </w:rPr>
        <w:tab/>
      </w:r>
      <w:r w:rsidRPr="000054C7">
        <w:rPr>
          <w:rFonts w:ascii="Tahoma" w:hAnsi="Tahoma" w:cs="Tahoma"/>
          <w:b/>
          <w:bCs/>
          <w:sz w:val="24"/>
          <w:szCs w:val="24"/>
          <w:lang w:val="en-GB"/>
        </w:rPr>
        <w:t>Promote Export-Oriented</w:t>
      </w:r>
      <w:r w:rsidR="00CD2D9C">
        <w:rPr>
          <w:rFonts w:ascii="Tahoma" w:hAnsi="Tahoma" w:cs="Tahoma"/>
          <w:b/>
          <w:bCs/>
          <w:sz w:val="24"/>
          <w:szCs w:val="24"/>
          <w:lang w:val="en-GB"/>
        </w:rPr>
        <w:t xml:space="preserve"> Growth</w:t>
      </w:r>
      <w:r w:rsidRPr="000054C7">
        <w:rPr>
          <w:rFonts w:ascii="Tahoma" w:hAnsi="Tahoma" w:cs="Tahoma"/>
          <w:b/>
          <w:bCs/>
          <w:sz w:val="24"/>
          <w:szCs w:val="24"/>
          <w:lang w:val="en-GB"/>
        </w:rPr>
        <w:t>:</w:t>
      </w:r>
      <w:r w:rsidR="00CD2D9C">
        <w:rPr>
          <w:rFonts w:ascii="Tahoma" w:hAnsi="Tahoma" w:cs="Tahoma"/>
          <w:sz w:val="24"/>
          <w:szCs w:val="24"/>
          <w:lang w:val="en-GB"/>
        </w:rPr>
        <w:t xml:space="preserve"> </w:t>
      </w:r>
      <w:r w:rsidR="00987E36">
        <w:rPr>
          <w:rFonts w:ascii="Tahoma" w:hAnsi="Tahoma" w:cs="Tahoma"/>
          <w:sz w:val="24"/>
          <w:szCs w:val="24"/>
          <w:lang w:val="en-GB"/>
        </w:rPr>
        <w:t>There is need to i</w:t>
      </w:r>
      <w:r w:rsidR="00CD2D9C">
        <w:rPr>
          <w:rFonts w:ascii="Tahoma" w:hAnsi="Tahoma" w:cs="Tahoma"/>
          <w:sz w:val="24"/>
          <w:szCs w:val="24"/>
          <w:lang w:val="en-GB"/>
        </w:rPr>
        <w:t>mprove production (taking advantage of falling oil prices) in sectors that contribute to exports such as mining (especially gold, PMGs and Ferrochromium) and agriculture to increase export earnings. Diversification of export destination is also critical to in absorbing the risk associated with reliance on traditional markets such as China and Bahamas.</w:t>
      </w:r>
    </w:p>
    <w:p w14:paraId="6E57DAFE" w14:textId="01F11C91" w:rsidR="00790EF8" w:rsidRDefault="00036704" w:rsidP="00DB4903">
      <w:pPr>
        <w:ind w:left="720" w:hanging="720"/>
        <w:jc w:val="both"/>
        <w:rPr>
          <w:lang w:val="en-US"/>
        </w:rPr>
      </w:pPr>
      <w:r w:rsidRPr="00036704">
        <w:rPr>
          <w:rFonts w:ascii="Tahoma" w:hAnsi="Tahoma" w:cs="Tahoma"/>
          <w:b/>
          <w:bCs/>
          <w:sz w:val="24"/>
          <w:szCs w:val="24"/>
          <w:lang w:val="en-GB"/>
        </w:rPr>
        <w:t>9.1.8</w:t>
      </w:r>
      <w:r w:rsidRPr="00036704">
        <w:rPr>
          <w:rFonts w:ascii="Tahoma" w:hAnsi="Tahoma" w:cs="Tahoma"/>
          <w:b/>
          <w:bCs/>
          <w:sz w:val="24"/>
          <w:szCs w:val="24"/>
          <w:lang w:val="en-GB"/>
        </w:rPr>
        <w:tab/>
        <w:t>Stock Market Development:</w:t>
      </w:r>
      <w:r>
        <w:rPr>
          <w:rFonts w:ascii="Tahoma" w:hAnsi="Tahoma" w:cs="Tahoma"/>
          <w:sz w:val="24"/>
          <w:szCs w:val="24"/>
          <w:lang w:val="en-GB"/>
        </w:rPr>
        <w:t xml:space="preserve"> There is need improve corporate governance by promoting transparency, accountability and disclosure. ZSE and VFEX should promote investor confidence by providing a stable and predictable investment environment.</w:t>
      </w:r>
    </w:p>
    <w:p w14:paraId="3B793956" w14:textId="77777777" w:rsidR="00790EF8" w:rsidRDefault="00790EF8" w:rsidP="00F05BD5">
      <w:pPr>
        <w:rPr>
          <w:lang w:val="en-US"/>
        </w:rPr>
      </w:pPr>
    </w:p>
    <w:p w14:paraId="349963D9" w14:textId="77777777" w:rsidR="0014428B" w:rsidRDefault="00790EF8" w:rsidP="0014428B">
      <w:pPr>
        <w:pStyle w:val="Heading1"/>
        <w:spacing w:before="0" w:after="240"/>
      </w:pPr>
      <w:r>
        <w:rPr>
          <w:rFonts w:cs="Tahoma"/>
          <w:szCs w:val="24"/>
          <w:lang w:val="en-US"/>
        </w:rPr>
        <w:br w:type="page"/>
      </w:r>
      <w:bookmarkStart w:id="78" w:name="_Toc184215750"/>
      <w:r w:rsidR="003C7C0E">
        <w:lastRenderedPageBreak/>
        <w:t>10.0 References</w:t>
      </w:r>
      <w:bookmarkEnd w:id="78"/>
    </w:p>
    <w:sdt>
      <w:sdtPr>
        <w:rPr>
          <w:rFonts w:ascii="Calibri" w:eastAsia="Calibri" w:hAnsi="Calibri"/>
          <w:b w:val="0"/>
          <w:sz w:val="22"/>
          <w:szCs w:val="22"/>
          <w:lang w:val="en-GB"/>
        </w:rPr>
        <w:id w:val="-368839996"/>
        <w:docPartObj>
          <w:docPartGallery w:val="Bibliographies"/>
          <w:docPartUnique/>
        </w:docPartObj>
      </w:sdtPr>
      <w:sdtEndPr>
        <w:rPr>
          <w:lang w:val="en-ZW"/>
        </w:rPr>
      </w:sdtEndPr>
      <w:sdtContent>
        <w:p w14:paraId="427CA0E6" w14:textId="535E5BDE" w:rsidR="00A35184" w:rsidRDefault="00A35184" w:rsidP="00DB4903">
          <w:pPr>
            <w:pStyle w:val="Heading1"/>
            <w:jc w:val="both"/>
          </w:pPr>
        </w:p>
        <w:sdt>
          <w:sdtPr>
            <w:id w:val="-573587230"/>
            <w:bibliography/>
          </w:sdtPr>
          <w:sdtContent>
            <w:p w14:paraId="10CCC1C8" w14:textId="77777777" w:rsidR="00A35184" w:rsidRPr="00A35184" w:rsidRDefault="00A35184" w:rsidP="00DB4903">
              <w:pPr>
                <w:pStyle w:val="Bibliography"/>
                <w:jc w:val="both"/>
                <w:rPr>
                  <w:rFonts w:ascii="Tahoma" w:hAnsi="Tahoma" w:cs="Tahoma"/>
                  <w:noProof/>
                  <w:kern w:val="0"/>
                  <w:sz w:val="24"/>
                  <w:szCs w:val="24"/>
                  <w:lang w:val="en-GB"/>
                </w:rPr>
              </w:pPr>
              <w:r>
                <w:fldChar w:fldCharType="begin"/>
              </w:r>
              <w:r>
                <w:instrText>BIBLIOGRAPHY</w:instrText>
              </w:r>
              <w:r>
                <w:fldChar w:fldCharType="separate"/>
              </w:r>
              <w:r w:rsidRPr="00A35184">
                <w:rPr>
                  <w:rFonts w:ascii="Tahoma" w:hAnsi="Tahoma" w:cs="Tahoma"/>
                  <w:noProof/>
                  <w:sz w:val="24"/>
                  <w:szCs w:val="24"/>
                  <w:lang w:val="en-GB"/>
                </w:rPr>
                <w:t xml:space="preserve">IMF. (2024). </w:t>
              </w:r>
              <w:r w:rsidRPr="00A35184">
                <w:rPr>
                  <w:rFonts w:ascii="Tahoma" w:hAnsi="Tahoma" w:cs="Tahoma"/>
                  <w:i/>
                  <w:iCs/>
                  <w:noProof/>
                  <w:sz w:val="24"/>
                  <w:szCs w:val="24"/>
                  <w:lang w:val="en-GB"/>
                </w:rPr>
                <w:t>World Economic Outlook, October 2024; Global prospects and Policies: Chapter 1.</w:t>
              </w:r>
              <w:r w:rsidRPr="00A35184">
                <w:rPr>
                  <w:rFonts w:ascii="Tahoma" w:hAnsi="Tahoma" w:cs="Tahoma"/>
                  <w:noProof/>
                  <w:sz w:val="24"/>
                  <w:szCs w:val="24"/>
                  <w:lang w:val="en-GB"/>
                </w:rPr>
                <w:t xml:space="preserve"> International Monetary Fund.</w:t>
              </w:r>
            </w:p>
            <w:p w14:paraId="1A32DDAA"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MoFED&amp;IP. (2024). </w:t>
              </w:r>
              <w:r w:rsidRPr="00A35184">
                <w:rPr>
                  <w:rFonts w:ascii="Tahoma" w:hAnsi="Tahoma" w:cs="Tahoma"/>
                  <w:i/>
                  <w:iCs/>
                  <w:noProof/>
                  <w:sz w:val="24"/>
                  <w:szCs w:val="24"/>
                  <w:lang w:val="en-GB"/>
                </w:rPr>
                <w:t>2025 National Bugdet Statement.</w:t>
              </w:r>
              <w:r w:rsidRPr="00A35184">
                <w:rPr>
                  <w:rFonts w:ascii="Tahoma" w:hAnsi="Tahoma" w:cs="Tahoma"/>
                  <w:noProof/>
                  <w:sz w:val="24"/>
                  <w:szCs w:val="24"/>
                  <w:lang w:val="en-GB"/>
                </w:rPr>
                <w:t xml:space="preserve"> Ministry of Finance, Economic Development and Investment Promotion.</w:t>
              </w:r>
            </w:p>
            <w:p w14:paraId="2C6E8B97"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OECD. (2024). </w:t>
              </w:r>
              <w:r w:rsidRPr="00A35184">
                <w:rPr>
                  <w:rFonts w:ascii="Tahoma" w:hAnsi="Tahoma" w:cs="Tahoma"/>
                  <w:i/>
                  <w:iCs/>
                  <w:noProof/>
                  <w:sz w:val="24"/>
                  <w:szCs w:val="24"/>
                  <w:lang w:val="en-GB"/>
                </w:rPr>
                <w:t>OECD Economic Outlook, Vol 2024 Issue 2: Preliminary Version.</w:t>
              </w:r>
              <w:r w:rsidRPr="00A35184">
                <w:rPr>
                  <w:rFonts w:ascii="Tahoma" w:hAnsi="Tahoma" w:cs="Tahoma"/>
                  <w:noProof/>
                  <w:sz w:val="24"/>
                  <w:szCs w:val="24"/>
                  <w:lang w:val="en-GB"/>
                </w:rPr>
                <w:t xml:space="preserve"> Paris: OECD Publishing.</w:t>
              </w:r>
            </w:p>
            <w:p w14:paraId="27EDE89D"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RBZ. (2024). </w:t>
              </w:r>
              <w:r w:rsidRPr="00A35184">
                <w:rPr>
                  <w:rFonts w:ascii="Tahoma" w:hAnsi="Tahoma" w:cs="Tahoma"/>
                  <w:i/>
                  <w:iCs/>
                  <w:noProof/>
                  <w:sz w:val="24"/>
                  <w:szCs w:val="24"/>
                  <w:lang w:val="en-GB"/>
                </w:rPr>
                <w:t>Exchange Rates</w:t>
              </w:r>
              <w:r w:rsidRPr="00A35184">
                <w:rPr>
                  <w:rFonts w:ascii="Tahoma" w:hAnsi="Tahoma" w:cs="Tahoma"/>
                  <w:noProof/>
                  <w:sz w:val="24"/>
                  <w:szCs w:val="24"/>
                  <w:lang w:val="en-GB"/>
                </w:rPr>
                <w:t>. Retrieved from Reserve Bank of Zimbabwe: https://www.rbz.co.zw/index.php/research/markets/exchange-rates</w:t>
              </w:r>
            </w:p>
            <w:p w14:paraId="6D0190D2"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Reserve Bank of Zimbabwe. (2024). </w:t>
              </w:r>
              <w:r w:rsidRPr="00A35184">
                <w:rPr>
                  <w:rFonts w:ascii="Tahoma" w:hAnsi="Tahoma" w:cs="Tahoma"/>
                  <w:i/>
                  <w:iCs/>
                  <w:noProof/>
                  <w:sz w:val="24"/>
                  <w:szCs w:val="24"/>
                  <w:lang w:val="en-GB"/>
                </w:rPr>
                <w:t>Monthly Economic Review: September 2024.</w:t>
              </w:r>
              <w:r w:rsidRPr="00A35184">
                <w:rPr>
                  <w:rFonts w:ascii="Tahoma" w:hAnsi="Tahoma" w:cs="Tahoma"/>
                  <w:noProof/>
                  <w:sz w:val="24"/>
                  <w:szCs w:val="24"/>
                  <w:lang w:val="en-GB"/>
                </w:rPr>
                <w:t xml:space="preserve"> RBZ.</w:t>
              </w:r>
            </w:p>
            <w:p w14:paraId="701DB48F"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Reserve Bank of Zimbabwe. (2024). </w:t>
              </w:r>
              <w:r w:rsidRPr="00A35184">
                <w:rPr>
                  <w:rFonts w:ascii="Tahoma" w:hAnsi="Tahoma" w:cs="Tahoma"/>
                  <w:i/>
                  <w:iCs/>
                  <w:noProof/>
                  <w:sz w:val="24"/>
                  <w:szCs w:val="24"/>
                  <w:lang w:val="en-GB"/>
                </w:rPr>
                <w:t>Weekely Economic Highlights, 15 November 2024, Vol 26 No 46.</w:t>
              </w:r>
              <w:r w:rsidRPr="00A35184">
                <w:rPr>
                  <w:rFonts w:ascii="Tahoma" w:hAnsi="Tahoma" w:cs="Tahoma"/>
                  <w:noProof/>
                  <w:sz w:val="24"/>
                  <w:szCs w:val="24"/>
                  <w:lang w:val="en-GB"/>
                </w:rPr>
                <w:t xml:space="preserve"> Reserve Bank of Zimbabwe.</w:t>
              </w:r>
            </w:p>
            <w:p w14:paraId="3EA4BDEC"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The Herald. (2024, December 2). Retrieved from The Herald: https://www.herald.co.zw/zse-slips-275pc-amid-dwindling-turnover-vfex-also-down-403pc/</w:t>
              </w:r>
            </w:p>
            <w:p w14:paraId="5116D6D5"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Trading Economics. (2024). </w:t>
              </w:r>
              <w:r w:rsidRPr="00A35184">
                <w:rPr>
                  <w:rFonts w:ascii="Tahoma" w:hAnsi="Tahoma" w:cs="Tahoma"/>
                  <w:i/>
                  <w:iCs/>
                  <w:noProof/>
                  <w:sz w:val="24"/>
                  <w:szCs w:val="24"/>
                  <w:lang w:val="en-GB"/>
                </w:rPr>
                <w:t>Commodities</w:t>
              </w:r>
              <w:r w:rsidRPr="00A35184">
                <w:rPr>
                  <w:rFonts w:ascii="Tahoma" w:hAnsi="Tahoma" w:cs="Tahoma"/>
                  <w:noProof/>
                  <w:sz w:val="24"/>
                  <w:szCs w:val="24"/>
                  <w:lang w:val="en-GB"/>
                </w:rPr>
                <w:t>. Retrieved from Trading Economics: https://tradingeconomics.com/commodity/crude-oil</w:t>
              </w:r>
            </w:p>
            <w:p w14:paraId="743C89E2"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VFEX. (2024). </w:t>
              </w:r>
              <w:r w:rsidRPr="00A35184">
                <w:rPr>
                  <w:rFonts w:ascii="Tahoma" w:hAnsi="Tahoma" w:cs="Tahoma"/>
                  <w:i/>
                  <w:iCs/>
                  <w:noProof/>
                  <w:sz w:val="24"/>
                  <w:szCs w:val="24"/>
                  <w:lang w:val="en-GB"/>
                </w:rPr>
                <w:t>Main Dashboard</w:t>
              </w:r>
              <w:r w:rsidRPr="00A35184">
                <w:rPr>
                  <w:rFonts w:ascii="Tahoma" w:hAnsi="Tahoma" w:cs="Tahoma"/>
                  <w:noProof/>
                  <w:sz w:val="24"/>
                  <w:szCs w:val="24"/>
                  <w:lang w:val="en-GB"/>
                </w:rPr>
                <w:t>. Retrieved from Victoria Falls Stock Exchange: https://www.vfex.exchange/</w:t>
              </w:r>
            </w:p>
            <w:p w14:paraId="5182A181"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ZimStat. (2024). </w:t>
              </w:r>
              <w:r w:rsidRPr="00A35184">
                <w:rPr>
                  <w:rFonts w:ascii="Tahoma" w:hAnsi="Tahoma" w:cs="Tahoma"/>
                  <w:i/>
                  <w:iCs/>
                  <w:noProof/>
                  <w:sz w:val="24"/>
                  <w:szCs w:val="24"/>
                  <w:lang w:val="en-GB"/>
                </w:rPr>
                <w:t>Inflation Rates</w:t>
              </w:r>
              <w:r w:rsidRPr="00A35184">
                <w:rPr>
                  <w:rFonts w:ascii="Tahoma" w:hAnsi="Tahoma" w:cs="Tahoma"/>
                  <w:noProof/>
                  <w:sz w:val="24"/>
                  <w:szCs w:val="24"/>
                  <w:lang w:val="en-GB"/>
                </w:rPr>
                <w:t>. Retrieved from Zimbabwe Statistics Agency: https://www.zimstat.co.zw/</w:t>
              </w:r>
            </w:p>
            <w:p w14:paraId="1B7ABC30" w14:textId="77777777" w:rsidR="00A35184" w:rsidRPr="00A35184" w:rsidRDefault="00A35184" w:rsidP="00DB4903">
              <w:pPr>
                <w:pStyle w:val="Bibliography"/>
                <w:ind w:left="720" w:hanging="720"/>
                <w:jc w:val="both"/>
                <w:rPr>
                  <w:rFonts w:ascii="Tahoma" w:hAnsi="Tahoma" w:cs="Tahoma"/>
                  <w:noProof/>
                  <w:sz w:val="24"/>
                  <w:szCs w:val="24"/>
                  <w:lang w:val="en-GB"/>
                </w:rPr>
              </w:pPr>
              <w:r w:rsidRPr="00A35184">
                <w:rPr>
                  <w:rFonts w:ascii="Tahoma" w:hAnsi="Tahoma" w:cs="Tahoma"/>
                  <w:noProof/>
                  <w:sz w:val="24"/>
                  <w:szCs w:val="24"/>
                  <w:lang w:val="en-GB"/>
                </w:rPr>
                <w:t xml:space="preserve">ZSE. (2024). </w:t>
              </w:r>
              <w:r w:rsidRPr="00A35184">
                <w:rPr>
                  <w:rFonts w:ascii="Tahoma" w:hAnsi="Tahoma" w:cs="Tahoma"/>
                  <w:i/>
                  <w:iCs/>
                  <w:noProof/>
                  <w:sz w:val="24"/>
                  <w:szCs w:val="24"/>
                  <w:lang w:val="en-GB"/>
                </w:rPr>
                <w:t>Main Dashboard</w:t>
              </w:r>
              <w:r w:rsidRPr="00A35184">
                <w:rPr>
                  <w:rFonts w:ascii="Tahoma" w:hAnsi="Tahoma" w:cs="Tahoma"/>
                  <w:noProof/>
                  <w:sz w:val="24"/>
                  <w:szCs w:val="24"/>
                  <w:lang w:val="en-GB"/>
                </w:rPr>
                <w:t>. Retrieved from Zimbabwe Stock Exchange: https://www.zse.co.zw/</w:t>
              </w:r>
            </w:p>
            <w:p w14:paraId="423574C4" w14:textId="00A822BB" w:rsidR="00A35184" w:rsidRDefault="00A35184" w:rsidP="00DB4903">
              <w:pPr>
                <w:jc w:val="both"/>
              </w:pPr>
              <w:r>
                <w:rPr>
                  <w:b/>
                  <w:bCs/>
                </w:rPr>
                <w:fldChar w:fldCharType="end"/>
              </w:r>
            </w:p>
          </w:sdtContent>
        </w:sdt>
      </w:sdtContent>
    </w:sdt>
    <w:p w14:paraId="4DDA6CFA" w14:textId="77777777" w:rsidR="009428C2" w:rsidRDefault="009428C2" w:rsidP="009428C2"/>
    <w:p w14:paraId="4F93A396" w14:textId="77777777" w:rsidR="009428C2" w:rsidRDefault="009428C2" w:rsidP="009428C2"/>
    <w:p w14:paraId="6DF7997D" w14:textId="77777777" w:rsidR="0017300E" w:rsidRPr="0017300E" w:rsidRDefault="0017300E" w:rsidP="0017300E">
      <w:pPr>
        <w:rPr>
          <w:rFonts w:ascii="Tahoma" w:hAnsi="Tahoma" w:cs="Tahoma"/>
          <w:sz w:val="24"/>
          <w:szCs w:val="24"/>
        </w:rPr>
      </w:pPr>
    </w:p>
    <w:p w14:paraId="4EC8551C" w14:textId="77777777" w:rsidR="009C724B" w:rsidRPr="0008009F" w:rsidRDefault="009C724B" w:rsidP="009C724B">
      <w:pPr>
        <w:pStyle w:val="ListParagraph"/>
        <w:ind w:left="0"/>
        <w:jc w:val="right"/>
        <w:rPr>
          <w:rFonts w:ascii="Tahoma" w:hAnsi="Tahoma" w:cs="Tahoma"/>
          <w:sz w:val="24"/>
          <w:szCs w:val="24"/>
          <w:lang w:val="en-US"/>
        </w:rPr>
      </w:pPr>
      <w:r w:rsidRPr="0008009F">
        <w:rPr>
          <w:rFonts w:ascii="Tahoma" w:hAnsi="Tahoma" w:cs="Tahoma"/>
          <w:b/>
          <w:iCs/>
          <w:sz w:val="24"/>
          <w:szCs w:val="24"/>
          <w:lang w:val="en-US"/>
        </w:rPr>
        <w:t>NECF Secretariat, 202</w:t>
      </w:r>
      <w:r>
        <w:rPr>
          <w:rFonts w:ascii="Tahoma" w:hAnsi="Tahoma" w:cs="Tahoma"/>
          <w:b/>
          <w:iCs/>
          <w:sz w:val="24"/>
          <w:szCs w:val="24"/>
          <w:lang w:val="en-US"/>
        </w:rPr>
        <w:t>4</w:t>
      </w:r>
    </w:p>
    <w:p w14:paraId="7675E105" w14:textId="77777777" w:rsidR="00EF3AD6" w:rsidRPr="0017300E" w:rsidRDefault="00EF3AD6" w:rsidP="0017300E">
      <w:pPr>
        <w:pStyle w:val="ListParagraph"/>
        <w:ind w:left="0"/>
        <w:rPr>
          <w:rFonts w:ascii="Tahoma" w:hAnsi="Tahoma" w:cs="Tahoma"/>
          <w:sz w:val="24"/>
          <w:szCs w:val="24"/>
          <w:lang w:val="en-US"/>
        </w:rPr>
      </w:pPr>
    </w:p>
    <w:sectPr w:rsidR="00EF3AD6" w:rsidRPr="0017300E" w:rsidSect="006D22C2">
      <w:head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F570C" w14:textId="77777777" w:rsidR="00E07D31" w:rsidRDefault="00E07D31" w:rsidP="00654F03">
      <w:pPr>
        <w:spacing w:after="0" w:line="240" w:lineRule="auto"/>
      </w:pPr>
      <w:r>
        <w:separator/>
      </w:r>
    </w:p>
    <w:p w14:paraId="566B7460" w14:textId="77777777" w:rsidR="00E07D31" w:rsidRDefault="00E07D31"/>
    <w:p w14:paraId="735C5B04" w14:textId="77777777" w:rsidR="00E07D31" w:rsidRDefault="00E07D31" w:rsidP="00D751E8"/>
  </w:endnote>
  <w:endnote w:type="continuationSeparator" w:id="0">
    <w:p w14:paraId="1B652805" w14:textId="77777777" w:rsidR="00E07D31" w:rsidRDefault="00E07D31" w:rsidP="00654F03">
      <w:pPr>
        <w:spacing w:after="0" w:line="240" w:lineRule="auto"/>
      </w:pPr>
      <w:r>
        <w:continuationSeparator/>
      </w:r>
    </w:p>
    <w:p w14:paraId="12BD0782" w14:textId="77777777" w:rsidR="00E07D31" w:rsidRDefault="00E07D31"/>
    <w:p w14:paraId="78D5C8D6" w14:textId="77777777" w:rsidR="00E07D31" w:rsidRDefault="00E07D31"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071772"/>
      <w:docPartObj>
        <w:docPartGallery w:val="Page Numbers (Bottom of Page)"/>
        <w:docPartUnique/>
      </w:docPartObj>
    </w:sdtPr>
    <w:sdtEndPr>
      <w:rPr>
        <w:color w:val="7F7F7F" w:themeColor="background1" w:themeShade="7F"/>
        <w:spacing w:val="60"/>
      </w:rPr>
    </w:sdtEndPr>
    <w:sdtContent>
      <w:p w14:paraId="7E5F8CF6" w14:textId="5D54C03B" w:rsidR="00237F4C" w:rsidRDefault="00237F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p>
    </w:sdtContent>
  </w:sdt>
  <w:p w14:paraId="55377235" w14:textId="77777777" w:rsidR="006E77DB" w:rsidRDefault="006E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88AFF" w14:textId="77777777" w:rsidR="00E07D31" w:rsidRDefault="00E07D31" w:rsidP="00654F03">
      <w:pPr>
        <w:spacing w:after="0" w:line="240" w:lineRule="auto"/>
      </w:pPr>
      <w:r>
        <w:separator/>
      </w:r>
    </w:p>
    <w:p w14:paraId="6B492463" w14:textId="77777777" w:rsidR="00E07D31" w:rsidRDefault="00E07D31"/>
    <w:p w14:paraId="7005DC4E" w14:textId="77777777" w:rsidR="00E07D31" w:rsidRDefault="00E07D31" w:rsidP="00D751E8"/>
  </w:footnote>
  <w:footnote w:type="continuationSeparator" w:id="0">
    <w:p w14:paraId="049361AF" w14:textId="77777777" w:rsidR="00E07D31" w:rsidRDefault="00E07D31" w:rsidP="00654F03">
      <w:pPr>
        <w:spacing w:after="0" w:line="240" w:lineRule="auto"/>
      </w:pPr>
      <w:r>
        <w:continuationSeparator/>
      </w:r>
    </w:p>
    <w:p w14:paraId="25172495" w14:textId="77777777" w:rsidR="00E07D31" w:rsidRDefault="00E07D31"/>
    <w:p w14:paraId="03E32FD7" w14:textId="77777777" w:rsidR="00E07D31" w:rsidRDefault="00E07D31"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882A" w14:textId="77777777" w:rsidR="006E77DB" w:rsidRDefault="006E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7B9E"/>
    <w:multiLevelType w:val="multilevel"/>
    <w:tmpl w:val="645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217"/>
    <w:multiLevelType w:val="multilevel"/>
    <w:tmpl w:val="2B4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A3E6660"/>
    <w:multiLevelType w:val="multilevel"/>
    <w:tmpl w:val="8A265644"/>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205C2267"/>
    <w:multiLevelType w:val="multilevel"/>
    <w:tmpl w:val="1C1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541"/>
    <w:multiLevelType w:val="multilevel"/>
    <w:tmpl w:val="4208BFCE"/>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20B6531"/>
    <w:multiLevelType w:val="multilevel"/>
    <w:tmpl w:val="C3B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07FA1"/>
    <w:multiLevelType w:val="multilevel"/>
    <w:tmpl w:val="0998752C"/>
    <w:lvl w:ilvl="0">
      <w:start w:val="9"/>
      <w:numFmt w:val="decimal"/>
      <w:lvlText w:val="%1"/>
      <w:lvlJc w:val="left"/>
      <w:pPr>
        <w:ind w:left="750" w:hanging="750"/>
      </w:pPr>
      <w:rPr>
        <w:rFonts w:hint="default"/>
        <w:b/>
      </w:rPr>
    </w:lvl>
    <w:lvl w:ilvl="1">
      <w:start w:val="1"/>
      <w:numFmt w:val="decimal"/>
      <w:lvlText w:val="%1.%2"/>
      <w:lvlJc w:val="left"/>
      <w:pPr>
        <w:ind w:left="750" w:hanging="750"/>
      </w:pPr>
      <w:rPr>
        <w:rFonts w:hint="default"/>
        <w:b/>
      </w:rPr>
    </w:lvl>
    <w:lvl w:ilvl="2">
      <w:start w:val="12"/>
      <w:numFmt w:val="decimal"/>
      <w:lvlText w:val="%1.%2.%3"/>
      <w:lvlJc w:val="left"/>
      <w:pPr>
        <w:ind w:left="750" w:hanging="75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4D8F35C4"/>
    <w:multiLevelType w:val="multilevel"/>
    <w:tmpl w:val="A21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6130F"/>
    <w:multiLevelType w:val="multilevel"/>
    <w:tmpl w:val="D4C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8420762"/>
    <w:multiLevelType w:val="multilevel"/>
    <w:tmpl w:val="CB2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A712E"/>
    <w:multiLevelType w:val="multilevel"/>
    <w:tmpl w:val="807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90935534">
    <w:abstractNumId w:val="13"/>
  </w:num>
  <w:num w:numId="2" w16cid:durableId="874923556">
    <w:abstractNumId w:val="16"/>
  </w:num>
  <w:num w:numId="3" w16cid:durableId="284166034">
    <w:abstractNumId w:val="6"/>
  </w:num>
  <w:num w:numId="4" w16cid:durableId="497965357">
    <w:abstractNumId w:val="7"/>
  </w:num>
  <w:num w:numId="5" w16cid:durableId="1683242485">
    <w:abstractNumId w:val="8"/>
  </w:num>
  <w:num w:numId="6" w16cid:durableId="228807139">
    <w:abstractNumId w:val="2"/>
  </w:num>
  <w:num w:numId="7" w16cid:durableId="807742019">
    <w:abstractNumId w:val="15"/>
  </w:num>
  <w:num w:numId="8" w16cid:durableId="217713302">
    <w:abstractNumId w:val="0"/>
  </w:num>
  <w:num w:numId="9" w16cid:durableId="777798105">
    <w:abstractNumId w:val="9"/>
  </w:num>
  <w:num w:numId="10" w16cid:durableId="845637487">
    <w:abstractNumId w:val="12"/>
  </w:num>
  <w:num w:numId="11" w16cid:durableId="1402485173">
    <w:abstractNumId w:val="14"/>
  </w:num>
  <w:num w:numId="12" w16cid:durableId="1922179601">
    <w:abstractNumId w:val="1"/>
  </w:num>
  <w:num w:numId="13" w16cid:durableId="2066027949">
    <w:abstractNumId w:val="4"/>
  </w:num>
  <w:num w:numId="14" w16cid:durableId="1202086439">
    <w:abstractNumId w:val="11"/>
  </w:num>
  <w:num w:numId="15" w16cid:durableId="2034727699">
    <w:abstractNumId w:val="5"/>
  </w:num>
  <w:num w:numId="16" w16cid:durableId="1999307851">
    <w:abstractNumId w:val="3"/>
  </w:num>
  <w:num w:numId="17" w16cid:durableId="1513496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0C72"/>
    <w:rsid w:val="00001AB7"/>
    <w:rsid w:val="000038E5"/>
    <w:rsid w:val="00003AB2"/>
    <w:rsid w:val="00004DDD"/>
    <w:rsid w:val="000054C7"/>
    <w:rsid w:val="000063E5"/>
    <w:rsid w:val="00006C30"/>
    <w:rsid w:val="0000732F"/>
    <w:rsid w:val="00010505"/>
    <w:rsid w:val="00010C2D"/>
    <w:rsid w:val="000123EE"/>
    <w:rsid w:val="0001267B"/>
    <w:rsid w:val="000129B7"/>
    <w:rsid w:val="00013442"/>
    <w:rsid w:val="0001510C"/>
    <w:rsid w:val="00020012"/>
    <w:rsid w:val="00022BFE"/>
    <w:rsid w:val="000250F2"/>
    <w:rsid w:val="00026A42"/>
    <w:rsid w:val="0003098D"/>
    <w:rsid w:val="00030CEE"/>
    <w:rsid w:val="00031044"/>
    <w:rsid w:val="0003115B"/>
    <w:rsid w:val="000312F5"/>
    <w:rsid w:val="000313AF"/>
    <w:rsid w:val="00031E9A"/>
    <w:rsid w:val="0003253B"/>
    <w:rsid w:val="000335A2"/>
    <w:rsid w:val="000338D4"/>
    <w:rsid w:val="0003407B"/>
    <w:rsid w:val="000346FD"/>
    <w:rsid w:val="00036597"/>
    <w:rsid w:val="00036704"/>
    <w:rsid w:val="0003672E"/>
    <w:rsid w:val="000376E5"/>
    <w:rsid w:val="00041010"/>
    <w:rsid w:val="0004125F"/>
    <w:rsid w:val="00041EA2"/>
    <w:rsid w:val="00043173"/>
    <w:rsid w:val="000469C1"/>
    <w:rsid w:val="00046B8A"/>
    <w:rsid w:val="00047DEA"/>
    <w:rsid w:val="00050765"/>
    <w:rsid w:val="000534B5"/>
    <w:rsid w:val="00056BC8"/>
    <w:rsid w:val="00056C3C"/>
    <w:rsid w:val="00056CEF"/>
    <w:rsid w:val="00060BA3"/>
    <w:rsid w:val="0006371A"/>
    <w:rsid w:val="00064B59"/>
    <w:rsid w:val="00066B05"/>
    <w:rsid w:val="00067C6D"/>
    <w:rsid w:val="00070950"/>
    <w:rsid w:val="00071182"/>
    <w:rsid w:val="0007119B"/>
    <w:rsid w:val="00071565"/>
    <w:rsid w:val="000732CC"/>
    <w:rsid w:val="000735EE"/>
    <w:rsid w:val="00074C3E"/>
    <w:rsid w:val="0007507E"/>
    <w:rsid w:val="0007510B"/>
    <w:rsid w:val="000751D2"/>
    <w:rsid w:val="0008009F"/>
    <w:rsid w:val="00081C1C"/>
    <w:rsid w:val="00083ABE"/>
    <w:rsid w:val="00083E6C"/>
    <w:rsid w:val="0008600D"/>
    <w:rsid w:val="00086539"/>
    <w:rsid w:val="00086A1B"/>
    <w:rsid w:val="00086F82"/>
    <w:rsid w:val="000876A1"/>
    <w:rsid w:val="0008784D"/>
    <w:rsid w:val="00087AC2"/>
    <w:rsid w:val="00087E0F"/>
    <w:rsid w:val="00090D37"/>
    <w:rsid w:val="00093CAE"/>
    <w:rsid w:val="00096221"/>
    <w:rsid w:val="0009768B"/>
    <w:rsid w:val="000A2C99"/>
    <w:rsid w:val="000A50AA"/>
    <w:rsid w:val="000A5880"/>
    <w:rsid w:val="000A7B2C"/>
    <w:rsid w:val="000B0224"/>
    <w:rsid w:val="000B0C38"/>
    <w:rsid w:val="000B183B"/>
    <w:rsid w:val="000B4023"/>
    <w:rsid w:val="000B5F4D"/>
    <w:rsid w:val="000B622D"/>
    <w:rsid w:val="000B63CE"/>
    <w:rsid w:val="000B6AA5"/>
    <w:rsid w:val="000B6E25"/>
    <w:rsid w:val="000B790A"/>
    <w:rsid w:val="000C07CA"/>
    <w:rsid w:val="000C1657"/>
    <w:rsid w:val="000C2206"/>
    <w:rsid w:val="000C29DA"/>
    <w:rsid w:val="000C2AA3"/>
    <w:rsid w:val="000C2D96"/>
    <w:rsid w:val="000C3268"/>
    <w:rsid w:val="000C412D"/>
    <w:rsid w:val="000C447C"/>
    <w:rsid w:val="000C5E77"/>
    <w:rsid w:val="000C78EC"/>
    <w:rsid w:val="000D1AB4"/>
    <w:rsid w:val="000D22EE"/>
    <w:rsid w:val="000D2543"/>
    <w:rsid w:val="000D4C34"/>
    <w:rsid w:val="000D5212"/>
    <w:rsid w:val="000E0195"/>
    <w:rsid w:val="000E3511"/>
    <w:rsid w:val="000E455D"/>
    <w:rsid w:val="000E6686"/>
    <w:rsid w:val="000F316D"/>
    <w:rsid w:val="000F32A6"/>
    <w:rsid w:val="000F38C3"/>
    <w:rsid w:val="000F392D"/>
    <w:rsid w:val="000F5180"/>
    <w:rsid w:val="000F54F6"/>
    <w:rsid w:val="000F7929"/>
    <w:rsid w:val="000F7BEA"/>
    <w:rsid w:val="001000B2"/>
    <w:rsid w:val="001016F9"/>
    <w:rsid w:val="00101BC7"/>
    <w:rsid w:val="00101D9E"/>
    <w:rsid w:val="001029E1"/>
    <w:rsid w:val="00102E39"/>
    <w:rsid w:val="00103E4D"/>
    <w:rsid w:val="00104DFE"/>
    <w:rsid w:val="0010522F"/>
    <w:rsid w:val="00105DA8"/>
    <w:rsid w:val="00106B15"/>
    <w:rsid w:val="00106B69"/>
    <w:rsid w:val="00106F16"/>
    <w:rsid w:val="0011131C"/>
    <w:rsid w:val="00111B0D"/>
    <w:rsid w:val="00113183"/>
    <w:rsid w:val="0011335B"/>
    <w:rsid w:val="00115C8C"/>
    <w:rsid w:val="00115D09"/>
    <w:rsid w:val="00117473"/>
    <w:rsid w:val="0012148A"/>
    <w:rsid w:val="001217A1"/>
    <w:rsid w:val="00122C08"/>
    <w:rsid w:val="00123F0C"/>
    <w:rsid w:val="0012708C"/>
    <w:rsid w:val="00130CC2"/>
    <w:rsid w:val="00132EAF"/>
    <w:rsid w:val="00133028"/>
    <w:rsid w:val="00133F55"/>
    <w:rsid w:val="00134E84"/>
    <w:rsid w:val="001354A1"/>
    <w:rsid w:val="00136197"/>
    <w:rsid w:val="00137BB3"/>
    <w:rsid w:val="0014428B"/>
    <w:rsid w:val="00145005"/>
    <w:rsid w:val="00145C78"/>
    <w:rsid w:val="00146AB0"/>
    <w:rsid w:val="00146D0A"/>
    <w:rsid w:val="00146D2D"/>
    <w:rsid w:val="00150B6E"/>
    <w:rsid w:val="00152873"/>
    <w:rsid w:val="00160959"/>
    <w:rsid w:val="00161D6E"/>
    <w:rsid w:val="00165790"/>
    <w:rsid w:val="00165A7C"/>
    <w:rsid w:val="00170788"/>
    <w:rsid w:val="0017160E"/>
    <w:rsid w:val="00171A37"/>
    <w:rsid w:val="00172873"/>
    <w:rsid w:val="0017300E"/>
    <w:rsid w:val="0017376E"/>
    <w:rsid w:val="00174CBF"/>
    <w:rsid w:val="00181085"/>
    <w:rsid w:val="001810AD"/>
    <w:rsid w:val="001840D4"/>
    <w:rsid w:val="00184FA3"/>
    <w:rsid w:val="0018530E"/>
    <w:rsid w:val="0018664B"/>
    <w:rsid w:val="00187505"/>
    <w:rsid w:val="00187582"/>
    <w:rsid w:val="00190FD1"/>
    <w:rsid w:val="001910FB"/>
    <w:rsid w:val="00193B40"/>
    <w:rsid w:val="001946C3"/>
    <w:rsid w:val="00194CA9"/>
    <w:rsid w:val="00196B3C"/>
    <w:rsid w:val="00197CDC"/>
    <w:rsid w:val="001A0156"/>
    <w:rsid w:val="001A02C9"/>
    <w:rsid w:val="001A488A"/>
    <w:rsid w:val="001B17C0"/>
    <w:rsid w:val="001B195C"/>
    <w:rsid w:val="001B3048"/>
    <w:rsid w:val="001B3D5A"/>
    <w:rsid w:val="001B5559"/>
    <w:rsid w:val="001B5A7B"/>
    <w:rsid w:val="001B5C7B"/>
    <w:rsid w:val="001B624E"/>
    <w:rsid w:val="001C152E"/>
    <w:rsid w:val="001C160D"/>
    <w:rsid w:val="001C3D17"/>
    <w:rsid w:val="001C3F65"/>
    <w:rsid w:val="001C439F"/>
    <w:rsid w:val="001C46C6"/>
    <w:rsid w:val="001C6200"/>
    <w:rsid w:val="001C6748"/>
    <w:rsid w:val="001C6D0E"/>
    <w:rsid w:val="001D0A18"/>
    <w:rsid w:val="001D2904"/>
    <w:rsid w:val="001D30EF"/>
    <w:rsid w:val="001D7318"/>
    <w:rsid w:val="001D740D"/>
    <w:rsid w:val="001E6283"/>
    <w:rsid w:val="001E6E33"/>
    <w:rsid w:val="001E7A8A"/>
    <w:rsid w:val="001F0303"/>
    <w:rsid w:val="001F1A94"/>
    <w:rsid w:val="001F2D81"/>
    <w:rsid w:val="001F4FFB"/>
    <w:rsid w:val="002019B5"/>
    <w:rsid w:val="00201F25"/>
    <w:rsid w:val="0020440A"/>
    <w:rsid w:val="0020598F"/>
    <w:rsid w:val="00206550"/>
    <w:rsid w:val="0020788D"/>
    <w:rsid w:val="002100F7"/>
    <w:rsid w:val="00210685"/>
    <w:rsid w:val="00211AC2"/>
    <w:rsid w:val="002120A6"/>
    <w:rsid w:val="0021269E"/>
    <w:rsid w:val="00222F0C"/>
    <w:rsid w:val="00223152"/>
    <w:rsid w:val="00223F21"/>
    <w:rsid w:val="00224681"/>
    <w:rsid w:val="0022734D"/>
    <w:rsid w:val="0023127A"/>
    <w:rsid w:val="00231396"/>
    <w:rsid w:val="00235667"/>
    <w:rsid w:val="0023673D"/>
    <w:rsid w:val="0023756F"/>
    <w:rsid w:val="00237F4C"/>
    <w:rsid w:val="0024058F"/>
    <w:rsid w:val="00241F4E"/>
    <w:rsid w:val="00242F69"/>
    <w:rsid w:val="00243665"/>
    <w:rsid w:val="00243C51"/>
    <w:rsid w:val="002448A6"/>
    <w:rsid w:val="00244E77"/>
    <w:rsid w:val="00245A55"/>
    <w:rsid w:val="00245AD4"/>
    <w:rsid w:val="002461D6"/>
    <w:rsid w:val="00246949"/>
    <w:rsid w:val="00247F83"/>
    <w:rsid w:val="00250A42"/>
    <w:rsid w:val="00250D1B"/>
    <w:rsid w:val="00251269"/>
    <w:rsid w:val="002525BF"/>
    <w:rsid w:val="00252C38"/>
    <w:rsid w:val="0025382A"/>
    <w:rsid w:val="00253E89"/>
    <w:rsid w:val="00253FAC"/>
    <w:rsid w:val="00254DF0"/>
    <w:rsid w:val="0025517A"/>
    <w:rsid w:val="002555BE"/>
    <w:rsid w:val="0025612B"/>
    <w:rsid w:val="002569B2"/>
    <w:rsid w:val="00256E40"/>
    <w:rsid w:val="00261A5B"/>
    <w:rsid w:val="002653B7"/>
    <w:rsid w:val="00265AEC"/>
    <w:rsid w:val="002668B7"/>
    <w:rsid w:val="00271553"/>
    <w:rsid w:val="002739B4"/>
    <w:rsid w:val="00280519"/>
    <w:rsid w:val="00281635"/>
    <w:rsid w:val="00281EE3"/>
    <w:rsid w:val="00283000"/>
    <w:rsid w:val="00286562"/>
    <w:rsid w:val="00286DD4"/>
    <w:rsid w:val="00287F5F"/>
    <w:rsid w:val="002908F2"/>
    <w:rsid w:val="002912BB"/>
    <w:rsid w:val="00291B44"/>
    <w:rsid w:val="00292C22"/>
    <w:rsid w:val="002934CA"/>
    <w:rsid w:val="00293EBD"/>
    <w:rsid w:val="00293F04"/>
    <w:rsid w:val="0029429F"/>
    <w:rsid w:val="00296FDF"/>
    <w:rsid w:val="002A2E6B"/>
    <w:rsid w:val="002A3CAC"/>
    <w:rsid w:val="002A7B6D"/>
    <w:rsid w:val="002B0281"/>
    <w:rsid w:val="002B11BD"/>
    <w:rsid w:val="002B2341"/>
    <w:rsid w:val="002B2FE8"/>
    <w:rsid w:val="002B60E5"/>
    <w:rsid w:val="002B6209"/>
    <w:rsid w:val="002B637D"/>
    <w:rsid w:val="002B7529"/>
    <w:rsid w:val="002B7F4B"/>
    <w:rsid w:val="002C1E2D"/>
    <w:rsid w:val="002C46A0"/>
    <w:rsid w:val="002C6020"/>
    <w:rsid w:val="002D0E61"/>
    <w:rsid w:val="002D3344"/>
    <w:rsid w:val="002D3BAB"/>
    <w:rsid w:val="002D42BB"/>
    <w:rsid w:val="002D4758"/>
    <w:rsid w:val="002D478F"/>
    <w:rsid w:val="002D4973"/>
    <w:rsid w:val="002D7468"/>
    <w:rsid w:val="002D7D4E"/>
    <w:rsid w:val="002E1398"/>
    <w:rsid w:val="002E3ED2"/>
    <w:rsid w:val="002E6010"/>
    <w:rsid w:val="002E6211"/>
    <w:rsid w:val="002F0E69"/>
    <w:rsid w:val="002F1286"/>
    <w:rsid w:val="002F1AD6"/>
    <w:rsid w:val="002F3502"/>
    <w:rsid w:val="002F476B"/>
    <w:rsid w:val="002F6DA3"/>
    <w:rsid w:val="00300BB3"/>
    <w:rsid w:val="003015C7"/>
    <w:rsid w:val="003016BC"/>
    <w:rsid w:val="00303E26"/>
    <w:rsid w:val="00307F4A"/>
    <w:rsid w:val="0031015F"/>
    <w:rsid w:val="00310BED"/>
    <w:rsid w:val="003120EE"/>
    <w:rsid w:val="00313C3E"/>
    <w:rsid w:val="0031428C"/>
    <w:rsid w:val="00314D22"/>
    <w:rsid w:val="00320F64"/>
    <w:rsid w:val="00324047"/>
    <w:rsid w:val="00324070"/>
    <w:rsid w:val="00325ECA"/>
    <w:rsid w:val="003270C4"/>
    <w:rsid w:val="00331834"/>
    <w:rsid w:val="003318ED"/>
    <w:rsid w:val="00332F5E"/>
    <w:rsid w:val="00335FD6"/>
    <w:rsid w:val="00336354"/>
    <w:rsid w:val="00340BCF"/>
    <w:rsid w:val="00347439"/>
    <w:rsid w:val="00352C0D"/>
    <w:rsid w:val="00354CAD"/>
    <w:rsid w:val="00355310"/>
    <w:rsid w:val="00360073"/>
    <w:rsid w:val="00362187"/>
    <w:rsid w:val="003642DC"/>
    <w:rsid w:val="00364947"/>
    <w:rsid w:val="00365637"/>
    <w:rsid w:val="00370049"/>
    <w:rsid w:val="00374FDC"/>
    <w:rsid w:val="003756E7"/>
    <w:rsid w:val="00375F22"/>
    <w:rsid w:val="00377FEB"/>
    <w:rsid w:val="00380DDB"/>
    <w:rsid w:val="00382F7E"/>
    <w:rsid w:val="003833D6"/>
    <w:rsid w:val="00385A53"/>
    <w:rsid w:val="00386A89"/>
    <w:rsid w:val="00392F38"/>
    <w:rsid w:val="003944CA"/>
    <w:rsid w:val="00395F28"/>
    <w:rsid w:val="003976F2"/>
    <w:rsid w:val="003A04F3"/>
    <w:rsid w:val="003A19AF"/>
    <w:rsid w:val="003A3074"/>
    <w:rsid w:val="003A52BC"/>
    <w:rsid w:val="003A5A87"/>
    <w:rsid w:val="003A5E3C"/>
    <w:rsid w:val="003B03B6"/>
    <w:rsid w:val="003B500E"/>
    <w:rsid w:val="003B6963"/>
    <w:rsid w:val="003C07C8"/>
    <w:rsid w:val="003C0D94"/>
    <w:rsid w:val="003C1D2F"/>
    <w:rsid w:val="003C31F7"/>
    <w:rsid w:val="003C3CA1"/>
    <w:rsid w:val="003C53A3"/>
    <w:rsid w:val="003C5DC8"/>
    <w:rsid w:val="003C7C0E"/>
    <w:rsid w:val="003D080C"/>
    <w:rsid w:val="003D0C8C"/>
    <w:rsid w:val="003D1B81"/>
    <w:rsid w:val="003D3E43"/>
    <w:rsid w:val="003D514B"/>
    <w:rsid w:val="003D7035"/>
    <w:rsid w:val="003D7E2A"/>
    <w:rsid w:val="003E051C"/>
    <w:rsid w:val="003E2138"/>
    <w:rsid w:val="003E301F"/>
    <w:rsid w:val="003E7C62"/>
    <w:rsid w:val="003E7EEF"/>
    <w:rsid w:val="003F123A"/>
    <w:rsid w:val="003F15BF"/>
    <w:rsid w:val="003F1F46"/>
    <w:rsid w:val="003F476D"/>
    <w:rsid w:val="003F481A"/>
    <w:rsid w:val="0040072A"/>
    <w:rsid w:val="0040272E"/>
    <w:rsid w:val="0040512D"/>
    <w:rsid w:val="004052E4"/>
    <w:rsid w:val="00405F3C"/>
    <w:rsid w:val="00407605"/>
    <w:rsid w:val="00410952"/>
    <w:rsid w:val="004149E4"/>
    <w:rsid w:val="0041518E"/>
    <w:rsid w:val="0041581E"/>
    <w:rsid w:val="00417DAD"/>
    <w:rsid w:val="00421D20"/>
    <w:rsid w:val="004246F6"/>
    <w:rsid w:val="00424868"/>
    <w:rsid w:val="00424F97"/>
    <w:rsid w:val="00427C53"/>
    <w:rsid w:val="00427CDA"/>
    <w:rsid w:val="00430808"/>
    <w:rsid w:val="00431F13"/>
    <w:rsid w:val="0043763F"/>
    <w:rsid w:val="00437A2F"/>
    <w:rsid w:val="00437E4E"/>
    <w:rsid w:val="004416F2"/>
    <w:rsid w:val="00442387"/>
    <w:rsid w:val="0044325B"/>
    <w:rsid w:val="00443D80"/>
    <w:rsid w:val="00445ADE"/>
    <w:rsid w:val="00446A6B"/>
    <w:rsid w:val="004477A2"/>
    <w:rsid w:val="00450A9F"/>
    <w:rsid w:val="004514A3"/>
    <w:rsid w:val="00453CD8"/>
    <w:rsid w:val="004542F6"/>
    <w:rsid w:val="00455958"/>
    <w:rsid w:val="00455BB9"/>
    <w:rsid w:val="004563C8"/>
    <w:rsid w:val="0045689A"/>
    <w:rsid w:val="004600C3"/>
    <w:rsid w:val="004602CD"/>
    <w:rsid w:val="00460D78"/>
    <w:rsid w:val="0046189B"/>
    <w:rsid w:val="004624DA"/>
    <w:rsid w:val="00466CF2"/>
    <w:rsid w:val="00467E7F"/>
    <w:rsid w:val="0047110F"/>
    <w:rsid w:val="0047159F"/>
    <w:rsid w:val="00472DF5"/>
    <w:rsid w:val="00474E3B"/>
    <w:rsid w:val="004761DA"/>
    <w:rsid w:val="00476214"/>
    <w:rsid w:val="00476766"/>
    <w:rsid w:val="00477E68"/>
    <w:rsid w:val="0048248B"/>
    <w:rsid w:val="0048263C"/>
    <w:rsid w:val="0048370E"/>
    <w:rsid w:val="0048527C"/>
    <w:rsid w:val="004853CA"/>
    <w:rsid w:val="00487413"/>
    <w:rsid w:val="004874EA"/>
    <w:rsid w:val="00491236"/>
    <w:rsid w:val="004914BB"/>
    <w:rsid w:val="00491F1C"/>
    <w:rsid w:val="00492502"/>
    <w:rsid w:val="00494824"/>
    <w:rsid w:val="00495C20"/>
    <w:rsid w:val="00496A39"/>
    <w:rsid w:val="004A2699"/>
    <w:rsid w:val="004A269E"/>
    <w:rsid w:val="004A636E"/>
    <w:rsid w:val="004B15EE"/>
    <w:rsid w:val="004B2536"/>
    <w:rsid w:val="004B3B72"/>
    <w:rsid w:val="004B3C36"/>
    <w:rsid w:val="004B51EB"/>
    <w:rsid w:val="004C15AC"/>
    <w:rsid w:val="004C564F"/>
    <w:rsid w:val="004C5BDE"/>
    <w:rsid w:val="004C5EBF"/>
    <w:rsid w:val="004C6210"/>
    <w:rsid w:val="004C6A79"/>
    <w:rsid w:val="004C7E36"/>
    <w:rsid w:val="004D0F9B"/>
    <w:rsid w:val="004D2836"/>
    <w:rsid w:val="004D31CB"/>
    <w:rsid w:val="004D32BD"/>
    <w:rsid w:val="004D35AC"/>
    <w:rsid w:val="004D4BEA"/>
    <w:rsid w:val="004D4E48"/>
    <w:rsid w:val="004D577F"/>
    <w:rsid w:val="004E37A1"/>
    <w:rsid w:val="004E5ABD"/>
    <w:rsid w:val="004E5DF5"/>
    <w:rsid w:val="004E5FEA"/>
    <w:rsid w:val="004E71C0"/>
    <w:rsid w:val="004E7861"/>
    <w:rsid w:val="004F153F"/>
    <w:rsid w:val="004F4308"/>
    <w:rsid w:val="004F47ED"/>
    <w:rsid w:val="004F680D"/>
    <w:rsid w:val="004F77B5"/>
    <w:rsid w:val="00500F38"/>
    <w:rsid w:val="00505299"/>
    <w:rsid w:val="00505644"/>
    <w:rsid w:val="00510452"/>
    <w:rsid w:val="00510A42"/>
    <w:rsid w:val="0051154E"/>
    <w:rsid w:val="00512965"/>
    <w:rsid w:val="005135DD"/>
    <w:rsid w:val="00514497"/>
    <w:rsid w:val="00515620"/>
    <w:rsid w:val="00516FE0"/>
    <w:rsid w:val="00520398"/>
    <w:rsid w:val="005219CF"/>
    <w:rsid w:val="00525461"/>
    <w:rsid w:val="005306BE"/>
    <w:rsid w:val="00530EE9"/>
    <w:rsid w:val="00531A3E"/>
    <w:rsid w:val="00532CBC"/>
    <w:rsid w:val="00533363"/>
    <w:rsid w:val="00534F79"/>
    <w:rsid w:val="005358BF"/>
    <w:rsid w:val="00535D08"/>
    <w:rsid w:val="00535EF4"/>
    <w:rsid w:val="005360D6"/>
    <w:rsid w:val="00542DE9"/>
    <w:rsid w:val="00543B7F"/>
    <w:rsid w:val="00546CD8"/>
    <w:rsid w:val="00550A4C"/>
    <w:rsid w:val="00550C96"/>
    <w:rsid w:val="005512A6"/>
    <w:rsid w:val="005527BF"/>
    <w:rsid w:val="00555C23"/>
    <w:rsid w:val="00556E35"/>
    <w:rsid w:val="005621AD"/>
    <w:rsid w:val="00562318"/>
    <w:rsid w:val="005632D6"/>
    <w:rsid w:val="00563B95"/>
    <w:rsid w:val="005645F7"/>
    <w:rsid w:val="00564B53"/>
    <w:rsid w:val="005652FF"/>
    <w:rsid w:val="00567040"/>
    <w:rsid w:val="0056797E"/>
    <w:rsid w:val="005708CC"/>
    <w:rsid w:val="00572287"/>
    <w:rsid w:val="0057438A"/>
    <w:rsid w:val="00575C43"/>
    <w:rsid w:val="0057611D"/>
    <w:rsid w:val="00576A12"/>
    <w:rsid w:val="00577520"/>
    <w:rsid w:val="00582AA6"/>
    <w:rsid w:val="005833C4"/>
    <w:rsid w:val="00594BC4"/>
    <w:rsid w:val="005954DA"/>
    <w:rsid w:val="00595E97"/>
    <w:rsid w:val="00596876"/>
    <w:rsid w:val="0059695C"/>
    <w:rsid w:val="00596D27"/>
    <w:rsid w:val="00597BF2"/>
    <w:rsid w:val="005A041F"/>
    <w:rsid w:val="005A05DE"/>
    <w:rsid w:val="005A1CCE"/>
    <w:rsid w:val="005A42D0"/>
    <w:rsid w:val="005A44FC"/>
    <w:rsid w:val="005A77BC"/>
    <w:rsid w:val="005A7E05"/>
    <w:rsid w:val="005B02E0"/>
    <w:rsid w:val="005B491C"/>
    <w:rsid w:val="005B5A9A"/>
    <w:rsid w:val="005B616A"/>
    <w:rsid w:val="005B67F0"/>
    <w:rsid w:val="005B7691"/>
    <w:rsid w:val="005C0350"/>
    <w:rsid w:val="005C05AB"/>
    <w:rsid w:val="005C07A4"/>
    <w:rsid w:val="005C14E0"/>
    <w:rsid w:val="005C2848"/>
    <w:rsid w:val="005C5497"/>
    <w:rsid w:val="005C6375"/>
    <w:rsid w:val="005D1A74"/>
    <w:rsid w:val="005D2E94"/>
    <w:rsid w:val="005D4799"/>
    <w:rsid w:val="005D76CA"/>
    <w:rsid w:val="005D7A0F"/>
    <w:rsid w:val="005E2242"/>
    <w:rsid w:val="005E3EC9"/>
    <w:rsid w:val="005E45D1"/>
    <w:rsid w:val="005E7FCC"/>
    <w:rsid w:val="005F0769"/>
    <w:rsid w:val="005F16B4"/>
    <w:rsid w:val="005F1D93"/>
    <w:rsid w:val="005F2050"/>
    <w:rsid w:val="005F29F5"/>
    <w:rsid w:val="005F30E0"/>
    <w:rsid w:val="005F45A5"/>
    <w:rsid w:val="005F4E8D"/>
    <w:rsid w:val="005F5AF8"/>
    <w:rsid w:val="005F76C6"/>
    <w:rsid w:val="00601473"/>
    <w:rsid w:val="00601F9E"/>
    <w:rsid w:val="006046B2"/>
    <w:rsid w:val="00605582"/>
    <w:rsid w:val="00606C6F"/>
    <w:rsid w:val="00606D9C"/>
    <w:rsid w:val="00610CF9"/>
    <w:rsid w:val="00611424"/>
    <w:rsid w:val="00612036"/>
    <w:rsid w:val="006147E3"/>
    <w:rsid w:val="0062024E"/>
    <w:rsid w:val="00621AD9"/>
    <w:rsid w:val="00623F3A"/>
    <w:rsid w:val="00624B94"/>
    <w:rsid w:val="006258C5"/>
    <w:rsid w:val="006271AB"/>
    <w:rsid w:val="006307F6"/>
    <w:rsid w:val="00630831"/>
    <w:rsid w:val="00630988"/>
    <w:rsid w:val="006311F9"/>
    <w:rsid w:val="006315D8"/>
    <w:rsid w:val="00631976"/>
    <w:rsid w:val="00632011"/>
    <w:rsid w:val="00632EC8"/>
    <w:rsid w:val="0063529F"/>
    <w:rsid w:val="00636D7C"/>
    <w:rsid w:val="00637666"/>
    <w:rsid w:val="00637AE0"/>
    <w:rsid w:val="006421CB"/>
    <w:rsid w:val="00642C66"/>
    <w:rsid w:val="00642E80"/>
    <w:rsid w:val="00645ACC"/>
    <w:rsid w:val="0064604B"/>
    <w:rsid w:val="0064734D"/>
    <w:rsid w:val="00647E48"/>
    <w:rsid w:val="00647FF8"/>
    <w:rsid w:val="006503EF"/>
    <w:rsid w:val="006508CC"/>
    <w:rsid w:val="00652559"/>
    <w:rsid w:val="00653B58"/>
    <w:rsid w:val="00654F03"/>
    <w:rsid w:val="0065553A"/>
    <w:rsid w:val="00656774"/>
    <w:rsid w:val="00656DC6"/>
    <w:rsid w:val="00656EBE"/>
    <w:rsid w:val="006574DF"/>
    <w:rsid w:val="0065787E"/>
    <w:rsid w:val="00657D43"/>
    <w:rsid w:val="00660AE3"/>
    <w:rsid w:val="00662678"/>
    <w:rsid w:val="00664692"/>
    <w:rsid w:val="0066487F"/>
    <w:rsid w:val="00665449"/>
    <w:rsid w:val="0066679D"/>
    <w:rsid w:val="006671C9"/>
    <w:rsid w:val="00670A4D"/>
    <w:rsid w:val="00670F3B"/>
    <w:rsid w:val="00670FF1"/>
    <w:rsid w:val="00672D6D"/>
    <w:rsid w:val="00673D93"/>
    <w:rsid w:val="00675296"/>
    <w:rsid w:val="00676C2B"/>
    <w:rsid w:val="006809E5"/>
    <w:rsid w:val="00681642"/>
    <w:rsid w:val="00682520"/>
    <w:rsid w:val="0068460A"/>
    <w:rsid w:val="00684D03"/>
    <w:rsid w:val="00685ABF"/>
    <w:rsid w:val="00686026"/>
    <w:rsid w:val="006878D3"/>
    <w:rsid w:val="0068792E"/>
    <w:rsid w:val="00694B57"/>
    <w:rsid w:val="00697921"/>
    <w:rsid w:val="006A126A"/>
    <w:rsid w:val="006A16E0"/>
    <w:rsid w:val="006A397F"/>
    <w:rsid w:val="006A3BF9"/>
    <w:rsid w:val="006A505B"/>
    <w:rsid w:val="006A628E"/>
    <w:rsid w:val="006A6773"/>
    <w:rsid w:val="006B3019"/>
    <w:rsid w:val="006B3D94"/>
    <w:rsid w:val="006B5677"/>
    <w:rsid w:val="006B5C5F"/>
    <w:rsid w:val="006B6F31"/>
    <w:rsid w:val="006C1DD6"/>
    <w:rsid w:val="006C2DE1"/>
    <w:rsid w:val="006C48F4"/>
    <w:rsid w:val="006C526D"/>
    <w:rsid w:val="006C744B"/>
    <w:rsid w:val="006D1B5C"/>
    <w:rsid w:val="006D22C2"/>
    <w:rsid w:val="006D311F"/>
    <w:rsid w:val="006D36BE"/>
    <w:rsid w:val="006D4D2B"/>
    <w:rsid w:val="006D57D8"/>
    <w:rsid w:val="006D75CE"/>
    <w:rsid w:val="006D7B79"/>
    <w:rsid w:val="006E3327"/>
    <w:rsid w:val="006E4498"/>
    <w:rsid w:val="006E5CA8"/>
    <w:rsid w:val="006E5F38"/>
    <w:rsid w:val="006E77DB"/>
    <w:rsid w:val="006F1347"/>
    <w:rsid w:val="006F3264"/>
    <w:rsid w:val="006F52AC"/>
    <w:rsid w:val="006F6612"/>
    <w:rsid w:val="006F66BD"/>
    <w:rsid w:val="006F6A12"/>
    <w:rsid w:val="006F7725"/>
    <w:rsid w:val="00700AAA"/>
    <w:rsid w:val="00710140"/>
    <w:rsid w:val="00710494"/>
    <w:rsid w:val="00711F6D"/>
    <w:rsid w:val="0071392A"/>
    <w:rsid w:val="007141D0"/>
    <w:rsid w:val="00714516"/>
    <w:rsid w:val="00715890"/>
    <w:rsid w:val="007161E9"/>
    <w:rsid w:val="00716F4B"/>
    <w:rsid w:val="007209A1"/>
    <w:rsid w:val="00721162"/>
    <w:rsid w:val="00721CC2"/>
    <w:rsid w:val="00723630"/>
    <w:rsid w:val="007245DF"/>
    <w:rsid w:val="00730BB2"/>
    <w:rsid w:val="0073192D"/>
    <w:rsid w:val="00731D17"/>
    <w:rsid w:val="00732393"/>
    <w:rsid w:val="00732CDB"/>
    <w:rsid w:val="007330F5"/>
    <w:rsid w:val="00733755"/>
    <w:rsid w:val="0074450F"/>
    <w:rsid w:val="00744659"/>
    <w:rsid w:val="00744B31"/>
    <w:rsid w:val="0074576F"/>
    <w:rsid w:val="00745D87"/>
    <w:rsid w:val="00746F8E"/>
    <w:rsid w:val="00747DDF"/>
    <w:rsid w:val="00750E65"/>
    <w:rsid w:val="0075234A"/>
    <w:rsid w:val="0075270F"/>
    <w:rsid w:val="0075339B"/>
    <w:rsid w:val="0076001D"/>
    <w:rsid w:val="00761C54"/>
    <w:rsid w:val="007625FE"/>
    <w:rsid w:val="0076325F"/>
    <w:rsid w:val="00763655"/>
    <w:rsid w:val="00763A9E"/>
    <w:rsid w:val="00764844"/>
    <w:rsid w:val="0076540F"/>
    <w:rsid w:val="007663A2"/>
    <w:rsid w:val="0077058D"/>
    <w:rsid w:val="00770EBD"/>
    <w:rsid w:val="007723FC"/>
    <w:rsid w:val="00773D98"/>
    <w:rsid w:val="007746E2"/>
    <w:rsid w:val="0077695D"/>
    <w:rsid w:val="007778EE"/>
    <w:rsid w:val="00780641"/>
    <w:rsid w:val="00781066"/>
    <w:rsid w:val="007829BA"/>
    <w:rsid w:val="007841AD"/>
    <w:rsid w:val="00790899"/>
    <w:rsid w:val="00790EF8"/>
    <w:rsid w:val="00792B1A"/>
    <w:rsid w:val="00793F8C"/>
    <w:rsid w:val="00794057"/>
    <w:rsid w:val="00796037"/>
    <w:rsid w:val="00796FAC"/>
    <w:rsid w:val="007A0D34"/>
    <w:rsid w:val="007A33C0"/>
    <w:rsid w:val="007A3D03"/>
    <w:rsid w:val="007A3E1D"/>
    <w:rsid w:val="007A7031"/>
    <w:rsid w:val="007A7388"/>
    <w:rsid w:val="007B1E38"/>
    <w:rsid w:val="007B3539"/>
    <w:rsid w:val="007B3908"/>
    <w:rsid w:val="007B3F1B"/>
    <w:rsid w:val="007B43A5"/>
    <w:rsid w:val="007B4687"/>
    <w:rsid w:val="007B4DB8"/>
    <w:rsid w:val="007C0100"/>
    <w:rsid w:val="007C099C"/>
    <w:rsid w:val="007C0EE4"/>
    <w:rsid w:val="007C3AF3"/>
    <w:rsid w:val="007C3F2A"/>
    <w:rsid w:val="007C558F"/>
    <w:rsid w:val="007C67A7"/>
    <w:rsid w:val="007C6C40"/>
    <w:rsid w:val="007C738E"/>
    <w:rsid w:val="007D2866"/>
    <w:rsid w:val="007D2FF3"/>
    <w:rsid w:val="007D5EB6"/>
    <w:rsid w:val="007D7062"/>
    <w:rsid w:val="007E1E9C"/>
    <w:rsid w:val="007E26B5"/>
    <w:rsid w:val="007E3794"/>
    <w:rsid w:val="007E39CC"/>
    <w:rsid w:val="007E5259"/>
    <w:rsid w:val="007E5DEF"/>
    <w:rsid w:val="007F0AE8"/>
    <w:rsid w:val="007F2795"/>
    <w:rsid w:val="007F2AD2"/>
    <w:rsid w:val="007F4864"/>
    <w:rsid w:val="007F731D"/>
    <w:rsid w:val="007F7CE4"/>
    <w:rsid w:val="008012AA"/>
    <w:rsid w:val="008026AB"/>
    <w:rsid w:val="00804E08"/>
    <w:rsid w:val="00807514"/>
    <w:rsid w:val="0081139C"/>
    <w:rsid w:val="00811E5E"/>
    <w:rsid w:val="00812D86"/>
    <w:rsid w:val="0081507F"/>
    <w:rsid w:val="00815F2D"/>
    <w:rsid w:val="008162BA"/>
    <w:rsid w:val="008174D1"/>
    <w:rsid w:val="00817BA6"/>
    <w:rsid w:val="008237EF"/>
    <w:rsid w:val="00823AEF"/>
    <w:rsid w:val="00824F12"/>
    <w:rsid w:val="00825361"/>
    <w:rsid w:val="008256D2"/>
    <w:rsid w:val="00825B6E"/>
    <w:rsid w:val="00826D84"/>
    <w:rsid w:val="008274AE"/>
    <w:rsid w:val="00830FD6"/>
    <w:rsid w:val="0083213C"/>
    <w:rsid w:val="00833C46"/>
    <w:rsid w:val="00835057"/>
    <w:rsid w:val="00835B9A"/>
    <w:rsid w:val="008372AF"/>
    <w:rsid w:val="00840D04"/>
    <w:rsid w:val="00842AA1"/>
    <w:rsid w:val="00843009"/>
    <w:rsid w:val="00846A2F"/>
    <w:rsid w:val="008471C2"/>
    <w:rsid w:val="008474B3"/>
    <w:rsid w:val="00850A2A"/>
    <w:rsid w:val="00851D39"/>
    <w:rsid w:val="008522A9"/>
    <w:rsid w:val="00853E84"/>
    <w:rsid w:val="008541A6"/>
    <w:rsid w:val="0085444B"/>
    <w:rsid w:val="00857FD6"/>
    <w:rsid w:val="00860F23"/>
    <w:rsid w:val="0086152C"/>
    <w:rsid w:val="0086233B"/>
    <w:rsid w:val="00863A17"/>
    <w:rsid w:val="00866209"/>
    <w:rsid w:val="008663C5"/>
    <w:rsid w:val="00866860"/>
    <w:rsid w:val="00867523"/>
    <w:rsid w:val="00870C37"/>
    <w:rsid w:val="00872EF1"/>
    <w:rsid w:val="00873DFE"/>
    <w:rsid w:val="008767BC"/>
    <w:rsid w:val="00880BE0"/>
    <w:rsid w:val="0088180C"/>
    <w:rsid w:val="008865D2"/>
    <w:rsid w:val="008904B8"/>
    <w:rsid w:val="00891F8B"/>
    <w:rsid w:val="00894694"/>
    <w:rsid w:val="0089508C"/>
    <w:rsid w:val="00897CB3"/>
    <w:rsid w:val="008A0F87"/>
    <w:rsid w:val="008A3AD2"/>
    <w:rsid w:val="008A6BBF"/>
    <w:rsid w:val="008A7422"/>
    <w:rsid w:val="008B04E7"/>
    <w:rsid w:val="008B12BC"/>
    <w:rsid w:val="008B17C7"/>
    <w:rsid w:val="008B1AC1"/>
    <w:rsid w:val="008B2E08"/>
    <w:rsid w:val="008B450A"/>
    <w:rsid w:val="008B578C"/>
    <w:rsid w:val="008B582A"/>
    <w:rsid w:val="008B5A07"/>
    <w:rsid w:val="008C11EB"/>
    <w:rsid w:val="008C157D"/>
    <w:rsid w:val="008C1656"/>
    <w:rsid w:val="008C29B4"/>
    <w:rsid w:val="008C5898"/>
    <w:rsid w:val="008C7178"/>
    <w:rsid w:val="008C7B6C"/>
    <w:rsid w:val="008D0614"/>
    <w:rsid w:val="008D50BD"/>
    <w:rsid w:val="008D6D88"/>
    <w:rsid w:val="008D70BE"/>
    <w:rsid w:val="008E06E7"/>
    <w:rsid w:val="008E1069"/>
    <w:rsid w:val="008E12C7"/>
    <w:rsid w:val="008E4B6F"/>
    <w:rsid w:val="008E4B72"/>
    <w:rsid w:val="008E4FF1"/>
    <w:rsid w:val="008E7F02"/>
    <w:rsid w:val="008F1C4F"/>
    <w:rsid w:val="008F35EF"/>
    <w:rsid w:val="008F4843"/>
    <w:rsid w:val="008F4B14"/>
    <w:rsid w:val="008F4EA1"/>
    <w:rsid w:val="008F5908"/>
    <w:rsid w:val="0090162B"/>
    <w:rsid w:val="009029E7"/>
    <w:rsid w:val="00902C42"/>
    <w:rsid w:val="00902FBD"/>
    <w:rsid w:val="009034D4"/>
    <w:rsid w:val="0090418A"/>
    <w:rsid w:val="009053C6"/>
    <w:rsid w:val="00905B1B"/>
    <w:rsid w:val="00906D64"/>
    <w:rsid w:val="00910D86"/>
    <w:rsid w:val="00913A1B"/>
    <w:rsid w:val="00916161"/>
    <w:rsid w:val="00916319"/>
    <w:rsid w:val="00917258"/>
    <w:rsid w:val="0091755A"/>
    <w:rsid w:val="009176AF"/>
    <w:rsid w:val="00917862"/>
    <w:rsid w:val="00920BA3"/>
    <w:rsid w:val="00923EB1"/>
    <w:rsid w:val="009241BD"/>
    <w:rsid w:val="009271BB"/>
    <w:rsid w:val="00930242"/>
    <w:rsid w:val="0093090F"/>
    <w:rsid w:val="009319C9"/>
    <w:rsid w:val="00932A16"/>
    <w:rsid w:val="0093372C"/>
    <w:rsid w:val="00934976"/>
    <w:rsid w:val="00934D46"/>
    <w:rsid w:val="009369AC"/>
    <w:rsid w:val="009379B9"/>
    <w:rsid w:val="009428C2"/>
    <w:rsid w:val="00943A82"/>
    <w:rsid w:val="0094561A"/>
    <w:rsid w:val="00945E19"/>
    <w:rsid w:val="00946E24"/>
    <w:rsid w:val="00952886"/>
    <w:rsid w:val="0095350E"/>
    <w:rsid w:val="00953C1E"/>
    <w:rsid w:val="009555CB"/>
    <w:rsid w:val="009610A0"/>
    <w:rsid w:val="00961E32"/>
    <w:rsid w:val="00963BCE"/>
    <w:rsid w:val="00965A1C"/>
    <w:rsid w:val="009705F8"/>
    <w:rsid w:val="009726C7"/>
    <w:rsid w:val="00972E0C"/>
    <w:rsid w:val="009744EB"/>
    <w:rsid w:val="00974680"/>
    <w:rsid w:val="00975533"/>
    <w:rsid w:val="009760E3"/>
    <w:rsid w:val="009766D1"/>
    <w:rsid w:val="00976EA8"/>
    <w:rsid w:val="00977371"/>
    <w:rsid w:val="00980031"/>
    <w:rsid w:val="0098200F"/>
    <w:rsid w:val="00982A75"/>
    <w:rsid w:val="00982CFF"/>
    <w:rsid w:val="00984949"/>
    <w:rsid w:val="00985D76"/>
    <w:rsid w:val="00986C6F"/>
    <w:rsid w:val="009871D5"/>
    <w:rsid w:val="00987E36"/>
    <w:rsid w:val="00990B3E"/>
    <w:rsid w:val="0099115D"/>
    <w:rsid w:val="009916D5"/>
    <w:rsid w:val="00991FA8"/>
    <w:rsid w:val="00992519"/>
    <w:rsid w:val="009950A4"/>
    <w:rsid w:val="00997574"/>
    <w:rsid w:val="00997E78"/>
    <w:rsid w:val="009A1C8E"/>
    <w:rsid w:val="009A23A4"/>
    <w:rsid w:val="009A28B6"/>
    <w:rsid w:val="009B03F6"/>
    <w:rsid w:val="009B052B"/>
    <w:rsid w:val="009B2E51"/>
    <w:rsid w:val="009B6068"/>
    <w:rsid w:val="009B650C"/>
    <w:rsid w:val="009B75D9"/>
    <w:rsid w:val="009C0034"/>
    <w:rsid w:val="009C1166"/>
    <w:rsid w:val="009C3F8A"/>
    <w:rsid w:val="009C5B15"/>
    <w:rsid w:val="009C724B"/>
    <w:rsid w:val="009D2297"/>
    <w:rsid w:val="009D2B26"/>
    <w:rsid w:val="009D3EE9"/>
    <w:rsid w:val="009D4508"/>
    <w:rsid w:val="009D473A"/>
    <w:rsid w:val="009D4D20"/>
    <w:rsid w:val="009D594C"/>
    <w:rsid w:val="009D7A60"/>
    <w:rsid w:val="009E0AFC"/>
    <w:rsid w:val="009E0D68"/>
    <w:rsid w:val="009E14A2"/>
    <w:rsid w:val="009E1523"/>
    <w:rsid w:val="009E206D"/>
    <w:rsid w:val="009E324E"/>
    <w:rsid w:val="009E4A5D"/>
    <w:rsid w:val="009E5E72"/>
    <w:rsid w:val="009E62AF"/>
    <w:rsid w:val="009E7083"/>
    <w:rsid w:val="009F03CB"/>
    <w:rsid w:val="009F0698"/>
    <w:rsid w:val="009F1FF3"/>
    <w:rsid w:val="009F4C6F"/>
    <w:rsid w:val="009F5CE5"/>
    <w:rsid w:val="009F6949"/>
    <w:rsid w:val="009F69E5"/>
    <w:rsid w:val="009F6F2D"/>
    <w:rsid w:val="009F795E"/>
    <w:rsid w:val="009F7A4B"/>
    <w:rsid w:val="00A02B17"/>
    <w:rsid w:val="00A02DA1"/>
    <w:rsid w:val="00A03033"/>
    <w:rsid w:val="00A0364A"/>
    <w:rsid w:val="00A054C3"/>
    <w:rsid w:val="00A05A61"/>
    <w:rsid w:val="00A06EBA"/>
    <w:rsid w:val="00A1045C"/>
    <w:rsid w:val="00A10F57"/>
    <w:rsid w:val="00A12048"/>
    <w:rsid w:val="00A123CC"/>
    <w:rsid w:val="00A13732"/>
    <w:rsid w:val="00A1478A"/>
    <w:rsid w:val="00A15789"/>
    <w:rsid w:val="00A16BE8"/>
    <w:rsid w:val="00A21CB5"/>
    <w:rsid w:val="00A2259D"/>
    <w:rsid w:val="00A23DC9"/>
    <w:rsid w:val="00A2473B"/>
    <w:rsid w:val="00A254A1"/>
    <w:rsid w:val="00A26B7B"/>
    <w:rsid w:val="00A30D6D"/>
    <w:rsid w:val="00A31AE0"/>
    <w:rsid w:val="00A31AEF"/>
    <w:rsid w:val="00A3277F"/>
    <w:rsid w:val="00A35184"/>
    <w:rsid w:val="00A37061"/>
    <w:rsid w:val="00A41D77"/>
    <w:rsid w:val="00A42011"/>
    <w:rsid w:val="00A43157"/>
    <w:rsid w:val="00A43C6F"/>
    <w:rsid w:val="00A4420E"/>
    <w:rsid w:val="00A445AE"/>
    <w:rsid w:val="00A44AC7"/>
    <w:rsid w:val="00A4641E"/>
    <w:rsid w:val="00A501EF"/>
    <w:rsid w:val="00A51547"/>
    <w:rsid w:val="00A521E9"/>
    <w:rsid w:val="00A54384"/>
    <w:rsid w:val="00A55EE7"/>
    <w:rsid w:val="00A571B2"/>
    <w:rsid w:val="00A5720C"/>
    <w:rsid w:val="00A5731E"/>
    <w:rsid w:val="00A57724"/>
    <w:rsid w:val="00A60CE8"/>
    <w:rsid w:val="00A61A16"/>
    <w:rsid w:val="00A63272"/>
    <w:rsid w:val="00A64F64"/>
    <w:rsid w:val="00A6586D"/>
    <w:rsid w:val="00A65D00"/>
    <w:rsid w:val="00A669AD"/>
    <w:rsid w:val="00A72F1B"/>
    <w:rsid w:val="00A741D6"/>
    <w:rsid w:val="00A7445A"/>
    <w:rsid w:val="00A74A5F"/>
    <w:rsid w:val="00A74E0C"/>
    <w:rsid w:val="00A758E2"/>
    <w:rsid w:val="00A761D1"/>
    <w:rsid w:val="00A76401"/>
    <w:rsid w:val="00A76C61"/>
    <w:rsid w:val="00A7764C"/>
    <w:rsid w:val="00A77B48"/>
    <w:rsid w:val="00A820F1"/>
    <w:rsid w:val="00A82135"/>
    <w:rsid w:val="00A8286A"/>
    <w:rsid w:val="00A82F07"/>
    <w:rsid w:val="00A84BD0"/>
    <w:rsid w:val="00A86549"/>
    <w:rsid w:val="00A866F0"/>
    <w:rsid w:val="00A90DAA"/>
    <w:rsid w:val="00A913CF"/>
    <w:rsid w:val="00A92BE1"/>
    <w:rsid w:val="00A92C33"/>
    <w:rsid w:val="00A92D2C"/>
    <w:rsid w:val="00A92D41"/>
    <w:rsid w:val="00A937B8"/>
    <w:rsid w:val="00AA0759"/>
    <w:rsid w:val="00AA284A"/>
    <w:rsid w:val="00AA3A3B"/>
    <w:rsid w:val="00AA4A6E"/>
    <w:rsid w:val="00AB0841"/>
    <w:rsid w:val="00AB0BD6"/>
    <w:rsid w:val="00AB120F"/>
    <w:rsid w:val="00AB4D3A"/>
    <w:rsid w:val="00AB665D"/>
    <w:rsid w:val="00AB70DE"/>
    <w:rsid w:val="00AB7531"/>
    <w:rsid w:val="00AB7F32"/>
    <w:rsid w:val="00AC0D70"/>
    <w:rsid w:val="00AC2CDA"/>
    <w:rsid w:val="00AC3249"/>
    <w:rsid w:val="00AC3BAD"/>
    <w:rsid w:val="00AC4BB6"/>
    <w:rsid w:val="00AC62CB"/>
    <w:rsid w:val="00AC77F7"/>
    <w:rsid w:val="00AD05AA"/>
    <w:rsid w:val="00AD55C5"/>
    <w:rsid w:val="00AD7826"/>
    <w:rsid w:val="00AE068D"/>
    <w:rsid w:val="00AE4A62"/>
    <w:rsid w:val="00AE4C1F"/>
    <w:rsid w:val="00AE4C4E"/>
    <w:rsid w:val="00AE68CA"/>
    <w:rsid w:val="00AF19B8"/>
    <w:rsid w:val="00AF211E"/>
    <w:rsid w:val="00AF44CA"/>
    <w:rsid w:val="00AF57FE"/>
    <w:rsid w:val="00AF6FB2"/>
    <w:rsid w:val="00B00382"/>
    <w:rsid w:val="00B00A82"/>
    <w:rsid w:val="00B02A7C"/>
    <w:rsid w:val="00B0635A"/>
    <w:rsid w:val="00B06DC1"/>
    <w:rsid w:val="00B10BB2"/>
    <w:rsid w:val="00B1273E"/>
    <w:rsid w:val="00B13388"/>
    <w:rsid w:val="00B13FFB"/>
    <w:rsid w:val="00B14F38"/>
    <w:rsid w:val="00B15352"/>
    <w:rsid w:val="00B1678A"/>
    <w:rsid w:val="00B16DBC"/>
    <w:rsid w:val="00B17B93"/>
    <w:rsid w:val="00B20D8D"/>
    <w:rsid w:val="00B20E1F"/>
    <w:rsid w:val="00B2171F"/>
    <w:rsid w:val="00B21A1F"/>
    <w:rsid w:val="00B22E03"/>
    <w:rsid w:val="00B25019"/>
    <w:rsid w:val="00B25DF2"/>
    <w:rsid w:val="00B268CF"/>
    <w:rsid w:val="00B268D1"/>
    <w:rsid w:val="00B30DA8"/>
    <w:rsid w:val="00B3127C"/>
    <w:rsid w:val="00B32FF3"/>
    <w:rsid w:val="00B353E8"/>
    <w:rsid w:val="00B357AC"/>
    <w:rsid w:val="00B36D27"/>
    <w:rsid w:val="00B36FB5"/>
    <w:rsid w:val="00B37BF8"/>
    <w:rsid w:val="00B37DC1"/>
    <w:rsid w:val="00B42282"/>
    <w:rsid w:val="00B42926"/>
    <w:rsid w:val="00B42E80"/>
    <w:rsid w:val="00B459DB"/>
    <w:rsid w:val="00B45B57"/>
    <w:rsid w:val="00B500DB"/>
    <w:rsid w:val="00B501A2"/>
    <w:rsid w:val="00B52354"/>
    <w:rsid w:val="00B52B54"/>
    <w:rsid w:val="00B533D2"/>
    <w:rsid w:val="00B54741"/>
    <w:rsid w:val="00B57B19"/>
    <w:rsid w:val="00B646B4"/>
    <w:rsid w:val="00B64D24"/>
    <w:rsid w:val="00B65977"/>
    <w:rsid w:val="00B66407"/>
    <w:rsid w:val="00B66820"/>
    <w:rsid w:val="00B673FB"/>
    <w:rsid w:val="00B741A1"/>
    <w:rsid w:val="00B74727"/>
    <w:rsid w:val="00B80293"/>
    <w:rsid w:val="00B80637"/>
    <w:rsid w:val="00B80EA7"/>
    <w:rsid w:val="00B83700"/>
    <w:rsid w:val="00B853F6"/>
    <w:rsid w:val="00B860C5"/>
    <w:rsid w:val="00B86E0B"/>
    <w:rsid w:val="00B90E60"/>
    <w:rsid w:val="00B90F27"/>
    <w:rsid w:val="00B91522"/>
    <w:rsid w:val="00B934DF"/>
    <w:rsid w:val="00B93EEE"/>
    <w:rsid w:val="00B968F0"/>
    <w:rsid w:val="00B97DEF"/>
    <w:rsid w:val="00BA01CB"/>
    <w:rsid w:val="00BA281B"/>
    <w:rsid w:val="00BA3693"/>
    <w:rsid w:val="00BA495A"/>
    <w:rsid w:val="00BA580D"/>
    <w:rsid w:val="00BA6525"/>
    <w:rsid w:val="00BA6671"/>
    <w:rsid w:val="00BA6BB3"/>
    <w:rsid w:val="00BB097C"/>
    <w:rsid w:val="00BB45D5"/>
    <w:rsid w:val="00BB518F"/>
    <w:rsid w:val="00BB6E27"/>
    <w:rsid w:val="00BC1A8E"/>
    <w:rsid w:val="00BC1F33"/>
    <w:rsid w:val="00BC4213"/>
    <w:rsid w:val="00BC5636"/>
    <w:rsid w:val="00BC5A90"/>
    <w:rsid w:val="00BC5BB2"/>
    <w:rsid w:val="00BC5E57"/>
    <w:rsid w:val="00BC6C25"/>
    <w:rsid w:val="00BC7AAF"/>
    <w:rsid w:val="00BD09BA"/>
    <w:rsid w:val="00BD0F65"/>
    <w:rsid w:val="00BD45F4"/>
    <w:rsid w:val="00BD710B"/>
    <w:rsid w:val="00BD72A6"/>
    <w:rsid w:val="00BD7421"/>
    <w:rsid w:val="00BE1203"/>
    <w:rsid w:val="00BE12FE"/>
    <w:rsid w:val="00BE1F73"/>
    <w:rsid w:val="00BE25EC"/>
    <w:rsid w:val="00BE4E14"/>
    <w:rsid w:val="00BE5948"/>
    <w:rsid w:val="00BE64E8"/>
    <w:rsid w:val="00BF02CC"/>
    <w:rsid w:val="00BF0451"/>
    <w:rsid w:val="00BF058F"/>
    <w:rsid w:val="00BF28B5"/>
    <w:rsid w:val="00BF3E47"/>
    <w:rsid w:val="00BF7149"/>
    <w:rsid w:val="00C00CE3"/>
    <w:rsid w:val="00C017BF"/>
    <w:rsid w:val="00C01CAA"/>
    <w:rsid w:val="00C01E32"/>
    <w:rsid w:val="00C03AF8"/>
    <w:rsid w:val="00C05DD6"/>
    <w:rsid w:val="00C06295"/>
    <w:rsid w:val="00C075DB"/>
    <w:rsid w:val="00C07FC0"/>
    <w:rsid w:val="00C10419"/>
    <w:rsid w:val="00C10E3B"/>
    <w:rsid w:val="00C13C50"/>
    <w:rsid w:val="00C15011"/>
    <w:rsid w:val="00C1543E"/>
    <w:rsid w:val="00C15442"/>
    <w:rsid w:val="00C15AC0"/>
    <w:rsid w:val="00C15C2B"/>
    <w:rsid w:val="00C22794"/>
    <w:rsid w:val="00C22B1B"/>
    <w:rsid w:val="00C25C31"/>
    <w:rsid w:val="00C262AF"/>
    <w:rsid w:val="00C26C2E"/>
    <w:rsid w:val="00C26D0C"/>
    <w:rsid w:val="00C27B1C"/>
    <w:rsid w:val="00C3348F"/>
    <w:rsid w:val="00C3466F"/>
    <w:rsid w:val="00C35A81"/>
    <w:rsid w:val="00C35B21"/>
    <w:rsid w:val="00C36C70"/>
    <w:rsid w:val="00C37681"/>
    <w:rsid w:val="00C3794E"/>
    <w:rsid w:val="00C40B41"/>
    <w:rsid w:val="00C43994"/>
    <w:rsid w:val="00C4486D"/>
    <w:rsid w:val="00C456DD"/>
    <w:rsid w:val="00C473FA"/>
    <w:rsid w:val="00C50076"/>
    <w:rsid w:val="00C505A0"/>
    <w:rsid w:val="00C514A7"/>
    <w:rsid w:val="00C52811"/>
    <w:rsid w:val="00C52828"/>
    <w:rsid w:val="00C52C3C"/>
    <w:rsid w:val="00C52D80"/>
    <w:rsid w:val="00C5355A"/>
    <w:rsid w:val="00C539D8"/>
    <w:rsid w:val="00C53DD7"/>
    <w:rsid w:val="00C54991"/>
    <w:rsid w:val="00C54DA2"/>
    <w:rsid w:val="00C56F60"/>
    <w:rsid w:val="00C629A1"/>
    <w:rsid w:val="00C6411B"/>
    <w:rsid w:val="00C65CC6"/>
    <w:rsid w:val="00C66097"/>
    <w:rsid w:val="00C67132"/>
    <w:rsid w:val="00C67198"/>
    <w:rsid w:val="00C675CD"/>
    <w:rsid w:val="00C70688"/>
    <w:rsid w:val="00C708EB"/>
    <w:rsid w:val="00C71CF1"/>
    <w:rsid w:val="00C73B5B"/>
    <w:rsid w:val="00C73F3A"/>
    <w:rsid w:val="00C74887"/>
    <w:rsid w:val="00C75970"/>
    <w:rsid w:val="00C766D0"/>
    <w:rsid w:val="00C817CC"/>
    <w:rsid w:val="00C82267"/>
    <w:rsid w:val="00C82689"/>
    <w:rsid w:val="00C840CA"/>
    <w:rsid w:val="00C846A6"/>
    <w:rsid w:val="00C8553D"/>
    <w:rsid w:val="00C87EA9"/>
    <w:rsid w:val="00C928AA"/>
    <w:rsid w:val="00C928EA"/>
    <w:rsid w:val="00C93843"/>
    <w:rsid w:val="00C94F65"/>
    <w:rsid w:val="00C95D38"/>
    <w:rsid w:val="00CA0358"/>
    <w:rsid w:val="00CA19E2"/>
    <w:rsid w:val="00CB0647"/>
    <w:rsid w:val="00CB2650"/>
    <w:rsid w:val="00CB6A80"/>
    <w:rsid w:val="00CB73B4"/>
    <w:rsid w:val="00CB78E8"/>
    <w:rsid w:val="00CC0A83"/>
    <w:rsid w:val="00CC1429"/>
    <w:rsid w:val="00CC16ED"/>
    <w:rsid w:val="00CC34C5"/>
    <w:rsid w:val="00CC5796"/>
    <w:rsid w:val="00CC5C99"/>
    <w:rsid w:val="00CD06BB"/>
    <w:rsid w:val="00CD2224"/>
    <w:rsid w:val="00CD2D9C"/>
    <w:rsid w:val="00CD41A9"/>
    <w:rsid w:val="00CD54F7"/>
    <w:rsid w:val="00CD7410"/>
    <w:rsid w:val="00CE3603"/>
    <w:rsid w:val="00CE55D3"/>
    <w:rsid w:val="00CE5F58"/>
    <w:rsid w:val="00CE68CE"/>
    <w:rsid w:val="00CF05A5"/>
    <w:rsid w:val="00CF0857"/>
    <w:rsid w:val="00CF1F80"/>
    <w:rsid w:val="00CF366C"/>
    <w:rsid w:val="00CF510F"/>
    <w:rsid w:val="00CF53E2"/>
    <w:rsid w:val="00CF642B"/>
    <w:rsid w:val="00CF7A33"/>
    <w:rsid w:val="00D006C3"/>
    <w:rsid w:val="00D0095B"/>
    <w:rsid w:val="00D00A39"/>
    <w:rsid w:val="00D016AA"/>
    <w:rsid w:val="00D02F71"/>
    <w:rsid w:val="00D03BB1"/>
    <w:rsid w:val="00D04600"/>
    <w:rsid w:val="00D054EE"/>
    <w:rsid w:val="00D075FF"/>
    <w:rsid w:val="00D10063"/>
    <w:rsid w:val="00D10CF7"/>
    <w:rsid w:val="00D11597"/>
    <w:rsid w:val="00D13A69"/>
    <w:rsid w:val="00D20E30"/>
    <w:rsid w:val="00D23E29"/>
    <w:rsid w:val="00D24E19"/>
    <w:rsid w:val="00D250BF"/>
    <w:rsid w:val="00D2512D"/>
    <w:rsid w:val="00D2737C"/>
    <w:rsid w:val="00D275B9"/>
    <w:rsid w:val="00D30418"/>
    <w:rsid w:val="00D31BED"/>
    <w:rsid w:val="00D32E2B"/>
    <w:rsid w:val="00D350EC"/>
    <w:rsid w:val="00D36E5D"/>
    <w:rsid w:val="00D37A58"/>
    <w:rsid w:val="00D37B9E"/>
    <w:rsid w:val="00D4107C"/>
    <w:rsid w:val="00D41EFE"/>
    <w:rsid w:val="00D42BC4"/>
    <w:rsid w:val="00D42FB8"/>
    <w:rsid w:val="00D439AB"/>
    <w:rsid w:val="00D4512C"/>
    <w:rsid w:val="00D46304"/>
    <w:rsid w:val="00D46F37"/>
    <w:rsid w:val="00D471E4"/>
    <w:rsid w:val="00D472E8"/>
    <w:rsid w:val="00D478BF"/>
    <w:rsid w:val="00D50A5E"/>
    <w:rsid w:val="00D51501"/>
    <w:rsid w:val="00D51BD2"/>
    <w:rsid w:val="00D5379F"/>
    <w:rsid w:val="00D537F4"/>
    <w:rsid w:val="00D5422A"/>
    <w:rsid w:val="00D5747C"/>
    <w:rsid w:val="00D60E8F"/>
    <w:rsid w:val="00D6287E"/>
    <w:rsid w:val="00D63077"/>
    <w:rsid w:val="00D64D53"/>
    <w:rsid w:val="00D66089"/>
    <w:rsid w:val="00D66735"/>
    <w:rsid w:val="00D67263"/>
    <w:rsid w:val="00D70A94"/>
    <w:rsid w:val="00D724A7"/>
    <w:rsid w:val="00D73153"/>
    <w:rsid w:val="00D735AB"/>
    <w:rsid w:val="00D746AA"/>
    <w:rsid w:val="00D74B46"/>
    <w:rsid w:val="00D7503A"/>
    <w:rsid w:val="00D751E8"/>
    <w:rsid w:val="00D75883"/>
    <w:rsid w:val="00D761E3"/>
    <w:rsid w:val="00D767B8"/>
    <w:rsid w:val="00D811C9"/>
    <w:rsid w:val="00D81672"/>
    <w:rsid w:val="00D8200D"/>
    <w:rsid w:val="00D849E0"/>
    <w:rsid w:val="00D84A1F"/>
    <w:rsid w:val="00D861FB"/>
    <w:rsid w:val="00D87988"/>
    <w:rsid w:val="00D87BD3"/>
    <w:rsid w:val="00D90198"/>
    <w:rsid w:val="00D9193B"/>
    <w:rsid w:val="00D91A7C"/>
    <w:rsid w:val="00D93647"/>
    <w:rsid w:val="00D93B0D"/>
    <w:rsid w:val="00D93E18"/>
    <w:rsid w:val="00D95FE1"/>
    <w:rsid w:val="00D9640B"/>
    <w:rsid w:val="00D97A60"/>
    <w:rsid w:val="00DA1E9E"/>
    <w:rsid w:val="00DA29D2"/>
    <w:rsid w:val="00DA2C89"/>
    <w:rsid w:val="00DA33E4"/>
    <w:rsid w:val="00DA458A"/>
    <w:rsid w:val="00DA4812"/>
    <w:rsid w:val="00DA5ADC"/>
    <w:rsid w:val="00DA6063"/>
    <w:rsid w:val="00DA7560"/>
    <w:rsid w:val="00DB1D93"/>
    <w:rsid w:val="00DB2373"/>
    <w:rsid w:val="00DB2E6D"/>
    <w:rsid w:val="00DB2E84"/>
    <w:rsid w:val="00DB3190"/>
    <w:rsid w:val="00DB3C2A"/>
    <w:rsid w:val="00DB40B1"/>
    <w:rsid w:val="00DB437E"/>
    <w:rsid w:val="00DB4775"/>
    <w:rsid w:val="00DB4903"/>
    <w:rsid w:val="00DB4BB9"/>
    <w:rsid w:val="00DB67ED"/>
    <w:rsid w:val="00DB7120"/>
    <w:rsid w:val="00DC04A4"/>
    <w:rsid w:val="00DC4765"/>
    <w:rsid w:val="00DC5CBE"/>
    <w:rsid w:val="00DC6631"/>
    <w:rsid w:val="00DC6D5C"/>
    <w:rsid w:val="00DC7AC6"/>
    <w:rsid w:val="00DC7E5C"/>
    <w:rsid w:val="00DC7FB3"/>
    <w:rsid w:val="00DD3406"/>
    <w:rsid w:val="00DE15B4"/>
    <w:rsid w:val="00DE3766"/>
    <w:rsid w:val="00DE49CE"/>
    <w:rsid w:val="00DE5B29"/>
    <w:rsid w:val="00DE61F7"/>
    <w:rsid w:val="00DF01A6"/>
    <w:rsid w:val="00DF0399"/>
    <w:rsid w:val="00DF0401"/>
    <w:rsid w:val="00DF0833"/>
    <w:rsid w:val="00DF0F77"/>
    <w:rsid w:val="00DF45B9"/>
    <w:rsid w:val="00DF46D7"/>
    <w:rsid w:val="00DF4D1B"/>
    <w:rsid w:val="00E0023D"/>
    <w:rsid w:val="00E00EB5"/>
    <w:rsid w:val="00E01071"/>
    <w:rsid w:val="00E01DCE"/>
    <w:rsid w:val="00E05277"/>
    <w:rsid w:val="00E05443"/>
    <w:rsid w:val="00E05A07"/>
    <w:rsid w:val="00E05AFB"/>
    <w:rsid w:val="00E06872"/>
    <w:rsid w:val="00E07D31"/>
    <w:rsid w:val="00E100AD"/>
    <w:rsid w:val="00E103FD"/>
    <w:rsid w:val="00E12824"/>
    <w:rsid w:val="00E12C8C"/>
    <w:rsid w:val="00E12D13"/>
    <w:rsid w:val="00E148D0"/>
    <w:rsid w:val="00E1754A"/>
    <w:rsid w:val="00E176F5"/>
    <w:rsid w:val="00E1788E"/>
    <w:rsid w:val="00E17B28"/>
    <w:rsid w:val="00E2017D"/>
    <w:rsid w:val="00E21FB8"/>
    <w:rsid w:val="00E220C4"/>
    <w:rsid w:val="00E22B52"/>
    <w:rsid w:val="00E24D4D"/>
    <w:rsid w:val="00E24E7D"/>
    <w:rsid w:val="00E25542"/>
    <w:rsid w:val="00E25CB0"/>
    <w:rsid w:val="00E25E5A"/>
    <w:rsid w:val="00E31148"/>
    <w:rsid w:val="00E31210"/>
    <w:rsid w:val="00E32789"/>
    <w:rsid w:val="00E32B87"/>
    <w:rsid w:val="00E35C9E"/>
    <w:rsid w:val="00E36073"/>
    <w:rsid w:val="00E36299"/>
    <w:rsid w:val="00E367E0"/>
    <w:rsid w:val="00E36CF6"/>
    <w:rsid w:val="00E4218B"/>
    <w:rsid w:val="00E42653"/>
    <w:rsid w:val="00E4337A"/>
    <w:rsid w:val="00E43FD7"/>
    <w:rsid w:val="00E44341"/>
    <w:rsid w:val="00E44B27"/>
    <w:rsid w:val="00E454DC"/>
    <w:rsid w:val="00E46909"/>
    <w:rsid w:val="00E53413"/>
    <w:rsid w:val="00E5407F"/>
    <w:rsid w:val="00E54A43"/>
    <w:rsid w:val="00E54C7E"/>
    <w:rsid w:val="00E55353"/>
    <w:rsid w:val="00E563ED"/>
    <w:rsid w:val="00E5681C"/>
    <w:rsid w:val="00E57953"/>
    <w:rsid w:val="00E57C56"/>
    <w:rsid w:val="00E61821"/>
    <w:rsid w:val="00E62FD6"/>
    <w:rsid w:val="00E63964"/>
    <w:rsid w:val="00E63C0D"/>
    <w:rsid w:val="00E645F0"/>
    <w:rsid w:val="00E65332"/>
    <w:rsid w:val="00E65B67"/>
    <w:rsid w:val="00E65FAE"/>
    <w:rsid w:val="00E65FDE"/>
    <w:rsid w:val="00E664AA"/>
    <w:rsid w:val="00E70553"/>
    <w:rsid w:val="00E709C2"/>
    <w:rsid w:val="00E71AD8"/>
    <w:rsid w:val="00E71E67"/>
    <w:rsid w:val="00E724A6"/>
    <w:rsid w:val="00E7419F"/>
    <w:rsid w:val="00E76009"/>
    <w:rsid w:val="00E76745"/>
    <w:rsid w:val="00E76846"/>
    <w:rsid w:val="00E80DFA"/>
    <w:rsid w:val="00E81D19"/>
    <w:rsid w:val="00E821BC"/>
    <w:rsid w:val="00E83A04"/>
    <w:rsid w:val="00E83BE5"/>
    <w:rsid w:val="00E861B5"/>
    <w:rsid w:val="00E8798E"/>
    <w:rsid w:val="00E87DBE"/>
    <w:rsid w:val="00E90960"/>
    <w:rsid w:val="00E90A43"/>
    <w:rsid w:val="00E90F26"/>
    <w:rsid w:val="00E923FE"/>
    <w:rsid w:val="00E93420"/>
    <w:rsid w:val="00E934C0"/>
    <w:rsid w:val="00E93DB0"/>
    <w:rsid w:val="00E943B5"/>
    <w:rsid w:val="00EA13CB"/>
    <w:rsid w:val="00EA59EC"/>
    <w:rsid w:val="00EA59F9"/>
    <w:rsid w:val="00EA7D21"/>
    <w:rsid w:val="00EB0818"/>
    <w:rsid w:val="00EB0D9F"/>
    <w:rsid w:val="00EB11EA"/>
    <w:rsid w:val="00EB16D2"/>
    <w:rsid w:val="00EB1B60"/>
    <w:rsid w:val="00EB1E82"/>
    <w:rsid w:val="00EB381C"/>
    <w:rsid w:val="00EB3B35"/>
    <w:rsid w:val="00EC05CD"/>
    <w:rsid w:val="00EC0618"/>
    <w:rsid w:val="00EC074A"/>
    <w:rsid w:val="00EC35B9"/>
    <w:rsid w:val="00EC512C"/>
    <w:rsid w:val="00EC62B2"/>
    <w:rsid w:val="00EC632F"/>
    <w:rsid w:val="00EC6C43"/>
    <w:rsid w:val="00EC7280"/>
    <w:rsid w:val="00EC7B62"/>
    <w:rsid w:val="00ED0A35"/>
    <w:rsid w:val="00ED18BB"/>
    <w:rsid w:val="00ED3991"/>
    <w:rsid w:val="00ED6A04"/>
    <w:rsid w:val="00EE1EEF"/>
    <w:rsid w:val="00EE2480"/>
    <w:rsid w:val="00EE339B"/>
    <w:rsid w:val="00EE5E37"/>
    <w:rsid w:val="00EE6387"/>
    <w:rsid w:val="00EE71C0"/>
    <w:rsid w:val="00EF0A5F"/>
    <w:rsid w:val="00EF0F8C"/>
    <w:rsid w:val="00EF15A0"/>
    <w:rsid w:val="00EF25BB"/>
    <w:rsid w:val="00EF3588"/>
    <w:rsid w:val="00EF37FE"/>
    <w:rsid w:val="00EF38D0"/>
    <w:rsid w:val="00EF3AD6"/>
    <w:rsid w:val="00EF48FE"/>
    <w:rsid w:val="00EF7AF6"/>
    <w:rsid w:val="00F008A4"/>
    <w:rsid w:val="00F00A90"/>
    <w:rsid w:val="00F00CB6"/>
    <w:rsid w:val="00F022D2"/>
    <w:rsid w:val="00F03170"/>
    <w:rsid w:val="00F038FB"/>
    <w:rsid w:val="00F03F6C"/>
    <w:rsid w:val="00F04170"/>
    <w:rsid w:val="00F0484B"/>
    <w:rsid w:val="00F05BD5"/>
    <w:rsid w:val="00F0619B"/>
    <w:rsid w:val="00F06BF0"/>
    <w:rsid w:val="00F1031C"/>
    <w:rsid w:val="00F16CEF"/>
    <w:rsid w:val="00F16F6C"/>
    <w:rsid w:val="00F226F3"/>
    <w:rsid w:val="00F22A6E"/>
    <w:rsid w:val="00F233ED"/>
    <w:rsid w:val="00F24206"/>
    <w:rsid w:val="00F24D1D"/>
    <w:rsid w:val="00F27F0F"/>
    <w:rsid w:val="00F335FD"/>
    <w:rsid w:val="00F340C5"/>
    <w:rsid w:val="00F342E3"/>
    <w:rsid w:val="00F4230A"/>
    <w:rsid w:val="00F44EFC"/>
    <w:rsid w:val="00F45CD9"/>
    <w:rsid w:val="00F46929"/>
    <w:rsid w:val="00F4708E"/>
    <w:rsid w:val="00F471BC"/>
    <w:rsid w:val="00F50599"/>
    <w:rsid w:val="00F50A35"/>
    <w:rsid w:val="00F5173C"/>
    <w:rsid w:val="00F51CA1"/>
    <w:rsid w:val="00F51F34"/>
    <w:rsid w:val="00F5266F"/>
    <w:rsid w:val="00F53DB2"/>
    <w:rsid w:val="00F5598A"/>
    <w:rsid w:val="00F570D8"/>
    <w:rsid w:val="00F5751C"/>
    <w:rsid w:val="00F57AA6"/>
    <w:rsid w:val="00F57D6B"/>
    <w:rsid w:val="00F6081E"/>
    <w:rsid w:val="00F6183C"/>
    <w:rsid w:val="00F63304"/>
    <w:rsid w:val="00F6371C"/>
    <w:rsid w:val="00F64E19"/>
    <w:rsid w:val="00F65CAE"/>
    <w:rsid w:val="00F67469"/>
    <w:rsid w:val="00F71110"/>
    <w:rsid w:val="00F71A8A"/>
    <w:rsid w:val="00F71C25"/>
    <w:rsid w:val="00F740B6"/>
    <w:rsid w:val="00F7468F"/>
    <w:rsid w:val="00F80F39"/>
    <w:rsid w:val="00F80F54"/>
    <w:rsid w:val="00F83B1B"/>
    <w:rsid w:val="00F84DF8"/>
    <w:rsid w:val="00F84FC8"/>
    <w:rsid w:val="00F863CE"/>
    <w:rsid w:val="00F875D5"/>
    <w:rsid w:val="00F8761B"/>
    <w:rsid w:val="00F905F1"/>
    <w:rsid w:val="00F9212A"/>
    <w:rsid w:val="00F94586"/>
    <w:rsid w:val="00F94945"/>
    <w:rsid w:val="00F94CB3"/>
    <w:rsid w:val="00F95202"/>
    <w:rsid w:val="00FA064F"/>
    <w:rsid w:val="00FA2E40"/>
    <w:rsid w:val="00FA366A"/>
    <w:rsid w:val="00FA3C4E"/>
    <w:rsid w:val="00FA61F1"/>
    <w:rsid w:val="00FA7297"/>
    <w:rsid w:val="00FA7739"/>
    <w:rsid w:val="00FA77E0"/>
    <w:rsid w:val="00FB01B7"/>
    <w:rsid w:val="00FB01E1"/>
    <w:rsid w:val="00FB0E59"/>
    <w:rsid w:val="00FB6E90"/>
    <w:rsid w:val="00FC08D7"/>
    <w:rsid w:val="00FC1C6C"/>
    <w:rsid w:val="00FC4690"/>
    <w:rsid w:val="00FC703F"/>
    <w:rsid w:val="00FC71BF"/>
    <w:rsid w:val="00FC73A2"/>
    <w:rsid w:val="00FC73FE"/>
    <w:rsid w:val="00FC7C5C"/>
    <w:rsid w:val="00FD0116"/>
    <w:rsid w:val="00FD11C4"/>
    <w:rsid w:val="00FD537C"/>
    <w:rsid w:val="00FD5EE2"/>
    <w:rsid w:val="00FD7F0C"/>
    <w:rsid w:val="00FE055F"/>
    <w:rsid w:val="00FE31EE"/>
    <w:rsid w:val="00FE4782"/>
    <w:rsid w:val="00FE4A95"/>
    <w:rsid w:val="00FE6C9F"/>
    <w:rsid w:val="00FF0FB8"/>
    <w:rsid w:val="00FF16B2"/>
    <w:rsid w:val="00FF2011"/>
    <w:rsid w:val="00FF25A3"/>
    <w:rsid w:val="00FF51C6"/>
    <w:rsid w:val="00FF5F65"/>
    <w:rsid w:val="00FF7839"/>
    <w:rsid w:val="00FF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B377"/>
  <w15:chartTrackingRefBased/>
  <w15:docId w15:val="{170BA443-B887-428F-824F-E0D25A1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59"/>
    <w:pPr>
      <w:spacing w:after="160" w:line="259" w:lineRule="auto"/>
    </w:pPr>
    <w:rPr>
      <w:kern w:val="2"/>
      <w:sz w:val="22"/>
      <w:szCs w:val="22"/>
      <w:lang w:val="en-ZW"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paragraph" w:styleId="Heading4">
    <w:name w:val="heading 4"/>
    <w:basedOn w:val="Normal"/>
    <w:next w:val="Normal"/>
    <w:link w:val="Heading4Char"/>
    <w:uiPriority w:val="9"/>
    <w:semiHidden/>
    <w:unhideWhenUsed/>
    <w:qFormat/>
    <w:rsid w:val="000054C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val="en-ZW"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val="en-ZW"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paragraph" w:styleId="NormalWeb">
    <w:name w:val="Normal (Web)"/>
    <w:basedOn w:val="Normal"/>
    <w:uiPriority w:val="99"/>
    <w:semiHidden/>
    <w:unhideWhenUsed/>
    <w:rsid w:val="0020788D"/>
    <w:rPr>
      <w:rFonts w:ascii="Times New Roman" w:hAnsi="Times New Roman"/>
      <w:sz w:val="24"/>
      <w:szCs w:val="24"/>
    </w:rPr>
  </w:style>
  <w:style w:type="character" w:customStyle="1" w:styleId="Heading4Char">
    <w:name w:val="Heading 4 Char"/>
    <w:basedOn w:val="DefaultParagraphFont"/>
    <w:link w:val="Heading4"/>
    <w:uiPriority w:val="9"/>
    <w:semiHidden/>
    <w:rsid w:val="000054C7"/>
    <w:rPr>
      <w:rFonts w:asciiTheme="majorHAnsi" w:eastAsiaTheme="majorEastAsia" w:hAnsiTheme="majorHAnsi" w:cstheme="majorBidi"/>
      <w:i/>
      <w:iCs/>
      <w:color w:val="0F4761" w:themeColor="accent1" w:themeShade="BF"/>
      <w:kern w:val="2"/>
      <w:sz w:val="22"/>
      <w:szCs w:val="22"/>
      <w:lang w:val="en-ZW"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5875712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02542723">
      <w:bodyDiv w:val="1"/>
      <w:marLeft w:val="0"/>
      <w:marRight w:val="0"/>
      <w:marTop w:val="0"/>
      <w:marBottom w:val="0"/>
      <w:divBdr>
        <w:top w:val="none" w:sz="0" w:space="0" w:color="auto"/>
        <w:left w:val="none" w:sz="0" w:space="0" w:color="auto"/>
        <w:bottom w:val="none" w:sz="0" w:space="0" w:color="auto"/>
        <w:right w:val="none" w:sz="0" w:space="0" w:color="auto"/>
      </w:divBdr>
    </w:div>
    <w:div w:id="340671189">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36367259">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02018243">
      <w:bodyDiv w:val="1"/>
      <w:marLeft w:val="0"/>
      <w:marRight w:val="0"/>
      <w:marTop w:val="0"/>
      <w:marBottom w:val="0"/>
      <w:divBdr>
        <w:top w:val="none" w:sz="0" w:space="0" w:color="auto"/>
        <w:left w:val="none" w:sz="0" w:space="0" w:color="auto"/>
        <w:bottom w:val="none" w:sz="0" w:space="0" w:color="auto"/>
        <w:right w:val="none" w:sz="0" w:space="0" w:color="auto"/>
      </w:divBdr>
    </w:div>
    <w:div w:id="509834341">
      <w:bodyDiv w:val="1"/>
      <w:marLeft w:val="0"/>
      <w:marRight w:val="0"/>
      <w:marTop w:val="0"/>
      <w:marBottom w:val="0"/>
      <w:divBdr>
        <w:top w:val="none" w:sz="0" w:space="0" w:color="auto"/>
        <w:left w:val="none" w:sz="0" w:space="0" w:color="auto"/>
        <w:bottom w:val="none" w:sz="0" w:space="0" w:color="auto"/>
        <w:right w:val="none" w:sz="0" w:space="0" w:color="auto"/>
      </w:divBdr>
    </w:div>
    <w:div w:id="517933771">
      <w:bodyDiv w:val="1"/>
      <w:marLeft w:val="0"/>
      <w:marRight w:val="0"/>
      <w:marTop w:val="0"/>
      <w:marBottom w:val="0"/>
      <w:divBdr>
        <w:top w:val="none" w:sz="0" w:space="0" w:color="auto"/>
        <w:left w:val="none" w:sz="0" w:space="0" w:color="auto"/>
        <w:bottom w:val="none" w:sz="0" w:space="0" w:color="auto"/>
        <w:right w:val="none" w:sz="0" w:space="0" w:color="auto"/>
      </w:divBdr>
    </w:div>
    <w:div w:id="525943812">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25422410">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766267803">
      <w:bodyDiv w:val="1"/>
      <w:marLeft w:val="0"/>
      <w:marRight w:val="0"/>
      <w:marTop w:val="0"/>
      <w:marBottom w:val="0"/>
      <w:divBdr>
        <w:top w:val="none" w:sz="0" w:space="0" w:color="auto"/>
        <w:left w:val="none" w:sz="0" w:space="0" w:color="auto"/>
        <w:bottom w:val="none" w:sz="0" w:space="0" w:color="auto"/>
        <w:right w:val="none" w:sz="0" w:space="0" w:color="auto"/>
      </w:divBdr>
    </w:div>
    <w:div w:id="778526624">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47389224">
      <w:bodyDiv w:val="1"/>
      <w:marLeft w:val="0"/>
      <w:marRight w:val="0"/>
      <w:marTop w:val="0"/>
      <w:marBottom w:val="0"/>
      <w:divBdr>
        <w:top w:val="none" w:sz="0" w:space="0" w:color="auto"/>
        <w:left w:val="none" w:sz="0" w:space="0" w:color="auto"/>
        <w:bottom w:val="none" w:sz="0" w:space="0" w:color="auto"/>
        <w:right w:val="none" w:sz="0" w:space="0" w:color="auto"/>
      </w:divBdr>
    </w:div>
    <w:div w:id="950480770">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59080764">
      <w:bodyDiv w:val="1"/>
      <w:marLeft w:val="0"/>
      <w:marRight w:val="0"/>
      <w:marTop w:val="0"/>
      <w:marBottom w:val="0"/>
      <w:divBdr>
        <w:top w:val="none" w:sz="0" w:space="0" w:color="auto"/>
        <w:left w:val="none" w:sz="0" w:space="0" w:color="auto"/>
        <w:bottom w:val="none" w:sz="0" w:space="0" w:color="auto"/>
        <w:right w:val="none" w:sz="0" w:space="0" w:color="auto"/>
      </w:divBdr>
    </w:div>
    <w:div w:id="1163012317">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253125103">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392459328">
      <w:bodyDiv w:val="1"/>
      <w:marLeft w:val="0"/>
      <w:marRight w:val="0"/>
      <w:marTop w:val="0"/>
      <w:marBottom w:val="0"/>
      <w:divBdr>
        <w:top w:val="none" w:sz="0" w:space="0" w:color="auto"/>
        <w:left w:val="none" w:sz="0" w:space="0" w:color="auto"/>
        <w:bottom w:val="none" w:sz="0" w:space="0" w:color="auto"/>
        <w:right w:val="none" w:sz="0" w:space="0" w:color="auto"/>
      </w:divBdr>
    </w:div>
    <w:div w:id="1411003019">
      <w:bodyDiv w:val="1"/>
      <w:marLeft w:val="0"/>
      <w:marRight w:val="0"/>
      <w:marTop w:val="0"/>
      <w:marBottom w:val="0"/>
      <w:divBdr>
        <w:top w:val="none" w:sz="0" w:space="0" w:color="auto"/>
        <w:left w:val="none" w:sz="0" w:space="0" w:color="auto"/>
        <w:bottom w:val="none" w:sz="0" w:space="0" w:color="auto"/>
        <w:right w:val="none" w:sz="0" w:space="0" w:color="auto"/>
      </w:divBdr>
    </w:div>
    <w:div w:id="1435977873">
      <w:bodyDiv w:val="1"/>
      <w:marLeft w:val="0"/>
      <w:marRight w:val="0"/>
      <w:marTop w:val="0"/>
      <w:marBottom w:val="0"/>
      <w:divBdr>
        <w:top w:val="none" w:sz="0" w:space="0" w:color="auto"/>
        <w:left w:val="none" w:sz="0" w:space="0" w:color="auto"/>
        <w:bottom w:val="none" w:sz="0" w:space="0" w:color="auto"/>
        <w:right w:val="none" w:sz="0" w:space="0" w:color="auto"/>
      </w:divBdr>
    </w:div>
    <w:div w:id="1523319756">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76552003">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47052246">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82270363">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724594113">
      <w:bodyDiv w:val="1"/>
      <w:marLeft w:val="0"/>
      <w:marRight w:val="0"/>
      <w:marTop w:val="0"/>
      <w:marBottom w:val="0"/>
      <w:divBdr>
        <w:top w:val="none" w:sz="0" w:space="0" w:color="auto"/>
        <w:left w:val="none" w:sz="0" w:space="0" w:color="auto"/>
        <w:bottom w:val="none" w:sz="0" w:space="0" w:color="auto"/>
        <w:right w:val="none" w:sz="0" w:space="0" w:color="auto"/>
      </w:divBdr>
    </w:div>
    <w:div w:id="1727609123">
      <w:bodyDiv w:val="1"/>
      <w:marLeft w:val="0"/>
      <w:marRight w:val="0"/>
      <w:marTop w:val="0"/>
      <w:marBottom w:val="0"/>
      <w:divBdr>
        <w:top w:val="none" w:sz="0" w:space="0" w:color="auto"/>
        <w:left w:val="none" w:sz="0" w:space="0" w:color="auto"/>
        <w:bottom w:val="none" w:sz="0" w:space="0" w:color="auto"/>
        <w:right w:val="none" w:sz="0" w:space="0" w:color="auto"/>
      </w:divBdr>
    </w:div>
    <w:div w:id="1727685012">
      <w:bodyDiv w:val="1"/>
      <w:marLeft w:val="0"/>
      <w:marRight w:val="0"/>
      <w:marTop w:val="0"/>
      <w:marBottom w:val="0"/>
      <w:divBdr>
        <w:top w:val="none" w:sz="0" w:space="0" w:color="auto"/>
        <w:left w:val="none" w:sz="0" w:space="0" w:color="auto"/>
        <w:bottom w:val="none" w:sz="0" w:space="0" w:color="auto"/>
        <w:right w:val="none" w:sz="0" w:space="0" w:color="auto"/>
      </w:divBdr>
    </w:div>
    <w:div w:id="1727757928">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32146891">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conomics\Documents\Monthly%20Economic%20Bulletin\MEB%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Database.xlsx]Global Output'!$B$154</c:f>
              <c:strCache>
                <c:ptCount val="1"/>
                <c:pt idx="0">
                  <c:v>World Output (IMF, October 2024)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Database.xlsx]Global Output'!$A$155:$A$157</c:f>
              <c:numCache>
                <c:formatCode>General</c:formatCode>
                <c:ptCount val="3"/>
                <c:pt idx="0">
                  <c:v>2024</c:v>
                </c:pt>
                <c:pt idx="1">
                  <c:v>2025</c:v>
                </c:pt>
                <c:pt idx="2">
                  <c:v>2026</c:v>
                </c:pt>
              </c:numCache>
            </c:numRef>
          </c:cat>
          <c:val>
            <c:numRef>
              <c:f>'[MEB Database.xlsx]Global Output'!$B$155:$B$157</c:f>
              <c:numCache>
                <c:formatCode>General</c:formatCode>
                <c:ptCount val="3"/>
                <c:pt idx="0">
                  <c:v>3.2</c:v>
                </c:pt>
                <c:pt idx="1">
                  <c:v>3.2</c:v>
                </c:pt>
              </c:numCache>
            </c:numRef>
          </c:val>
          <c:extLst>
            <c:ext xmlns:c16="http://schemas.microsoft.com/office/drawing/2014/chart" uri="{C3380CC4-5D6E-409C-BE32-E72D297353CC}">
              <c16:uniqueId val="{00000000-3890-461E-BEB4-0347496986EB}"/>
            </c:ext>
          </c:extLst>
        </c:ser>
        <c:ser>
          <c:idx val="1"/>
          <c:order val="1"/>
          <c:tx>
            <c:strRef>
              <c:f>'[MEB Database.xlsx]Global Output'!$C$154</c:f>
              <c:strCache>
                <c:ptCount val="1"/>
                <c:pt idx="0">
                  <c:v>World Output (OECD Economic Outlook December 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cat>
            <c:numRef>
              <c:f>'[MEB Database.xlsx]Global Output'!$A$155:$A$157</c:f>
              <c:numCache>
                <c:formatCode>General</c:formatCode>
                <c:ptCount val="3"/>
                <c:pt idx="0">
                  <c:v>2024</c:v>
                </c:pt>
                <c:pt idx="1">
                  <c:v>2025</c:v>
                </c:pt>
                <c:pt idx="2">
                  <c:v>2026</c:v>
                </c:pt>
              </c:numCache>
            </c:numRef>
          </c:cat>
          <c:val>
            <c:numRef>
              <c:f>'[MEB Database.xlsx]Global Output'!$C$155:$C$157</c:f>
              <c:numCache>
                <c:formatCode>General</c:formatCode>
                <c:ptCount val="3"/>
                <c:pt idx="0">
                  <c:v>3.2</c:v>
                </c:pt>
                <c:pt idx="1">
                  <c:v>3.3</c:v>
                </c:pt>
                <c:pt idx="2">
                  <c:v>3.3</c:v>
                </c:pt>
              </c:numCache>
            </c:numRef>
          </c:val>
          <c:extLst>
            <c:ext xmlns:c16="http://schemas.microsoft.com/office/drawing/2014/chart" uri="{C3380CC4-5D6E-409C-BE32-E72D297353CC}">
              <c16:uniqueId val="{00000002-3890-461E-BEB4-0347496986EB}"/>
            </c:ext>
          </c:extLst>
        </c:ser>
        <c:dLbls>
          <c:dLblPos val="outEnd"/>
          <c:showLegendKey val="0"/>
          <c:showVal val="1"/>
          <c:showCatName val="0"/>
          <c:showSerName val="0"/>
          <c:showPercent val="0"/>
          <c:showBubbleSize val="0"/>
        </c:dLbls>
        <c:gapWidth val="219"/>
        <c:overlap val="-27"/>
        <c:axId val="1238452799"/>
        <c:axId val="1238439839"/>
      </c:barChart>
      <c:catAx>
        <c:axId val="123845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39839"/>
        <c:crosses val="autoZero"/>
        <c:auto val="1"/>
        <c:lblAlgn val="ctr"/>
        <c:lblOffset val="100"/>
        <c:noMultiLvlLbl val="0"/>
      </c:catAx>
      <c:valAx>
        <c:axId val="1238439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52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InternetSite</b:SourceType>
    <b:Guid>{131591B7-3098-4E06-B9DB-40C9AD93D63A}</b:Guid>
    <b:Title>Exchange Rates</b:Title>
    <b:Year>2024</b:Year>
    <b:Author>
      <b:Author>
        <b:Corporate>RBZ</b:Corporate>
      </b:Author>
    </b:Author>
    <b:InternetSiteTitle>Reserve Bank of Zimbabwe</b:InternetSiteTitle>
    <b:URL>https://www.rbz.co.zw/index.php/research/markets/exchange-rates</b:URL>
    <b:RefOrder>1</b:RefOrder>
  </b:Source>
  <b:Source>
    <b:Tag>Tra24</b:Tag>
    <b:SourceType>InternetSite</b:SourceType>
    <b:Guid>{8F5E9987-C62C-47B0-8A36-1187F2EFE3CE}</b:Guid>
    <b:Author>
      <b:Author>
        <b:Corporate>Trading Economics</b:Corporate>
      </b:Author>
    </b:Author>
    <b:Title>Commodities</b:Title>
    <b:InternetSiteTitle>Trading  Economics</b:InternetSiteTitle>
    <b:Year>2024</b:Year>
    <b:URL>https://tradingeconomics.com/commodity/crude-oil</b:URL>
    <b:RefOrder>2</b:RefOrder>
  </b:Source>
  <b:Source>
    <b:Tag>VFE24</b:Tag>
    <b:SourceType>InternetSite</b:SourceType>
    <b:Guid>{1E964840-8E12-4650-8E6C-64330FB07471}</b:Guid>
    <b:Author>
      <b:Author>
        <b:Corporate>VFEX</b:Corporate>
      </b:Author>
    </b:Author>
    <b:Title>Main Dashboard</b:Title>
    <b:InternetSiteTitle>Victoria Falls Stock Exchange</b:InternetSiteTitle>
    <b:Year>2024</b:Year>
    <b:URL>https://www.vfex.exchange/</b:URL>
    <b:RefOrder>3</b:RefOrder>
  </b:Source>
  <b:Source>
    <b:Tag>ZSE24</b:Tag>
    <b:SourceType>InternetSite</b:SourceType>
    <b:Guid>{40B098F4-EC97-445A-813A-899416F4B52B}</b:Guid>
    <b:Author>
      <b:Author>
        <b:Corporate>ZSE</b:Corporate>
      </b:Author>
    </b:Author>
    <b:Title>Main Dashboard</b:Title>
    <b:InternetSiteTitle>Zimbabwe Stock Exchange</b:InternetSiteTitle>
    <b:Year>2024</b:Year>
    <b:URL>https://www.zse.co.zw/</b:URL>
    <b:RefOrder>4</b:RefOrder>
  </b:Source>
  <b:Source>
    <b:Tag>Zim24</b:Tag>
    <b:SourceType>InternetSite</b:SourceType>
    <b:Guid>{4C57281A-E62E-4D20-922B-C504FA489846}</b:Guid>
    <b:Author>
      <b:Author>
        <b:Corporate>ZimStat</b:Corporate>
      </b:Author>
    </b:Author>
    <b:Title>Inflation Rates</b:Title>
    <b:InternetSiteTitle>Zimbabwe Statistics Agency</b:InternetSiteTitle>
    <b:Year>2024</b:Year>
    <b:URL>https://www.zimstat.co.zw/</b:URL>
    <b:RefOrder>5</b:RefOrder>
  </b:Source>
  <b:Source>
    <b:Tag>IMF24</b:Tag>
    <b:SourceType>Book</b:SourceType>
    <b:Guid>{8A8C0E7B-BE26-47E6-9B86-F7A3732992D2}</b:Guid>
    <b:Author>
      <b:Author>
        <b:Corporate>IMF</b:Corporate>
      </b:Author>
    </b:Author>
    <b:Title>World Economic Outlook, October 2024; Global prospects and Policies: Chapter 1</b:Title>
    <b:Year>2024</b:Year>
    <b:Publisher>International Monetary Fund</b:Publisher>
    <b:RefOrder>6</b:RefOrder>
  </b:Source>
  <b:Source>
    <b:Tag>Res24</b:Tag>
    <b:SourceType>Report</b:SourceType>
    <b:Guid>{1747B84D-07A4-4A44-BD05-5D11390399C2}</b:Guid>
    <b:Author>
      <b:Author>
        <b:Corporate>Reserve Bank of Zimbabwe</b:Corporate>
      </b:Author>
    </b:Author>
    <b:Title>Monthly Economic Review: September 2024</b:Title>
    <b:Year>2024</b:Year>
    <b:Publisher>RBZ</b:Publisher>
    <b:RefOrder>7</b:RefOrder>
  </b:Source>
  <b:Source>
    <b:Tag>Res241</b:Tag>
    <b:SourceType>Report</b:SourceType>
    <b:Guid>{E5A7E807-B7BC-4E07-B9DD-018241B18628}</b:Guid>
    <b:Author>
      <b:Author>
        <b:Corporate>Reserve Bank of Zimbabwe</b:Corporate>
      </b:Author>
    </b:Author>
    <b:Title>Weekely Economic Highlights, 15 November 2024, Vol 26 No 46</b:Title>
    <b:Year>2024</b:Year>
    <b:Publisher>Reserve Bank of Zimbabwe</b:Publisher>
    <b:RefOrder>8</b:RefOrder>
  </b:Source>
  <b:Source>
    <b:Tag>The24</b:Tag>
    <b:SourceType>InternetSite</b:SourceType>
    <b:Guid>{AF7A0CC1-E4BA-4BD0-B8AF-57734160743C}</b:Guid>
    <b:Year>2024</b:Year>
    <b:Author>
      <b:Author>
        <b:Corporate>The Herald</b:Corporate>
      </b:Author>
    </b:Author>
    <b:InternetSiteTitle>The Herald</b:InternetSiteTitle>
    <b:Month>December</b:Month>
    <b:Day>2</b:Day>
    <b:URL>https://www.herald.co.zw/zse-slips-275pc-amid-dwindling-turnover-vfex-also-down-403pc/</b:URL>
    <b:RefOrder>9</b:RefOrder>
  </b:Source>
  <b:Source>
    <b:Tag>OEC24</b:Tag>
    <b:SourceType>Report</b:SourceType>
    <b:Guid>{728F5CD0-877D-49C9-B0D7-92E1FCB2703F}</b:Guid>
    <b:Title>OECD Economic Outlook, Vol 2024 Issue 2: Preliminary Version</b:Title>
    <b:Year>2024</b:Year>
    <b:Author>
      <b:Author>
        <b:Corporate>OECD</b:Corporate>
      </b:Author>
    </b:Author>
    <b:Publisher>OECD Publishing</b:Publisher>
    <b:City>Paris</b:City>
    <b:RefOrder>10</b:RefOrder>
  </b:Source>
  <b:Source>
    <b:Tag>MoF24</b:Tag>
    <b:SourceType>Report</b:SourceType>
    <b:Guid>{71611FF5-270B-4D87-8232-C7F0D3AEA2CD}</b:Guid>
    <b:Author>
      <b:Author>
        <b:Corporate>MoFED&amp;IP</b:Corporate>
      </b:Author>
    </b:Author>
    <b:Title>2025 National Bugdet Statement</b:Title>
    <b:Year>2024</b:Year>
    <b:Publisher>Ministry of Finance, Economic Development and Investment Promotion</b:Publisher>
    <b:RefOrder>11</b:RefOrder>
  </b:Source>
</b:Sources>
</file>

<file path=customXml/itemProps1.xml><?xml version="1.0" encoding="utf-8"?>
<ds:datastoreItem xmlns:ds="http://schemas.openxmlformats.org/officeDocument/2006/customXml" ds:itemID="{6348EDEA-9ACE-4876-8B31-6E0D00F8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3339</TotalTime>
  <Pages>17</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21308</CharactersWithSpaces>
  <SharedDoc>false</SharedDoc>
  <HLinks>
    <vt:vector size="198" baseType="variant">
      <vt:variant>
        <vt:i4>1310782</vt:i4>
      </vt:variant>
      <vt:variant>
        <vt:i4>200</vt:i4>
      </vt:variant>
      <vt:variant>
        <vt:i4>0</vt:i4>
      </vt:variant>
      <vt:variant>
        <vt:i4>5</vt:i4>
      </vt:variant>
      <vt:variant>
        <vt:lpwstr/>
      </vt:variant>
      <vt:variant>
        <vt:lpwstr>_Toc181785691</vt:lpwstr>
      </vt:variant>
      <vt:variant>
        <vt:i4>1310782</vt:i4>
      </vt:variant>
      <vt:variant>
        <vt:i4>194</vt:i4>
      </vt:variant>
      <vt:variant>
        <vt:i4>0</vt:i4>
      </vt:variant>
      <vt:variant>
        <vt:i4>5</vt:i4>
      </vt:variant>
      <vt:variant>
        <vt:lpwstr/>
      </vt:variant>
      <vt:variant>
        <vt:lpwstr>_Toc181785690</vt:lpwstr>
      </vt:variant>
      <vt:variant>
        <vt:i4>1376318</vt:i4>
      </vt:variant>
      <vt:variant>
        <vt:i4>188</vt:i4>
      </vt:variant>
      <vt:variant>
        <vt:i4>0</vt:i4>
      </vt:variant>
      <vt:variant>
        <vt:i4>5</vt:i4>
      </vt:variant>
      <vt:variant>
        <vt:lpwstr/>
      </vt:variant>
      <vt:variant>
        <vt:lpwstr>_Toc181785689</vt:lpwstr>
      </vt:variant>
      <vt:variant>
        <vt:i4>1376318</vt:i4>
      </vt:variant>
      <vt:variant>
        <vt:i4>182</vt:i4>
      </vt:variant>
      <vt:variant>
        <vt:i4>0</vt:i4>
      </vt:variant>
      <vt:variant>
        <vt:i4>5</vt:i4>
      </vt:variant>
      <vt:variant>
        <vt:lpwstr/>
      </vt:variant>
      <vt:variant>
        <vt:lpwstr>_Toc181785688</vt:lpwstr>
      </vt:variant>
      <vt:variant>
        <vt:i4>1376318</vt:i4>
      </vt:variant>
      <vt:variant>
        <vt:i4>176</vt:i4>
      </vt:variant>
      <vt:variant>
        <vt:i4>0</vt:i4>
      </vt:variant>
      <vt:variant>
        <vt:i4>5</vt:i4>
      </vt:variant>
      <vt:variant>
        <vt:lpwstr/>
      </vt:variant>
      <vt:variant>
        <vt:lpwstr>_Toc181785687</vt:lpwstr>
      </vt:variant>
      <vt:variant>
        <vt:i4>1376318</vt:i4>
      </vt:variant>
      <vt:variant>
        <vt:i4>170</vt:i4>
      </vt:variant>
      <vt:variant>
        <vt:i4>0</vt:i4>
      </vt:variant>
      <vt:variant>
        <vt:i4>5</vt:i4>
      </vt:variant>
      <vt:variant>
        <vt:lpwstr/>
      </vt:variant>
      <vt:variant>
        <vt:lpwstr>_Toc181785686</vt:lpwstr>
      </vt:variant>
      <vt:variant>
        <vt:i4>1376319</vt:i4>
      </vt:variant>
      <vt:variant>
        <vt:i4>161</vt:i4>
      </vt:variant>
      <vt:variant>
        <vt:i4>0</vt:i4>
      </vt:variant>
      <vt:variant>
        <vt:i4>5</vt:i4>
      </vt:variant>
      <vt:variant>
        <vt:lpwstr/>
      </vt:variant>
      <vt:variant>
        <vt:lpwstr>_Toc181785785</vt:lpwstr>
      </vt:variant>
      <vt:variant>
        <vt:i4>1376319</vt:i4>
      </vt:variant>
      <vt:variant>
        <vt:i4>155</vt:i4>
      </vt:variant>
      <vt:variant>
        <vt:i4>0</vt:i4>
      </vt:variant>
      <vt:variant>
        <vt:i4>5</vt:i4>
      </vt:variant>
      <vt:variant>
        <vt:lpwstr/>
      </vt:variant>
      <vt:variant>
        <vt:lpwstr>_Toc181785784</vt:lpwstr>
      </vt:variant>
      <vt:variant>
        <vt:i4>1376319</vt:i4>
      </vt:variant>
      <vt:variant>
        <vt:i4>149</vt:i4>
      </vt:variant>
      <vt:variant>
        <vt:i4>0</vt:i4>
      </vt:variant>
      <vt:variant>
        <vt:i4>5</vt:i4>
      </vt:variant>
      <vt:variant>
        <vt:lpwstr/>
      </vt:variant>
      <vt:variant>
        <vt:lpwstr>_Toc181785783</vt:lpwstr>
      </vt:variant>
      <vt:variant>
        <vt:i4>1376319</vt:i4>
      </vt:variant>
      <vt:variant>
        <vt:i4>143</vt:i4>
      </vt:variant>
      <vt:variant>
        <vt:i4>0</vt:i4>
      </vt:variant>
      <vt:variant>
        <vt:i4>5</vt:i4>
      </vt:variant>
      <vt:variant>
        <vt:lpwstr/>
      </vt:variant>
      <vt:variant>
        <vt:lpwstr>_Toc181785782</vt:lpwstr>
      </vt:variant>
      <vt:variant>
        <vt:i4>1376319</vt:i4>
      </vt:variant>
      <vt:variant>
        <vt:i4>137</vt:i4>
      </vt:variant>
      <vt:variant>
        <vt:i4>0</vt:i4>
      </vt:variant>
      <vt:variant>
        <vt:i4>5</vt:i4>
      </vt:variant>
      <vt:variant>
        <vt:lpwstr/>
      </vt:variant>
      <vt:variant>
        <vt:lpwstr>_Toc181785781</vt:lpwstr>
      </vt:variant>
      <vt:variant>
        <vt:i4>1376319</vt:i4>
      </vt:variant>
      <vt:variant>
        <vt:i4>131</vt:i4>
      </vt:variant>
      <vt:variant>
        <vt:i4>0</vt:i4>
      </vt:variant>
      <vt:variant>
        <vt:i4>5</vt:i4>
      </vt:variant>
      <vt:variant>
        <vt:lpwstr/>
      </vt:variant>
      <vt:variant>
        <vt:lpwstr>_Toc181785780</vt:lpwstr>
      </vt:variant>
      <vt:variant>
        <vt:i4>1703999</vt:i4>
      </vt:variant>
      <vt:variant>
        <vt:i4>125</vt:i4>
      </vt:variant>
      <vt:variant>
        <vt:i4>0</vt:i4>
      </vt:variant>
      <vt:variant>
        <vt:i4>5</vt:i4>
      </vt:variant>
      <vt:variant>
        <vt:lpwstr/>
      </vt:variant>
      <vt:variant>
        <vt:lpwstr>_Toc181785779</vt:lpwstr>
      </vt:variant>
      <vt:variant>
        <vt:i4>1703997</vt:i4>
      </vt:variant>
      <vt:variant>
        <vt:i4>116</vt:i4>
      </vt:variant>
      <vt:variant>
        <vt:i4>0</vt:i4>
      </vt:variant>
      <vt:variant>
        <vt:i4>5</vt:i4>
      </vt:variant>
      <vt:variant>
        <vt:lpwstr/>
      </vt:variant>
      <vt:variant>
        <vt:lpwstr>_Toc181785577</vt:lpwstr>
      </vt:variant>
      <vt:variant>
        <vt:i4>1703997</vt:i4>
      </vt:variant>
      <vt:variant>
        <vt:i4>110</vt:i4>
      </vt:variant>
      <vt:variant>
        <vt:i4>0</vt:i4>
      </vt:variant>
      <vt:variant>
        <vt:i4>5</vt:i4>
      </vt:variant>
      <vt:variant>
        <vt:lpwstr/>
      </vt:variant>
      <vt:variant>
        <vt:lpwstr>_Toc181785576</vt:lpwstr>
      </vt:variant>
      <vt:variant>
        <vt:i4>1703997</vt:i4>
      </vt:variant>
      <vt:variant>
        <vt:i4>104</vt:i4>
      </vt:variant>
      <vt:variant>
        <vt:i4>0</vt:i4>
      </vt:variant>
      <vt:variant>
        <vt:i4>5</vt:i4>
      </vt:variant>
      <vt:variant>
        <vt:lpwstr/>
      </vt:variant>
      <vt:variant>
        <vt:lpwstr>_Toc181785575</vt:lpwstr>
      </vt:variant>
      <vt:variant>
        <vt:i4>1703997</vt:i4>
      </vt:variant>
      <vt:variant>
        <vt:i4>98</vt:i4>
      </vt:variant>
      <vt:variant>
        <vt:i4>0</vt:i4>
      </vt:variant>
      <vt:variant>
        <vt:i4>5</vt:i4>
      </vt:variant>
      <vt:variant>
        <vt:lpwstr/>
      </vt:variant>
      <vt:variant>
        <vt:lpwstr>_Toc181785574</vt:lpwstr>
      </vt:variant>
      <vt:variant>
        <vt:i4>1703997</vt:i4>
      </vt:variant>
      <vt:variant>
        <vt:i4>92</vt:i4>
      </vt:variant>
      <vt:variant>
        <vt:i4>0</vt:i4>
      </vt:variant>
      <vt:variant>
        <vt:i4>5</vt:i4>
      </vt:variant>
      <vt:variant>
        <vt:lpwstr/>
      </vt:variant>
      <vt:variant>
        <vt:lpwstr>_Toc181785573</vt:lpwstr>
      </vt:variant>
      <vt:variant>
        <vt:i4>1703997</vt:i4>
      </vt:variant>
      <vt:variant>
        <vt:i4>86</vt:i4>
      </vt:variant>
      <vt:variant>
        <vt:i4>0</vt:i4>
      </vt:variant>
      <vt:variant>
        <vt:i4>5</vt:i4>
      </vt:variant>
      <vt:variant>
        <vt:lpwstr/>
      </vt:variant>
      <vt:variant>
        <vt:lpwstr>_Toc181785572</vt:lpwstr>
      </vt:variant>
      <vt:variant>
        <vt:i4>1703997</vt:i4>
      </vt:variant>
      <vt:variant>
        <vt:i4>80</vt:i4>
      </vt:variant>
      <vt:variant>
        <vt:i4>0</vt:i4>
      </vt:variant>
      <vt:variant>
        <vt:i4>5</vt:i4>
      </vt:variant>
      <vt:variant>
        <vt:lpwstr/>
      </vt:variant>
      <vt:variant>
        <vt:lpwstr>_Toc181785571</vt:lpwstr>
      </vt:variant>
      <vt:variant>
        <vt:i4>1703997</vt:i4>
      </vt:variant>
      <vt:variant>
        <vt:i4>74</vt:i4>
      </vt:variant>
      <vt:variant>
        <vt:i4>0</vt:i4>
      </vt:variant>
      <vt:variant>
        <vt:i4>5</vt:i4>
      </vt:variant>
      <vt:variant>
        <vt:lpwstr/>
      </vt:variant>
      <vt:variant>
        <vt:lpwstr>_Toc181785570</vt:lpwstr>
      </vt:variant>
      <vt:variant>
        <vt:i4>1769533</vt:i4>
      </vt:variant>
      <vt:variant>
        <vt:i4>68</vt:i4>
      </vt:variant>
      <vt:variant>
        <vt:i4>0</vt:i4>
      </vt:variant>
      <vt:variant>
        <vt:i4>5</vt:i4>
      </vt:variant>
      <vt:variant>
        <vt:lpwstr/>
      </vt:variant>
      <vt:variant>
        <vt:lpwstr>_Toc181785569</vt:lpwstr>
      </vt:variant>
      <vt:variant>
        <vt:i4>1769533</vt:i4>
      </vt:variant>
      <vt:variant>
        <vt:i4>62</vt:i4>
      </vt:variant>
      <vt:variant>
        <vt:i4>0</vt:i4>
      </vt:variant>
      <vt:variant>
        <vt:i4>5</vt:i4>
      </vt:variant>
      <vt:variant>
        <vt:lpwstr/>
      </vt:variant>
      <vt:variant>
        <vt:lpwstr>_Toc181785568</vt:lpwstr>
      </vt:variant>
      <vt:variant>
        <vt:i4>1769533</vt:i4>
      </vt:variant>
      <vt:variant>
        <vt:i4>56</vt:i4>
      </vt:variant>
      <vt:variant>
        <vt:i4>0</vt:i4>
      </vt:variant>
      <vt:variant>
        <vt:i4>5</vt:i4>
      </vt:variant>
      <vt:variant>
        <vt:lpwstr/>
      </vt:variant>
      <vt:variant>
        <vt:lpwstr>_Toc181785567</vt:lpwstr>
      </vt:variant>
      <vt:variant>
        <vt:i4>1769533</vt:i4>
      </vt:variant>
      <vt:variant>
        <vt:i4>50</vt:i4>
      </vt:variant>
      <vt:variant>
        <vt:i4>0</vt:i4>
      </vt:variant>
      <vt:variant>
        <vt:i4>5</vt:i4>
      </vt:variant>
      <vt:variant>
        <vt:lpwstr/>
      </vt:variant>
      <vt:variant>
        <vt:lpwstr>_Toc181785566</vt:lpwstr>
      </vt:variant>
      <vt:variant>
        <vt:i4>1769533</vt:i4>
      </vt:variant>
      <vt:variant>
        <vt:i4>44</vt:i4>
      </vt:variant>
      <vt:variant>
        <vt:i4>0</vt:i4>
      </vt:variant>
      <vt:variant>
        <vt:i4>5</vt:i4>
      </vt:variant>
      <vt:variant>
        <vt:lpwstr/>
      </vt:variant>
      <vt:variant>
        <vt:lpwstr>_Toc181785565</vt:lpwstr>
      </vt:variant>
      <vt:variant>
        <vt:i4>1769533</vt:i4>
      </vt:variant>
      <vt:variant>
        <vt:i4>38</vt:i4>
      </vt:variant>
      <vt:variant>
        <vt:i4>0</vt:i4>
      </vt:variant>
      <vt:variant>
        <vt:i4>5</vt:i4>
      </vt:variant>
      <vt:variant>
        <vt:lpwstr/>
      </vt:variant>
      <vt:variant>
        <vt:lpwstr>_Toc181785564</vt:lpwstr>
      </vt:variant>
      <vt:variant>
        <vt:i4>1769533</vt:i4>
      </vt:variant>
      <vt:variant>
        <vt:i4>32</vt:i4>
      </vt:variant>
      <vt:variant>
        <vt:i4>0</vt:i4>
      </vt:variant>
      <vt:variant>
        <vt:i4>5</vt:i4>
      </vt:variant>
      <vt:variant>
        <vt:lpwstr/>
      </vt:variant>
      <vt:variant>
        <vt:lpwstr>_Toc181785563</vt:lpwstr>
      </vt:variant>
      <vt:variant>
        <vt:i4>1769533</vt:i4>
      </vt:variant>
      <vt:variant>
        <vt:i4>26</vt:i4>
      </vt:variant>
      <vt:variant>
        <vt:i4>0</vt:i4>
      </vt:variant>
      <vt:variant>
        <vt:i4>5</vt:i4>
      </vt:variant>
      <vt:variant>
        <vt:lpwstr/>
      </vt:variant>
      <vt:variant>
        <vt:lpwstr>_Toc181785562</vt:lpwstr>
      </vt:variant>
      <vt:variant>
        <vt:i4>1769533</vt:i4>
      </vt:variant>
      <vt:variant>
        <vt:i4>20</vt:i4>
      </vt:variant>
      <vt:variant>
        <vt:i4>0</vt:i4>
      </vt:variant>
      <vt:variant>
        <vt:i4>5</vt:i4>
      </vt:variant>
      <vt:variant>
        <vt:lpwstr/>
      </vt:variant>
      <vt:variant>
        <vt:lpwstr>_Toc181785561</vt:lpwstr>
      </vt:variant>
      <vt:variant>
        <vt:i4>1769533</vt:i4>
      </vt:variant>
      <vt:variant>
        <vt:i4>14</vt:i4>
      </vt:variant>
      <vt:variant>
        <vt:i4>0</vt:i4>
      </vt:variant>
      <vt:variant>
        <vt:i4>5</vt:i4>
      </vt:variant>
      <vt:variant>
        <vt:lpwstr/>
      </vt:variant>
      <vt:variant>
        <vt:lpwstr>_Toc181785560</vt:lpwstr>
      </vt:variant>
      <vt:variant>
        <vt:i4>1572925</vt:i4>
      </vt:variant>
      <vt:variant>
        <vt:i4>8</vt:i4>
      </vt:variant>
      <vt:variant>
        <vt:i4>0</vt:i4>
      </vt:variant>
      <vt:variant>
        <vt:i4>5</vt:i4>
      </vt:variant>
      <vt:variant>
        <vt:lpwstr/>
      </vt:variant>
      <vt:variant>
        <vt:lpwstr>_Toc181785559</vt:lpwstr>
      </vt:variant>
      <vt:variant>
        <vt:i4>1572925</vt:i4>
      </vt:variant>
      <vt:variant>
        <vt:i4>2</vt:i4>
      </vt:variant>
      <vt:variant>
        <vt:i4>0</vt:i4>
      </vt:variant>
      <vt:variant>
        <vt:i4>5</vt:i4>
      </vt:variant>
      <vt:variant>
        <vt:lpwstr/>
      </vt:variant>
      <vt:variant>
        <vt:lpwstr>_Toc181785558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155</cp:revision>
  <dcterms:created xsi:type="dcterms:W3CDTF">2024-11-11T07:23:00Z</dcterms:created>
  <dcterms:modified xsi:type="dcterms:W3CDTF">2024-12-07T15:27:00Z</dcterms:modified>
</cp:coreProperties>
</file>