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56375"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lang w:val="en-US"/>
        </w:rPr>
      </w:pPr>
    </w:p>
    <w:p w14:paraId="52156EEC"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lang w:val="en-US"/>
        </w:rPr>
      </w:pPr>
    </w:p>
    <w:p w14:paraId="1B4D3166" w14:textId="405219EE" w:rsidR="00B357AC" w:rsidRPr="00863A17" w:rsidRDefault="00664692"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sz w:val="24"/>
          <w:szCs w:val="24"/>
          <w:lang w:val="en-US"/>
        </w:rPr>
      </w:pPr>
      <w:r w:rsidRPr="00863A17">
        <w:rPr>
          <w:rFonts w:ascii="Tahoma" w:hAnsi="Tahoma" w:cs="Tahoma"/>
          <w:noProof/>
          <w:sz w:val="24"/>
          <w:szCs w:val="24"/>
          <w:lang w:eastAsia="en-ZW"/>
        </w:rPr>
        <w:drawing>
          <wp:inline distT="0" distB="0" distL="0" distR="0" wp14:anchorId="4AB23E5F" wp14:editId="2BA3A733">
            <wp:extent cx="3133725" cy="1895475"/>
            <wp:effectExtent l="0" t="0" r="0" b="0"/>
            <wp:docPr id="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1895475"/>
                    </a:xfrm>
                    <a:prstGeom prst="rect">
                      <a:avLst/>
                    </a:prstGeom>
                    <a:noFill/>
                    <a:ln>
                      <a:noFill/>
                    </a:ln>
                  </pic:spPr>
                </pic:pic>
              </a:graphicData>
            </a:graphic>
          </wp:inline>
        </w:drawing>
      </w:r>
    </w:p>
    <w:p w14:paraId="7B6CCB7A"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sz w:val="24"/>
          <w:szCs w:val="24"/>
          <w:lang w:val="en-US"/>
        </w:rPr>
      </w:pPr>
    </w:p>
    <w:p w14:paraId="17C6F4B8"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r w:rsidRPr="007E39CC">
        <w:rPr>
          <w:rFonts w:ascii="Tahoma" w:hAnsi="Tahoma" w:cs="Tahoma"/>
          <w:b/>
          <w:sz w:val="32"/>
          <w:szCs w:val="32"/>
          <w:lang w:val="en-US"/>
        </w:rPr>
        <w:t>NATIONAL ECONOMIC CONSULTATIVE FORUM</w:t>
      </w:r>
    </w:p>
    <w:p w14:paraId="46A6F1D0"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p>
    <w:p w14:paraId="0D979088"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p>
    <w:p w14:paraId="0A906E54" w14:textId="77777777" w:rsidR="00B357AC" w:rsidRPr="007E39CC" w:rsidRDefault="00DB67ED"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r w:rsidRPr="007E39CC">
        <w:rPr>
          <w:rFonts w:ascii="Tahoma" w:hAnsi="Tahoma" w:cs="Tahoma"/>
          <w:b/>
          <w:sz w:val="32"/>
          <w:szCs w:val="32"/>
          <w:lang w:val="en-US"/>
        </w:rPr>
        <w:t>MONTHLY</w:t>
      </w:r>
      <w:r w:rsidR="00B357AC" w:rsidRPr="007E39CC">
        <w:rPr>
          <w:rFonts w:ascii="Tahoma" w:hAnsi="Tahoma" w:cs="Tahoma"/>
          <w:b/>
          <w:sz w:val="32"/>
          <w:szCs w:val="32"/>
          <w:lang w:val="en-US"/>
        </w:rPr>
        <w:t xml:space="preserve"> ECONOMIC BULLETIN </w:t>
      </w:r>
    </w:p>
    <w:p w14:paraId="61E5337A"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p>
    <w:p w14:paraId="30F4BA8B"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p>
    <w:p w14:paraId="37A53D90" w14:textId="77777777" w:rsidR="00B357AC" w:rsidRPr="007E39CC" w:rsidRDefault="00251269"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r>
        <w:rPr>
          <w:rFonts w:ascii="Tahoma" w:hAnsi="Tahoma" w:cs="Tahoma"/>
          <w:b/>
          <w:sz w:val="32"/>
          <w:szCs w:val="32"/>
          <w:lang w:val="en-US"/>
        </w:rPr>
        <w:t>OCTOBER</w:t>
      </w:r>
      <w:r w:rsidR="00B357AC" w:rsidRPr="007E39CC">
        <w:rPr>
          <w:rFonts w:ascii="Tahoma" w:hAnsi="Tahoma" w:cs="Tahoma"/>
          <w:b/>
          <w:sz w:val="32"/>
          <w:szCs w:val="32"/>
          <w:lang w:val="en-US"/>
        </w:rPr>
        <w:t xml:space="preserve"> 202</w:t>
      </w:r>
      <w:r w:rsidR="00DB67ED" w:rsidRPr="007E39CC">
        <w:rPr>
          <w:rFonts w:ascii="Tahoma" w:hAnsi="Tahoma" w:cs="Tahoma"/>
          <w:b/>
          <w:sz w:val="32"/>
          <w:szCs w:val="32"/>
          <w:lang w:val="en-US"/>
        </w:rPr>
        <w:t>4</w:t>
      </w:r>
    </w:p>
    <w:p w14:paraId="593799B3"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sz w:val="32"/>
          <w:szCs w:val="32"/>
          <w:lang w:val="en-US"/>
        </w:rPr>
      </w:pPr>
    </w:p>
    <w:p w14:paraId="45104071"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lang w:val="en-US"/>
        </w:rPr>
      </w:pPr>
    </w:p>
    <w:p w14:paraId="1B8515C8"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lang w:val="en-US"/>
        </w:rPr>
      </w:pPr>
    </w:p>
    <w:p w14:paraId="5BA14E41"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lang w:val="en-US"/>
        </w:rPr>
      </w:pPr>
    </w:p>
    <w:p w14:paraId="56440115" w14:textId="77777777" w:rsidR="00B357AC" w:rsidRPr="00863A17" w:rsidRDefault="00B357AC" w:rsidP="00B357AC">
      <w:pPr>
        <w:rPr>
          <w:rFonts w:ascii="Tahoma" w:hAnsi="Tahoma" w:cs="Tahoma"/>
          <w:sz w:val="24"/>
          <w:szCs w:val="24"/>
          <w:lang w:val="en-US"/>
        </w:rPr>
        <w:sectPr w:rsidR="00B357AC" w:rsidRPr="00863A17" w:rsidSect="006D22C2">
          <w:footerReference w:type="default" r:id="rId9"/>
          <w:pgSz w:w="11906" w:h="16838"/>
          <w:pgMar w:top="1440" w:right="1440" w:bottom="1440" w:left="1440" w:header="708" w:footer="708" w:gutter="0"/>
          <w:cols w:space="708"/>
          <w:titlePg/>
          <w:docGrid w:linePitch="360"/>
        </w:sectPr>
      </w:pPr>
    </w:p>
    <w:p w14:paraId="09EA6AEF" w14:textId="77777777" w:rsidR="007E39CC" w:rsidRPr="00A92D41" w:rsidRDefault="007E39CC" w:rsidP="007E39CC">
      <w:pPr>
        <w:pStyle w:val="Heading1"/>
        <w:spacing w:before="0" w:after="240"/>
        <w:rPr>
          <w:rFonts w:cs="Tahoma"/>
          <w:bCs/>
          <w:color w:val="000000"/>
          <w:szCs w:val="24"/>
          <w:lang w:val="en-US"/>
        </w:rPr>
      </w:pPr>
      <w:bookmarkStart w:id="0" w:name="_Toc166607888"/>
      <w:bookmarkStart w:id="1" w:name="_Toc182566276"/>
      <w:r w:rsidRPr="00A92D41">
        <w:rPr>
          <w:rFonts w:cs="Tahoma"/>
          <w:bCs/>
          <w:color w:val="000000"/>
          <w:szCs w:val="24"/>
          <w:lang w:val="en-US"/>
        </w:rPr>
        <w:lastRenderedPageBreak/>
        <w:t>Executive Summary</w:t>
      </w:r>
      <w:bookmarkEnd w:id="0"/>
      <w:bookmarkEnd w:id="1"/>
      <w:r w:rsidRPr="00A92D41">
        <w:rPr>
          <w:rFonts w:cs="Tahoma"/>
          <w:bCs/>
          <w:color w:val="000000"/>
          <w:szCs w:val="24"/>
          <w:lang w:val="en-US"/>
        </w:rPr>
        <w:t xml:space="preserve"> </w:t>
      </w:r>
    </w:p>
    <w:p w14:paraId="0115004F" w14:textId="77777777" w:rsidR="00193B40" w:rsidRDefault="007E39CC" w:rsidP="007E39CC">
      <w:pPr>
        <w:jc w:val="both"/>
        <w:rPr>
          <w:rFonts w:ascii="Tahoma" w:hAnsi="Tahoma" w:cs="Tahoma"/>
          <w:sz w:val="24"/>
          <w:szCs w:val="24"/>
          <w:lang w:val="en-US"/>
        </w:rPr>
      </w:pPr>
      <w:r w:rsidRPr="00DC5CBE">
        <w:rPr>
          <w:rFonts w:ascii="Tahoma" w:hAnsi="Tahoma" w:cs="Tahoma"/>
          <w:sz w:val="24"/>
          <w:szCs w:val="24"/>
          <w:lang w:val="en-US"/>
        </w:rPr>
        <w:t xml:space="preserve">This bulletin focuses on economic developments for the </w:t>
      </w:r>
      <w:r>
        <w:rPr>
          <w:rFonts w:ascii="Tahoma" w:hAnsi="Tahoma" w:cs="Tahoma"/>
          <w:sz w:val="24"/>
          <w:szCs w:val="24"/>
          <w:lang w:val="en-US"/>
        </w:rPr>
        <w:t>month</w:t>
      </w:r>
      <w:r w:rsidRPr="00DC5CBE">
        <w:rPr>
          <w:rFonts w:ascii="Tahoma" w:hAnsi="Tahoma" w:cs="Tahoma"/>
          <w:sz w:val="24"/>
          <w:szCs w:val="24"/>
          <w:lang w:val="en-US"/>
        </w:rPr>
        <w:t xml:space="preserve"> ending </w:t>
      </w:r>
      <w:r w:rsidR="005C14E0">
        <w:rPr>
          <w:rFonts w:ascii="Tahoma" w:hAnsi="Tahoma" w:cs="Tahoma"/>
          <w:sz w:val="24"/>
          <w:szCs w:val="24"/>
          <w:lang w:val="en-US"/>
        </w:rPr>
        <w:t>3</w:t>
      </w:r>
      <w:r w:rsidR="006D75CE">
        <w:rPr>
          <w:rFonts w:ascii="Tahoma" w:hAnsi="Tahoma" w:cs="Tahoma"/>
          <w:sz w:val="24"/>
          <w:szCs w:val="24"/>
          <w:lang w:val="en-US"/>
        </w:rPr>
        <w:t>1</w:t>
      </w:r>
      <w:r w:rsidRPr="00DC5CBE">
        <w:rPr>
          <w:rFonts w:ascii="Tahoma" w:hAnsi="Tahoma" w:cs="Tahoma"/>
          <w:sz w:val="24"/>
          <w:szCs w:val="24"/>
          <w:lang w:val="en-US"/>
        </w:rPr>
        <w:t xml:space="preserve"> </w:t>
      </w:r>
      <w:r w:rsidR="006D75CE">
        <w:rPr>
          <w:rFonts w:ascii="Tahoma" w:hAnsi="Tahoma" w:cs="Tahoma"/>
          <w:sz w:val="24"/>
          <w:szCs w:val="24"/>
          <w:lang w:val="en-US"/>
        </w:rPr>
        <w:t xml:space="preserve">October </w:t>
      </w:r>
      <w:r w:rsidRPr="00DC5CBE">
        <w:rPr>
          <w:rFonts w:ascii="Tahoma" w:hAnsi="Tahoma" w:cs="Tahoma"/>
          <w:sz w:val="24"/>
          <w:szCs w:val="24"/>
          <w:lang w:val="en-US"/>
        </w:rPr>
        <w:t>202</w:t>
      </w:r>
      <w:r>
        <w:rPr>
          <w:rFonts w:ascii="Tahoma" w:hAnsi="Tahoma" w:cs="Tahoma"/>
          <w:sz w:val="24"/>
          <w:szCs w:val="24"/>
          <w:lang w:val="en-US"/>
        </w:rPr>
        <w:t>4</w:t>
      </w:r>
      <w:r w:rsidRPr="00DC5CBE">
        <w:rPr>
          <w:rFonts w:ascii="Tahoma" w:hAnsi="Tahoma" w:cs="Tahoma"/>
          <w:sz w:val="24"/>
          <w:szCs w:val="24"/>
          <w:lang w:val="en-US"/>
        </w:rPr>
        <w:t xml:space="preserve"> that </w:t>
      </w:r>
      <w:r w:rsidR="004E37A1" w:rsidRPr="00DC5CBE">
        <w:rPr>
          <w:rFonts w:ascii="Tahoma" w:hAnsi="Tahoma" w:cs="Tahoma"/>
          <w:sz w:val="24"/>
          <w:szCs w:val="24"/>
          <w:lang w:val="en-US"/>
        </w:rPr>
        <w:t>include</w:t>
      </w:r>
      <w:r w:rsidR="004E37A1">
        <w:rPr>
          <w:rFonts w:ascii="Tahoma" w:hAnsi="Tahoma" w:cs="Tahoma"/>
          <w:sz w:val="24"/>
          <w:szCs w:val="24"/>
          <w:lang w:val="en-US"/>
        </w:rPr>
        <w:t>,</w:t>
      </w:r>
      <w:r w:rsidR="00193B40">
        <w:rPr>
          <w:rFonts w:ascii="Tahoma" w:hAnsi="Tahoma" w:cs="Tahoma"/>
          <w:sz w:val="24"/>
          <w:szCs w:val="24"/>
          <w:lang w:val="en-US"/>
        </w:rPr>
        <w:t xml:space="preserve"> World economic developments, international commodity prices,</w:t>
      </w:r>
      <w:r w:rsidRPr="00DC5CBE">
        <w:rPr>
          <w:rFonts w:ascii="Tahoma" w:hAnsi="Tahoma" w:cs="Tahoma"/>
          <w:sz w:val="24"/>
          <w:szCs w:val="24"/>
          <w:lang w:val="en-US"/>
        </w:rPr>
        <w:t xml:space="preserve"> Zimbabwe Gross Domestic Product (GDP) growth updates, merchandise trade developments, exchange rate developments, inflation developments, monetary development</w:t>
      </w:r>
      <w:r w:rsidR="00193B40">
        <w:rPr>
          <w:rFonts w:ascii="Tahoma" w:hAnsi="Tahoma" w:cs="Tahoma"/>
          <w:sz w:val="24"/>
          <w:szCs w:val="24"/>
          <w:lang w:val="en-US"/>
        </w:rPr>
        <w:t>s and stock market developments.</w:t>
      </w:r>
    </w:p>
    <w:p w14:paraId="17434AD3" w14:textId="7FB924E4" w:rsidR="00E61821" w:rsidRPr="00E61821" w:rsidRDefault="00E61821" w:rsidP="00E61821">
      <w:pPr>
        <w:jc w:val="both"/>
        <w:rPr>
          <w:rFonts w:ascii="Tahoma" w:hAnsi="Tahoma" w:cs="Tahoma"/>
          <w:sz w:val="24"/>
          <w:szCs w:val="24"/>
          <w:lang w:val="en-GB"/>
        </w:rPr>
      </w:pPr>
      <w:r w:rsidRPr="00E61821">
        <w:rPr>
          <w:rFonts w:ascii="Tahoma" w:hAnsi="Tahoma" w:cs="Tahoma"/>
          <w:sz w:val="24"/>
          <w:szCs w:val="24"/>
          <w:lang w:val="en-GB"/>
        </w:rPr>
        <w:t>The global economic outlook for 2024 and 2025 signals a slowdown, with growth projected to decline from 3.3% in 2023 to 3.2% in 2024 and 2025, as outlined in the I</w:t>
      </w:r>
      <w:r>
        <w:rPr>
          <w:rFonts w:ascii="Tahoma" w:hAnsi="Tahoma" w:cs="Tahoma"/>
          <w:sz w:val="24"/>
          <w:szCs w:val="24"/>
          <w:lang w:val="en-GB"/>
        </w:rPr>
        <w:t xml:space="preserve">nternational </w:t>
      </w:r>
      <w:r w:rsidRPr="00E61821">
        <w:rPr>
          <w:rFonts w:ascii="Tahoma" w:hAnsi="Tahoma" w:cs="Tahoma"/>
          <w:sz w:val="24"/>
          <w:szCs w:val="24"/>
          <w:lang w:val="en-GB"/>
        </w:rPr>
        <w:t>M</w:t>
      </w:r>
      <w:r>
        <w:rPr>
          <w:rFonts w:ascii="Tahoma" w:hAnsi="Tahoma" w:cs="Tahoma"/>
          <w:sz w:val="24"/>
          <w:szCs w:val="24"/>
          <w:lang w:val="en-GB"/>
        </w:rPr>
        <w:t xml:space="preserve">onetary </w:t>
      </w:r>
      <w:r w:rsidRPr="00E61821">
        <w:rPr>
          <w:rFonts w:ascii="Tahoma" w:hAnsi="Tahoma" w:cs="Tahoma"/>
          <w:sz w:val="24"/>
          <w:szCs w:val="24"/>
          <w:lang w:val="en-GB"/>
        </w:rPr>
        <w:t>F</w:t>
      </w:r>
      <w:r>
        <w:rPr>
          <w:rFonts w:ascii="Tahoma" w:hAnsi="Tahoma" w:cs="Tahoma"/>
          <w:sz w:val="24"/>
          <w:szCs w:val="24"/>
          <w:lang w:val="en-GB"/>
        </w:rPr>
        <w:t>und</w:t>
      </w:r>
      <w:r w:rsidRPr="00E61821">
        <w:rPr>
          <w:rFonts w:ascii="Tahoma" w:hAnsi="Tahoma" w:cs="Tahoma"/>
          <w:sz w:val="24"/>
          <w:szCs w:val="24"/>
          <w:lang w:val="en-GB"/>
        </w:rPr>
        <w:t>’s October 2024 World Economic Outlook (WEO). The deceleration is attributed to political uncertainties, adverse weather conditions, and geopolitical conflicts. For low-income developing countries, including Zimbabwe, growth prospects remain subdued due to limited fiscal space and delayed structural reforms, which constrain responses to energy and food crises.</w:t>
      </w:r>
    </w:p>
    <w:p w14:paraId="0B9A4A16" w14:textId="73B9DCB8" w:rsidR="00E61821" w:rsidRPr="00E61821" w:rsidRDefault="00E61821" w:rsidP="00E61821">
      <w:pPr>
        <w:jc w:val="both"/>
        <w:rPr>
          <w:rFonts w:ascii="Tahoma" w:hAnsi="Tahoma" w:cs="Tahoma"/>
          <w:sz w:val="24"/>
          <w:szCs w:val="24"/>
          <w:lang w:val="en-GB"/>
        </w:rPr>
      </w:pPr>
      <w:r w:rsidRPr="00E61821">
        <w:rPr>
          <w:rFonts w:ascii="Tahoma" w:hAnsi="Tahoma" w:cs="Tahoma"/>
          <w:sz w:val="24"/>
          <w:szCs w:val="24"/>
          <w:lang w:val="en-GB"/>
        </w:rPr>
        <w:t xml:space="preserve">Globally, inflation is on a downward trajectory, with projections of 5.8% in 2024 and 4.3% in 2025. In contrast, Zimbabwe's inflationary environment remains volatile, with month-on-month </w:t>
      </w:r>
      <w:r>
        <w:rPr>
          <w:rFonts w:ascii="Tahoma" w:hAnsi="Tahoma" w:cs="Tahoma"/>
          <w:sz w:val="24"/>
          <w:szCs w:val="24"/>
          <w:lang w:val="en-GB"/>
        </w:rPr>
        <w:t xml:space="preserve">ZWG </w:t>
      </w:r>
      <w:r w:rsidRPr="00E61821">
        <w:rPr>
          <w:rFonts w:ascii="Tahoma" w:hAnsi="Tahoma" w:cs="Tahoma"/>
          <w:sz w:val="24"/>
          <w:szCs w:val="24"/>
          <w:lang w:val="en-GB"/>
        </w:rPr>
        <w:t>inflation rising sharply from 5.8% in September 2024 to 37.2% in October 2024. This inflationary surge is driven by exchange rate disparities, supply disruptions, and the effects of El Niño-induced drought.</w:t>
      </w:r>
    </w:p>
    <w:p w14:paraId="3918E1C5" w14:textId="4FC8D32A" w:rsidR="00E61821" w:rsidRPr="00E61821" w:rsidRDefault="00E61821" w:rsidP="00E61821">
      <w:pPr>
        <w:jc w:val="both"/>
        <w:rPr>
          <w:rFonts w:ascii="Tahoma" w:hAnsi="Tahoma" w:cs="Tahoma"/>
          <w:sz w:val="24"/>
          <w:szCs w:val="24"/>
          <w:lang w:val="en-GB"/>
        </w:rPr>
      </w:pPr>
      <w:r w:rsidRPr="00E61821">
        <w:rPr>
          <w:rFonts w:ascii="Tahoma" w:hAnsi="Tahoma" w:cs="Tahoma"/>
          <w:sz w:val="24"/>
          <w:szCs w:val="24"/>
          <w:lang w:val="en-GB"/>
        </w:rPr>
        <w:t xml:space="preserve">Commodity prices largely trended downward during the period under review, except for gold, which recorded significant year-to-date and year-on-year gains. This </w:t>
      </w:r>
      <w:r w:rsidRPr="00E61821">
        <w:rPr>
          <w:rFonts w:ascii="Tahoma" w:hAnsi="Tahoma" w:cs="Tahoma"/>
          <w:sz w:val="24"/>
          <w:szCs w:val="24"/>
          <w:lang w:val="en-GB"/>
        </w:rPr>
        <w:t>favourable</w:t>
      </w:r>
      <w:r w:rsidRPr="00E61821">
        <w:rPr>
          <w:rFonts w:ascii="Tahoma" w:hAnsi="Tahoma" w:cs="Tahoma"/>
          <w:sz w:val="24"/>
          <w:szCs w:val="24"/>
          <w:lang w:val="en-GB"/>
        </w:rPr>
        <w:t xml:space="preserve"> trend for gold provides a boost to Zimbabwe's export earnings, but declines in other commodity prices, coupled with reduced global demand, present challenges for key sectors such as agriculture and mining.</w:t>
      </w:r>
    </w:p>
    <w:p w14:paraId="0A9A09C0" w14:textId="4F7C432D" w:rsidR="00E61821" w:rsidRPr="00E61821" w:rsidRDefault="00E61821" w:rsidP="00E61821">
      <w:pPr>
        <w:jc w:val="both"/>
        <w:rPr>
          <w:rFonts w:ascii="Tahoma" w:hAnsi="Tahoma" w:cs="Tahoma"/>
          <w:sz w:val="24"/>
          <w:szCs w:val="24"/>
          <w:lang w:val="en-GB"/>
        </w:rPr>
      </w:pPr>
      <w:r w:rsidRPr="00E61821">
        <w:rPr>
          <w:rFonts w:ascii="Tahoma" w:hAnsi="Tahoma" w:cs="Tahoma"/>
          <w:sz w:val="24"/>
          <w:szCs w:val="24"/>
          <w:lang w:val="en-GB"/>
        </w:rPr>
        <w:t xml:space="preserve">Zimbabwe's GDP growth for 2024 </w:t>
      </w:r>
      <w:r>
        <w:rPr>
          <w:rFonts w:ascii="Tahoma" w:hAnsi="Tahoma" w:cs="Tahoma"/>
          <w:sz w:val="24"/>
          <w:szCs w:val="24"/>
          <w:lang w:val="en-GB"/>
        </w:rPr>
        <w:t>remain</w:t>
      </w:r>
      <w:r w:rsidRPr="00E61821">
        <w:rPr>
          <w:rFonts w:ascii="Tahoma" w:hAnsi="Tahoma" w:cs="Tahoma"/>
          <w:sz w:val="24"/>
          <w:szCs w:val="24"/>
          <w:lang w:val="en-GB"/>
        </w:rPr>
        <w:t xml:space="preserve"> projected at 2%, constrained by drought impacts on agriculture, energy production, and industrial output. Merchandise trade volumes grew in August 2024, supported by increased export earnings from gold, tobacco, and PGMs. However, a persistent trade deficit, </w:t>
      </w:r>
      <w:r w:rsidRPr="00E61821">
        <w:rPr>
          <w:rFonts w:ascii="Tahoma" w:hAnsi="Tahoma" w:cs="Tahoma"/>
          <w:sz w:val="24"/>
          <w:szCs w:val="24"/>
          <w:lang w:val="en-GB"/>
        </w:rPr>
        <w:t>fuelled</w:t>
      </w:r>
      <w:r w:rsidRPr="00E61821">
        <w:rPr>
          <w:rFonts w:ascii="Tahoma" w:hAnsi="Tahoma" w:cs="Tahoma"/>
          <w:sz w:val="24"/>
          <w:szCs w:val="24"/>
          <w:lang w:val="en-GB"/>
        </w:rPr>
        <w:t xml:space="preserve"> by substantial imports of fuel and maize, continues to weigh on the economy.</w:t>
      </w:r>
    </w:p>
    <w:p w14:paraId="5274D3A8" w14:textId="1D98CC13" w:rsidR="00E61821" w:rsidRPr="00E61821" w:rsidRDefault="00E61821" w:rsidP="00E61821">
      <w:pPr>
        <w:jc w:val="both"/>
        <w:rPr>
          <w:rFonts w:ascii="Tahoma" w:hAnsi="Tahoma" w:cs="Tahoma"/>
          <w:sz w:val="24"/>
          <w:szCs w:val="24"/>
          <w:lang w:val="en-GB"/>
        </w:rPr>
      </w:pPr>
      <w:r w:rsidRPr="00E61821">
        <w:rPr>
          <w:rFonts w:ascii="Tahoma" w:hAnsi="Tahoma" w:cs="Tahoma"/>
          <w:sz w:val="24"/>
          <w:szCs w:val="24"/>
          <w:lang w:val="en-GB"/>
        </w:rPr>
        <w:t xml:space="preserve">The ZWG weakened against major currencies in October 2024, with parallel market rates hovering between ZWG40-45/USD, reflecting continued lack of public confidence in the local currency. </w:t>
      </w:r>
      <w:r w:rsidR="002E6211">
        <w:rPr>
          <w:rFonts w:ascii="Tahoma" w:hAnsi="Tahoma" w:cs="Tahoma"/>
          <w:sz w:val="24"/>
          <w:szCs w:val="24"/>
          <w:lang w:val="en-GB"/>
        </w:rPr>
        <w:t>Although the e</w:t>
      </w:r>
      <w:r w:rsidRPr="00E61821">
        <w:rPr>
          <w:rFonts w:ascii="Tahoma" w:hAnsi="Tahoma" w:cs="Tahoma"/>
          <w:sz w:val="24"/>
          <w:szCs w:val="24"/>
          <w:lang w:val="en-GB"/>
        </w:rPr>
        <w:t>xchange rate disparities reduced the premium between official and parallel rates</w:t>
      </w:r>
      <w:r w:rsidR="002E6211">
        <w:rPr>
          <w:rFonts w:ascii="Tahoma" w:hAnsi="Tahoma" w:cs="Tahoma"/>
          <w:sz w:val="24"/>
          <w:szCs w:val="24"/>
          <w:lang w:val="en-GB"/>
        </w:rPr>
        <w:t xml:space="preserve">, it </w:t>
      </w:r>
      <w:r w:rsidRPr="00E61821">
        <w:rPr>
          <w:rFonts w:ascii="Tahoma" w:hAnsi="Tahoma" w:cs="Tahoma"/>
          <w:sz w:val="24"/>
          <w:szCs w:val="24"/>
          <w:lang w:val="en-GB"/>
        </w:rPr>
        <w:t>remain</w:t>
      </w:r>
      <w:r w:rsidR="002E6211">
        <w:rPr>
          <w:rFonts w:ascii="Tahoma" w:hAnsi="Tahoma" w:cs="Tahoma"/>
          <w:sz w:val="24"/>
          <w:szCs w:val="24"/>
          <w:lang w:val="en-GB"/>
        </w:rPr>
        <w:t>s</w:t>
      </w:r>
      <w:r w:rsidRPr="00E61821">
        <w:rPr>
          <w:rFonts w:ascii="Tahoma" w:hAnsi="Tahoma" w:cs="Tahoma"/>
          <w:sz w:val="24"/>
          <w:szCs w:val="24"/>
          <w:lang w:val="en-GB"/>
        </w:rPr>
        <w:t xml:space="preserve"> a significant challenge. Additionally, the appreciation of the USD against regional currencies like the ZAR has dampened export competitiveness in markets such as South Africa.</w:t>
      </w:r>
    </w:p>
    <w:p w14:paraId="66E8A3C1" w14:textId="77777777" w:rsidR="00E61821" w:rsidRPr="00E61821" w:rsidRDefault="00E61821" w:rsidP="00E61821">
      <w:pPr>
        <w:jc w:val="both"/>
        <w:rPr>
          <w:rFonts w:ascii="Tahoma" w:hAnsi="Tahoma" w:cs="Tahoma"/>
          <w:sz w:val="24"/>
          <w:szCs w:val="24"/>
          <w:lang w:val="en-GB"/>
        </w:rPr>
      </w:pPr>
      <w:r w:rsidRPr="00E61821">
        <w:rPr>
          <w:rFonts w:ascii="Tahoma" w:hAnsi="Tahoma" w:cs="Tahoma"/>
          <w:sz w:val="24"/>
          <w:szCs w:val="24"/>
          <w:lang w:val="en-GB"/>
        </w:rPr>
        <w:t>Money supply grew moderately, with broad money stock reaching ZWG46.47 billion in August 2024, a 1.08% increase from July 2024. The composition included 74.68% in foreign currency deposits, reflecting continued reliance on foreign currency in domestic transactions. On interest rates, the average savings rate for foreign currency deposits was revised downward to a maximum of 1.5% in October 2024, a move likely to discourage foreign currency savings.</w:t>
      </w:r>
    </w:p>
    <w:p w14:paraId="05DF0725" w14:textId="77777777" w:rsidR="00E61821" w:rsidRPr="00E61821" w:rsidRDefault="00E61821" w:rsidP="00E61821">
      <w:pPr>
        <w:jc w:val="both"/>
        <w:rPr>
          <w:rFonts w:ascii="Tahoma" w:hAnsi="Tahoma" w:cs="Tahoma"/>
          <w:sz w:val="24"/>
          <w:szCs w:val="24"/>
          <w:lang w:val="en-GB"/>
        </w:rPr>
      </w:pPr>
      <w:r w:rsidRPr="00E61821">
        <w:rPr>
          <w:rFonts w:ascii="Tahoma" w:hAnsi="Tahoma" w:cs="Tahoma"/>
          <w:sz w:val="24"/>
          <w:szCs w:val="24"/>
          <w:lang w:val="en-GB"/>
        </w:rPr>
        <w:lastRenderedPageBreak/>
        <w:t>In financial markets, the Zimbabwe Stock Exchange (ZSE) posted a bullish performance, with significant gains across all indices in October 2024. In contrast, the Victoria Falls Stock Exchange (VFEX) experienced a bearish trend, characterized by low activity and declines in traded values.</w:t>
      </w:r>
    </w:p>
    <w:p w14:paraId="5821DCB9" w14:textId="77777777" w:rsidR="00E61821" w:rsidRPr="00E61821" w:rsidRDefault="00E61821" w:rsidP="00E61821">
      <w:pPr>
        <w:jc w:val="both"/>
        <w:rPr>
          <w:rFonts w:ascii="Tahoma" w:hAnsi="Tahoma" w:cs="Tahoma"/>
          <w:sz w:val="24"/>
          <w:szCs w:val="24"/>
          <w:lang w:val="en-GB"/>
        </w:rPr>
      </w:pPr>
      <w:r w:rsidRPr="00E61821">
        <w:rPr>
          <w:rFonts w:ascii="Tahoma" w:hAnsi="Tahoma" w:cs="Tahoma"/>
          <w:sz w:val="24"/>
          <w:szCs w:val="24"/>
          <w:lang w:val="en-GB"/>
        </w:rPr>
        <w:t>These dynamics underscore the complex interplay of global and domestic economic factors shaping Zimbabwe’s economic landscape as it grapples with external shocks and internal vulnerabilities.</w:t>
      </w:r>
    </w:p>
    <w:p w14:paraId="4B5AB6B3" w14:textId="77777777" w:rsidR="00D46F37" w:rsidRPr="00F05BD5" w:rsidRDefault="00790EF8" w:rsidP="00F05BD5">
      <w:pPr>
        <w:spacing w:line="360" w:lineRule="auto"/>
        <w:rPr>
          <w:rFonts w:ascii="Tahoma" w:hAnsi="Tahoma" w:cs="Tahoma"/>
          <w:b/>
          <w:bCs/>
          <w:sz w:val="24"/>
          <w:szCs w:val="24"/>
        </w:rPr>
      </w:pPr>
      <w:r>
        <w:rPr>
          <w:rFonts w:ascii="Tahoma" w:eastAsia="Times New Roman" w:hAnsi="Tahoma" w:cs="Tahoma"/>
          <w:bCs/>
          <w:kern w:val="0"/>
          <w:sz w:val="24"/>
          <w:szCs w:val="24"/>
        </w:rPr>
        <w:br w:type="page"/>
      </w:r>
      <w:r w:rsidR="00D46F37" w:rsidRPr="00F05BD5">
        <w:rPr>
          <w:rFonts w:ascii="Tahoma" w:hAnsi="Tahoma" w:cs="Tahoma"/>
          <w:b/>
          <w:bCs/>
          <w:sz w:val="24"/>
          <w:szCs w:val="24"/>
        </w:rPr>
        <w:lastRenderedPageBreak/>
        <w:t>Table of Contents</w:t>
      </w:r>
    </w:p>
    <w:p w14:paraId="115B87B8" w14:textId="473373BD" w:rsidR="00B42926" w:rsidRPr="00B42926" w:rsidRDefault="00D46F37">
      <w:pPr>
        <w:pStyle w:val="TOC1"/>
        <w:tabs>
          <w:tab w:val="right" w:leader="dot" w:pos="9016"/>
        </w:tabs>
        <w:rPr>
          <w:rFonts w:ascii="Tahoma" w:eastAsiaTheme="minorEastAsia" w:hAnsi="Tahoma" w:cs="Tahoma"/>
          <w:noProof/>
          <w:sz w:val="24"/>
          <w:szCs w:val="24"/>
          <w:lang w:val="en-GB" w:eastAsia="en-GB"/>
          <w14:ligatures w14:val="standardContextual"/>
        </w:rPr>
      </w:pPr>
      <w:r w:rsidRPr="00F05BD5">
        <w:rPr>
          <w:rFonts w:ascii="Tahoma" w:hAnsi="Tahoma" w:cs="Tahoma"/>
          <w:sz w:val="24"/>
          <w:szCs w:val="24"/>
        </w:rPr>
        <w:fldChar w:fldCharType="begin"/>
      </w:r>
      <w:r w:rsidRPr="00F05BD5">
        <w:rPr>
          <w:rFonts w:ascii="Tahoma" w:hAnsi="Tahoma" w:cs="Tahoma"/>
          <w:sz w:val="24"/>
          <w:szCs w:val="24"/>
        </w:rPr>
        <w:instrText xml:space="preserve"> TOC \o "1-3" \h \z \u </w:instrText>
      </w:r>
      <w:r w:rsidRPr="00F05BD5">
        <w:rPr>
          <w:rFonts w:ascii="Tahoma" w:hAnsi="Tahoma" w:cs="Tahoma"/>
          <w:sz w:val="24"/>
          <w:szCs w:val="24"/>
        </w:rPr>
        <w:fldChar w:fldCharType="separate"/>
      </w:r>
      <w:hyperlink w:anchor="_Toc182566276" w:history="1">
        <w:r w:rsidR="00B42926" w:rsidRPr="00B42926">
          <w:rPr>
            <w:rStyle w:val="Hyperlink"/>
            <w:rFonts w:ascii="Tahoma" w:hAnsi="Tahoma" w:cs="Tahoma"/>
            <w:noProof/>
            <w:sz w:val="24"/>
            <w:szCs w:val="24"/>
            <w:lang w:val="en-US"/>
          </w:rPr>
          <w:t>Executive Summary</w:t>
        </w:r>
        <w:r w:rsidR="00B42926" w:rsidRPr="00B42926">
          <w:rPr>
            <w:rFonts w:ascii="Tahoma" w:hAnsi="Tahoma" w:cs="Tahoma"/>
            <w:noProof/>
            <w:webHidden/>
            <w:sz w:val="24"/>
            <w:szCs w:val="24"/>
          </w:rPr>
          <w:tab/>
        </w:r>
        <w:r w:rsidR="00B42926" w:rsidRPr="00B42926">
          <w:rPr>
            <w:rFonts w:ascii="Tahoma" w:hAnsi="Tahoma" w:cs="Tahoma"/>
            <w:noProof/>
            <w:webHidden/>
            <w:sz w:val="24"/>
            <w:szCs w:val="24"/>
          </w:rPr>
          <w:fldChar w:fldCharType="begin"/>
        </w:r>
        <w:r w:rsidR="00B42926" w:rsidRPr="00B42926">
          <w:rPr>
            <w:rFonts w:ascii="Tahoma" w:hAnsi="Tahoma" w:cs="Tahoma"/>
            <w:noProof/>
            <w:webHidden/>
            <w:sz w:val="24"/>
            <w:szCs w:val="24"/>
          </w:rPr>
          <w:instrText xml:space="preserve"> PAGEREF _Toc182566276 \h </w:instrText>
        </w:r>
        <w:r w:rsidR="00B42926" w:rsidRPr="00B42926">
          <w:rPr>
            <w:rFonts w:ascii="Tahoma" w:hAnsi="Tahoma" w:cs="Tahoma"/>
            <w:noProof/>
            <w:webHidden/>
            <w:sz w:val="24"/>
            <w:szCs w:val="24"/>
          </w:rPr>
        </w:r>
        <w:r w:rsidR="00B42926" w:rsidRPr="00B42926">
          <w:rPr>
            <w:rFonts w:ascii="Tahoma" w:hAnsi="Tahoma" w:cs="Tahoma"/>
            <w:noProof/>
            <w:webHidden/>
            <w:sz w:val="24"/>
            <w:szCs w:val="24"/>
          </w:rPr>
          <w:fldChar w:fldCharType="separate"/>
        </w:r>
        <w:r w:rsidR="00B42926" w:rsidRPr="00B42926">
          <w:rPr>
            <w:rFonts w:ascii="Tahoma" w:hAnsi="Tahoma" w:cs="Tahoma"/>
            <w:noProof/>
            <w:webHidden/>
            <w:sz w:val="24"/>
            <w:szCs w:val="24"/>
          </w:rPr>
          <w:t>i</w:t>
        </w:r>
        <w:r w:rsidR="00B42926" w:rsidRPr="00B42926">
          <w:rPr>
            <w:rFonts w:ascii="Tahoma" w:hAnsi="Tahoma" w:cs="Tahoma"/>
            <w:noProof/>
            <w:webHidden/>
            <w:sz w:val="24"/>
            <w:szCs w:val="24"/>
          </w:rPr>
          <w:fldChar w:fldCharType="end"/>
        </w:r>
      </w:hyperlink>
    </w:p>
    <w:p w14:paraId="7F7267CB" w14:textId="564AC47D" w:rsidR="00B42926" w:rsidRPr="00B42926" w:rsidRDefault="00B42926">
      <w:pPr>
        <w:pStyle w:val="TOC1"/>
        <w:tabs>
          <w:tab w:val="left" w:pos="720"/>
          <w:tab w:val="right" w:leader="dot" w:pos="9016"/>
        </w:tabs>
        <w:rPr>
          <w:rFonts w:ascii="Tahoma" w:eastAsiaTheme="minorEastAsia" w:hAnsi="Tahoma" w:cs="Tahoma"/>
          <w:noProof/>
          <w:sz w:val="24"/>
          <w:szCs w:val="24"/>
          <w:lang w:val="en-GB" w:eastAsia="en-GB"/>
          <w14:ligatures w14:val="standardContextual"/>
        </w:rPr>
      </w:pPr>
      <w:hyperlink w:anchor="_Toc182566277" w:history="1">
        <w:r w:rsidRPr="00B42926">
          <w:rPr>
            <w:rStyle w:val="Hyperlink"/>
            <w:rFonts w:ascii="Tahoma" w:hAnsi="Tahoma" w:cs="Tahoma"/>
            <w:noProof/>
            <w:sz w:val="24"/>
            <w:szCs w:val="24"/>
            <w:lang w:val="en-US"/>
          </w:rPr>
          <w:t>1.0</w:t>
        </w:r>
        <w:r w:rsidRPr="00B42926">
          <w:rPr>
            <w:rFonts w:ascii="Tahoma" w:eastAsiaTheme="minorEastAsia" w:hAnsi="Tahoma" w:cs="Tahoma"/>
            <w:noProof/>
            <w:sz w:val="24"/>
            <w:szCs w:val="24"/>
            <w:lang w:val="en-GB" w:eastAsia="en-GB"/>
            <w14:ligatures w14:val="standardContextual"/>
          </w:rPr>
          <w:tab/>
        </w:r>
        <w:r w:rsidRPr="00B42926">
          <w:rPr>
            <w:rStyle w:val="Hyperlink"/>
            <w:rFonts w:ascii="Tahoma" w:hAnsi="Tahoma" w:cs="Tahoma"/>
            <w:noProof/>
            <w:sz w:val="24"/>
            <w:szCs w:val="24"/>
            <w:lang w:val="en-US"/>
          </w:rPr>
          <w:t>World Economic Developments</w:t>
        </w:r>
        <w:r w:rsidRPr="00B42926">
          <w:rPr>
            <w:rFonts w:ascii="Tahoma" w:hAnsi="Tahoma" w:cs="Tahoma"/>
            <w:noProof/>
            <w:webHidden/>
            <w:sz w:val="24"/>
            <w:szCs w:val="24"/>
          </w:rPr>
          <w:tab/>
        </w:r>
        <w:r w:rsidRPr="00B42926">
          <w:rPr>
            <w:rFonts w:ascii="Tahoma" w:hAnsi="Tahoma" w:cs="Tahoma"/>
            <w:noProof/>
            <w:webHidden/>
            <w:sz w:val="24"/>
            <w:szCs w:val="24"/>
          </w:rPr>
          <w:fldChar w:fldCharType="begin"/>
        </w:r>
        <w:r w:rsidRPr="00B42926">
          <w:rPr>
            <w:rFonts w:ascii="Tahoma" w:hAnsi="Tahoma" w:cs="Tahoma"/>
            <w:noProof/>
            <w:webHidden/>
            <w:sz w:val="24"/>
            <w:szCs w:val="24"/>
          </w:rPr>
          <w:instrText xml:space="preserve"> PAGEREF _Toc182566277 \h </w:instrText>
        </w:r>
        <w:r w:rsidRPr="00B42926">
          <w:rPr>
            <w:rFonts w:ascii="Tahoma" w:hAnsi="Tahoma" w:cs="Tahoma"/>
            <w:noProof/>
            <w:webHidden/>
            <w:sz w:val="24"/>
            <w:szCs w:val="24"/>
          </w:rPr>
        </w:r>
        <w:r w:rsidRPr="00B42926">
          <w:rPr>
            <w:rFonts w:ascii="Tahoma" w:hAnsi="Tahoma" w:cs="Tahoma"/>
            <w:noProof/>
            <w:webHidden/>
            <w:sz w:val="24"/>
            <w:szCs w:val="24"/>
          </w:rPr>
          <w:fldChar w:fldCharType="separate"/>
        </w:r>
        <w:r w:rsidRPr="00B42926">
          <w:rPr>
            <w:rFonts w:ascii="Tahoma" w:hAnsi="Tahoma" w:cs="Tahoma"/>
            <w:noProof/>
            <w:webHidden/>
            <w:sz w:val="24"/>
            <w:szCs w:val="24"/>
          </w:rPr>
          <w:t>1</w:t>
        </w:r>
        <w:r w:rsidRPr="00B42926">
          <w:rPr>
            <w:rFonts w:ascii="Tahoma" w:hAnsi="Tahoma" w:cs="Tahoma"/>
            <w:noProof/>
            <w:webHidden/>
            <w:sz w:val="24"/>
            <w:szCs w:val="24"/>
          </w:rPr>
          <w:fldChar w:fldCharType="end"/>
        </w:r>
      </w:hyperlink>
    </w:p>
    <w:p w14:paraId="6304E1A9" w14:textId="6959939F" w:rsidR="00B42926" w:rsidRPr="00B42926" w:rsidRDefault="00B42926">
      <w:pPr>
        <w:pStyle w:val="TOC2"/>
        <w:rPr>
          <w:rFonts w:eastAsiaTheme="minorEastAsia"/>
          <w:b w:val="0"/>
          <w:lang w:val="en-GB" w:eastAsia="en-GB"/>
          <w14:ligatures w14:val="standardContextual"/>
        </w:rPr>
      </w:pPr>
      <w:hyperlink w:anchor="_Toc182566278" w:history="1">
        <w:r w:rsidRPr="00B42926">
          <w:rPr>
            <w:rStyle w:val="Hyperlink"/>
            <w:b w:val="0"/>
          </w:rPr>
          <w:t xml:space="preserve">1.1 </w:t>
        </w:r>
        <w:r w:rsidRPr="00B42926">
          <w:rPr>
            <w:rFonts w:eastAsiaTheme="minorEastAsia"/>
            <w:b w:val="0"/>
            <w:lang w:val="en-GB" w:eastAsia="en-GB"/>
            <w14:ligatures w14:val="standardContextual"/>
          </w:rPr>
          <w:tab/>
        </w:r>
        <w:r w:rsidRPr="00B42926">
          <w:rPr>
            <w:rStyle w:val="Hyperlink"/>
            <w:b w:val="0"/>
          </w:rPr>
          <w:t>World Output</w:t>
        </w:r>
        <w:r w:rsidRPr="00B42926">
          <w:rPr>
            <w:b w:val="0"/>
            <w:webHidden/>
          </w:rPr>
          <w:tab/>
        </w:r>
        <w:r w:rsidRPr="00B42926">
          <w:rPr>
            <w:b w:val="0"/>
            <w:webHidden/>
          </w:rPr>
          <w:fldChar w:fldCharType="begin"/>
        </w:r>
        <w:r w:rsidRPr="00B42926">
          <w:rPr>
            <w:b w:val="0"/>
            <w:webHidden/>
          </w:rPr>
          <w:instrText xml:space="preserve"> PAGEREF _Toc182566278 \h </w:instrText>
        </w:r>
        <w:r w:rsidRPr="00B42926">
          <w:rPr>
            <w:b w:val="0"/>
            <w:webHidden/>
          </w:rPr>
        </w:r>
        <w:r w:rsidRPr="00B42926">
          <w:rPr>
            <w:b w:val="0"/>
            <w:webHidden/>
          </w:rPr>
          <w:fldChar w:fldCharType="separate"/>
        </w:r>
        <w:r w:rsidRPr="00B42926">
          <w:rPr>
            <w:b w:val="0"/>
            <w:webHidden/>
          </w:rPr>
          <w:t>1</w:t>
        </w:r>
        <w:r w:rsidRPr="00B42926">
          <w:rPr>
            <w:b w:val="0"/>
            <w:webHidden/>
          </w:rPr>
          <w:fldChar w:fldCharType="end"/>
        </w:r>
      </w:hyperlink>
    </w:p>
    <w:p w14:paraId="4D52079B" w14:textId="5078E83F" w:rsidR="00B42926" w:rsidRPr="00B42926" w:rsidRDefault="00B42926">
      <w:pPr>
        <w:pStyle w:val="TOC2"/>
        <w:rPr>
          <w:rFonts w:eastAsiaTheme="minorEastAsia"/>
          <w:b w:val="0"/>
          <w:lang w:val="en-GB" w:eastAsia="en-GB"/>
          <w14:ligatures w14:val="standardContextual"/>
        </w:rPr>
      </w:pPr>
      <w:hyperlink w:anchor="_Toc182566279" w:history="1">
        <w:r w:rsidRPr="00B42926">
          <w:rPr>
            <w:rStyle w:val="Hyperlink"/>
            <w:b w:val="0"/>
          </w:rPr>
          <w:t>1.2</w:t>
        </w:r>
        <w:r w:rsidRPr="00B42926">
          <w:rPr>
            <w:rFonts w:eastAsiaTheme="minorEastAsia"/>
            <w:b w:val="0"/>
            <w:lang w:val="en-GB" w:eastAsia="en-GB"/>
            <w14:ligatures w14:val="standardContextual"/>
          </w:rPr>
          <w:tab/>
        </w:r>
        <w:r w:rsidRPr="00B42926">
          <w:rPr>
            <w:rStyle w:val="Hyperlink"/>
            <w:b w:val="0"/>
          </w:rPr>
          <w:t>Global Inflation Developments</w:t>
        </w:r>
        <w:r w:rsidRPr="00B42926">
          <w:rPr>
            <w:b w:val="0"/>
            <w:webHidden/>
          </w:rPr>
          <w:tab/>
        </w:r>
        <w:r w:rsidRPr="00B42926">
          <w:rPr>
            <w:b w:val="0"/>
            <w:webHidden/>
          </w:rPr>
          <w:fldChar w:fldCharType="begin"/>
        </w:r>
        <w:r w:rsidRPr="00B42926">
          <w:rPr>
            <w:b w:val="0"/>
            <w:webHidden/>
          </w:rPr>
          <w:instrText xml:space="preserve"> PAGEREF _Toc182566279 \h </w:instrText>
        </w:r>
        <w:r w:rsidRPr="00B42926">
          <w:rPr>
            <w:b w:val="0"/>
            <w:webHidden/>
          </w:rPr>
        </w:r>
        <w:r w:rsidRPr="00B42926">
          <w:rPr>
            <w:b w:val="0"/>
            <w:webHidden/>
          </w:rPr>
          <w:fldChar w:fldCharType="separate"/>
        </w:r>
        <w:r w:rsidRPr="00B42926">
          <w:rPr>
            <w:b w:val="0"/>
            <w:webHidden/>
          </w:rPr>
          <w:t>1</w:t>
        </w:r>
        <w:r w:rsidRPr="00B42926">
          <w:rPr>
            <w:b w:val="0"/>
            <w:webHidden/>
          </w:rPr>
          <w:fldChar w:fldCharType="end"/>
        </w:r>
      </w:hyperlink>
    </w:p>
    <w:p w14:paraId="5EFA9EC5" w14:textId="09E76FEE" w:rsidR="00B42926" w:rsidRPr="00B42926" w:rsidRDefault="00B42926">
      <w:pPr>
        <w:pStyle w:val="TOC1"/>
        <w:tabs>
          <w:tab w:val="left" w:pos="720"/>
          <w:tab w:val="right" w:leader="dot" w:pos="9016"/>
        </w:tabs>
        <w:rPr>
          <w:rFonts w:ascii="Tahoma" w:eastAsiaTheme="minorEastAsia" w:hAnsi="Tahoma" w:cs="Tahoma"/>
          <w:noProof/>
          <w:sz w:val="24"/>
          <w:szCs w:val="24"/>
          <w:lang w:val="en-GB" w:eastAsia="en-GB"/>
          <w14:ligatures w14:val="standardContextual"/>
        </w:rPr>
      </w:pPr>
      <w:hyperlink w:anchor="_Toc182566280" w:history="1">
        <w:r w:rsidRPr="00B42926">
          <w:rPr>
            <w:rStyle w:val="Hyperlink"/>
            <w:rFonts w:ascii="Tahoma" w:hAnsi="Tahoma" w:cs="Tahoma"/>
            <w:noProof/>
            <w:sz w:val="24"/>
            <w:szCs w:val="24"/>
            <w:lang w:val="en-US"/>
          </w:rPr>
          <w:t>2.0</w:t>
        </w:r>
        <w:r w:rsidRPr="00B42926">
          <w:rPr>
            <w:rFonts w:ascii="Tahoma" w:eastAsiaTheme="minorEastAsia" w:hAnsi="Tahoma" w:cs="Tahoma"/>
            <w:noProof/>
            <w:sz w:val="24"/>
            <w:szCs w:val="24"/>
            <w:lang w:val="en-GB" w:eastAsia="en-GB"/>
            <w14:ligatures w14:val="standardContextual"/>
          </w:rPr>
          <w:tab/>
        </w:r>
        <w:r w:rsidRPr="00B42926">
          <w:rPr>
            <w:rStyle w:val="Hyperlink"/>
            <w:rFonts w:ascii="Tahoma" w:hAnsi="Tahoma" w:cs="Tahoma"/>
            <w:noProof/>
            <w:sz w:val="24"/>
            <w:szCs w:val="24"/>
            <w:lang w:val="en-US"/>
          </w:rPr>
          <w:t>International Commodity Prices</w:t>
        </w:r>
        <w:r w:rsidRPr="00B42926">
          <w:rPr>
            <w:rFonts w:ascii="Tahoma" w:hAnsi="Tahoma" w:cs="Tahoma"/>
            <w:noProof/>
            <w:webHidden/>
            <w:sz w:val="24"/>
            <w:szCs w:val="24"/>
          </w:rPr>
          <w:tab/>
        </w:r>
        <w:r w:rsidRPr="00B42926">
          <w:rPr>
            <w:rFonts w:ascii="Tahoma" w:hAnsi="Tahoma" w:cs="Tahoma"/>
            <w:noProof/>
            <w:webHidden/>
            <w:sz w:val="24"/>
            <w:szCs w:val="24"/>
          </w:rPr>
          <w:fldChar w:fldCharType="begin"/>
        </w:r>
        <w:r w:rsidRPr="00B42926">
          <w:rPr>
            <w:rFonts w:ascii="Tahoma" w:hAnsi="Tahoma" w:cs="Tahoma"/>
            <w:noProof/>
            <w:webHidden/>
            <w:sz w:val="24"/>
            <w:szCs w:val="24"/>
          </w:rPr>
          <w:instrText xml:space="preserve"> PAGEREF _Toc182566280 \h </w:instrText>
        </w:r>
        <w:r w:rsidRPr="00B42926">
          <w:rPr>
            <w:rFonts w:ascii="Tahoma" w:hAnsi="Tahoma" w:cs="Tahoma"/>
            <w:noProof/>
            <w:webHidden/>
            <w:sz w:val="24"/>
            <w:szCs w:val="24"/>
          </w:rPr>
        </w:r>
        <w:r w:rsidRPr="00B42926">
          <w:rPr>
            <w:rFonts w:ascii="Tahoma" w:hAnsi="Tahoma" w:cs="Tahoma"/>
            <w:noProof/>
            <w:webHidden/>
            <w:sz w:val="24"/>
            <w:szCs w:val="24"/>
          </w:rPr>
          <w:fldChar w:fldCharType="separate"/>
        </w:r>
        <w:r w:rsidRPr="00B42926">
          <w:rPr>
            <w:rFonts w:ascii="Tahoma" w:hAnsi="Tahoma" w:cs="Tahoma"/>
            <w:noProof/>
            <w:webHidden/>
            <w:sz w:val="24"/>
            <w:szCs w:val="24"/>
          </w:rPr>
          <w:t>2</w:t>
        </w:r>
        <w:r w:rsidRPr="00B42926">
          <w:rPr>
            <w:rFonts w:ascii="Tahoma" w:hAnsi="Tahoma" w:cs="Tahoma"/>
            <w:noProof/>
            <w:webHidden/>
            <w:sz w:val="24"/>
            <w:szCs w:val="24"/>
          </w:rPr>
          <w:fldChar w:fldCharType="end"/>
        </w:r>
      </w:hyperlink>
    </w:p>
    <w:p w14:paraId="4FA9E71F" w14:textId="746E0542" w:rsidR="00B42926" w:rsidRPr="00B42926" w:rsidRDefault="00B42926">
      <w:pPr>
        <w:pStyle w:val="TOC1"/>
        <w:tabs>
          <w:tab w:val="left" w:pos="720"/>
          <w:tab w:val="right" w:leader="dot" w:pos="9016"/>
        </w:tabs>
        <w:rPr>
          <w:rFonts w:ascii="Tahoma" w:eastAsiaTheme="minorEastAsia" w:hAnsi="Tahoma" w:cs="Tahoma"/>
          <w:noProof/>
          <w:sz w:val="24"/>
          <w:szCs w:val="24"/>
          <w:lang w:val="en-GB" w:eastAsia="en-GB"/>
          <w14:ligatures w14:val="standardContextual"/>
        </w:rPr>
      </w:pPr>
      <w:hyperlink w:anchor="_Toc182566281" w:history="1">
        <w:r w:rsidRPr="00B42926">
          <w:rPr>
            <w:rStyle w:val="Hyperlink"/>
            <w:rFonts w:ascii="Tahoma" w:hAnsi="Tahoma" w:cs="Tahoma"/>
            <w:noProof/>
            <w:sz w:val="24"/>
            <w:szCs w:val="24"/>
            <w:lang w:val="en-US"/>
          </w:rPr>
          <w:t>3.0</w:t>
        </w:r>
        <w:r w:rsidRPr="00B42926">
          <w:rPr>
            <w:rFonts w:ascii="Tahoma" w:eastAsiaTheme="minorEastAsia" w:hAnsi="Tahoma" w:cs="Tahoma"/>
            <w:noProof/>
            <w:sz w:val="24"/>
            <w:szCs w:val="24"/>
            <w:lang w:val="en-GB" w:eastAsia="en-GB"/>
            <w14:ligatures w14:val="standardContextual"/>
          </w:rPr>
          <w:tab/>
        </w:r>
        <w:r w:rsidRPr="00B42926">
          <w:rPr>
            <w:rStyle w:val="Hyperlink"/>
            <w:rFonts w:ascii="Tahoma" w:hAnsi="Tahoma" w:cs="Tahoma"/>
            <w:noProof/>
            <w:sz w:val="24"/>
            <w:szCs w:val="24"/>
            <w:lang w:val="en-US"/>
          </w:rPr>
          <w:t>Zimbabwe GDP Growth Update</w:t>
        </w:r>
        <w:r w:rsidRPr="00B42926">
          <w:rPr>
            <w:rFonts w:ascii="Tahoma" w:hAnsi="Tahoma" w:cs="Tahoma"/>
            <w:noProof/>
            <w:webHidden/>
            <w:sz w:val="24"/>
            <w:szCs w:val="24"/>
          </w:rPr>
          <w:tab/>
        </w:r>
        <w:r w:rsidRPr="00B42926">
          <w:rPr>
            <w:rFonts w:ascii="Tahoma" w:hAnsi="Tahoma" w:cs="Tahoma"/>
            <w:noProof/>
            <w:webHidden/>
            <w:sz w:val="24"/>
            <w:szCs w:val="24"/>
          </w:rPr>
          <w:fldChar w:fldCharType="begin"/>
        </w:r>
        <w:r w:rsidRPr="00B42926">
          <w:rPr>
            <w:rFonts w:ascii="Tahoma" w:hAnsi="Tahoma" w:cs="Tahoma"/>
            <w:noProof/>
            <w:webHidden/>
            <w:sz w:val="24"/>
            <w:szCs w:val="24"/>
          </w:rPr>
          <w:instrText xml:space="preserve"> PAGEREF _Toc182566281 \h </w:instrText>
        </w:r>
        <w:r w:rsidRPr="00B42926">
          <w:rPr>
            <w:rFonts w:ascii="Tahoma" w:hAnsi="Tahoma" w:cs="Tahoma"/>
            <w:noProof/>
            <w:webHidden/>
            <w:sz w:val="24"/>
            <w:szCs w:val="24"/>
          </w:rPr>
        </w:r>
        <w:r w:rsidRPr="00B42926">
          <w:rPr>
            <w:rFonts w:ascii="Tahoma" w:hAnsi="Tahoma" w:cs="Tahoma"/>
            <w:noProof/>
            <w:webHidden/>
            <w:sz w:val="24"/>
            <w:szCs w:val="24"/>
          </w:rPr>
          <w:fldChar w:fldCharType="separate"/>
        </w:r>
        <w:r w:rsidRPr="00B42926">
          <w:rPr>
            <w:rFonts w:ascii="Tahoma" w:hAnsi="Tahoma" w:cs="Tahoma"/>
            <w:noProof/>
            <w:webHidden/>
            <w:sz w:val="24"/>
            <w:szCs w:val="24"/>
          </w:rPr>
          <w:t>3</w:t>
        </w:r>
        <w:r w:rsidRPr="00B42926">
          <w:rPr>
            <w:rFonts w:ascii="Tahoma" w:hAnsi="Tahoma" w:cs="Tahoma"/>
            <w:noProof/>
            <w:webHidden/>
            <w:sz w:val="24"/>
            <w:szCs w:val="24"/>
          </w:rPr>
          <w:fldChar w:fldCharType="end"/>
        </w:r>
      </w:hyperlink>
    </w:p>
    <w:p w14:paraId="44147E42" w14:textId="47B21A94" w:rsidR="00B42926" w:rsidRPr="00B42926" w:rsidRDefault="00B42926">
      <w:pPr>
        <w:pStyle w:val="TOC1"/>
        <w:tabs>
          <w:tab w:val="left" w:pos="720"/>
          <w:tab w:val="right" w:leader="dot" w:pos="9016"/>
        </w:tabs>
        <w:rPr>
          <w:rFonts w:ascii="Tahoma" w:eastAsiaTheme="minorEastAsia" w:hAnsi="Tahoma" w:cs="Tahoma"/>
          <w:noProof/>
          <w:sz w:val="24"/>
          <w:szCs w:val="24"/>
          <w:lang w:val="en-GB" w:eastAsia="en-GB"/>
          <w14:ligatures w14:val="standardContextual"/>
        </w:rPr>
      </w:pPr>
      <w:hyperlink w:anchor="_Toc182566282" w:history="1">
        <w:r w:rsidRPr="00B42926">
          <w:rPr>
            <w:rStyle w:val="Hyperlink"/>
            <w:rFonts w:ascii="Tahoma" w:hAnsi="Tahoma" w:cs="Tahoma"/>
            <w:noProof/>
            <w:sz w:val="24"/>
            <w:szCs w:val="24"/>
            <w:lang w:val="en-US"/>
          </w:rPr>
          <w:t>4.0</w:t>
        </w:r>
        <w:r w:rsidRPr="00B42926">
          <w:rPr>
            <w:rFonts w:ascii="Tahoma" w:eastAsiaTheme="minorEastAsia" w:hAnsi="Tahoma" w:cs="Tahoma"/>
            <w:noProof/>
            <w:sz w:val="24"/>
            <w:szCs w:val="24"/>
            <w:lang w:val="en-GB" w:eastAsia="en-GB"/>
            <w14:ligatures w14:val="standardContextual"/>
          </w:rPr>
          <w:tab/>
        </w:r>
        <w:r w:rsidRPr="00B42926">
          <w:rPr>
            <w:rStyle w:val="Hyperlink"/>
            <w:rFonts w:ascii="Tahoma" w:hAnsi="Tahoma" w:cs="Tahoma"/>
            <w:noProof/>
            <w:sz w:val="24"/>
            <w:szCs w:val="24"/>
            <w:lang w:val="en-US"/>
          </w:rPr>
          <w:t>Merchandise Trade Developments</w:t>
        </w:r>
        <w:r w:rsidRPr="00B42926">
          <w:rPr>
            <w:rFonts w:ascii="Tahoma" w:hAnsi="Tahoma" w:cs="Tahoma"/>
            <w:noProof/>
            <w:webHidden/>
            <w:sz w:val="24"/>
            <w:szCs w:val="24"/>
          </w:rPr>
          <w:tab/>
        </w:r>
        <w:r w:rsidRPr="00B42926">
          <w:rPr>
            <w:rFonts w:ascii="Tahoma" w:hAnsi="Tahoma" w:cs="Tahoma"/>
            <w:noProof/>
            <w:webHidden/>
            <w:sz w:val="24"/>
            <w:szCs w:val="24"/>
          </w:rPr>
          <w:fldChar w:fldCharType="begin"/>
        </w:r>
        <w:r w:rsidRPr="00B42926">
          <w:rPr>
            <w:rFonts w:ascii="Tahoma" w:hAnsi="Tahoma" w:cs="Tahoma"/>
            <w:noProof/>
            <w:webHidden/>
            <w:sz w:val="24"/>
            <w:szCs w:val="24"/>
          </w:rPr>
          <w:instrText xml:space="preserve"> PAGEREF _Toc182566282 \h </w:instrText>
        </w:r>
        <w:r w:rsidRPr="00B42926">
          <w:rPr>
            <w:rFonts w:ascii="Tahoma" w:hAnsi="Tahoma" w:cs="Tahoma"/>
            <w:noProof/>
            <w:webHidden/>
            <w:sz w:val="24"/>
            <w:szCs w:val="24"/>
          </w:rPr>
        </w:r>
        <w:r w:rsidRPr="00B42926">
          <w:rPr>
            <w:rFonts w:ascii="Tahoma" w:hAnsi="Tahoma" w:cs="Tahoma"/>
            <w:noProof/>
            <w:webHidden/>
            <w:sz w:val="24"/>
            <w:szCs w:val="24"/>
          </w:rPr>
          <w:fldChar w:fldCharType="separate"/>
        </w:r>
        <w:r w:rsidRPr="00B42926">
          <w:rPr>
            <w:rFonts w:ascii="Tahoma" w:hAnsi="Tahoma" w:cs="Tahoma"/>
            <w:noProof/>
            <w:webHidden/>
            <w:sz w:val="24"/>
            <w:szCs w:val="24"/>
          </w:rPr>
          <w:t>3</w:t>
        </w:r>
        <w:r w:rsidRPr="00B42926">
          <w:rPr>
            <w:rFonts w:ascii="Tahoma" w:hAnsi="Tahoma" w:cs="Tahoma"/>
            <w:noProof/>
            <w:webHidden/>
            <w:sz w:val="24"/>
            <w:szCs w:val="24"/>
          </w:rPr>
          <w:fldChar w:fldCharType="end"/>
        </w:r>
      </w:hyperlink>
    </w:p>
    <w:p w14:paraId="613C7654" w14:textId="31ACB321" w:rsidR="00B42926" w:rsidRPr="00B42926" w:rsidRDefault="00B42926">
      <w:pPr>
        <w:pStyle w:val="TOC1"/>
        <w:tabs>
          <w:tab w:val="left" w:pos="720"/>
          <w:tab w:val="right" w:leader="dot" w:pos="9016"/>
        </w:tabs>
        <w:rPr>
          <w:rFonts w:ascii="Tahoma" w:eastAsiaTheme="minorEastAsia" w:hAnsi="Tahoma" w:cs="Tahoma"/>
          <w:noProof/>
          <w:sz w:val="24"/>
          <w:szCs w:val="24"/>
          <w:lang w:val="en-GB" w:eastAsia="en-GB"/>
          <w14:ligatures w14:val="standardContextual"/>
        </w:rPr>
      </w:pPr>
      <w:hyperlink w:anchor="_Toc182566283" w:history="1">
        <w:r w:rsidRPr="00B42926">
          <w:rPr>
            <w:rStyle w:val="Hyperlink"/>
            <w:rFonts w:ascii="Tahoma" w:hAnsi="Tahoma" w:cs="Tahoma"/>
            <w:noProof/>
            <w:sz w:val="24"/>
            <w:szCs w:val="24"/>
            <w:lang w:val="en-US"/>
          </w:rPr>
          <w:t>5.0</w:t>
        </w:r>
        <w:r w:rsidRPr="00B42926">
          <w:rPr>
            <w:rFonts w:ascii="Tahoma" w:eastAsiaTheme="minorEastAsia" w:hAnsi="Tahoma" w:cs="Tahoma"/>
            <w:noProof/>
            <w:sz w:val="24"/>
            <w:szCs w:val="24"/>
            <w:lang w:val="en-GB" w:eastAsia="en-GB"/>
            <w14:ligatures w14:val="standardContextual"/>
          </w:rPr>
          <w:tab/>
        </w:r>
        <w:r w:rsidRPr="00B42926">
          <w:rPr>
            <w:rStyle w:val="Hyperlink"/>
            <w:rFonts w:ascii="Tahoma" w:hAnsi="Tahoma" w:cs="Tahoma"/>
            <w:noProof/>
            <w:sz w:val="24"/>
            <w:szCs w:val="24"/>
            <w:lang w:val="en-US"/>
          </w:rPr>
          <w:t>Exchange Rate Developments</w:t>
        </w:r>
        <w:r w:rsidRPr="00B42926">
          <w:rPr>
            <w:rFonts w:ascii="Tahoma" w:hAnsi="Tahoma" w:cs="Tahoma"/>
            <w:noProof/>
            <w:webHidden/>
            <w:sz w:val="24"/>
            <w:szCs w:val="24"/>
          </w:rPr>
          <w:tab/>
        </w:r>
        <w:r w:rsidRPr="00B42926">
          <w:rPr>
            <w:rFonts w:ascii="Tahoma" w:hAnsi="Tahoma" w:cs="Tahoma"/>
            <w:noProof/>
            <w:webHidden/>
            <w:sz w:val="24"/>
            <w:szCs w:val="24"/>
          </w:rPr>
          <w:fldChar w:fldCharType="begin"/>
        </w:r>
        <w:r w:rsidRPr="00B42926">
          <w:rPr>
            <w:rFonts w:ascii="Tahoma" w:hAnsi="Tahoma" w:cs="Tahoma"/>
            <w:noProof/>
            <w:webHidden/>
            <w:sz w:val="24"/>
            <w:szCs w:val="24"/>
          </w:rPr>
          <w:instrText xml:space="preserve"> PAGEREF _Toc182566283 \h </w:instrText>
        </w:r>
        <w:r w:rsidRPr="00B42926">
          <w:rPr>
            <w:rFonts w:ascii="Tahoma" w:hAnsi="Tahoma" w:cs="Tahoma"/>
            <w:noProof/>
            <w:webHidden/>
            <w:sz w:val="24"/>
            <w:szCs w:val="24"/>
          </w:rPr>
        </w:r>
        <w:r w:rsidRPr="00B42926">
          <w:rPr>
            <w:rFonts w:ascii="Tahoma" w:hAnsi="Tahoma" w:cs="Tahoma"/>
            <w:noProof/>
            <w:webHidden/>
            <w:sz w:val="24"/>
            <w:szCs w:val="24"/>
          </w:rPr>
          <w:fldChar w:fldCharType="separate"/>
        </w:r>
        <w:r w:rsidRPr="00B42926">
          <w:rPr>
            <w:rFonts w:ascii="Tahoma" w:hAnsi="Tahoma" w:cs="Tahoma"/>
            <w:noProof/>
            <w:webHidden/>
            <w:sz w:val="24"/>
            <w:szCs w:val="24"/>
          </w:rPr>
          <w:t>4</w:t>
        </w:r>
        <w:r w:rsidRPr="00B42926">
          <w:rPr>
            <w:rFonts w:ascii="Tahoma" w:hAnsi="Tahoma" w:cs="Tahoma"/>
            <w:noProof/>
            <w:webHidden/>
            <w:sz w:val="24"/>
            <w:szCs w:val="24"/>
          </w:rPr>
          <w:fldChar w:fldCharType="end"/>
        </w:r>
      </w:hyperlink>
    </w:p>
    <w:p w14:paraId="679451E0" w14:textId="49253B17" w:rsidR="00B42926" w:rsidRPr="00B42926" w:rsidRDefault="00B42926">
      <w:pPr>
        <w:pStyle w:val="TOC2"/>
        <w:rPr>
          <w:rFonts w:eastAsiaTheme="minorEastAsia"/>
          <w:b w:val="0"/>
          <w:lang w:val="en-GB" w:eastAsia="en-GB"/>
          <w14:ligatures w14:val="standardContextual"/>
        </w:rPr>
      </w:pPr>
      <w:hyperlink w:anchor="_Toc182566284" w:history="1">
        <w:r w:rsidRPr="00B42926">
          <w:rPr>
            <w:rStyle w:val="Hyperlink"/>
            <w:b w:val="0"/>
          </w:rPr>
          <w:t>5.1</w:t>
        </w:r>
        <w:r w:rsidRPr="00B42926">
          <w:rPr>
            <w:rFonts w:eastAsiaTheme="minorEastAsia"/>
            <w:b w:val="0"/>
            <w:lang w:val="en-GB" w:eastAsia="en-GB"/>
            <w14:ligatures w14:val="standardContextual"/>
          </w:rPr>
          <w:tab/>
        </w:r>
        <w:r w:rsidRPr="00B42926">
          <w:rPr>
            <w:rStyle w:val="Hyperlink"/>
            <w:b w:val="0"/>
          </w:rPr>
          <w:t>ZWG Exchange Rate Developments</w:t>
        </w:r>
        <w:r w:rsidRPr="00B42926">
          <w:rPr>
            <w:b w:val="0"/>
            <w:webHidden/>
          </w:rPr>
          <w:tab/>
        </w:r>
        <w:r w:rsidRPr="00B42926">
          <w:rPr>
            <w:b w:val="0"/>
            <w:webHidden/>
          </w:rPr>
          <w:fldChar w:fldCharType="begin"/>
        </w:r>
        <w:r w:rsidRPr="00B42926">
          <w:rPr>
            <w:b w:val="0"/>
            <w:webHidden/>
          </w:rPr>
          <w:instrText xml:space="preserve"> PAGEREF _Toc182566284 \h </w:instrText>
        </w:r>
        <w:r w:rsidRPr="00B42926">
          <w:rPr>
            <w:b w:val="0"/>
            <w:webHidden/>
          </w:rPr>
        </w:r>
        <w:r w:rsidRPr="00B42926">
          <w:rPr>
            <w:b w:val="0"/>
            <w:webHidden/>
          </w:rPr>
          <w:fldChar w:fldCharType="separate"/>
        </w:r>
        <w:r w:rsidRPr="00B42926">
          <w:rPr>
            <w:b w:val="0"/>
            <w:webHidden/>
          </w:rPr>
          <w:t>4</w:t>
        </w:r>
        <w:r w:rsidRPr="00B42926">
          <w:rPr>
            <w:b w:val="0"/>
            <w:webHidden/>
          </w:rPr>
          <w:fldChar w:fldCharType="end"/>
        </w:r>
      </w:hyperlink>
    </w:p>
    <w:p w14:paraId="4015E4A7" w14:textId="728E44E9" w:rsidR="00B42926" w:rsidRPr="00B42926" w:rsidRDefault="00B42926">
      <w:pPr>
        <w:pStyle w:val="TOC2"/>
        <w:rPr>
          <w:rFonts w:eastAsiaTheme="minorEastAsia"/>
          <w:b w:val="0"/>
          <w:lang w:val="en-GB" w:eastAsia="en-GB"/>
          <w14:ligatures w14:val="standardContextual"/>
        </w:rPr>
      </w:pPr>
      <w:hyperlink w:anchor="_Toc182566285" w:history="1">
        <w:r w:rsidRPr="00B42926">
          <w:rPr>
            <w:rStyle w:val="Hyperlink"/>
            <w:b w:val="0"/>
          </w:rPr>
          <w:t>5.2</w:t>
        </w:r>
        <w:r w:rsidRPr="00B42926">
          <w:rPr>
            <w:rFonts w:eastAsiaTheme="minorEastAsia"/>
            <w:b w:val="0"/>
            <w:lang w:val="en-GB" w:eastAsia="en-GB"/>
            <w14:ligatures w14:val="standardContextual"/>
          </w:rPr>
          <w:tab/>
        </w:r>
        <w:r w:rsidRPr="00B42926">
          <w:rPr>
            <w:rStyle w:val="Hyperlink"/>
            <w:b w:val="0"/>
          </w:rPr>
          <w:t>Parallel Market Developments</w:t>
        </w:r>
        <w:r w:rsidRPr="00B42926">
          <w:rPr>
            <w:b w:val="0"/>
            <w:webHidden/>
          </w:rPr>
          <w:tab/>
        </w:r>
        <w:r w:rsidRPr="00B42926">
          <w:rPr>
            <w:b w:val="0"/>
            <w:webHidden/>
          </w:rPr>
          <w:fldChar w:fldCharType="begin"/>
        </w:r>
        <w:r w:rsidRPr="00B42926">
          <w:rPr>
            <w:b w:val="0"/>
            <w:webHidden/>
          </w:rPr>
          <w:instrText xml:space="preserve"> PAGEREF _Toc182566285 \h </w:instrText>
        </w:r>
        <w:r w:rsidRPr="00B42926">
          <w:rPr>
            <w:b w:val="0"/>
            <w:webHidden/>
          </w:rPr>
        </w:r>
        <w:r w:rsidRPr="00B42926">
          <w:rPr>
            <w:b w:val="0"/>
            <w:webHidden/>
          </w:rPr>
          <w:fldChar w:fldCharType="separate"/>
        </w:r>
        <w:r w:rsidRPr="00B42926">
          <w:rPr>
            <w:b w:val="0"/>
            <w:webHidden/>
          </w:rPr>
          <w:t>4</w:t>
        </w:r>
        <w:r w:rsidRPr="00B42926">
          <w:rPr>
            <w:b w:val="0"/>
            <w:webHidden/>
          </w:rPr>
          <w:fldChar w:fldCharType="end"/>
        </w:r>
      </w:hyperlink>
    </w:p>
    <w:p w14:paraId="22F1B230" w14:textId="7BC83FD8" w:rsidR="00B42926" w:rsidRPr="00B42926" w:rsidRDefault="00B42926">
      <w:pPr>
        <w:pStyle w:val="TOC2"/>
        <w:rPr>
          <w:rFonts w:eastAsiaTheme="minorEastAsia"/>
          <w:b w:val="0"/>
          <w:lang w:val="en-GB" w:eastAsia="en-GB"/>
          <w14:ligatures w14:val="standardContextual"/>
        </w:rPr>
      </w:pPr>
      <w:hyperlink w:anchor="_Toc182566286" w:history="1">
        <w:r w:rsidRPr="00B42926">
          <w:rPr>
            <w:rStyle w:val="Hyperlink"/>
            <w:b w:val="0"/>
          </w:rPr>
          <w:t>5.3</w:t>
        </w:r>
        <w:r w:rsidRPr="00B42926">
          <w:rPr>
            <w:rFonts w:eastAsiaTheme="minorEastAsia"/>
            <w:b w:val="0"/>
            <w:lang w:val="en-GB" w:eastAsia="en-GB"/>
            <w14:ligatures w14:val="standardContextual"/>
          </w:rPr>
          <w:tab/>
        </w:r>
        <w:r w:rsidRPr="00B42926">
          <w:rPr>
            <w:rStyle w:val="Hyperlink"/>
            <w:b w:val="0"/>
          </w:rPr>
          <w:t>Cross Rate Developments</w:t>
        </w:r>
        <w:r w:rsidRPr="00B42926">
          <w:rPr>
            <w:b w:val="0"/>
            <w:webHidden/>
          </w:rPr>
          <w:tab/>
        </w:r>
        <w:r w:rsidRPr="00B42926">
          <w:rPr>
            <w:b w:val="0"/>
            <w:webHidden/>
          </w:rPr>
          <w:fldChar w:fldCharType="begin"/>
        </w:r>
        <w:r w:rsidRPr="00B42926">
          <w:rPr>
            <w:b w:val="0"/>
            <w:webHidden/>
          </w:rPr>
          <w:instrText xml:space="preserve"> PAGEREF _Toc182566286 \h </w:instrText>
        </w:r>
        <w:r w:rsidRPr="00B42926">
          <w:rPr>
            <w:b w:val="0"/>
            <w:webHidden/>
          </w:rPr>
        </w:r>
        <w:r w:rsidRPr="00B42926">
          <w:rPr>
            <w:b w:val="0"/>
            <w:webHidden/>
          </w:rPr>
          <w:fldChar w:fldCharType="separate"/>
        </w:r>
        <w:r w:rsidRPr="00B42926">
          <w:rPr>
            <w:b w:val="0"/>
            <w:webHidden/>
          </w:rPr>
          <w:t>5</w:t>
        </w:r>
        <w:r w:rsidRPr="00B42926">
          <w:rPr>
            <w:b w:val="0"/>
            <w:webHidden/>
          </w:rPr>
          <w:fldChar w:fldCharType="end"/>
        </w:r>
      </w:hyperlink>
    </w:p>
    <w:p w14:paraId="2D4D94E9" w14:textId="182B0914" w:rsidR="00B42926" w:rsidRPr="00B42926" w:rsidRDefault="00B42926">
      <w:pPr>
        <w:pStyle w:val="TOC1"/>
        <w:tabs>
          <w:tab w:val="left" w:pos="720"/>
          <w:tab w:val="right" w:leader="dot" w:pos="9016"/>
        </w:tabs>
        <w:rPr>
          <w:rFonts w:ascii="Tahoma" w:eastAsiaTheme="minorEastAsia" w:hAnsi="Tahoma" w:cs="Tahoma"/>
          <w:noProof/>
          <w:sz w:val="24"/>
          <w:szCs w:val="24"/>
          <w:lang w:val="en-GB" w:eastAsia="en-GB"/>
          <w14:ligatures w14:val="standardContextual"/>
        </w:rPr>
      </w:pPr>
      <w:hyperlink w:anchor="_Toc182566287" w:history="1">
        <w:r w:rsidRPr="00B42926">
          <w:rPr>
            <w:rStyle w:val="Hyperlink"/>
            <w:rFonts w:ascii="Tahoma" w:hAnsi="Tahoma" w:cs="Tahoma"/>
            <w:noProof/>
            <w:sz w:val="24"/>
            <w:szCs w:val="24"/>
            <w:lang w:val="en-US"/>
          </w:rPr>
          <w:t>6.0</w:t>
        </w:r>
        <w:r w:rsidRPr="00B42926">
          <w:rPr>
            <w:rFonts w:ascii="Tahoma" w:eastAsiaTheme="minorEastAsia" w:hAnsi="Tahoma" w:cs="Tahoma"/>
            <w:noProof/>
            <w:sz w:val="24"/>
            <w:szCs w:val="24"/>
            <w:lang w:val="en-GB" w:eastAsia="en-GB"/>
            <w14:ligatures w14:val="standardContextual"/>
          </w:rPr>
          <w:tab/>
        </w:r>
        <w:r w:rsidRPr="00B42926">
          <w:rPr>
            <w:rStyle w:val="Hyperlink"/>
            <w:rFonts w:ascii="Tahoma" w:hAnsi="Tahoma" w:cs="Tahoma"/>
            <w:noProof/>
            <w:sz w:val="24"/>
            <w:szCs w:val="24"/>
            <w:lang w:val="en-US"/>
          </w:rPr>
          <w:t>Inflation Developments</w:t>
        </w:r>
        <w:r w:rsidRPr="00B42926">
          <w:rPr>
            <w:rFonts w:ascii="Tahoma" w:hAnsi="Tahoma" w:cs="Tahoma"/>
            <w:noProof/>
            <w:webHidden/>
            <w:sz w:val="24"/>
            <w:szCs w:val="24"/>
          </w:rPr>
          <w:tab/>
        </w:r>
        <w:r w:rsidRPr="00B42926">
          <w:rPr>
            <w:rFonts w:ascii="Tahoma" w:hAnsi="Tahoma" w:cs="Tahoma"/>
            <w:noProof/>
            <w:webHidden/>
            <w:sz w:val="24"/>
            <w:szCs w:val="24"/>
          </w:rPr>
          <w:fldChar w:fldCharType="begin"/>
        </w:r>
        <w:r w:rsidRPr="00B42926">
          <w:rPr>
            <w:rFonts w:ascii="Tahoma" w:hAnsi="Tahoma" w:cs="Tahoma"/>
            <w:noProof/>
            <w:webHidden/>
            <w:sz w:val="24"/>
            <w:szCs w:val="24"/>
          </w:rPr>
          <w:instrText xml:space="preserve"> PAGEREF _Toc182566287 \h </w:instrText>
        </w:r>
        <w:r w:rsidRPr="00B42926">
          <w:rPr>
            <w:rFonts w:ascii="Tahoma" w:hAnsi="Tahoma" w:cs="Tahoma"/>
            <w:noProof/>
            <w:webHidden/>
            <w:sz w:val="24"/>
            <w:szCs w:val="24"/>
          </w:rPr>
        </w:r>
        <w:r w:rsidRPr="00B42926">
          <w:rPr>
            <w:rFonts w:ascii="Tahoma" w:hAnsi="Tahoma" w:cs="Tahoma"/>
            <w:noProof/>
            <w:webHidden/>
            <w:sz w:val="24"/>
            <w:szCs w:val="24"/>
          </w:rPr>
          <w:fldChar w:fldCharType="separate"/>
        </w:r>
        <w:r w:rsidRPr="00B42926">
          <w:rPr>
            <w:rFonts w:ascii="Tahoma" w:hAnsi="Tahoma" w:cs="Tahoma"/>
            <w:noProof/>
            <w:webHidden/>
            <w:sz w:val="24"/>
            <w:szCs w:val="24"/>
          </w:rPr>
          <w:t>5</w:t>
        </w:r>
        <w:r w:rsidRPr="00B42926">
          <w:rPr>
            <w:rFonts w:ascii="Tahoma" w:hAnsi="Tahoma" w:cs="Tahoma"/>
            <w:noProof/>
            <w:webHidden/>
            <w:sz w:val="24"/>
            <w:szCs w:val="24"/>
          </w:rPr>
          <w:fldChar w:fldCharType="end"/>
        </w:r>
      </w:hyperlink>
    </w:p>
    <w:p w14:paraId="14566E56" w14:textId="05BECB6E" w:rsidR="00B42926" w:rsidRPr="00B42926" w:rsidRDefault="00B42926">
      <w:pPr>
        <w:pStyle w:val="TOC1"/>
        <w:tabs>
          <w:tab w:val="left" w:pos="720"/>
          <w:tab w:val="right" w:leader="dot" w:pos="9016"/>
        </w:tabs>
        <w:rPr>
          <w:rFonts w:ascii="Tahoma" w:eastAsiaTheme="minorEastAsia" w:hAnsi="Tahoma" w:cs="Tahoma"/>
          <w:noProof/>
          <w:sz w:val="24"/>
          <w:szCs w:val="24"/>
          <w:lang w:val="en-GB" w:eastAsia="en-GB"/>
          <w14:ligatures w14:val="standardContextual"/>
        </w:rPr>
      </w:pPr>
      <w:hyperlink w:anchor="_Toc182566288" w:history="1">
        <w:r w:rsidRPr="00B42926">
          <w:rPr>
            <w:rStyle w:val="Hyperlink"/>
            <w:rFonts w:ascii="Tahoma" w:hAnsi="Tahoma" w:cs="Tahoma"/>
            <w:noProof/>
            <w:sz w:val="24"/>
            <w:szCs w:val="24"/>
            <w:lang w:val="en-US"/>
          </w:rPr>
          <w:t>7.0</w:t>
        </w:r>
        <w:r w:rsidRPr="00B42926">
          <w:rPr>
            <w:rFonts w:ascii="Tahoma" w:eastAsiaTheme="minorEastAsia" w:hAnsi="Tahoma" w:cs="Tahoma"/>
            <w:noProof/>
            <w:sz w:val="24"/>
            <w:szCs w:val="24"/>
            <w:lang w:val="en-GB" w:eastAsia="en-GB"/>
            <w14:ligatures w14:val="standardContextual"/>
          </w:rPr>
          <w:tab/>
        </w:r>
        <w:r w:rsidRPr="00B42926">
          <w:rPr>
            <w:rStyle w:val="Hyperlink"/>
            <w:rFonts w:ascii="Tahoma" w:hAnsi="Tahoma" w:cs="Tahoma"/>
            <w:noProof/>
            <w:sz w:val="24"/>
            <w:szCs w:val="24"/>
            <w:lang w:val="en-US"/>
          </w:rPr>
          <w:t>Monetary Developments</w:t>
        </w:r>
        <w:r w:rsidRPr="00B42926">
          <w:rPr>
            <w:rFonts w:ascii="Tahoma" w:hAnsi="Tahoma" w:cs="Tahoma"/>
            <w:noProof/>
            <w:webHidden/>
            <w:sz w:val="24"/>
            <w:szCs w:val="24"/>
          </w:rPr>
          <w:tab/>
        </w:r>
        <w:r w:rsidRPr="00B42926">
          <w:rPr>
            <w:rFonts w:ascii="Tahoma" w:hAnsi="Tahoma" w:cs="Tahoma"/>
            <w:noProof/>
            <w:webHidden/>
            <w:sz w:val="24"/>
            <w:szCs w:val="24"/>
          </w:rPr>
          <w:fldChar w:fldCharType="begin"/>
        </w:r>
        <w:r w:rsidRPr="00B42926">
          <w:rPr>
            <w:rFonts w:ascii="Tahoma" w:hAnsi="Tahoma" w:cs="Tahoma"/>
            <w:noProof/>
            <w:webHidden/>
            <w:sz w:val="24"/>
            <w:szCs w:val="24"/>
          </w:rPr>
          <w:instrText xml:space="preserve"> PAGEREF _Toc182566288 \h </w:instrText>
        </w:r>
        <w:r w:rsidRPr="00B42926">
          <w:rPr>
            <w:rFonts w:ascii="Tahoma" w:hAnsi="Tahoma" w:cs="Tahoma"/>
            <w:noProof/>
            <w:webHidden/>
            <w:sz w:val="24"/>
            <w:szCs w:val="24"/>
          </w:rPr>
        </w:r>
        <w:r w:rsidRPr="00B42926">
          <w:rPr>
            <w:rFonts w:ascii="Tahoma" w:hAnsi="Tahoma" w:cs="Tahoma"/>
            <w:noProof/>
            <w:webHidden/>
            <w:sz w:val="24"/>
            <w:szCs w:val="24"/>
          </w:rPr>
          <w:fldChar w:fldCharType="separate"/>
        </w:r>
        <w:r w:rsidRPr="00B42926">
          <w:rPr>
            <w:rFonts w:ascii="Tahoma" w:hAnsi="Tahoma" w:cs="Tahoma"/>
            <w:noProof/>
            <w:webHidden/>
            <w:sz w:val="24"/>
            <w:szCs w:val="24"/>
          </w:rPr>
          <w:t>7</w:t>
        </w:r>
        <w:r w:rsidRPr="00B42926">
          <w:rPr>
            <w:rFonts w:ascii="Tahoma" w:hAnsi="Tahoma" w:cs="Tahoma"/>
            <w:noProof/>
            <w:webHidden/>
            <w:sz w:val="24"/>
            <w:szCs w:val="24"/>
          </w:rPr>
          <w:fldChar w:fldCharType="end"/>
        </w:r>
      </w:hyperlink>
    </w:p>
    <w:p w14:paraId="52D39BDA" w14:textId="5DD563A5" w:rsidR="00B42926" w:rsidRPr="00B42926" w:rsidRDefault="00B42926">
      <w:pPr>
        <w:pStyle w:val="TOC2"/>
        <w:rPr>
          <w:rFonts w:eastAsiaTheme="minorEastAsia"/>
          <w:b w:val="0"/>
          <w:lang w:val="en-GB" w:eastAsia="en-GB"/>
          <w14:ligatures w14:val="standardContextual"/>
        </w:rPr>
      </w:pPr>
      <w:hyperlink w:anchor="_Toc182566289" w:history="1">
        <w:r w:rsidRPr="00B42926">
          <w:rPr>
            <w:rStyle w:val="Hyperlink"/>
            <w:b w:val="0"/>
          </w:rPr>
          <w:t>7.1</w:t>
        </w:r>
        <w:r w:rsidRPr="00B42926">
          <w:rPr>
            <w:rFonts w:eastAsiaTheme="minorEastAsia"/>
            <w:b w:val="0"/>
            <w:lang w:val="en-GB" w:eastAsia="en-GB"/>
            <w14:ligatures w14:val="standardContextual"/>
          </w:rPr>
          <w:tab/>
        </w:r>
        <w:r w:rsidRPr="00B42926">
          <w:rPr>
            <w:rStyle w:val="Hyperlink"/>
            <w:b w:val="0"/>
          </w:rPr>
          <w:t>Money Supply</w:t>
        </w:r>
        <w:r w:rsidRPr="00B42926">
          <w:rPr>
            <w:b w:val="0"/>
            <w:webHidden/>
          </w:rPr>
          <w:tab/>
        </w:r>
        <w:r w:rsidRPr="00B42926">
          <w:rPr>
            <w:b w:val="0"/>
            <w:webHidden/>
          </w:rPr>
          <w:fldChar w:fldCharType="begin"/>
        </w:r>
        <w:r w:rsidRPr="00B42926">
          <w:rPr>
            <w:b w:val="0"/>
            <w:webHidden/>
          </w:rPr>
          <w:instrText xml:space="preserve"> PAGEREF _Toc182566289 \h </w:instrText>
        </w:r>
        <w:r w:rsidRPr="00B42926">
          <w:rPr>
            <w:b w:val="0"/>
            <w:webHidden/>
          </w:rPr>
        </w:r>
        <w:r w:rsidRPr="00B42926">
          <w:rPr>
            <w:b w:val="0"/>
            <w:webHidden/>
          </w:rPr>
          <w:fldChar w:fldCharType="separate"/>
        </w:r>
        <w:r w:rsidRPr="00B42926">
          <w:rPr>
            <w:b w:val="0"/>
            <w:webHidden/>
          </w:rPr>
          <w:t>7</w:t>
        </w:r>
        <w:r w:rsidRPr="00B42926">
          <w:rPr>
            <w:b w:val="0"/>
            <w:webHidden/>
          </w:rPr>
          <w:fldChar w:fldCharType="end"/>
        </w:r>
      </w:hyperlink>
    </w:p>
    <w:p w14:paraId="1B0EE665" w14:textId="069FFB02" w:rsidR="00B42926" w:rsidRPr="00B42926" w:rsidRDefault="00B42926">
      <w:pPr>
        <w:pStyle w:val="TOC2"/>
        <w:rPr>
          <w:rFonts w:eastAsiaTheme="minorEastAsia"/>
          <w:b w:val="0"/>
          <w:lang w:val="en-GB" w:eastAsia="en-GB"/>
          <w14:ligatures w14:val="standardContextual"/>
        </w:rPr>
      </w:pPr>
      <w:hyperlink w:anchor="_Toc182566290" w:history="1">
        <w:r w:rsidRPr="00B42926">
          <w:rPr>
            <w:rStyle w:val="Hyperlink"/>
            <w:b w:val="0"/>
          </w:rPr>
          <w:t>7.2</w:t>
        </w:r>
        <w:r w:rsidRPr="00B42926">
          <w:rPr>
            <w:rFonts w:eastAsiaTheme="minorEastAsia"/>
            <w:b w:val="0"/>
            <w:lang w:val="en-GB" w:eastAsia="en-GB"/>
            <w14:ligatures w14:val="standardContextual"/>
          </w:rPr>
          <w:tab/>
        </w:r>
        <w:r w:rsidRPr="00B42926">
          <w:rPr>
            <w:rStyle w:val="Hyperlink"/>
            <w:b w:val="0"/>
          </w:rPr>
          <w:t>Interest Rates</w:t>
        </w:r>
        <w:r w:rsidRPr="00B42926">
          <w:rPr>
            <w:b w:val="0"/>
            <w:webHidden/>
          </w:rPr>
          <w:tab/>
        </w:r>
        <w:r w:rsidRPr="00B42926">
          <w:rPr>
            <w:b w:val="0"/>
            <w:webHidden/>
          </w:rPr>
          <w:fldChar w:fldCharType="begin"/>
        </w:r>
        <w:r w:rsidRPr="00B42926">
          <w:rPr>
            <w:b w:val="0"/>
            <w:webHidden/>
          </w:rPr>
          <w:instrText xml:space="preserve"> PAGEREF _Toc182566290 \h </w:instrText>
        </w:r>
        <w:r w:rsidRPr="00B42926">
          <w:rPr>
            <w:b w:val="0"/>
            <w:webHidden/>
          </w:rPr>
        </w:r>
        <w:r w:rsidRPr="00B42926">
          <w:rPr>
            <w:b w:val="0"/>
            <w:webHidden/>
          </w:rPr>
          <w:fldChar w:fldCharType="separate"/>
        </w:r>
        <w:r w:rsidRPr="00B42926">
          <w:rPr>
            <w:b w:val="0"/>
            <w:webHidden/>
          </w:rPr>
          <w:t>8</w:t>
        </w:r>
        <w:r w:rsidRPr="00B42926">
          <w:rPr>
            <w:b w:val="0"/>
            <w:webHidden/>
          </w:rPr>
          <w:fldChar w:fldCharType="end"/>
        </w:r>
      </w:hyperlink>
    </w:p>
    <w:p w14:paraId="25A96F42" w14:textId="2A06271F" w:rsidR="00B42926" w:rsidRPr="00B42926" w:rsidRDefault="00B42926">
      <w:pPr>
        <w:pStyle w:val="TOC1"/>
        <w:tabs>
          <w:tab w:val="left" w:pos="720"/>
          <w:tab w:val="right" w:leader="dot" w:pos="9016"/>
        </w:tabs>
        <w:rPr>
          <w:rFonts w:ascii="Tahoma" w:eastAsiaTheme="minorEastAsia" w:hAnsi="Tahoma" w:cs="Tahoma"/>
          <w:noProof/>
          <w:sz w:val="24"/>
          <w:szCs w:val="24"/>
          <w:lang w:val="en-GB" w:eastAsia="en-GB"/>
          <w14:ligatures w14:val="standardContextual"/>
        </w:rPr>
      </w:pPr>
      <w:hyperlink w:anchor="_Toc182566291" w:history="1">
        <w:r w:rsidRPr="00B42926">
          <w:rPr>
            <w:rStyle w:val="Hyperlink"/>
            <w:rFonts w:ascii="Tahoma" w:hAnsi="Tahoma" w:cs="Tahoma"/>
            <w:noProof/>
            <w:sz w:val="24"/>
            <w:szCs w:val="24"/>
            <w:lang w:val="en-US"/>
          </w:rPr>
          <w:t>8.0</w:t>
        </w:r>
        <w:r w:rsidRPr="00B42926">
          <w:rPr>
            <w:rFonts w:ascii="Tahoma" w:eastAsiaTheme="minorEastAsia" w:hAnsi="Tahoma" w:cs="Tahoma"/>
            <w:noProof/>
            <w:sz w:val="24"/>
            <w:szCs w:val="24"/>
            <w:lang w:val="en-GB" w:eastAsia="en-GB"/>
            <w14:ligatures w14:val="standardContextual"/>
          </w:rPr>
          <w:tab/>
        </w:r>
        <w:r w:rsidRPr="00B42926">
          <w:rPr>
            <w:rStyle w:val="Hyperlink"/>
            <w:rFonts w:ascii="Tahoma" w:hAnsi="Tahoma" w:cs="Tahoma"/>
            <w:noProof/>
            <w:sz w:val="24"/>
            <w:szCs w:val="24"/>
            <w:lang w:val="en-US"/>
          </w:rPr>
          <w:t>Stock Market Developments</w:t>
        </w:r>
        <w:r w:rsidRPr="00B42926">
          <w:rPr>
            <w:rFonts w:ascii="Tahoma" w:hAnsi="Tahoma" w:cs="Tahoma"/>
            <w:noProof/>
            <w:webHidden/>
            <w:sz w:val="24"/>
            <w:szCs w:val="24"/>
          </w:rPr>
          <w:tab/>
        </w:r>
        <w:r w:rsidRPr="00B42926">
          <w:rPr>
            <w:rFonts w:ascii="Tahoma" w:hAnsi="Tahoma" w:cs="Tahoma"/>
            <w:noProof/>
            <w:webHidden/>
            <w:sz w:val="24"/>
            <w:szCs w:val="24"/>
          </w:rPr>
          <w:fldChar w:fldCharType="begin"/>
        </w:r>
        <w:r w:rsidRPr="00B42926">
          <w:rPr>
            <w:rFonts w:ascii="Tahoma" w:hAnsi="Tahoma" w:cs="Tahoma"/>
            <w:noProof/>
            <w:webHidden/>
            <w:sz w:val="24"/>
            <w:szCs w:val="24"/>
          </w:rPr>
          <w:instrText xml:space="preserve"> PAGEREF _Toc182566291 \h </w:instrText>
        </w:r>
        <w:r w:rsidRPr="00B42926">
          <w:rPr>
            <w:rFonts w:ascii="Tahoma" w:hAnsi="Tahoma" w:cs="Tahoma"/>
            <w:noProof/>
            <w:webHidden/>
            <w:sz w:val="24"/>
            <w:szCs w:val="24"/>
          </w:rPr>
        </w:r>
        <w:r w:rsidRPr="00B42926">
          <w:rPr>
            <w:rFonts w:ascii="Tahoma" w:hAnsi="Tahoma" w:cs="Tahoma"/>
            <w:noProof/>
            <w:webHidden/>
            <w:sz w:val="24"/>
            <w:szCs w:val="24"/>
          </w:rPr>
          <w:fldChar w:fldCharType="separate"/>
        </w:r>
        <w:r w:rsidRPr="00B42926">
          <w:rPr>
            <w:rFonts w:ascii="Tahoma" w:hAnsi="Tahoma" w:cs="Tahoma"/>
            <w:noProof/>
            <w:webHidden/>
            <w:sz w:val="24"/>
            <w:szCs w:val="24"/>
          </w:rPr>
          <w:t>8</w:t>
        </w:r>
        <w:r w:rsidRPr="00B42926">
          <w:rPr>
            <w:rFonts w:ascii="Tahoma" w:hAnsi="Tahoma" w:cs="Tahoma"/>
            <w:noProof/>
            <w:webHidden/>
            <w:sz w:val="24"/>
            <w:szCs w:val="24"/>
          </w:rPr>
          <w:fldChar w:fldCharType="end"/>
        </w:r>
      </w:hyperlink>
    </w:p>
    <w:p w14:paraId="701E0426" w14:textId="0DB0B85A" w:rsidR="00B42926" w:rsidRPr="00B42926" w:rsidRDefault="00B42926">
      <w:pPr>
        <w:pStyle w:val="TOC2"/>
        <w:rPr>
          <w:rFonts w:eastAsiaTheme="minorEastAsia"/>
          <w:b w:val="0"/>
          <w:lang w:val="en-GB" w:eastAsia="en-GB"/>
          <w14:ligatures w14:val="standardContextual"/>
        </w:rPr>
      </w:pPr>
      <w:hyperlink w:anchor="_Toc182566292" w:history="1">
        <w:r w:rsidRPr="00B42926">
          <w:rPr>
            <w:rStyle w:val="Hyperlink"/>
            <w:b w:val="0"/>
          </w:rPr>
          <w:t>8.1</w:t>
        </w:r>
        <w:r w:rsidRPr="00B42926">
          <w:rPr>
            <w:rFonts w:eastAsiaTheme="minorEastAsia"/>
            <w:b w:val="0"/>
            <w:lang w:val="en-GB" w:eastAsia="en-GB"/>
            <w14:ligatures w14:val="standardContextual"/>
          </w:rPr>
          <w:tab/>
        </w:r>
        <w:r w:rsidRPr="00B42926">
          <w:rPr>
            <w:rStyle w:val="Hyperlink"/>
            <w:b w:val="0"/>
          </w:rPr>
          <w:t>Zimbabwe Stock Exchange</w:t>
        </w:r>
        <w:r w:rsidRPr="00B42926">
          <w:rPr>
            <w:b w:val="0"/>
            <w:webHidden/>
          </w:rPr>
          <w:tab/>
        </w:r>
        <w:r w:rsidRPr="00B42926">
          <w:rPr>
            <w:b w:val="0"/>
            <w:webHidden/>
          </w:rPr>
          <w:fldChar w:fldCharType="begin"/>
        </w:r>
        <w:r w:rsidRPr="00B42926">
          <w:rPr>
            <w:b w:val="0"/>
            <w:webHidden/>
          </w:rPr>
          <w:instrText xml:space="preserve"> PAGEREF _Toc182566292 \h </w:instrText>
        </w:r>
        <w:r w:rsidRPr="00B42926">
          <w:rPr>
            <w:b w:val="0"/>
            <w:webHidden/>
          </w:rPr>
        </w:r>
        <w:r w:rsidRPr="00B42926">
          <w:rPr>
            <w:b w:val="0"/>
            <w:webHidden/>
          </w:rPr>
          <w:fldChar w:fldCharType="separate"/>
        </w:r>
        <w:r w:rsidRPr="00B42926">
          <w:rPr>
            <w:b w:val="0"/>
            <w:webHidden/>
          </w:rPr>
          <w:t>8</w:t>
        </w:r>
        <w:r w:rsidRPr="00B42926">
          <w:rPr>
            <w:b w:val="0"/>
            <w:webHidden/>
          </w:rPr>
          <w:fldChar w:fldCharType="end"/>
        </w:r>
      </w:hyperlink>
    </w:p>
    <w:p w14:paraId="4A922974" w14:textId="35AC35B2" w:rsidR="00B42926" w:rsidRPr="00B42926" w:rsidRDefault="00B42926">
      <w:pPr>
        <w:pStyle w:val="TOC2"/>
        <w:rPr>
          <w:rFonts w:eastAsiaTheme="minorEastAsia"/>
          <w:b w:val="0"/>
          <w:lang w:val="en-GB" w:eastAsia="en-GB"/>
          <w14:ligatures w14:val="standardContextual"/>
        </w:rPr>
      </w:pPr>
      <w:hyperlink w:anchor="_Toc182566293" w:history="1">
        <w:r w:rsidRPr="00B42926">
          <w:rPr>
            <w:rStyle w:val="Hyperlink"/>
            <w:b w:val="0"/>
          </w:rPr>
          <w:t>8.2</w:t>
        </w:r>
        <w:r w:rsidRPr="00B42926">
          <w:rPr>
            <w:rFonts w:eastAsiaTheme="minorEastAsia"/>
            <w:b w:val="0"/>
            <w:lang w:val="en-GB" w:eastAsia="en-GB"/>
            <w14:ligatures w14:val="standardContextual"/>
          </w:rPr>
          <w:tab/>
        </w:r>
        <w:r w:rsidRPr="00B42926">
          <w:rPr>
            <w:rStyle w:val="Hyperlink"/>
            <w:b w:val="0"/>
          </w:rPr>
          <w:t>Victoria Falls Stock Exchange</w:t>
        </w:r>
        <w:r w:rsidRPr="00B42926">
          <w:rPr>
            <w:b w:val="0"/>
            <w:webHidden/>
          </w:rPr>
          <w:tab/>
        </w:r>
        <w:r w:rsidRPr="00B42926">
          <w:rPr>
            <w:b w:val="0"/>
            <w:webHidden/>
          </w:rPr>
          <w:fldChar w:fldCharType="begin"/>
        </w:r>
        <w:r w:rsidRPr="00B42926">
          <w:rPr>
            <w:b w:val="0"/>
            <w:webHidden/>
          </w:rPr>
          <w:instrText xml:space="preserve"> PAGEREF _Toc182566293 \h </w:instrText>
        </w:r>
        <w:r w:rsidRPr="00B42926">
          <w:rPr>
            <w:b w:val="0"/>
            <w:webHidden/>
          </w:rPr>
        </w:r>
        <w:r w:rsidRPr="00B42926">
          <w:rPr>
            <w:b w:val="0"/>
            <w:webHidden/>
          </w:rPr>
          <w:fldChar w:fldCharType="separate"/>
        </w:r>
        <w:r w:rsidRPr="00B42926">
          <w:rPr>
            <w:b w:val="0"/>
            <w:webHidden/>
          </w:rPr>
          <w:t>8</w:t>
        </w:r>
        <w:r w:rsidRPr="00B42926">
          <w:rPr>
            <w:b w:val="0"/>
            <w:webHidden/>
          </w:rPr>
          <w:fldChar w:fldCharType="end"/>
        </w:r>
      </w:hyperlink>
    </w:p>
    <w:p w14:paraId="644D2686" w14:textId="7C538C6F" w:rsidR="00B42926" w:rsidRPr="00B42926" w:rsidRDefault="00B42926">
      <w:pPr>
        <w:pStyle w:val="TOC1"/>
        <w:tabs>
          <w:tab w:val="left" w:pos="720"/>
          <w:tab w:val="right" w:leader="dot" w:pos="9016"/>
        </w:tabs>
        <w:rPr>
          <w:rFonts w:ascii="Tahoma" w:eastAsiaTheme="minorEastAsia" w:hAnsi="Tahoma" w:cs="Tahoma"/>
          <w:noProof/>
          <w:sz w:val="24"/>
          <w:szCs w:val="24"/>
          <w:lang w:val="en-GB" w:eastAsia="en-GB"/>
          <w14:ligatures w14:val="standardContextual"/>
        </w:rPr>
      </w:pPr>
      <w:hyperlink w:anchor="_Toc182566294" w:history="1">
        <w:r w:rsidRPr="00B42926">
          <w:rPr>
            <w:rStyle w:val="Hyperlink"/>
            <w:rFonts w:ascii="Tahoma" w:hAnsi="Tahoma" w:cs="Tahoma"/>
            <w:noProof/>
            <w:sz w:val="24"/>
            <w:szCs w:val="24"/>
            <w:lang w:val="en-US"/>
          </w:rPr>
          <w:t>9.0</w:t>
        </w:r>
        <w:r w:rsidRPr="00B42926">
          <w:rPr>
            <w:rFonts w:ascii="Tahoma" w:eastAsiaTheme="minorEastAsia" w:hAnsi="Tahoma" w:cs="Tahoma"/>
            <w:noProof/>
            <w:sz w:val="24"/>
            <w:szCs w:val="24"/>
            <w:lang w:val="en-GB" w:eastAsia="en-GB"/>
            <w14:ligatures w14:val="standardContextual"/>
          </w:rPr>
          <w:tab/>
        </w:r>
        <w:r w:rsidRPr="00B42926">
          <w:rPr>
            <w:rStyle w:val="Hyperlink"/>
            <w:rFonts w:ascii="Tahoma" w:hAnsi="Tahoma" w:cs="Tahoma"/>
            <w:noProof/>
            <w:sz w:val="24"/>
            <w:szCs w:val="24"/>
            <w:lang w:val="en-US"/>
          </w:rPr>
          <w:t>Recommendations</w:t>
        </w:r>
        <w:r w:rsidRPr="00B42926">
          <w:rPr>
            <w:rFonts w:ascii="Tahoma" w:hAnsi="Tahoma" w:cs="Tahoma"/>
            <w:noProof/>
            <w:webHidden/>
            <w:sz w:val="24"/>
            <w:szCs w:val="24"/>
          </w:rPr>
          <w:tab/>
        </w:r>
        <w:r w:rsidRPr="00B42926">
          <w:rPr>
            <w:rFonts w:ascii="Tahoma" w:hAnsi="Tahoma" w:cs="Tahoma"/>
            <w:noProof/>
            <w:webHidden/>
            <w:sz w:val="24"/>
            <w:szCs w:val="24"/>
          </w:rPr>
          <w:fldChar w:fldCharType="begin"/>
        </w:r>
        <w:r w:rsidRPr="00B42926">
          <w:rPr>
            <w:rFonts w:ascii="Tahoma" w:hAnsi="Tahoma" w:cs="Tahoma"/>
            <w:noProof/>
            <w:webHidden/>
            <w:sz w:val="24"/>
            <w:szCs w:val="24"/>
          </w:rPr>
          <w:instrText xml:space="preserve"> PAGEREF _Toc182566294 \h </w:instrText>
        </w:r>
        <w:r w:rsidRPr="00B42926">
          <w:rPr>
            <w:rFonts w:ascii="Tahoma" w:hAnsi="Tahoma" w:cs="Tahoma"/>
            <w:noProof/>
            <w:webHidden/>
            <w:sz w:val="24"/>
            <w:szCs w:val="24"/>
          </w:rPr>
        </w:r>
        <w:r w:rsidRPr="00B42926">
          <w:rPr>
            <w:rFonts w:ascii="Tahoma" w:hAnsi="Tahoma" w:cs="Tahoma"/>
            <w:noProof/>
            <w:webHidden/>
            <w:sz w:val="24"/>
            <w:szCs w:val="24"/>
          </w:rPr>
          <w:fldChar w:fldCharType="separate"/>
        </w:r>
        <w:r w:rsidRPr="00B42926">
          <w:rPr>
            <w:rFonts w:ascii="Tahoma" w:hAnsi="Tahoma" w:cs="Tahoma"/>
            <w:noProof/>
            <w:webHidden/>
            <w:sz w:val="24"/>
            <w:szCs w:val="24"/>
          </w:rPr>
          <w:t>9</w:t>
        </w:r>
        <w:r w:rsidRPr="00B42926">
          <w:rPr>
            <w:rFonts w:ascii="Tahoma" w:hAnsi="Tahoma" w:cs="Tahoma"/>
            <w:noProof/>
            <w:webHidden/>
            <w:sz w:val="24"/>
            <w:szCs w:val="24"/>
          </w:rPr>
          <w:fldChar w:fldCharType="end"/>
        </w:r>
      </w:hyperlink>
    </w:p>
    <w:p w14:paraId="7ECBC548" w14:textId="50C291F7" w:rsidR="00B42926" w:rsidRDefault="00B42926">
      <w:pPr>
        <w:pStyle w:val="TOC1"/>
        <w:tabs>
          <w:tab w:val="right" w:leader="dot" w:pos="9016"/>
        </w:tabs>
        <w:rPr>
          <w:rFonts w:asciiTheme="minorHAnsi" w:eastAsiaTheme="minorEastAsia" w:hAnsiTheme="minorHAnsi" w:cstheme="minorBidi"/>
          <w:noProof/>
          <w:sz w:val="24"/>
          <w:szCs w:val="24"/>
          <w:lang w:val="en-GB" w:eastAsia="en-GB"/>
          <w14:ligatures w14:val="standardContextual"/>
        </w:rPr>
      </w:pPr>
      <w:hyperlink w:anchor="_Toc182566295" w:history="1">
        <w:r w:rsidRPr="00B42926">
          <w:rPr>
            <w:rStyle w:val="Hyperlink"/>
            <w:rFonts w:ascii="Tahoma" w:hAnsi="Tahoma" w:cs="Tahoma"/>
            <w:noProof/>
            <w:sz w:val="24"/>
            <w:szCs w:val="24"/>
          </w:rPr>
          <w:t>10.0 References</w:t>
        </w:r>
        <w:r w:rsidRPr="00B42926">
          <w:rPr>
            <w:rFonts w:ascii="Tahoma" w:hAnsi="Tahoma" w:cs="Tahoma"/>
            <w:noProof/>
            <w:webHidden/>
            <w:sz w:val="24"/>
            <w:szCs w:val="24"/>
          </w:rPr>
          <w:tab/>
        </w:r>
        <w:r w:rsidRPr="00B42926">
          <w:rPr>
            <w:rFonts w:ascii="Tahoma" w:hAnsi="Tahoma" w:cs="Tahoma"/>
            <w:noProof/>
            <w:webHidden/>
            <w:sz w:val="24"/>
            <w:szCs w:val="24"/>
          </w:rPr>
          <w:fldChar w:fldCharType="begin"/>
        </w:r>
        <w:r w:rsidRPr="00B42926">
          <w:rPr>
            <w:rFonts w:ascii="Tahoma" w:hAnsi="Tahoma" w:cs="Tahoma"/>
            <w:noProof/>
            <w:webHidden/>
            <w:sz w:val="24"/>
            <w:szCs w:val="24"/>
          </w:rPr>
          <w:instrText xml:space="preserve"> PAGEREF _Toc182566295 \h </w:instrText>
        </w:r>
        <w:r w:rsidRPr="00B42926">
          <w:rPr>
            <w:rFonts w:ascii="Tahoma" w:hAnsi="Tahoma" w:cs="Tahoma"/>
            <w:noProof/>
            <w:webHidden/>
            <w:sz w:val="24"/>
            <w:szCs w:val="24"/>
          </w:rPr>
        </w:r>
        <w:r w:rsidRPr="00B42926">
          <w:rPr>
            <w:rFonts w:ascii="Tahoma" w:hAnsi="Tahoma" w:cs="Tahoma"/>
            <w:noProof/>
            <w:webHidden/>
            <w:sz w:val="24"/>
            <w:szCs w:val="24"/>
          </w:rPr>
          <w:fldChar w:fldCharType="separate"/>
        </w:r>
        <w:r w:rsidRPr="00B42926">
          <w:rPr>
            <w:rFonts w:ascii="Tahoma" w:hAnsi="Tahoma" w:cs="Tahoma"/>
            <w:noProof/>
            <w:webHidden/>
            <w:sz w:val="24"/>
            <w:szCs w:val="24"/>
          </w:rPr>
          <w:t>11</w:t>
        </w:r>
        <w:r w:rsidRPr="00B42926">
          <w:rPr>
            <w:rFonts w:ascii="Tahoma" w:hAnsi="Tahoma" w:cs="Tahoma"/>
            <w:noProof/>
            <w:webHidden/>
            <w:sz w:val="24"/>
            <w:szCs w:val="24"/>
          </w:rPr>
          <w:fldChar w:fldCharType="end"/>
        </w:r>
      </w:hyperlink>
    </w:p>
    <w:p w14:paraId="05A57219" w14:textId="6A5C5CDB" w:rsidR="00D46F37" w:rsidRPr="00F05BD5" w:rsidRDefault="00D46F37" w:rsidP="00F05BD5">
      <w:pPr>
        <w:jc w:val="both"/>
      </w:pPr>
      <w:r w:rsidRPr="00F05BD5">
        <w:rPr>
          <w:rFonts w:ascii="Tahoma" w:hAnsi="Tahoma" w:cs="Tahoma"/>
          <w:noProof/>
          <w:sz w:val="24"/>
          <w:szCs w:val="24"/>
        </w:rPr>
        <w:fldChar w:fldCharType="end"/>
      </w:r>
    </w:p>
    <w:p w14:paraId="3716E9F9" w14:textId="77777777" w:rsidR="00D46F37" w:rsidRDefault="00D46F37" w:rsidP="00D46F37">
      <w:pPr>
        <w:rPr>
          <w:lang w:val="en-US"/>
        </w:rPr>
      </w:pPr>
    </w:p>
    <w:p w14:paraId="051AB47A" w14:textId="77777777" w:rsidR="00D46F37" w:rsidRDefault="00D46F37" w:rsidP="00D46F37">
      <w:pPr>
        <w:rPr>
          <w:lang w:val="en-US"/>
        </w:rPr>
      </w:pPr>
    </w:p>
    <w:p w14:paraId="6C8A5694" w14:textId="77777777" w:rsidR="00D46F37" w:rsidRDefault="00D46F37" w:rsidP="00D46F37">
      <w:pPr>
        <w:rPr>
          <w:lang w:val="en-US"/>
        </w:rPr>
      </w:pPr>
    </w:p>
    <w:p w14:paraId="122856B1" w14:textId="77777777" w:rsidR="00D46F37" w:rsidRDefault="00D46F37" w:rsidP="00D46F37">
      <w:pPr>
        <w:rPr>
          <w:lang w:val="en-US"/>
        </w:rPr>
      </w:pPr>
    </w:p>
    <w:p w14:paraId="30927F92" w14:textId="77777777" w:rsidR="00D46F37" w:rsidRDefault="00D46F37" w:rsidP="00D46F37">
      <w:pPr>
        <w:rPr>
          <w:lang w:val="en-US"/>
        </w:rPr>
      </w:pPr>
    </w:p>
    <w:p w14:paraId="7F34D183" w14:textId="77777777" w:rsidR="00A26B7B" w:rsidRDefault="00A26B7B" w:rsidP="00D46F37">
      <w:pPr>
        <w:rPr>
          <w:lang w:val="en-US"/>
        </w:rPr>
      </w:pPr>
    </w:p>
    <w:p w14:paraId="285687C0" w14:textId="77777777" w:rsidR="00D46F37" w:rsidRDefault="00D46F37" w:rsidP="00D46F37">
      <w:pPr>
        <w:rPr>
          <w:lang w:val="en-US"/>
        </w:rPr>
      </w:pPr>
    </w:p>
    <w:p w14:paraId="1AA29FA7" w14:textId="77777777" w:rsidR="00D46F37" w:rsidRDefault="00D46F37" w:rsidP="00D46F37">
      <w:pPr>
        <w:rPr>
          <w:lang w:val="en-US"/>
        </w:rPr>
      </w:pPr>
    </w:p>
    <w:p w14:paraId="6BD38768" w14:textId="77777777" w:rsidR="00D46F37" w:rsidRDefault="00D46F37" w:rsidP="00D46F37">
      <w:pPr>
        <w:rPr>
          <w:lang w:val="en-US"/>
        </w:rPr>
      </w:pPr>
    </w:p>
    <w:p w14:paraId="2CFE9466" w14:textId="77777777" w:rsidR="00D46F37" w:rsidRDefault="00D46F37" w:rsidP="00D46F37">
      <w:pPr>
        <w:rPr>
          <w:lang w:val="en-US"/>
        </w:rPr>
      </w:pPr>
    </w:p>
    <w:p w14:paraId="3D8FCB05" w14:textId="77777777" w:rsidR="00732393" w:rsidRPr="00E36073" w:rsidRDefault="00F67469" w:rsidP="005D76CA">
      <w:pPr>
        <w:rPr>
          <w:rFonts w:ascii="Tahoma" w:hAnsi="Tahoma" w:cs="Tahoma"/>
          <w:b/>
          <w:color w:val="000000"/>
          <w:sz w:val="24"/>
          <w:szCs w:val="24"/>
          <w:lang w:val="en-US"/>
        </w:rPr>
      </w:pPr>
      <w:r w:rsidRPr="00863A17">
        <w:rPr>
          <w:rFonts w:ascii="Tahoma" w:hAnsi="Tahoma" w:cs="Tahoma"/>
          <w:b/>
          <w:color w:val="000000"/>
          <w:sz w:val="24"/>
          <w:szCs w:val="24"/>
          <w:lang w:val="en-US"/>
        </w:rPr>
        <w:lastRenderedPageBreak/>
        <w:t xml:space="preserve">List of </w:t>
      </w:r>
      <w:r w:rsidR="009744EB">
        <w:rPr>
          <w:rFonts w:ascii="Tahoma" w:hAnsi="Tahoma" w:cs="Tahoma"/>
          <w:b/>
          <w:color w:val="000000"/>
          <w:sz w:val="24"/>
          <w:szCs w:val="24"/>
          <w:lang w:val="en-US"/>
        </w:rPr>
        <w:t>Tables</w:t>
      </w:r>
      <w:r w:rsidRPr="00863A17">
        <w:rPr>
          <w:rFonts w:ascii="Tahoma" w:hAnsi="Tahoma" w:cs="Tahoma"/>
          <w:b/>
          <w:color w:val="000000"/>
          <w:sz w:val="24"/>
          <w:szCs w:val="24"/>
          <w:lang w:val="en-US"/>
        </w:rPr>
        <w:t xml:space="preserve"> </w:t>
      </w:r>
    </w:p>
    <w:p w14:paraId="506C60F9" w14:textId="77777777" w:rsidR="00961E32" w:rsidRPr="00C35B21" w:rsidRDefault="00E36073">
      <w:pPr>
        <w:pStyle w:val="TableofFigures"/>
        <w:tabs>
          <w:tab w:val="right" w:leader="dot" w:pos="9016"/>
        </w:tabs>
        <w:rPr>
          <w:rFonts w:ascii="Tahoma" w:eastAsia="Times New Roman" w:hAnsi="Tahoma" w:cs="Tahoma"/>
          <w:noProof/>
          <w:sz w:val="24"/>
          <w:szCs w:val="24"/>
          <w:lang w:eastAsia="en-ZW"/>
        </w:rPr>
      </w:pPr>
      <w:r w:rsidRPr="004D35AC">
        <w:rPr>
          <w:rFonts w:ascii="Tahoma" w:hAnsi="Tahoma" w:cs="Tahoma"/>
          <w:b/>
          <w:iCs/>
          <w:sz w:val="24"/>
          <w:szCs w:val="24"/>
          <w:lang w:val="en-US"/>
        </w:rPr>
        <w:fldChar w:fldCharType="begin"/>
      </w:r>
      <w:r w:rsidRPr="004D35AC">
        <w:rPr>
          <w:rFonts w:ascii="Tahoma" w:hAnsi="Tahoma" w:cs="Tahoma"/>
          <w:b/>
          <w:iCs/>
          <w:sz w:val="24"/>
          <w:szCs w:val="24"/>
          <w:lang w:val="en-US"/>
        </w:rPr>
        <w:instrText xml:space="preserve"> TOC \f F \h \z \t "List of Tables" \c </w:instrText>
      </w:r>
      <w:r w:rsidRPr="004D35AC">
        <w:rPr>
          <w:rFonts w:ascii="Tahoma" w:hAnsi="Tahoma" w:cs="Tahoma"/>
          <w:b/>
          <w:iCs/>
          <w:sz w:val="24"/>
          <w:szCs w:val="24"/>
          <w:lang w:val="en-US"/>
        </w:rPr>
        <w:fldChar w:fldCharType="separate"/>
      </w:r>
      <w:hyperlink w:anchor="_Toc181785779" w:history="1">
        <w:r w:rsidR="00961E32" w:rsidRPr="00961E32">
          <w:rPr>
            <w:rStyle w:val="Hyperlink"/>
            <w:rFonts w:ascii="Tahoma" w:hAnsi="Tahoma" w:cs="Tahoma"/>
            <w:noProof/>
            <w:sz w:val="24"/>
            <w:szCs w:val="24"/>
          </w:rPr>
          <w:t xml:space="preserve">Table 1: </w:t>
        </w:r>
        <w:r w:rsidR="00961E32" w:rsidRPr="00961E32">
          <w:rPr>
            <w:rStyle w:val="Hyperlink"/>
            <w:rFonts w:ascii="Tahoma" w:hAnsi="Tahoma" w:cs="Tahoma"/>
            <w:noProof/>
            <w:sz w:val="24"/>
            <w:szCs w:val="24"/>
            <w:lang w:val="en-US"/>
          </w:rPr>
          <w:t>Global Economic Growth Developments</w:t>
        </w:r>
        <w:r w:rsidR="00961E32" w:rsidRPr="00961E32">
          <w:rPr>
            <w:rFonts w:ascii="Tahoma" w:hAnsi="Tahoma" w:cs="Tahoma"/>
            <w:noProof/>
            <w:webHidden/>
            <w:sz w:val="24"/>
            <w:szCs w:val="24"/>
          </w:rPr>
          <w:tab/>
        </w:r>
        <w:r w:rsidR="00961E32" w:rsidRPr="00961E32">
          <w:rPr>
            <w:rFonts w:ascii="Tahoma" w:hAnsi="Tahoma" w:cs="Tahoma"/>
            <w:noProof/>
            <w:webHidden/>
            <w:sz w:val="24"/>
            <w:szCs w:val="24"/>
          </w:rPr>
          <w:fldChar w:fldCharType="begin"/>
        </w:r>
        <w:r w:rsidR="00961E32" w:rsidRPr="00961E32">
          <w:rPr>
            <w:rFonts w:ascii="Tahoma" w:hAnsi="Tahoma" w:cs="Tahoma"/>
            <w:noProof/>
            <w:webHidden/>
            <w:sz w:val="24"/>
            <w:szCs w:val="24"/>
          </w:rPr>
          <w:instrText xml:space="preserve"> PAGEREF _Toc181785779 \h </w:instrText>
        </w:r>
        <w:r w:rsidR="00961E32" w:rsidRPr="00961E32">
          <w:rPr>
            <w:rFonts w:ascii="Tahoma" w:hAnsi="Tahoma" w:cs="Tahoma"/>
            <w:noProof/>
            <w:webHidden/>
            <w:sz w:val="24"/>
            <w:szCs w:val="24"/>
          </w:rPr>
        </w:r>
        <w:r w:rsidR="00961E32" w:rsidRPr="00961E32">
          <w:rPr>
            <w:rFonts w:ascii="Tahoma" w:hAnsi="Tahoma" w:cs="Tahoma"/>
            <w:noProof/>
            <w:webHidden/>
            <w:sz w:val="24"/>
            <w:szCs w:val="24"/>
          </w:rPr>
          <w:fldChar w:fldCharType="separate"/>
        </w:r>
        <w:r w:rsidR="00961E32" w:rsidRPr="00961E32">
          <w:rPr>
            <w:rFonts w:ascii="Tahoma" w:hAnsi="Tahoma" w:cs="Tahoma"/>
            <w:noProof/>
            <w:webHidden/>
            <w:sz w:val="24"/>
            <w:szCs w:val="24"/>
          </w:rPr>
          <w:t>1</w:t>
        </w:r>
        <w:r w:rsidR="00961E32" w:rsidRPr="00961E32">
          <w:rPr>
            <w:rFonts w:ascii="Tahoma" w:hAnsi="Tahoma" w:cs="Tahoma"/>
            <w:noProof/>
            <w:webHidden/>
            <w:sz w:val="24"/>
            <w:szCs w:val="24"/>
          </w:rPr>
          <w:fldChar w:fldCharType="end"/>
        </w:r>
      </w:hyperlink>
    </w:p>
    <w:p w14:paraId="68D10859" w14:textId="77777777" w:rsidR="00961E32" w:rsidRPr="00C35B21" w:rsidRDefault="00961E32">
      <w:pPr>
        <w:pStyle w:val="TableofFigures"/>
        <w:tabs>
          <w:tab w:val="right" w:leader="dot" w:pos="9016"/>
        </w:tabs>
        <w:rPr>
          <w:rFonts w:ascii="Tahoma" w:eastAsia="Times New Roman" w:hAnsi="Tahoma" w:cs="Tahoma"/>
          <w:noProof/>
          <w:sz w:val="24"/>
          <w:szCs w:val="24"/>
          <w:lang w:eastAsia="en-ZW"/>
        </w:rPr>
      </w:pPr>
      <w:hyperlink w:anchor="_Toc181785780" w:history="1">
        <w:r w:rsidRPr="00961E32">
          <w:rPr>
            <w:rStyle w:val="Hyperlink"/>
            <w:rFonts w:ascii="Tahoma" w:hAnsi="Tahoma" w:cs="Tahoma"/>
            <w:noProof/>
            <w:sz w:val="24"/>
            <w:szCs w:val="24"/>
          </w:rPr>
          <w:t>Table 2:</w:t>
        </w:r>
        <w:r w:rsidRPr="00961E32">
          <w:rPr>
            <w:rStyle w:val="Hyperlink"/>
            <w:rFonts w:ascii="Tahoma" w:hAnsi="Tahoma" w:cs="Tahoma"/>
            <w:noProof/>
            <w:sz w:val="24"/>
            <w:szCs w:val="24"/>
            <w:lang w:val="en-US"/>
          </w:rPr>
          <w:t xml:space="preserve"> Commodity Price Movements – Month Ending 31 October 2024</w:t>
        </w:r>
        <w:r w:rsidRPr="00961E32">
          <w:rPr>
            <w:rFonts w:ascii="Tahoma" w:hAnsi="Tahoma" w:cs="Tahoma"/>
            <w:noProof/>
            <w:webHidden/>
            <w:sz w:val="24"/>
            <w:szCs w:val="24"/>
          </w:rPr>
          <w:tab/>
        </w:r>
        <w:r w:rsidRPr="00961E32">
          <w:rPr>
            <w:rFonts w:ascii="Tahoma" w:hAnsi="Tahoma" w:cs="Tahoma"/>
            <w:noProof/>
            <w:webHidden/>
            <w:sz w:val="24"/>
            <w:szCs w:val="24"/>
          </w:rPr>
          <w:fldChar w:fldCharType="begin"/>
        </w:r>
        <w:r w:rsidRPr="00961E32">
          <w:rPr>
            <w:rFonts w:ascii="Tahoma" w:hAnsi="Tahoma" w:cs="Tahoma"/>
            <w:noProof/>
            <w:webHidden/>
            <w:sz w:val="24"/>
            <w:szCs w:val="24"/>
          </w:rPr>
          <w:instrText xml:space="preserve"> PAGEREF _Toc181785780 \h </w:instrText>
        </w:r>
        <w:r w:rsidRPr="00961E32">
          <w:rPr>
            <w:rFonts w:ascii="Tahoma" w:hAnsi="Tahoma" w:cs="Tahoma"/>
            <w:noProof/>
            <w:webHidden/>
            <w:sz w:val="24"/>
            <w:szCs w:val="24"/>
          </w:rPr>
        </w:r>
        <w:r w:rsidRPr="00961E32">
          <w:rPr>
            <w:rFonts w:ascii="Tahoma" w:hAnsi="Tahoma" w:cs="Tahoma"/>
            <w:noProof/>
            <w:webHidden/>
            <w:sz w:val="24"/>
            <w:szCs w:val="24"/>
          </w:rPr>
          <w:fldChar w:fldCharType="separate"/>
        </w:r>
        <w:r w:rsidRPr="00961E32">
          <w:rPr>
            <w:rFonts w:ascii="Tahoma" w:hAnsi="Tahoma" w:cs="Tahoma"/>
            <w:noProof/>
            <w:webHidden/>
            <w:sz w:val="24"/>
            <w:szCs w:val="24"/>
          </w:rPr>
          <w:t>3</w:t>
        </w:r>
        <w:r w:rsidRPr="00961E32">
          <w:rPr>
            <w:rFonts w:ascii="Tahoma" w:hAnsi="Tahoma" w:cs="Tahoma"/>
            <w:noProof/>
            <w:webHidden/>
            <w:sz w:val="24"/>
            <w:szCs w:val="24"/>
          </w:rPr>
          <w:fldChar w:fldCharType="end"/>
        </w:r>
      </w:hyperlink>
    </w:p>
    <w:p w14:paraId="363A1AA5" w14:textId="77777777" w:rsidR="00961E32" w:rsidRPr="00C35B21" w:rsidRDefault="00961E32">
      <w:pPr>
        <w:pStyle w:val="TableofFigures"/>
        <w:tabs>
          <w:tab w:val="right" w:leader="dot" w:pos="9016"/>
        </w:tabs>
        <w:rPr>
          <w:rFonts w:ascii="Tahoma" w:eastAsia="Times New Roman" w:hAnsi="Tahoma" w:cs="Tahoma"/>
          <w:noProof/>
          <w:sz w:val="24"/>
          <w:szCs w:val="24"/>
          <w:lang w:eastAsia="en-ZW"/>
        </w:rPr>
      </w:pPr>
      <w:hyperlink w:anchor="_Toc181785781" w:history="1">
        <w:r w:rsidRPr="00961E32">
          <w:rPr>
            <w:rStyle w:val="Hyperlink"/>
            <w:rFonts w:ascii="Tahoma" w:hAnsi="Tahoma" w:cs="Tahoma"/>
            <w:noProof/>
            <w:sz w:val="24"/>
            <w:szCs w:val="24"/>
          </w:rPr>
          <w:t>Table 3: ZWG Exchange Rate Movements - Month Ending 31 October 2024</w:t>
        </w:r>
        <w:r w:rsidRPr="00961E32">
          <w:rPr>
            <w:rFonts w:ascii="Tahoma" w:hAnsi="Tahoma" w:cs="Tahoma"/>
            <w:noProof/>
            <w:webHidden/>
            <w:sz w:val="24"/>
            <w:szCs w:val="24"/>
          </w:rPr>
          <w:tab/>
        </w:r>
        <w:r w:rsidRPr="00961E32">
          <w:rPr>
            <w:rFonts w:ascii="Tahoma" w:hAnsi="Tahoma" w:cs="Tahoma"/>
            <w:noProof/>
            <w:webHidden/>
            <w:sz w:val="24"/>
            <w:szCs w:val="24"/>
          </w:rPr>
          <w:fldChar w:fldCharType="begin"/>
        </w:r>
        <w:r w:rsidRPr="00961E32">
          <w:rPr>
            <w:rFonts w:ascii="Tahoma" w:hAnsi="Tahoma" w:cs="Tahoma"/>
            <w:noProof/>
            <w:webHidden/>
            <w:sz w:val="24"/>
            <w:szCs w:val="24"/>
          </w:rPr>
          <w:instrText xml:space="preserve"> PAGEREF _Toc181785781 \h </w:instrText>
        </w:r>
        <w:r w:rsidRPr="00961E32">
          <w:rPr>
            <w:rFonts w:ascii="Tahoma" w:hAnsi="Tahoma" w:cs="Tahoma"/>
            <w:noProof/>
            <w:webHidden/>
            <w:sz w:val="24"/>
            <w:szCs w:val="24"/>
          </w:rPr>
        </w:r>
        <w:r w:rsidRPr="00961E32">
          <w:rPr>
            <w:rFonts w:ascii="Tahoma" w:hAnsi="Tahoma" w:cs="Tahoma"/>
            <w:noProof/>
            <w:webHidden/>
            <w:sz w:val="24"/>
            <w:szCs w:val="24"/>
          </w:rPr>
          <w:fldChar w:fldCharType="separate"/>
        </w:r>
        <w:r w:rsidRPr="00961E32">
          <w:rPr>
            <w:rFonts w:ascii="Tahoma" w:hAnsi="Tahoma" w:cs="Tahoma"/>
            <w:noProof/>
            <w:webHidden/>
            <w:sz w:val="24"/>
            <w:szCs w:val="24"/>
          </w:rPr>
          <w:t>4</w:t>
        </w:r>
        <w:r w:rsidRPr="00961E32">
          <w:rPr>
            <w:rFonts w:ascii="Tahoma" w:hAnsi="Tahoma" w:cs="Tahoma"/>
            <w:noProof/>
            <w:webHidden/>
            <w:sz w:val="24"/>
            <w:szCs w:val="24"/>
          </w:rPr>
          <w:fldChar w:fldCharType="end"/>
        </w:r>
      </w:hyperlink>
    </w:p>
    <w:p w14:paraId="6E1CFD63" w14:textId="77777777" w:rsidR="00961E32" w:rsidRPr="00C35B21" w:rsidRDefault="00961E32">
      <w:pPr>
        <w:pStyle w:val="TableofFigures"/>
        <w:tabs>
          <w:tab w:val="right" w:leader="dot" w:pos="9016"/>
        </w:tabs>
        <w:rPr>
          <w:rFonts w:ascii="Tahoma" w:eastAsia="Times New Roman" w:hAnsi="Tahoma" w:cs="Tahoma"/>
          <w:noProof/>
          <w:sz w:val="24"/>
          <w:szCs w:val="24"/>
          <w:lang w:eastAsia="en-ZW"/>
        </w:rPr>
      </w:pPr>
      <w:hyperlink w:anchor="_Toc181785782" w:history="1">
        <w:r w:rsidRPr="00961E32">
          <w:rPr>
            <w:rStyle w:val="Hyperlink"/>
            <w:rFonts w:ascii="Tahoma" w:hAnsi="Tahoma" w:cs="Tahoma"/>
            <w:noProof/>
            <w:sz w:val="24"/>
            <w:szCs w:val="24"/>
          </w:rPr>
          <w:t xml:space="preserve">Table 4: </w:t>
        </w:r>
        <w:r w:rsidRPr="00961E32">
          <w:rPr>
            <w:rStyle w:val="Hyperlink"/>
            <w:rFonts w:ascii="Tahoma" w:hAnsi="Tahoma" w:cs="Tahoma"/>
            <w:noProof/>
            <w:sz w:val="24"/>
            <w:szCs w:val="24"/>
            <w:lang w:val="en-US"/>
          </w:rPr>
          <w:t>USD Exchange Rate Movements – Month Ended 31 October 2024</w:t>
        </w:r>
        <w:r w:rsidRPr="00961E32">
          <w:rPr>
            <w:rFonts w:ascii="Tahoma" w:hAnsi="Tahoma" w:cs="Tahoma"/>
            <w:noProof/>
            <w:webHidden/>
            <w:sz w:val="24"/>
            <w:szCs w:val="24"/>
          </w:rPr>
          <w:tab/>
        </w:r>
        <w:r w:rsidRPr="00961E32">
          <w:rPr>
            <w:rFonts w:ascii="Tahoma" w:hAnsi="Tahoma" w:cs="Tahoma"/>
            <w:noProof/>
            <w:webHidden/>
            <w:sz w:val="24"/>
            <w:szCs w:val="24"/>
          </w:rPr>
          <w:fldChar w:fldCharType="begin"/>
        </w:r>
        <w:r w:rsidRPr="00961E32">
          <w:rPr>
            <w:rFonts w:ascii="Tahoma" w:hAnsi="Tahoma" w:cs="Tahoma"/>
            <w:noProof/>
            <w:webHidden/>
            <w:sz w:val="24"/>
            <w:szCs w:val="24"/>
          </w:rPr>
          <w:instrText xml:space="preserve"> PAGEREF _Toc181785782 \h </w:instrText>
        </w:r>
        <w:r w:rsidRPr="00961E32">
          <w:rPr>
            <w:rFonts w:ascii="Tahoma" w:hAnsi="Tahoma" w:cs="Tahoma"/>
            <w:noProof/>
            <w:webHidden/>
            <w:sz w:val="24"/>
            <w:szCs w:val="24"/>
          </w:rPr>
        </w:r>
        <w:r w:rsidRPr="00961E32">
          <w:rPr>
            <w:rFonts w:ascii="Tahoma" w:hAnsi="Tahoma" w:cs="Tahoma"/>
            <w:noProof/>
            <w:webHidden/>
            <w:sz w:val="24"/>
            <w:szCs w:val="24"/>
          </w:rPr>
          <w:fldChar w:fldCharType="separate"/>
        </w:r>
        <w:r w:rsidRPr="00961E32">
          <w:rPr>
            <w:rFonts w:ascii="Tahoma" w:hAnsi="Tahoma" w:cs="Tahoma"/>
            <w:noProof/>
            <w:webHidden/>
            <w:sz w:val="24"/>
            <w:szCs w:val="24"/>
          </w:rPr>
          <w:t>5</w:t>
        </w:r>
        <w:r w:rsidRPr="00961E32">
          <w:rPr>
            <w:rFonts w:ascii="Tahoma" w:hAnsi="Tahoma" w:cs="Tahoma"/>
            <w:noProof/>
            <w:webHidden/>
            <w:sz w:val="24"/>
            <w:szCs w:val="24"/>
          </w:rPr>
          <w:fldChar w:fldCharType="end"/>
        </w:r>
      </w:hyperlink>
    </w:p>
    <w:p w14:paraId="6931A9CF" w14:textId="77777777" w:rsidR="00961E32" w:rsidRPr="00C35B21" w:rsidRDefault="00961E32">
      <w:pPr>
        <w:pStyle w:val="TableofFigures"/>
        <w:tabs>
          <w:tab w:val="right" w:leader="dot" w:pos="9016"/>
        </w:tabs>
        <w:rPr>
          <w:rFonts w:ascii="Tahoma" w:eastAsia="Times New Roman" w:hAnsi="Tahoma" w:cs="Tahoma"/>
          <w:noProof/>
          <w:sz w:val="24"/>
          <w:szCs w:val="24"/>
          <w:lang w:eastAsia="en-ZW"/>
        </w:rPr>
      </w:pPr>
      <w:hyperlink w:anchor="_Toc181785783" w:history="1">
        <w:r w:rsidRPr="00961E32">
          <w:rPr>
            <w:rStyle w:val="Hyperlink"/>
            <w:rFonts w:ascii="Tahoma" w:hAnsi="Tahoma" w:cs="Tahoma"/>
            <w:noProof/>
            <w:sz w:val="24"/>
            <w:szCs w:val="24"/>
          </w:rPr>
          <w:t xml:space="preserve">Table 5: Monthly </w:t>
        </w:r>
        <w:r w:rsidRPr="00961E32">
          <w:rPr>
            <w:rStyle w:val="Hyperlink"/>
            <w:rFonts w:ascii="Tahoma" w:hAnsi="Tahoma" w:cs="Tahoma"/>
            <w:noProof/>
            <w:sz w:val="24"/>
            <w:szCs w:val="24"/>
            <w:lang w:val="en-US"/>
          </w:rPr>
          <w:t>Inflation for October 2024</w:t>
        </w:r>
        <w:r w:rsidRPr="00961E32">
          <w:rPr>
            <w:rFonts w:ascii="Tahoma" w:hAnsi="Tahoma" w:cs="Tahoma"/>
            <w:noProof/>
            <w:webHidden/>
            <w:sz w:val="24"/>
            <w:szCs w:val="24"/>
          </w:rPr>
          <w:tab/>
        </w:r>
        <w:r w:rsidRPr="00961E32">
          <w:rPr>
            <w:rFonts w:ascii="Tahoma" w:hAnsi="Tahoma" w:cs="Tahoma"/>
            <w:noProof/>
            <w:webHidden/>
            <w:sz w:val="24"/>
            <w:szCs w:val="24"/>
          </w:rPr>
          <w:fldChar w:fldCharType="begin"/>
        </w:r>
        <w:r w:rsidRPr="00961E32">
          <w:rPr>
            <w:rFonts w:ascii="Tahoma" w:hAnsi="Tahoma" w:cs="Tahoma"/>
            <w:noProof/>
            <w:webHidden/>
            <w:sz w:val="24"/>
            <w:szCs w:val="24"/>
          </w:rPr>
          <w:instrText xml:space="preserve"> PAGEREF _Toc181785783 \h </w:instrText>
        </w:r>
        <w:r w:rsidRPr="00961E32">
          <w:rPr>
            <w:rFonts w:ascii="Tahoma" w:hAnsi="Tahoma" w:cs="Tahoma"/>
            <w:noProof/>
            <w:webHidden/>
            <w:sz w:val="24"/>
            <w:szCs w:val="24"/>
          </w:rPr>
        </w:r>
        <w:r w:rsidRPr="00961E32">
          <w:rPr>
            <w:rFonts w:ascii="Tahoma" w:hAnsi="Tahoma" w:cs="Tahoma"/>
            <w:noProof/>
            <w:webHidden/>
            <w:sz w:val="24"/>
            <w:szCs w:val="24"/>
          </w:rPr>
          <w:fldChar w:fldCharType="separate"/>
        </w:r>
        <w:r w:rsidRPr="00961E32">
          <w:rPr>
            <w:rFonts w:ascii="Tahoma" w:hAnsi="Tahoma" w:cs="Tahoma"/>
            <w:noProof/>
            <w:webHidden/>
            <w:sz w:val="24"/>
            <w:szCs w:val="24"/>
          </w:rPr>
          <w:t>7</w:t>
        </w:r>
        <w:r w:rsidRPr="00961E32">
          <w:rPr>
            <w:rFonts w:ascii="Tahoma" w:hAnsi="Tahoma" w:cs="Tahoma"/>
            <w:noProof/>
            <w:webHidden/>
            <w:sz w:val="24"/>
            <w:szCs w:val="24"/>
          </w:rPr>
          <w:fldChar w:fldCharType="end"/>
        </w:r>
      </w:hyperlink>
    </w:p>
    <w:p w14:paraId="314C6B4D" w14:textId="77777777" w:rsidR="00961E32" w:rsidRPr="00C35B21" w:rsidRDefault="00961E32">
      <w:pPr>
        <w:pStyle w:val="TableofFigures"/>
        <w:tabs>
          <w:tab w:val="right" w:leader="dot" w:pos="9016"/>
        </w:tabs>
        <w:rPr>
          <w:rFonts w:ascii="Tahoma" w:eastAsia="Times New Roman" w:hAnsi="Tahoma" w:cs="Tahoma"/>
          <w:noProof/>
          <w:sz w:val="24"/>
          <w:szCs w:val="24"/>
          <w:lang w:eastAsia="en-ZW"/>
        </w:rPr>
      </w:pPr>
      <w:hyperlink w:anchor="_Toc181785784" w:history="1">
        <w:r w:rsidRPr="00961E32">
          <w:rPr>
            <w:rStyle w:val="Hyperlink"/>
            <w:rFonts w:ascii="Tahoma" w:hAnsi="Tahoma" w:cs="Tahoma"/>
            <w:noProof/>
            <w:sz w:val="24"/>
            <w:szCs w:val="24"/>
          </w:rPr>
          <w:t>Table 6: Zimbabwe Stock Exchange Movements</w:t>
        </w:r>
        <w:r w:rsidRPr="00961E32">
          <w:rPr>
            <w:rFonts w:ascii="Tahoma" w:hAnsi="Tahoma" w:cs="Tahoma"/>
            <w:noProof/>
            <w:webHidden/>
            <w:sz w:val="24"/>
            <w:szCs w:val="24"/>
          </w:rPr>
          <w:tab/>
        </w:r>
        <w:r w:rsidRPr="00961E32">
          <w:rPr>
            <w:rFonts w:ascii="Tahoma" w:hAnsi="Tahoma" w:cs="Tahoma"/>
            <w:noProof/>
            <w:webHidden/>
            <w:sz w:val="24"/>
            <w:szCs w:val="24"/>
          </w:rPr>
          <w:fldChar w:fldCharType="begin"/>
        </w:r>
        <w:r w:rsidRPr="00961E32">
          <w:rPr>
            <w:rFonts w:ascii="Tahoma" w:hAnsi="Tahoma" w:cs="Tahoma"/>
            <w:noProof/>
            <w:webHidden/>
            <w:sz w:val="24"/>
            <w:szCs w:val="24"/>
          </w:rPr>
          <w:instrText xml:space="preserve"> PAGEREF _Toc181785784 \h </w:instrText>
        </w:r>
        <w:r w:rsidRPr="00961E32">
          <w:rPr>
            <w:rFonts w:ascii="Tahoma" w:hAnsi="Tahoma" w:cs="Tahoma"/>
            <w:noProof/>
            <w:webHidden/>
            <w:sz w:val="24"/>
            <w:szCs w:val="24"/>
          </w:rPr>
        </w:r>
        <w:r w:rsidRPr="00961E32">
          <w:rPr>
            <w:rFonts w:ascii="Tahoma" w:hAnsi="Tahoma" w:cs="Tahoma"/>
            <w:noProof/>
            <w:webHidden/>
            <w:sz w:val="24"/>
            <w:szCs w:val="24"/>
          </w:rPr>
          <w:fldChar w:fldCharType="separate"/>
        </w:r>
        <w:r w:rsidRPr="00961E32">
          <w:rPr>
            <w:rFonts w:ascii="Tahoma" w:hAnsi="Tahoma" w:cs="Tahoma"/>
            <w:noProof/>
            <w:webHidden/>
            <w:sz w:val="24"/>
            <w:szCs w:val="24"/>
          </w:rPr>
          <w:t>8</w:t>
        </w:r>
        <w:r w:rsidRPr="00961E32">
          <w:rPr>
            <w:rFonts w:ascii="Tahoma" w:hAnsi="Tahoma" w:cs="Tahoma"/>
            <w:noProof/>
            <w:webHidden/>
            <w:sz w:val="24"/>
            <w:szCs w:val="24"/>
          </w:rPr>
          <w:fldChar w:fldCharType="end"/>
        </w:r>
      </w:hyperlink>
    </w:p>
    <w:p w14:paraId="5BBD4189" w14:textId="77777777" w:rsidR="00961E32" w:rsidRPr="00C35B21" w:rsidRDefault="00961E32">
      <w:pPr>
        <w:pStyle w:val="TableofFigures"/>
        <w:tabs>
          <w:tab w:val="right" w:leader="dot" w:pos="9016"/>
        </w:tabs>
        <w:rPr>
          <w:rFonts w:ascii="Tahoma" w:eastAsia="Times New Roman" w:hAnsi="Tahoma" w:cs="Tahoma"/>
          <w:noProof/>
          <w:sz w:val="24"/>
          <w:szCs w:val="24"/>
          <w:lang w:eastAsia="en-ZW"/>
        </w:rPr>
      </w:pPr>
      <w:hyperlink w:anchor="_Toc181785785" w:history="1">
        <w:r w:rsidRPr="00961E32">
          <w:rPr>
            <w:rStyle w:val="Hyperlink"/>
            <w:rFonts w:ascii="Tahoma" w:hAnsi="Tahoma" w:cs="Tahoma"/>
            <w:noProof/>
            <w:sz w:val="24"/>
            <w:szCs w:val="24"/>
          </w:rPr>
          <w:t>Table 7: Victoria Falls Stock Exchange Movements</w:t>
        </w:r>
        <w:r w:rsidRPr="00961E32">
          <w:rPr>
            <w:rFonts w:ascii="Tahoma" w:hAnsi="Tahoma" w:cs="Tahoma"/>
            <w:noProof/>
            <w:webHidden/>
            <w:sz w:val="24"/>
            <w:szCs w:val="24"/>
          </w:rPr>
          <w:tab/>
        </w:r>
        <w:r w:rsidRPr="00961E32">
          <w:rPr>
            <w:rFonts w:ascii="Tahoma" w:hAnsi="Tahoma" w:cs="Tahoma"/>
            <w:noProof/>
            <w:webHidden/>
            <w:sz w:val="24"/>
            <w:szCs w:val="24"/>
          </w:rPr>
          <w:fldChar w:fldCharType="begin"/>
        </w:r>
        <w:r w:rsidRPr="00961E32">
          <w:rPr>
            <w:rFonts w:ascii="Tahoma" w:hAnsi="Tahoma" w:cs="Tahoma"/>
            <w:noProof/>
            <w:webHidden/>
            <w:sz w:val="24"/>
            <w:szCs w:val="24"/>
          </w:rPr>
          <w:instrText xml:space="preserve"> PAGEREF _Toc181785785 \h </w:instrText>
        </w:r>
        <w:r w:rsidRPr="00961E32">
          <w:rPr>
            <w:rFonts w:ascii="Tahoma" w:hAnsi="Tahoma" w:cs="Tahoma"/>
            <w:noProof/>
            <w:webHidden/>
            <w:sz w:val="24"/>
            <w:szCs w:val="24"/>
          </w:rPr>
        </w:r>
        <w:r w:rsidRPr="00961E32">
          <w:rPr>
            <w:rFonts w:ascii="Tahoma" w:hAnsi="Tahoma" w:cs="Tahoma"/>
            <w:noProof/>
            <w:webHidden/>
            <w:sz w:val="24"/>
            <w:szCs w:val="24"/>
          </w:rPr>
          <w:fldChar w:fldCharType="separate"/>
        </w:r>
        <w:r w:rsidRPr="00961E32">
          <w:rPr>
            <w:rFonts w:ascii="Tahoma" w:hAnsi="Tahoma" w:cs="Tahoma"/>
            <w:noProof/>
            <w:webHidden/>
            <w:sz w:val="24"/>
            <w:szCs w:val="24"/>
          </w:rPr>
          <w:t>8</w:t>
        </w:r>
        <w:r w:rsidRPr="00961E32">
          <w:rPr>
            <w:rFonts w:ascii="Tahoma" w:hAnsi="Tahoma" w:cs="Tahoma"/>
            <w:noProof/>
            <w:webHidden/>
            <w:sz w:val="24"/>
            <w:szCs w:val="24"/>
          </w:rPr>
          <w:fldChar w:fldCharType="end"/>
        </w:r>
      </w:hyperlink>
    </w:p>
    <w:p w14:paraId="06881970" w14:textId="77777777" w:rsidR="00DA458A" w:rsidRPr="008A3AD2" w:rsidRDefault="00E36073">
      <w:pPr>
        <w:rPr>
          <w:rFonts w:ascii="Tahoma" w:hAnsi="Tahoma" w:cs="Tahoma"/>
          <w:b/>
          <w:bCs/>
          <w:sz w:val="24"/>
          <w:szCs w:val="24"/>
          <w:lang w:val="en-US"/>
        </w:rPr>
      </w:pPr>
      <w:r w:rsidRPr="004D35AC">
        <w:rPr>
          <w:rFonts w:ascii="Tahoma" w:hAnsi="Tahoma" w:cs="Tahoma"/>
          <w:b/>
          <w:iCs/>
          <w:sz w:val="24"/>
          <w:szCs w:val="24"/>
          <w:lang w:val="en-US"/>
        </w:rPr>
        <w:fldChar w:fldCharType="end"/>
      </w:r>
    </w:p>
    <w:p w14:paraId="2E448A0C" w14:textId="77777777" w:rsidR="009950A4" w:rsidRPr="009950A4" w:rsidRDefault="00654F03" w:rsidP="000129B7">
      <w:pPr>
        <w:rPr>
          <w:rFonts w:ascii="Tahoma" w:hAnsi="Tahoma" w:cs="Tahoma"/>
          <w:noProof/>
          <w:sz w:val="24"/>
          <w:szCs w:val="24"/>
        </w:rPr>
      </w:pPr>
      <w:r w:rsidRPr="00863A17">
        <w:rPr>
          <w:rFonts w:ascii="Tahoma" w:hAnsi="Tahoma" w:cs="Tahoma"/>
          <w:sz w:val="24"/>
          <w:szCs w:val="24"/>
          <w:lang w:val="en-US"/>
        </w:rPr>
        <w:br w:type="page"/>
      </w:r>
      <w:r w:rsidR="00E76009" w:rsidRPr="00DB4775">
        <w:rPr>
          <w:rFonts w:ascii="Tahoma" w:hAnsi="Tahoma" w:cs="Tahoma"/>
          <w:b/>
          <w:bCs/>
          <w:sz w:val="24"/>
          <w:szCs w:val="24"/>
          <w:lang w:val="en-US"/>
        </w:rPr>
        <w:lastRenderedPageBreak/>
        <w:t>List of Figures</w:t>
      </w:r>
      <w:r w:rsidR="00E76009" w:rsidRPr="009950A4">
        <w:rPr>
          <w:rFonts w:ascii="Tahoma" w:hAnsi="Tahoma" w:cs="Tahoma"/>
          <w:b/>
          <w:bCs/>
          <w:sz w:val="24"/>
          <w:szCs w:val="24"/>
          <w:lang w:val="en-US"/>
        </w:rPr>
        <w:fldChar w:fldCharType="begin"/>
      </w:r>
      <w:r w:rsidR="00E76009" w:rsidRPr="009950A4">
        <w:rPr>
          <w:rFonts w:ascii="Tahoma" w:hAnsi="Tahoma" w:cs="Tahoma"/>
          <w:b/>
          <w:bCs/>
          <w:sz w:val="24"/>
          <w:szCs w:val="24"/>
          <w:lang w:val="en-US"/>
        </w:rPr>
        <w:instrText xml:space="preserve"> TOC \h \z \t "List of Figures" \c </w:instrText>
      </w:r>
      <w:r w:rsidR="00E76009" w:rsidRPr="009950A4">
        <w:rPr>
          <w:rFonts w:ascii="Tahoma" w:hAnsi="Tahoma" w:cs="Tahoma"/>
          <w:b/>
          <w:bCs/>
          <w:sz w:val="24"/>
          <w:szCs w:val="24"/>
          <w:lang w:val="en-US"/>
        </w:rPr>
        <w:fldChar w:fldCharType="separate"/>
      </w:r>
    </w:p>
    <w:p w14:paraId="1670B638" w14:textId="77777777" w:rsidR="009950A4" w:rsidRPr="00C35B21" w:rsidRDefault="009950A4">
      <w:pPr>
        <w:pStyle w:val="TableofFigures"/>
        <w:tabs>
          <w:tab w:val="right" w:leader="dot" w:pos="9016"/>
        </w:tabs>
        <w:rPr>
          <w:rFonts w:ascii="Tahoma" w:eastAsia="Times New Roman" w:hAnsi="Tahoma" w:cs="Tahoma"/>
          <w:noProof/>
          <w:sz w:val="24"/>
          <w:szCs w:val="24"/>
          <w:lang w:eastAsia="en-ZW"/>
        </w:rPr>
      </w:pPr>
      <w:hyperlink w:anchor="_Toc181785686" w:history="1">
        <w:r w:rsidRPr="009950A4">
          <w:rPr>
            <w:rStyle w:val="Hyperlink"/>
            <w:rFonts w:ascii="Tahoma" w:hAnsi="Tahoma" w:cs="Tahoma"/>
            <w:noProof/>
            <w:sz w:val="24"/>
            <w:szCs w:val="24"/>
            <w:lang w:val="en-US"/>
          </w:rPr>
          <w:t>Figure 1: Global Inflation Prospects</w:t>
        </w:r>
        <w:r w:rsidRPr="009950A4">
          <w:rPr>
            <w:rFonts w:ascii="Tahoma" w:hAnsi="Tahoma" w:cs="Tahoma"/>
            <w:noProof/>
            <w:webHidden/>
            <w:sz w:val="24"/>
            <w:szCs w:val="24"/>
          </w:rPr>
          <w:tab/>
        </w:r>
        <w:r w:rsidRPr="009950A4">
          <w:rPr>
            <w:rFonts w:ascii="Tahoma" w:hAnsi="Tahoma" w:cs="Tahoma"/>
            <w:noProof/>
            <w:webHidden/>
            <w:sz w:val="24"/>
            <w:szCs w:val="24"/>
          </w:rPr>
          <w:fldChar w:fldCharType="begin"/>
        </w:r>
        <w:r w:rsidRPr="009950A4">
          <w:rPr>
            <w:rFonts w:ascii="Tahoma" w:hAnsi="Tahoma" w:cs="Tahoma"/>
            <w:noProof/>
            <w:webHidden/>
            <w:sz w:val="24"/>
            <w:szCs w:val="24"/>
          </w:rPr>
          <w:instrText xml:space="preserve"> PAGEREF _Toc181785686 \h </w:instrText>
        </w:r>
        <w:r w:rsidRPr="009950A4">
          <w:rPr>
            <w:rFonts w:ascii="Tahoma" w:hAnsi="Tahoma" w:cs="Tahoma"/>
            <w:noProof/>
            <w:webHidden/>
            <w:sz w:val="24"/>
            <w:szCs w:val="24"/>
          </w:rPr>
        </w:r>
        <w:r w:rsidRPr="009950A4">
          <w:rPr>
            <w:rFonts w:ascii="Tahoma" w:hAnsi="Tahoma" w:cs="Tahoma"/>
            <w:noProof/>
            <w:webHidden/>
            <w:sz w:val="24"/>
            <w:szCs w:val="24"/>
          </w:rPr>
          <w:fldChar w:fldCharType="separate"/>
        </w:r>
        <w:r w:rsidRPr="009950A4">
          <w:rPr>
            <w:rFonts w:ascii="Tahoma" w:hAnsi="Tahoma" w:cs="Tahoma"/>
            <w:noProof/>
            <w:webHidden/>
            <w:sz w:val="24"/>
            <w:szCs w:val="24"/>
          </w:rPr>
          <w:t>2</w:t>
        </w:r>
        <w:r w:rsidRPr="009950A4">
          <w:rPr>
            <w:rFonts w:ascii="Tahoma" w:hAnsi="Tahoma" w:cs="Tahoma"/>
            <w:noProof/>
            <w:webHidden/>
            <w:sz w:val="24"/>
            <w:szCs w:val="24"/>
          </w:rPr>
          <w:fldChar w:fldCharType="end"/>
        </w:r>
      </w:hyperlink>
    </w:p>
    <w:p w14:paraId="7D0B3D3C" w14:textId="77777777" w:rsidR="009950A4" w:rsidRPr="00C35B21" w:rsidRDefault="009950A4">
      <w:pPr>
        <w:pStyle w:val="TableofFigures"/>
        <w:tabs>
          <w:tab w:val="right" w:leader="dot" w:pos="9016"/>
        </w:tabs>
        <w:rPr>
          <w:rFonts w:ascii="Tahoma" w:eastAsia="Times New Roman" w:hAnsi="Tahoma" w:cs="Tahoma"/>
          <w:noProof/>
          <w:sz w:val="24"/>
          <w:szCs w:val="24"/>
          <w:lang w:eastAsia="en-ZW"/>
        </w:rPr>
      </w:pPr>
      <w:hyperlink w:anchor="_Toc181785687" w:history="1">
        <w:r w:rsidRPr="009950A4">
          <w:rPr>
            <w:rStyle w:val="Hyperlink"/>
            <w:rFonts w:ascii="Tahoma" w:hAnsi="Tahoma" w:cs="Tahoma"/>
            <w:noProof/>
            <w:sz w:val="24"/>
            <w:szCs w:val="24"/>
          </w:rPr>
          <w:t xml:space="preserve">Figure </w:t>
        </w:r>
        <w:r w:rsidRPr="009950A4">
          <w:rPr>
            <w:rStyle w:val="Hyperlink"/>
            <w:rFonts w:ascii="Tahoma" w:hAnsi="Tahoma" w:cs="Tahoma"/>
            <w:bCs/>
            <w:noProof/>
            <w:sz w:val="24"/>
            <w:szCs w:val="24"/>
          </w:rPr>
          <w:t>2</w:t>
        </w:r>
        <w:r w:rsidRPr="009950A4">
          <w:rPr>
            <w:rStyle w:val="Hyperlink"/>
            <w:rFonts w:ascii="Tahoma" w:hAnsi="Tahoma" w:cs="Tahoma"/>
            <w:noProof/>
            <w:sz w:val="24"/>
            <w:szCs w:val="24"/>
          </w:rPr>
          <w:t xml:space="preserve">: </w:t>
        </w:r>
        <w:r w:rsidRPr="009950A4">
          <w:rPr>
            <w:rStyle w:val="Hyperlink"/>
            <w:rFonts w:ascii="Tahoma" w:hAnsi="Tahoma" w:cs="Tahoma"/>
            <w:noProof/>
            <w:sz w:val="24"/>
            <w:szCs w:val="24"/>
            <w:lang w:val="en-US"/>
          </w:rPr>
          <w:t>Merchandise Trade Developments</w:t>
        </w:r>
        <w:r w:rsidRPr="009950A4">
          <w:rPr>
            <w:rFonts w:ascii="Tahoma" w:hAnsi="Tahoma" w:cs="Tahoma"/>
            <w:noProof/>
            <w:webHidden/>
            <w:sz w:val="24"/>
            <w:szCs w:val="24"/>
          </w:rPr>
          <w:tab/>
        </w:r>
        <w:r w:rsidRPr="009950A4">
          <w:rPr>
            <w:rFonts w:ascii="Tahoma" w:hAnsi="Tahoma" w:cs="Tahoma"/>
            <w:noProof/>
            <w:webHidden/>
            <w:sz w:val="24"/>
            <w:szCs w:val="24"/>
          </w:rPr>
          <w:fldChar w:fldCharType="begin"/>
        </w:r>
        <w:r w:rsidRPr="009950A4">
          <w:rPr>
            <w:rFonts w:ascii="Tahoma" w:hAnsi="Tahoma" w:cs="Tahoma"/>
            <w:noProof/>
            <w:webHidden/>
            <w:sz w:val="24"/>
            <w:szCs w:val="24"/>
          </w:rPr>
          <w:instrText xml:space="preserve"> PAGEREF _Toc181785687 \h </w:instrText>
        </w:r>
        <w:r w:rsidRPr="009950A4">
          <w:rPr>
            <w:rFonts w:ascii="Tahoma" w:hAnsi="Tahoma" w:cs="Tahoma"/>
            <w:noProof/>
            <w:webHidden/>
            <w:sz w:val="24"/>
            <w:szCs w:val="24"/>
          </w:rPr>
        </w:r>
        <w:r w:rsidRPr="009950A4">
          <w:rPr>
            <w:rFonts w:ascii="Tahoma" w:hAnsi="Tahoma" w:cs="Tahoma"/>
            <w:noProof/>
            <w:webHidden/>
            <w:sz w:val="24"/>
            <w:szCs w:val="24"/>
          </w:rPr>
          <w:fldChar w:fldCharType="separate"/>
        </w:r>
        <w:r w:rsidRPr="009950A4">
          <w:rPr>
            <w:rFonts w:ascii="Tahoma" w:hAnsi="Tahoma" w:cs="Tahoma"/>
            <w:noProof/>
            <w:webHidden/>
            <w:sz w:val="24"/>
            <w:szCs w:val="24"/>
          </w:rPr>
          <w:t>4</w:t>
        </w:r>
        <w:r w:rsidRPr="009950A4">
          <w:rPr>
            <w:rFonts w:ascii="Tahoma" w:hAnsi="Tahoma" w:cs="Tahoma"/>
            <w:noProof/>
            <w:webHidden/>
            <w:sz w:val="24"/>
            <w:szCs w:val="24"/>
          </w:rPr>
          <w:fldChar w:fldCharType="end"/>
        </w:r>
      </w:hyperlink>
    </w:p>
    <w:p w14:paraId="33391E29" w14:textId="77777777" w:rsidR="009950A4" w:rsidRPr="00C35B21" w:rsidRDefault="009950A4">
      <w:pPr>
        <w:pStyle w:val="TableofFigures"/>
        <w:tabs>
          <w:tab w:val="right" w:leader="dot" w:pos="9016"/>
        </w:tabs>
        <w:rPr>
          <w:rFonts w:ascii="Tahoma" w:eastAsia="Times New Roman" w:hAnsi="Tahoma" w:cs="Tahoma"/>
          <w:noProof/>
          <w:sz w:val="24"/>
          <w:szCs w:val="24"/>
          <w:lang w:eastAsia="en-ZW"/>
        </w:rPr>
      </w:pPr>
      <w:hyperlink w:anchor="_Toc181785688" w:history="1">
        <w:r w:rsidRPr="009950A4">
          <w:rPr>
            <w:rStyle w:val="Hyperlink"/>
            <w:rFonts w:ascii="Tahoma" w:hAnsi="Tahoma" w:cs="Tahoma"/>
            <w:noProof/>
            <w:sz w:val="24"/>
            <w:szCs w:val="24"/>
          </w:rPr>
          <w:t>Figure 3 : Parallel Market Developments - October 2024</w:t>
        </w:r>
        <w:r w:rsidRPr="009950A4">
          <w:rPr>
            <w:rFonts w:ascii="Tahoma" w:hAnsi="Tahoma" w:cs="Tahoma"/>
            <w:noProof/>
            <w:webHidden/>
            <w:sz w:val="24"/>
            <w:szCs w:val="24"/>
          </w:rPr>
          <w:tab/>
        </w:r>
        <w:r w:rsidRPr="009950A4">
          <w:rPr>
            <w:rFonts w:ascii="Tahoma" w:hAnsi="Tahoma" w:cs="Tahoma"/>
            <w:noProof/>
            <w:webHidden/>
            <w:sz w:val="24"/>
            <w:szCs w:val="24"/>
          </w:rPr>
          <w:fldChar w:fldCharType="begin"/>
        </w:r>
        <w:r w:rsidRPr="009950A4">
          <w:rPr>
            <w:rFonts w:ascii="Tahoma" w:hAnsi="Tahoma" w:cs="Tahoma"/>
            <w:noProof/>
            <w:webHidden/>
            <w:sz w:val="24"/>
            <w:szCs w:val="24"/>
          </w:rPr>
          <w:instrText xml:space="preserve"> PAGEREF _Toc181785688 \h </w:instrText>
        </w:r>
        <w:r w:rsidRPr="009950A4">
          <w:rPr>
            <w:rFonts w:ascii="Tahoma" w:hAnsi="Tahoma" w:cs="Tahoma"/>
            <w:noProof/>
            <w:webHidden/>
            <w:sz w:val="24"/>
            <w:szCs w:val="24"/>
          </w:rPr>
        </w:r>
        <w:r w:rsidRPr="009950A4">
          <w:rPr>
            <w:rFonts w:ascii="Tahoma" w:hAnsi="Tahoma" w:cs="Tahoma"/>
            <w:noProof/>
            <w:webHidden/>
            <w:sz w:val="24"/>
            <w:szCs w:val="24"/>
          </w:rPr>
          <w:fldChar w:fldCharType="separate"/>
        </w:r>
        <w:r w:rsidRPr="009950A4">
          <w:rPr>
            <w:rFonts w:ascii="Tahoma" w:hAnsi="Tahoma" w:cs="Tahoma"/>
            <w:noProof/>
            <w:webHidden/>
            <w:sz w:val="24"/>
            <w:szCs w:val="24"/>
          </w:rPr>
          <w:t>5</w:t>
        </w:r>
        <w:r w:rsidRPr="009950A4">
          <w:rPr>
            <w:rFonts w:ascii="Tahoma" w:hAnsi="Tahoma" w:cs="Tahoma"/>
            <w:noProof/>
            <w:webHidden/>
            <w:sz w:val="24"/>
            <w:szCs w:val="24"/>
          </w:rPr>
          <w:fldChar w:fldCharType="end"/>
        </w:r>
      </w:hyperlink>
    </w:p>
    <w:p w14:paraId="3146CC02" w14:textId="77777777" w:rsidR="009950A4" w:rsidRPr="00C35B21" w:rsidRDefault="009950A4">
      <w:pPr>
        <w:pStyle w:val="TableofFigures"/>
        <w:tabs>
          <w:tab w:val="right" w:leader="dot" w:pos="9016"/>
        </w:tabs>
        <w:rPr>
          <w:rFonts w:ascii="Tahoma" w:eastAsia="Times New Roman" w:hAnsi="Tahoma" w:cs="Tahoma"/>
          <w:noProof/>
          <w:sz w:val="24"/>
          <w:szCs w:val="24"/>
          <w:lang w:eastAsia="en-ZW"/>
        </w:rPr>
      </w:pPr>
      <w:hyperlink w:anchor="_Toc181785689" w:history="1">
        <w:r w:rsidRPr="009950A4">
          <w:rPr>
            <w:rStyle w:val="Hyperlink"/>
            <w:rFonts w:ascii="Tahoma" w:hAnsi="Tahoma" w:cs="Tahoma"/>
            <w:noProof/>
            <w:sz w:val="24"/>
            <w:szCs w:val="24"/>
          </w:rPr>
          <w:t>Figure 4: Month-on-Month ZWG Inflation Outturn</w:t>
        </w:r>
        <w:r w:rsidRPr="009950A4">
          <w:rPr>
            <w:rFonts w:ascii="Tahoma" w:hAnsi="Tahoma" w:cs="Tahoma"/>
            <w:noProof/>
            <w:webHidden/>
            <w:sz w:val="24"/>
            <w:szCs w:val="24"/>
          </w:rPr>
          <w:tab/>
        </w:r>
        <w:r w:rsidRPr="009950A4">
          <w:rPr>
            <w:rFonts w:ascii="Tahoma" w:hAnsi="Tahoma" w:cs="Tahoma"/>
            <w:noProof/>
            <w:webHidden/>
            <w:sz w:val="24"/>
            <w:szCs w:val="24"/>
          </w:rPr>
          <w:fldChar w:fldCharType="begin"/>
        </w:r>
        <w:r w:rsidRPr="009950A4">
          <w:rPr>
            <w:rFonts w:ascii="Tahoma" w:hAnsi="Tahoma" w:cs="Tahoma"/>
            <w:noProof/>
            <w:webHidden/>
            <w:sz w:val="24"/>
            <w:szCs w:val="24"/>
          </w:rPr>
          <w:instrText xml:space="preserve"> PAGEREF _Toc181785689 \h </w:instrText>
        </w:r>
        <w:r w:rsidRPr="009950A4">
          <w:rPr>
            <w:rFonts w:ascii="Tahoma" w:hAnsi="Tahoma" w:cs="Tahoma"/>
            <w:noProof/>
            <w:webHidden/>
            <w:sz w:val="24"/>
            <w:szCs w:val="24"/>
          </w:rPr>
        </w:r>
        <w:r w:rsidRPr="009950A4">
          <w:rPr>
            <w:rFonts w:ascii="Tahoma" w:hAnsi="Tahoma" w:cs="Tahoma"/>
            <w:noProof/>
            <w:webHidden/>
            <w:sz w:val="24"/>
            <w:szCs w:val="24"/>
          </w:rPr>
          <w:fldChar w:fldCharType="separate"/>
        </w:r>
        <w:r w:rsidRPr="009950A4">
          <w:rPr>
            <w:rFonts w:ascii="Tahoma" w:hAnsi="Tahoma" w:cs="Tahoma"/>
            <w:noProof/>
            <w:webHidden/>
            <w:sz w:val="24"/>
            <w:szCs w:val="24"/>
          </w:rPr>
          <w:t>5</w:t>
        </w:r>
        <w:r w:rsidRPr="009950A4">
          <w:rPr>
            <w:rFonts w:ascii="Tahoma" w:hAnsi="Tahoma" w:cs="Tahoma"/>
            <w:noProof/>
            <w:webHidden/>
            <w:sz w:val="24"/>
            <w:szCs w:val="24"/>
          </w:rPr>
          <w:fldChar w:fldCharType="end"/>
        </w:r>
      </w:hyperlink>
    </w:p>
    <w:p w14:paraId="040D3CA6" w14:textId="77777777" w:rsidR="009950A4" w:rsidRPr="00C35B21" w:rsidRDefault="009950A4">
      <w:pPr>
        <w:pStyle w:val="TableofFigures"/>
        <w:tabs>
          <w:tab w:val="right" w:leader="dot" w:pos="9016"/>
        </w:tabs>
        <w:rPr>
          <w:rFonts w:ascii="Tahoma" w:eastAsia="Times New Roman" w:hAnsi="Tahoma" w:cs="Tahoma"/>
          <w:noProof/>
          <w:sz w:val="24"/>
          <w:szCs w:val="24"/>
          <w:lang w:eastAsia="en-ZW"/>
        </w:rPr>
      </w:pPr>
      <w:hyperlink w:anchor="_Toc181785690" w:history="1">
        <w:r w:rsidRPr="009950A4">
          <w:rPr>
            <w:rStyle w:val="Hyperlink"/>
            <w:rFonts w:ascii="Tahoma" w:hAnsi="Tahoma" w:cs="Tahoma"/>
            <w:noProof/>
            <w:sz w:val="24"/>
            <w:szCs w:val="24"/>
          </w:rPr>
          <w:t xml:space="preserve">Figure </w:t>
        </w:r>
        <w:r w:rsidRPr="009950A4">
          <w:rPr>
            <w:rStyle w:val="Hyperlink"/>
            <w:rFonts w:ascii="Tahoma" w:hAnsi="Tahoma" w:cs="Tahoma"/>
            <w:bCs/>
            <w:noProof/>
            <w:sz w:val="24"/>
            <w:szCs w:val="24"/>
          </w:rPr>
          <w:t>5</w:t>
        </w:r>
        <w:r w:rsidRPr="009950A4">
          <w:rPr>
            <w:rStyle w:val="Hyperlink"/>
            <w:rFonts w:ascii="Tahoma" w:hAnsi="Tahoma" w:cs="Tahoma"/>
            <w:noProof/>
            <w:sz w:val="24"/>
            <w:szCs w:val="24"/>
          </w:rPr>
          <w:t xml:space="preserve">: </w:t>
        </w:r>
        <w:r w:rsidRPr="009950A4">
          <w:rPr>
            <w:rStyle w:val="Hyperlink"/>
            <w:rFonts w:ascii="Tahoma" w:hAnsi="Tahoma" w:cs="Tahoma"/>
            <w:noProof/>
            <w:sz w:val="24"/>
            <w:szCs w:val="24"/>
            <w:lang w:val="en-US"/>
          </w:rPr>
          <w:t>Month-on-Month Weighted Inflation Outturn</w:t>
        </w:r>
        <w:r w:rsidRPr="009950A4">
          <w:rPr>
            <w:rFonts w:ascii="Tahoma" w:hAnsi="Tahoma" w:cs="Tahoma"/>
            <w:noProof/>
            <w:webHidden/>
            <w:sz w:val="24"/>
            <w:szCs w:val="24"/>
          </w:rPr>
          <w:tab/>
        </w:r>
        <w:r w:rsidRPr="009950A4">
          <w:rPr>
            <w:rFonts w:ascii="Tahoma" w:hAnsi="Tahoma" w:cs="Tahoma"/>
            <w:noProof/>
            <w:webHidden/>
            <w:sz w:val="24"/>
            <w:szCs w:val="24"/>
          </w:rPr>
          <w:fldChar w:fldCharType="begin"/>
        </w:r>
        <w:r w:rsidRPr="009950A4">
          <w:rPr>
            <w:rFonts w:ascii="Tahoma" w:hAnsi="Tahoma" w:cs="Tahoma"/>
            <w:noProof/>
            <w:webHidden/>
            <w:sz w:val="24"/>
            <w:szCs w:val="24"/>
          </w:rPr>
          <w:instrText xml:space="preserve"> PAGEREF _Toc181785690 \h </w:instrText>
        </w:r>
        <w:r w:rsidRPr="009950A4">
          <w:rPr>
            <w:rFonts w:ascii="Tahoma" w:hAnsi="Tahoma" w:cs="Tahoma"/>
            <w:noProof/>
            <w:webHidden/>
            <w:sz w:val="24"/>
            <w:szCs w:val="24"/>
          </w:rPr>
        </w:r>
        <w:r w:rsidRPr="009950A4">
          <w:rPr>
            <w:rFonts w:ascii="Tahoma" w:hAnsi="Tahoma" w:cs="Tahoma"/>
            <w:noProof/>
            <w:webHidden/>
            <w:sz w:val="24"/>
            <w:szCs w:val="24"/>
          </w:rPr>
          <w:fldChar w:fldCharType="separate"/>
        </w:r>
        <w:r w:rsidRPr="009950A4">
          <w:rPr>
            <w:rFonts w:ascii="Tahoma" w:hAnsi="Tahoma" w:cs="Tahoma"/>
            <w:noProof/>
            <w:webHidden/>
            <w:sz w:val="24"/>
            <w:szCs w:val="24"/>
          </w:rPr>
          <w:t>6</w:t>
        </w:r>
        <w:r w:rsidRPr="009950A4">
          <w:rPr>
            <w:rFonts w:ascii="Tahoma" w:hAnsi="Tahoma" w:cs="Tahoma"/>
            <w:noProof/>
            <w:webHidden/>
            <w:sz w:val="24"/>
            <w:szCs w:val="24"/>
          </w:rPr>
          <w:fldChar w:fldCharType="end"/>
        </w:r>
      </w:hyperlink>
    </w:p>
    <w:p w14:paraId="0ADC7091" w14:textId="77777777" w:rsidR="009950A4" w:rsidRPr="00C35B21" w:rsidRDefault="009950A4">
      <w:pPr>
        <w:pStyle w:val="TableofFigures"/>
        <w:tabs>
          <w:tab w:val="right" w:leader="dot" w:pos="9016"/>
        </w:tabs>
        <w:rPr>
          <w:rFonts w:ascii="Tahoma" w:eastAsia="Times New Roman" w:hAnsi="Tahoma" w:cs="Tahoma"/>
          <w:noProof/>
          <w:sz w:val="24"/>
          <w:szCs w:val="24"/>
          <w:lang w:eastAsia="en-ZW"/>
        </w:rPr>
      </w:pPr>
      <w:hyperlink w:anchor="_Toc181785691" w:history="1">
        <w:r w:rsidRPr="009950A4">
          <w:rPr>
            <w:rStyle w:val="Hyperlink"/>
            <w:rFonts w:ascii="Tahoma" w:hAnsi="Tahoma" w:cs="Tahoma"/>
            <w:noProof/>
            <w:sz w:val="24"/>
            <w:szCs w:val="24"/>
          </w:rPr>
          <w:t>Figure 6: Broad Money (M3) Supply</w:t>
        </w:r>
        <w:r w:rsidRPr="009950A4">
          <w:rPr>
            <w:rFonts w:ascii="Tahoma" w:hAnsi="Tahoma" w:cs="Tahoma"/>
            <w:noProof/>
            <w:webHidden/>
            <w:sz w:val="24"/>
            <w:szCs w:val="24"/>
          </w:rPr>
          <w:tab/>
        </w:r>
        <w:r w:rsidRPr="009950A4">
          <w:rPr>
            <w:rFonts w:ascii="Tahoma" w:hAnsi="Tahoma" w:cs="Tahoma"/>
            <w:noProof/>
            <w:webHidden/>
            <w:sz w:val="24"/>
            <w:szCs w:val="24"/>
          </w:rPr>
          <w:fldChar w:fldCharType="begin"/>
        </w:r>
        <w:r w:rsidRPr="009950A4">
          <w:rPr>
            <w:rFonts w:ascii="Tahoma" w:hAnsi="Tahoma" w:cs="Tahoma"/>
            <w:noProof/>
            <w:webHidden/>
            <w:sz w:val="24"/>
            <w:szCs w:val="24"/>
          </w:rPr>
          <w:instrText xml:space="preserve"> PAGEREF _Toc181785691 \h </w:instrText>
        </w:r>
        <w:r w:rsidRPr="009950A4">
          <w:rPr>
            <w:rFonts w:ascii="Tahoma" w:hAnsi="Tahoma" w:cs="Tahoma"/>
            <w:noProof/>
            <w:webHidden/>
            <w:sz w:val="24"/>
            <w:szCs w:val="24"/>
          </w:rPr>
        </w:r>
        <w:r w:rsidRPr="009950A4">
          <w:rPr>
            <w:rFonts w:ascii="Tahoma" w:hAnsi="Tahoma" w:cs="Tahoma"/>
            <w:noProof/>
            <w:webHidden/>
            <w:sz w:val="24"/>
            <w:szCs w:val="24"/>
          </w:rPr>
          <w:fldChar w:fldCharType="separate"/>
        </w:r>
        <w:r w:rsidRPr="009950A4">
          <w:rPr>
            <w:rFonts w:ascii="Tahoma" w:hAnsi="Tahoma" w:cs="Tahoma"/>
            <w:noProof/>
            <w:webHidden/>
            <w:sz w:val="24"/>
            <w:szCs w:val="24"/>
          </w:rPr>
          <w:t>7</w:t>
        </w:r>
        <w:r w:rsidRPr="009950A4">
          <w:rPr>
            <w:rFonts w:ascii="Tahoma" w:hAnsi="Tahoma" w:cs="Tahoma"/>
            <w:noProof/>
            <w:webHidden/>
            <w:sz w:val="24"/>
            <w:szCs w:val="24"/>
          </w:rPr>
          <w:fldChar w:fldCharType="end"/>
        </w:r>
      </w:hyperlink>
    </w:p>
    <w:p w14:paraId="45D7305C" w14:textId="77777777" w:rsidR="000129B7" w:rsidRPr="009950A4" w:rsidRDefault="00E76009" w:rsidP="000129B7">
      <w:pPr>
        <w:rPr>
          <w:rFonts w:ascii="Tahoma" w:hAnsi="Tahoma" w:cs="Tahoma"/>
          <w:b/>
          <w:color w:val="000000"/>
          <w:sz w:val="24"/>
          <w:szCs w:val="24"/>
          <w:lang w:val="en-US"/>
        </w:rPr>
        <w:sectPr w:rsidR="000129B7" w:rsidRPr="009950A4" w:rsidSect="006D22C2">
          <w:pgSz w:w="11906" w:h="16838"/>
          <w:pgMar w:top="1440" w:right="1440" w:bottom="1440" w:left="1440" w:header="708" w:footer="708" w:gutter="0"/>
          <w:pgNumType w:fmt="lowerRoman" w:start="1"/>
          <w:cols w:space="708"/>
          <w:docGrid w:linePitch="360"/>
        </w:sectPr>
      </w:pPr>
      <w:r w:rsidRPr="009950A4">
        <w:rPr>
          <w:rFonts w:ascii="Tahoma" w:hAnsi="Tahoma" w:cs="Tahoma"/>
          <w:sz w:val="24"/>
          <w:szCs w:val="24"/>
          <w:lang w:val="en-US"/>
        </w:rPr>
        <w:fldChar w:fldCharType="end"/>
      </w:r>
    </w:p>
    <w:p w14:paraId="6B671069" w14:textId="77777777" w:rsidR="007A3E1D" w:rsidRPr="00721CC2" w:rsidRDefault="004F680D" w:rsidP="00F05BD5">
      <w:pPr>
        <w:pStyle w:val="Heading1"/>
        <w:spacing w:before="0" w:after="240"/>
        <w:rPr>
          <w:lang w:val="en-US"/>
        </w:rPr>
      </w:pPr>
      <w:bookmarkStart w:id="2" w:name="_Toc166607889"/>
      <w:bookmarkStart w:id="3" w:name="_Toc182566277"/>
      <w:r w:rsidRPr="00721CC2">
        <w:rPr>
          <w:lang w:val="en-US"/>
        </w:rPr>
        <w:lastRenderedPageBreak/>
        <w:t>1.0</w:t>
      </w:r>
      <w:r w:rsidRPr="00721CC2">
        <w:rPr>
          <w:lang w:val="en-US"/>
        </w:rPr>
        <w:tab/>
      </w:r>
      <w:r w:rsidR="00E0023D" w:rsidRPr="00721CC2">
        <w:rPr>
          <w:lang w:val="en-US"/>
        </w:rPr>
        <w:t xml:space="preserve">World Economic </w:t>
      </w:r>
      <w:r w:rsidR="007A3E1D" w:rsidRPr="00721CC2">
        <w:rPr>
          <w:lang w:val="en-US"/>
        </w:rPr>
        <w:t>Developments</w:t>
      </w:r>
      <w:bookmarkEnd w:id="2"/>
      <w:bookmarkEnd w:id="3"/>
      <w:r w:rsidR="007A3E1D" w:rsidRPr="00721CC2">
        <w:rPr>
          <w:lang w:val="en-US"/>
        </w:rPr>
        <w:t xml:space="preserve"> </w:t>
      </w:r>
    </w:p>
    <w:p w14:paraId="6BED87EC" w14:textId="77777777" w:rsidR="00E0023D" w:rsidRPr="00863A17" w:rsidRDefault="004F680D" w:rsidP="00BC5A90">
      <w:pPr>
        <w:pStyle w:val="Heading2"/>
        <w:spacing w:before="0" w:after="240" w:line="240" w:lineRule="auto"/>
        <w:rPr>
          <w:rFonts w:cs="Tahoma"/>
          <w:b/>
          <w:color w:val="000000"/>
          <w:szCs w:val="24"/>
          <w:lang w:val="en-US"/>
        </w:rPr>
      </w:pPr>
      <w:bookmarkStart w:id="4" w:name="_Toc166607890"/>
      <w:bookmarkStart w:id="5" w:name="_Toc182566278"/>
      <w:r w:rsidRPr="00863A17">
        <w:rPr>
          <w:rFonts w:cs="Tahoma"/>
          <w:b/>
          <w:color w:val="000000"/>
          <w:szCs w:val="24"/>
          <w:lang w:val="en-US"/>
        </w:rPr>
        <w:t xml:space="preserve">1.1 </w:t>
      </w:r>
      <w:r w:rsidRPr="00863A17">
        <w:rPr>
          <w:rFonts w:cs="Tahoma"/>
          <w:b/>
          <w:color w:val="000000"/>
          <w:szCs w:val="24"/>
          <w:lang w:val="en-US"/>
        </w:rPr>
        <w:tab/>
      </w:r>
      <w:r w:rsidR="00E0023D" w:rsidRPr="00863A17">
        <w:rPr>
          <w:rFonts w:cs="Tahoma"/>
          <w:b/>
          <w:color w:val="000000"/>
          <w:szCs w:val="24"/>
          <w:lang w:val="en-US"/>
        </w:rPr>
        <w:t>World Output</w:t>
      </w:r>
      <w:bookmarkEnd w:id="4"/>
      <w:bookmarkEnd w:id="5"/>
      <w:r w:rsidR="00E0023D" w:rsidRPr="00863A17">
        <w:rPr>
          <w:rFonts w:cs="Tahoma"/>
          <w:b/>
          <w:color w:val="000000"/>
          <w:szCs w:val="24"/>
          <w:lang w:val="en-US"/>
        </w:rPr>
        <w:t xml:space="preserve"> </w:t>
      </w:r>
    </w:p>
    <w:p w14:paraId="71C8C3A7" w14:textId="7BBEC136" w:rsidR="00AB70DE" w:rsidRDefault="004F680D" w:rsidP="004F680D">
      <w:pPr>
        <w:ind w:left="720" w:hanging="720"/>
        <w:jc w:val="both"/>
        <w:rPr>
          <w:rFonts w:ascii="Tahoma" w:hAnsi="Tahoma" w:cs="Tahoma"/>
          <w:sz w:val="24"/>
          <w:szCs w:val="24"/>
        </w:rPr>
      </w:pPr>
      <w:r w:rsidRPr="00863A17">
        <w:rPr>
          <w:rFonts w:ascii="Tahoma" w:hAnsi="Tahoma" w:cs="Tahoma"/>
          <w:sz w:val="24"/>
          <w:szCs w:val="24"/>
        </w:rPr>
        <w:t>1.1.1</w:t>
      </w:r>
      <w:r w:rsidR="001F2D81" w:rsidRPr="00863A17">
        <w:rPr>
          <w:rFonts w:ascii="Tahoma" w:hAnsi="Tahoma" w:cs="Tahoma"/>
          <w:sz w:val="24"/>
          <w:szCs w:val="24"/>
        </w:rPr>
        <w:t xml:space="preserve"> </w:t>
      </w:r>
      <w:r w:rsidR="00AB70DE">
        <w:rPr>
          <w:rFonts w:ascii="Tahoma" w:hAnsi="Tahoma" w:cs="Tahoma"/>
          <w:sz w:val="24"/>
          <w:szCs w:val="24"/>
        </w:rPr>
        <w:tab/>
        <w:t xml:space="preserve">According to the </w:t>
      </w:r>
      <w:r w:rsidR="00347439">
        <w:rPr>
          <w:rFonts w:ascii="Tahoma" w:hAnsi="Tahoma" w:cs="Tahoma"/>
          <w:sz w:val="24"/>
          <w:szCs w:val="24"/>
        </w:rPr>
        <w:t xml:space="preserve">International Monetary Fund (IMF) </w:t>
      </w:r>
      <w:r w:rsidR="00AB70DE">
        <w:rPr>
          <w:rFonts w:ascii="Tahoma" w:hAnsi="Tahoma" w:cs="Tahoma"/>
          <w:sz w:val="24"/>
          <w:szCs w:val="24"/>
        </w:rPr>
        <w:t xml:space="preserve">World Economic Outlook (WEO) </w:t>
      </w:r>
      <w:r w:rsidR="00347439">
        <w:rPr>
          <w:rFonts w:ascii="Tahoma" w:hAnsi="Tahoma" w:cs="Tahoma"/>
          <w:sz w:val="24"/>
          <w:szCs w:val="24"/>
        </w:rPr>
        <w:t>October 2024</w:t>
      </w:r>
      <w:r w:rsidR="00AB70DE">
        <w:rPr>
          <w:rFonts w:ascii="Tahoma" w:hAnsi="Tahoma" w:cs="Tahoma"/>
          <w:sz w:val="24"/>
          <w:szCs w:val="24"/>
        </w:rPr>
        <w:t xml:space="preserve"> Update,</w:t>
      </w:r>
      <w:r w:rsidR="00347439">
        <w:rPr>
          <w:rFonts w:ascii="Tahoma" w:hAnsi="Tahoma" w:cs="Tahoma"/>
          <w:sz w:val="24"/>
          <w:szCs w:val="24"/>
        </w:rPr>
        <w:t xml:space="preserve"> global growth </w:t>
      </w:r>
      <w:r w:rsidR="00AB70DE">
        <w:rPr>
          <w:rFonts w:ascii="Tahoma" w:hAnsi="Tahoma" w:cs="Tahoma"/>
          <w:sz w:val="24"/>
          <w:szCs w:val="24"/>
        </w:rPr>
        <w:t xml:space="preserve">is expected </w:t>
      </w:r>
      <w:r w:rsidR="00347439">
        <w:rPr>
          <w:rFonts w:ascii="Tahoma" w:hAnsi="Tahoma" w:cs="Tahoma"/>
          <w:sz w:val="24"/>
          <w:szCs w:val="24"/>
        </w:rPr>
        <w:t xml:space="preserve">to </w:t>
      </w:r>
      <w:r w:rsidR="00AB70DE">
        <w:rPr>
          <w:rFonts w:ascii="Tahoma" w:hAnsi="Tahoma" w:cs="Tahoma"/>
          <w:sz w:val="24"/>
          <w:szCs w:val="24"/>
        </w:rPr>
        <w:t>decrease from</w:t>
      </w:r>
      <w:r w:rsidR="00347439">
        <w:rPr>
          <w:rFonts w:ascii="Tahoma" w:hAnsi="Tahoma" w:cs="Tahoma"/>
          <w:sz w:val="24"/>
          <w:szCs w:val="24"/>
        </w:rPr>
        <w:t xml:space="preserve"> 3.3% in 2023 to 3.2% in 2024 and 2025</w:t>
      </w:r>
      <w:r w:rsidR="00730BB2">
        <w:rPr>
          <w:rFonts w:ascii="Tahoma" w:hAnsi="Tahoma" w:cs="Tahoma"/>
          <w:sz w:val="24"/>
          <w:szCs w:val="24"/>
        </w:rPr>
        <w:t xml:space="preserve">, </w:t>
      </w:r>
      <w:r w:rsidR="00AB70DE">
        <w:rPr>
          <w:rFonts w:ascii="Tahoma" w:hAnsi="Tahoma" w:cs="Tahoma"/>
          <w:sz w:val="24"/>
          <w:szCs w:val="24"/>
        </w:rPr>
        <w:t>s</w:t>
      </w:r>
      <w:r w:rsidR="00730BB2">
        <w:rPr>
          <w:rFonts w:ascii="Tahoma" w:hAnsi="Tahoma" w:cs="Tahoma"/>
          <w:sz w:val="24"/>
          <w:szCs w:val="24"/>
        </w:rPr>
        <w:t xml:space="preserve">ee Table 1. Global economic slowdown is due to uncertainty associated with newly elected governments in 2024 (64 countries representing half of the global population), adverse weather conditions and geo-political conflicts. </w:t>
      </w:r>
    </w:p>
    <w:p w14:paraId="78FCC6A4" w14:textId="77777777" w:rsidR="00AB70DE" w:rsidRDefault="00AB70DE" w:rsidP="004F680D">
      <w:pPr>
        <w:ind w:left="720" w:hanging="720"/>
        <w:jc w:val="both"/>
        <w:rPr>
          <w:rFonts w:ascii="Tahoma" w:hAnsi="Tahoma" w:cs="Tahoma"/>
          <w:sz w:val="24"/>
          <w:szCs w:val="24"/>
        </w:rPr>
      </w:pPr>
      <w:r>
        <w:rPr>
          <w:rFonts w:ascii="Tahoma" w:hAnsi="Tahoma" w:cs="Tahoma"/>
          <w:sz w:val="24"/>
          <w:szCs w:val="24"/>
        </w:rPr>
        <w:t>1.1.2</w:t>
      </w:r>
      <w:r>
        <w:rPr>
          <w:rFonts w:ascii="Tahoma" w:hAnsi="Tahoma" w:cs="Tahoma"/>
          <w:sz w:val="24"/>
          <w:szCs w:val="24"/>
        </w:rPr>
        <w:tab/>
      </w:r>
      <w:r w:rsidR="00730BB2">
        <w:rPr>
          <w:rFonts w:ascii="Tahoma" w:hAnsi="Tahoma" w:cs="Tahoma"/>
          <w:sz w:val="24"/>
          <w:szCs w:val="24"/>
        </w:rPr>
        <w:t>The growth prospect for 2025 was revised downward by 0.1% due to cuts in production and shipping of commodities (oil in particular), and civil unrest due to conflicts</w:t>
      </w:r>
      <w:r w:rsidR="002F476B">
        <w:rPr>
          <w:rFonts w:ascii="Tahoma" w:hAnsi="Tahoma" w:cs="Tahoma"/>
          <w:sz w:val="24"/>
          <w:szCs w:val="24"/>
        </w:rPr>
        <w:t xml:space="preserve"> and</w:t>
      </w:r>
      <w:r w:rsidR="00730BB2">
        <w:rPr>
          <w:rFonts w:ascii="Tahoma" w:hAnsi="Tahoma" w:cs="Tahoma"/>
          <w:sz w:val="24"/>
          <w:szCs w:val="24"/>
        </w:rPr>
        <w:t xml:space="preserve"> political elections around the globe. </w:t>
      </w:r>
      <w:bookmarkStart w:id="6" w:name="_Hlk166602890"/>
      <w:r w:rsidR="00932A16">
        <w:rPr>
          <w:rFonts w:ascii="Tahoma" w:hAnsi="Tahoma" w:cs="Tahoma"/>
          <w:sz w:val="24"/>
          <w:szCs w:val="24"/>
        </w:rPr>
        <w:t xml:space="preserve"> </w:t>
      </w:r>
    </w:p>
    <w:p w14:paraId="12846BA3" w14:textId="47E48CCC" w:rsidR="001C6200" w:rsidRPr="000F54F6" w:rsidRDefault="00AB70DE" w:rsidP="004F680D">
      <w:pPr>
        <w:ind w:left="720" w:hanging="720"/>
        <w:jc w:val="both"/>
        <w:rPr>
          <w:rFonts w:ascii="Tahoma" w:hAnsi="Tahoma" w:cs="Tahoma"/>
          <w:sz w:val="24"/>
          <w:szCs w:val="24"/>
        </w:rPr>
      </w:pPr>
      <w:r>
        <w:rPr>
          <w:rFonts w:ascii="Tahoma" w:hAnsi="Tahoma" w:cs="Tahoma"/>
          <w:sz w:val="24"/>
          <w:szCs w:val="24"/>
        </w:rPr>
        <w:t>1.1.3</w:t>
      </w:r>
      <w:r>
        <w:rPr>
          <w:rFonts w:ascii="Tahoma" w:hAnsi="Tahoma" w:cs="Tahoma"/>
          <w:sz w:val="24"/>
          <w:szCs w:val="24"/>
        </w:rPr>
        <w:tab/>
        <w:t>L</w:t>
      </w:r>
      <w:r w:rsidR="00932A16">
        <w:rPr>
          <w:rFonts w:ascii="Tahoma" w:hAnsi="Tahoma" w:cs="Tahoma"/>
          <w:sz w:val="24"/>
          <w:szCs w:val="24"/>
        </w:rPr>
        <w:t xml:space="preserve">ow income developing countries (Zimbabwe included) </w:t>
      </w:r>
      <w:r w:rsidR="00F342E3">
        <w:rPr>
          <w:rFonts w:ascii="Tahoma" w:hAnsi="Tahoma" w:cs="Tahoma"/>
          <w:sz w:val="24"/>
          <w:szCs w:val="24"/>
        </w:rPr>
        <w:t>growth prospects were revised downward for 2024 and 2025</w:t>
      </w:r>
      <w:r w:rsidR="00932A16">
        <w:rPr>
          <w:rFonts w:ascii="Tahoma" w:hAnsi="Tahoma" w:cs="Tahoma"/>
          <w:sz w:val="24"/>
          <w:szCs w:val="24"/>
        </w:rPr>
        <w:t xml:space="preserve"> reflecting slower pace of structural reforms which is holding back productivity and limited fiscal space constrain</w:t>
      </w:r>
      <w:r>
        <w:rPr>
          <w:rFonts w:ascii="Tahoma" w:hAnsi="Tahoma" w:cs="Tahoma"/>
          <w:sz w:val="24"/>
          <w:szCs w:val="24"/>
        </w:rPr>
        <w:t>ing</w:t>
      </w:r>
      <w:r w:rsidR="00932A16">
        <w:rPr>
          <w:rFonts w:ascii="Tahoma" w:hAnsi="Tahoma" w:cs="Tahoma"/>
          <w:sz w:val="24"/>
          <w:szCs w:val="24"/>
        </w:rPr>
        <w:t xml:space="preserve"> their ability to tackle energy and food crise</w:t>
      </w:r>
      <w:r w:rsidR="006D36BE">
        <w:rPr>
          <w:rFonts w:ascii="Tahoma" w:hAnsi="Tahoma" w:cs="Tahoma"/>
          <w:sz w:val="24"/>
          <w:szCs w:val="24"/>
        </w:rPr>
        <w:t>s</w:t>
      </w:r>
      <w:r w:rsidR="00932A16">
        <w:rPr>
          <w:rFonts w:ascii="Tahoma" w:hAnsi="Tahoma" w:cs="Tahoma"/>
          <w:sz w:val="24"/>
          <w:szCs w:val="24"/>
        </w:rPr>
        <w:t>.</w:t>
      </w:r>
      <w:r w:rsidR="008C29B4">
        <w:rPr>
          <w:rFonts w:ascii="Tahoma" w:hAnsi="Tahoma" w:cs="Tahoma"/>
          <w:sz w:val="24"/>
          <w:szCs w:val="24"/>
        </w:rPr>
        <w:t xml:space="preserve"> </w:t>
      </w:r>
    </w:p>
    <w:p w14:paraId="7D220C46" w14:textId="77777777" w:rsidR="00E31148" w:rsidRDefault="00BC5A90" w:rsidP="00E63964">
      <w:pPr>
        <w:pStyle w:val="ListofTables"/>
        <w:rPr>
          <w:lang w:val="en-US"/>
        </w:rPr>
      </w:pPr>
      <w:bookmarkStart w:id="7" w:name="_Toc164072362"/>
      <w:bookmarkStart w:id="8" w:name="_Toc166658889"/>
      <w:bookmarkStart w:id="9" w:name="_Toc181785779"/>
      <w:bookmarkEnd w:id="6"/>
      <w:r w:rsidRPr="00863A17">
        <w:t xml:space="preserve">Table </w:t>
      </w:r>
      <w:r w:rsidRPr="00863A17">
        <w:fldChar w:fldCharType="begin"/>
      </w:r>
      <w:r w:rsidRPr="00863A17">
        <w:instrText xml:space="preserve"> SEQ Table \* ARABIC </w:instrText>
      </w:r>
      <w:r w:rsidRPr="00863A17">
        <w:fldChar w:fldCharType="separate"/>
      </w:r>
      <w:r w:rsidR="00D30418">
        <w:rPr>
          <w:noProof/>
        </w:rPr>
        <w:t>1</w:t>
      </w:r>
      <w:r w:rsidRPr="00863A17">
        <w:fldChar w:fldCharType="end"/>
      </w:r>
      <w:r w:rsidRPr="00863A17">
        <w:t xml:space="preserve">: </w:t>
      </w:r>
      <w:r w:rsidRPr="00863A17">
        <w:rPr>
          <w:lang w:val="en-US"/>
        </w:rPr>
        <w:t>Global Economic Growth Developments</w:t>
      </w:r>
      <w:bookmarkEnd w:id="7"/>
      <w:bookmarkEnd w:id="8"/>
      <w:bookmarkEnd w:id="9"/>
    </w:p>
    <w:tbl>
      <w:tblPr>
        <w:tblStyle w:val="PlainTable1"/>
        <w:tblW w:w="5000" w:type="pct"/>
        <w:tblLook w:val="04A0" w:firstRow="1" w:lastRow="0" w:firstColumn="1" w:lastColumn="0" w:noHBand="0" w:noVBand="1"/>
      </w:tblPr>
      <w:tblGrid>
        <w:gridCol w:w="3248"/>
        <w:gridCol w:w="1149"/>
        <w:gridCol w:w="1098"/>
        <w:gridCol w:w="1098"/>
        <w:gridCol w:w="1199"/>
        <w:gridCol w:w="1224"/>
      </w:tblGrid>
      <w:tr w:rsidR="00C70688" w:rsidRPr="00C70688" w14:paraId="729E308D" w14:textId="77777777" w:rsidTr="00E63964">
        <w:trPr>
          <w:cnfStyle w:val="100000000000" w:firstRow="1" w:lastRow="0" w:firstColumn="0" w:lastColumn="0" w:oddVBand="0" w:evenVBand="0" w:oddHBand="0"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801" w:type="pct"/>
            <w:vMerge w:val="restart"/>
            <w:noWrap/>
            <w:hideMark/>
          </w:tcPr>
          <w:p w14:paraId="1E3DE540" w14:textId="77777777" w:rsidR="00C70688" w:rsidRPr="00C70688" w:rsidRDefault="00C70688" w:rsidP="00C70688">
            <w:pPr>
              <w:spacing w:after="0" w:line="240" w:lineRule="auto"/>
              <w:rPr>
                <w:rFonts w:eastAsia="Times New Roman" w:cs="Calibri"/>
                <w:color w:val="000000"/>
                <w:kern w:val="0"/>
                <w:lang w:eastAsia="en-ZW"/>
              </w:rPr>
            </w:pPr>
            <w:r w:rsidRPr="00C70688">
              <w:rPr>
                <w:rFonts w:eastAsia="Times New Roman" w:cs="Calibri"/>
                <w:color w:val="000000"/>
                <w:kern w:val="0"/>
                <w:lang w:eastAsia="en-ZW"/>
              </w:rPr>
              <w:t> </w:t>
            </w:r>
          </w:p>
        </w:tc>
        <w:tc>
          <w:tcPr>
            <w:tcW w:w="637" w:type="pct"/>
            <w:noWrap/>
            <w:hideMark/>
          </w:tcPr>
          <w:p w14:paraId="479079A1" w14:textId="77777777" w:rsidR="00C70688" w:rsidRPr="00C70688" w:rsidRDefault="00C70688" w:rsidP="00C7068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000000"/>
                <w:kern w:val="0"/>
                <w:sz w:val="24"/>
                <w:szCs w:val="24"/>
                <w:lang w:eastAsia="en-ZW"/>
              </w:rPr>
            </w:pPr>
            <w:r w:rsidRPr="00C70688">
              <w:rPr>
                <w:rFonts w:ascii="Tahoma" w:eastAsia="Times New Roman" w:hAnsi="Tahoma" w:cs="Tahoma"/>
                <w:b w:val="0"/>
                <w:bCs w:val="0"/>
                <w:color w:val="000000"/>
                <w:kern w:val="0"/>
                <w:sz w:val="24"/>
                <w:szCs w:val="24"/>
                <w:lang w:eastAsia="en-ZW"/>
              </w:rPr>
              <w:t>Actual</w:t>
            </w:r>
          </w:p>
        </w:tc>
        <w:tc>
          <w:tcPr>
            <w:tcW w:w="1218" w:type="pct"/>
            <w:gridSpan w:val="2"/>
            <w:hideMark/>
          </w:tcPr>
          <w:p w14:paraId="0C96E3DE" w14:textId="77777777" w:rsidR="00C70688" w:rsidRPr="00C70688" w:rsidRDefault="00C70688" w:rsidP="00C7068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000000"/>
                <w:kern w:val="0"/>
                <w:sz w:val="24"/>
                <w:szCs w:val="24"/>
                <w:lang w:eastAsia="en-ZW"/>
              </w:rPr>
            </w:pPr>
            <w:r w:rsidRPr="00C70688">
              <w:rPr>
                <w:rFonts w:ascii="Tahoma" w:eastAsia="Times New Roman" w:hAnsi="Tahoma" w:cs="Tahoma"/>
                <w:b w:val="0"/>
                <w:bCs w:val="0"/>
                <w:color w:val="000000"/>
                <w:kern w:val="0"/>
                <w:sz w:val="24"/>
                <w:szCs w:val="24"/>
                <w:lang w:eastAsia="en-ZW"/>
              </w:rPr>
              <w:t>October 2024 WEO Update Projections</w:t>
            </w:r>
          </w:p>
        </w:tc>
        <w:tc>
          <w:tcPr>
            <w:tcW w:w="1344" w:type="pct"/>
            <w:gridSpan w:val="2"/>
            <w:hideMark/>
          </w:tcPr>
          <w:p w14:paraId="13B06EFA" w14:textId="77777777" w:rsidR="00C70688" w:rsidRPr="00C70688" w:rsidRDefault="00C70688" w:rsidP="00C7068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color w:val="000000"/>
                <w:kern w:val="0"/>
                <w:sz w:val="24"/>
                <w:szCs w:val="24"/>
                <w:lang w:eastAsia="en-ZW"/>
              </w:rPr>
            </w:pPr>
            <w:r w:rsidRPr="00C70688">
              <w:rPr>
                <w:rFonts w:ascii="Tahoma" w:eastAsia="Times New Roman" w:hAnsi="Tahoma" w:cs="Tahoma"/>
                <w:b w:val="0"/>
                <w:bCs w:val="0"/>
                <w:color w:val="000000"/>
                <w:kern w:val="0"/>
                <w:sz w:val="24"/>
                <w:szCs w:val="24"/>
                <w:lang w:eastAsia="en-ZW"/>
              </w:rPr>
              <w:t>Difference from July 2024 WEO Update</w:t>
            </w:r>
          </w:p>
        </w:tc>
      </w:tr>
      <w:tr w:rsidR="00E54C7E" w:rsidRPr="00C70688" w14:paraId="47901EDC" w14:textId="77777777" w:rsidTr="00E54C7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01" w:type="pct"/>
            <w:vMerge/>
            <w:hideMark/>
          </w:tcPr>
          <w:p w14:paraId="39B99938" w14:textId="77777777" w:rsidR="00C70688" w:rsidRPr="00C70688" w:rsidRDefault="00C70688" w:rsidP="00C70688">
            <w:pPr>
              <w:spacing w:after="0" w:line="240" w:lineRule="auto"/>
              <w:rPr>
                <w:rFonts w:eastAsia="Times New Roman" w:cs="Calibri"/>
                <w:color w:val="000000"/>
                <w:kern w:val="0"/>
                <w:lang w:eastAsia="en-ZW"/>
              </w:rPr>
            </w:pPr>
          </w:p>
        </w:tc>
        <w:tc>
          <w:tcPr>
            <w:tcW w:w="637" w:type="pct"/>
            <w:noWrap/>
            <w:hideMark/>
          </w:tcPr>
          <w:p w14:paraId="2037C6E6" w14:textId="77777777" w:rsidR="00C70688" w:rsidRPr="00C70688" w:rsidRDefault="00C70688" w:rsidP="00C7068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b/>
                <w:bCs/>
                <w:color w:val="000000"/>
                <w:kern w:val="0"/>
                <w:sz w:val="24"/>
                <w:szCs w:val="24"/>
                <w:lang w:eastAsia="en-ZW"/>
              </w:rPr>
            </w:pPr>
            <w:r w:rsidRPr="00C70688">
              <w:rPr>
                <w:rFonts w:ascii="Tahoma" w:eastAsia="Times New Roman" w:hAnsi="Tahoma" w:cs="Tahoma"/>
                <w:b/>
                <w:bCs/>
                <w:color w:val="000000"/>
                <w:kern w:val="0"/>
                <w:sz w:val="24"/>
                <w:szCs w:val="24"/>
                <w:lang w:eastAsia="en-ZW"/>
              </w:rPr>
              <w:t>2023</w:t>
            </w:r>
          </w:p>
        </w:tc>
        <w:tc>
          <w:tcPr>
            <w:tcW w:w="609" w:type="pct"/>
            <w:noWrap/>
            <w:hideMark/>
          </w:tcPr>
          <w:p w14:paraId="16D618F5" w14:textId="77777777" w:rsidR="00C70688" w:rsidRPr="00C70688" w:rsidRDefault="00C70688" w:rsidP="00C7068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b/>
                <w:bCs/>
                <w:color w:val="000000"/>
                <w:kern w:val="0"/>
                <w:sz w:val="24"/>
                <w:szCs w:val="24"/>
                <w:lang w:eastAsia="en-ZW"/>
              </w:rPr>
            </w:pPr>
            <w:r w:rsidRPr="00C70688">
              <w:rPr>
                <w:rFonts w:ascii="Tahoma" w:eastAsia="Times New Roman" w:hAnsi="Tahoma" w:cs="Tahoma"/>
                <w:b/>
                <w:bCs/>
                <w:color w:val="000000"/>
                <w:kern w:val="0"/>
                <w:sz w:val="24"/>
                <w:szCs w:val="24"/>
                <w:lang w:eastAsia="en-ZW"/>
              </w:rPr>
              <w:t>2024</w:t>
            </w:r>
          </w:p>
        </w:tc>
        <w:tc>
          <w:tcPr>
            <w:tcW w:w="609" w:type="pct"/>
            <w:noWrap/>
            <w:hideMark/>
          </w:tcPr>
          <w:p w14:paraId="2E8839B5" w14:textId="77777777" w:rsidR="00C70688" w:rsidRPr="00C70688" w:rsidRDefault="00C70688" w:rsidP="00C7068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b/>
                <w:bCs/>
                <w:color w:val="000000"/>
                <w:kern w:val="0"/>
                <w:sz w:val="24"/>
                <w:szCs w:val="24"/>
                <w:lang w:eastAsia="en-ZW"/>
              </w:rPr>
            </w:pPr>
            <w:r w:rsidRPr="00C70688">
              <w:rPr>
                <w:rFonts w:ascii="Tahoma" w:eastAsia="Times New Roman" w:hAnsi="Tahoma" w:cs="Tahoma"/>
                <w:b/>
                <w:bCs/>
                <w:color w:val="000000"/>
                <w:kern w:val="0"/>
                <w:sz w:val="24"/>
                <w:szCs w:val="24"/>
                <w:lang w:eastAsia="en-ZW"/>
              </w:rPr>
              <w:t>2025</w:t>
            </w:r>
          </w:p>
        </w:tc>
        <w:tc>
          <w:tcPr>
            <w:tcW w:w="665" w:type="pct"/>
            <w:noWrap/>
            <w:hideMark/>
          </w:tcPr>
          <w:p w14:paraId="3B1AB244" w14:textId="77777777" w:rsidR="00C70688" w:rsidRPr="00C70688" w:rsidRDefault="00C70688" w:rsidP="00C7068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b/>
                <w:bCs/>
                <w:color w:val="000000"/>
                <w:kern w:val="0"/>
                <w:sz w:val="24"/>
                <w:szCs w:val="24"/>
                <w:lang w:eastAsia="en-ZW"/>
              </w:rPr>
            </w:pPr>
            <w:r w:rsidRPr="00C70688">
              <w:rPr>
                <w:rFonts w:ascii="Tahoma" w:eastAsia="Times New Roman" w:hAnsi="Tahoma" w:cs="Tahoma"/>
                <w:b/>
                <w:bCs/>
                <w:color w:val="000000"/>
                <w:kern w:val="0"/>
                <w:sz w:val="24"/>
                <w:szCs w:val="24"/>
                <w:lang w:eastAsia="en-ZW"/>
              </w:rPr>
              <w:t>2024</w:t>
            </w:r>
          </w:p>
        </w:tc>
        <w:tc>
          <w:tcPr>
            <w:tcW w:w="679" w:type="pct"/>
            <w:noWrap/>
            <w:hideMark/>
          </w:tcPr>
          <w:p w14:paraId="0A35A88F" w14:textId="77777777" w:rsidR="00C70688" w:rsidRPr="00C70688" w:rsidRDefault="00C70688" w:rsidP="00C7068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b/>
                <w:bCs/>
                <w:color w:val="000000"/>
                <w:kern w:val="0"/>
                <w:sz w:val="24"/>
                <w:szCs w:val="24"/>
                <w:lang w:eastAsia="en-ZW"/>
              </w:rPr>
            </w:pPr>
            <w:r w:rsidRPr="00C70688">
              <w:rPr>
                <w:rFonts w:ascii="Tahoma" w:eastAsia="Times New Roman" w:hAnsi="Tahoma" w:cs="Tahoma"/>
                <w:b/>
                <w:bCs/>
                <w:color w:val="000000"/>
                <w:kern w:val="0"/>
                <w:sz w:val="24"/>
                <w:szCs w:val="24"/>
                <w:lang w:eastAsia="en-ZW"/>
              </w:rPr>
              <w:t>2025</w:t>
            </w:r>
          </w:p>
        </w:tc>
      </w:tr>
      <w:tr w:rsidR="00C70688" w:rsidRPr="00C70688" w14:paraId="096A0F45" w14:textId="77777777" w:rsidTr="00E63964">
        <w:trPr>
          <w:trHeight w:val="261"/>
        </w:trPr>
        <w:tc>
          <w:tcPr>
            <w:cnfStyle w:val="001000000000" w:firstRow="0" w:lastRow="0" w:firstColumn="1" w:lastColumn="0" w:oddVBand="0" w:evenVBand="0" w:oddHBand="0" w:evenHBand="0" w:firstRowFirstColumn="0" w:firstRowLastColumn="0" w:lastRowFirstColumn="0" w:lastRowLastColumn="0"/>
            <w:tcW w:w="1801" w:type="pct"/>
            <w:noWrap/>
            <w:hideMark/>
          </w:tcPr>
          <w:p w14:paraId="7EFCBE80" w14:textId="77777777" w:rsidR="00C70688" w:rsidRPr="00664692" w:rsidRDefault="00C70688" w:rsidP="00C70688">
            <w:pPr>
              <w:spacing w:after="0" w:line="240" w:lineRule="auto"/>
              <w:rPr>
                <w:rFonts w:ascii="Tahoma" w:eastAsia="Times New Roman" w:hAnsi="Tahoma" w:cs="Tahoma"/>
                <w:color w:val="000000"/>
                <w:kern w:val="0"/>
                <w:sz w:val="24"/>
                <w:szCs w:val="24"/>
                <w:lang w:eastAsia="en-ZW"/>
              </w:rPr>
            </w:pPr>
            <w:r w:rsidRPr="00664692">
              <w:rPr>
                <w:rFonts w:ascii="Tahoma" w:eastAsia="Times New Roman" w:hAnsi="Tahoma" w:cs="Tahoma"/>
                <w:color w:val="000000"/>
                <w:kern w:val="0"/>
                <w:sz w:val="24"/>
                <w:szCs w:val="24"/>
                <w:lang w:eastAsia="en-ZW"/>
              </w:rPr>
              <w:t>World Output</w:t>
            </w:r>
          </w:p>
        </w:tc>
        <w:tc>
          <w:tcPr>
            <w:tcW w:w="637" w:type="pct"/>
            <w:noWrap/>
            <w:hideMark/>
          </w:tcPr>
          <w:p w14:paraId="412539DF" w14:textId="77777777" w:rsidR="00C70688" w:rsidRPr="00C70688" w:rsidRDefault="00C70688" w:rsidP="00C706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
                <w:bCs/>
                <w:color w:val="000000"/>
                <w:kern w:val="0"/>
                <w:sz w:val="24"/>
                <w:szCs w:val="24"/>
                <w:lang w:eastAsia="en-ZW"/>
              </w:rPr>
            </w:pPr>
            <w:r w:rsidRPr="00C70688">
              <w:rPr>
                <w:rFonts w:ascii="Tahoma" w:eastAsia="Times New Roman" w:hAnsi="Tahoma" w:cs="Tahoma"/>
                <w:b/>
                <w:bCs/>
                <w:color w:val="000000"/>
                <w:kern w:val="0"/>
                <w:sz w:val="24"/>
                <w:szCs w:val="24"/>
                <w:lang w:eastAsia="en-ZW"/>
              </w:rPr>
              <w:t>3.3</w:t>
            </w:r>
          </w:p>
        </w:tc>
        <w:tc>
          <w:tcPr>
            <w:tcW w:w="609" w:type="pct"/>
            <w:noWrap/>
            <w:hideMark/>
          </w:tcPr>
          <w:p w14:paraId="4C2A0623" w14:textId="77777777" w:rsidR="00C70688" w:rsidRPr="00C70688" w:rsidRDefault="00C70688" w:rsidP="00C706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
                <w:bCs/>
                <w:color w:val="000000"/>
                <w:kern w:val="0"/>
                <w:sz w:val="24"/>
                <w:szCs w:val="24"/>
                <w:lang w:eastAsia="en-ZW"/>
              </w:rPr>
            </w:pPr>
            <w:r w:rsidRPr="00C70688">
              <w:rPr>
                <w:rFonts w:ascii="Tahoma" w:eastAsia="Times New Roman" w:hAnsi="Tahoma" w:cs="Tahoma"/>
                <w:b/>
                <w:bCs/>
                <w:color w:val="000000"/>
                <w:kern w:val="0"/>
                <w:sz w:val="24"/>
                <w:szCs w:val="24"/>
                <w:lang w:eastAsia="en-ZW"/>
              </w:rPr>
              <w:t>3.2</w:t>
            </w:r>
          </w:p>
        </w:tc>
        <w:tc>
          <w:tcPr>
            <w:tcW w:w="609" w:type="pct"/>
            <w:noWrap/>
            <w:hideMark/>
          </w:tcPr>
          <w:p w14:paraId="033A5CA9" w14:textId="77777777" w:rsidR="00C70688" w:rsidRPr="00C70688" w:rsidRDefault="00C70688" w:rsidP="00C706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
                <w:bCs/>
                <w:color w:val="000000"/>
                <w:kern w:val="0"/>
                <w:sz w:val="24"/>
                <w:szCs w:val="24"/>
                <w:lang w:eastAsia="en-ZW"/>
              </w:rPr>
            </w:pPr>
            <w:r w:rsidRPr="00C70688">
              <w:rPr>
                <w:rFonts w:ascii="Tahoma" w:eastAsia="Times New Roman" w:hAnsi="Tahoma" w:cs="Tahoma"/>
                <w:b/>
                <w:bCs/>
                <w:color w:val="000000"/>
                <w:kern w:val="0"/>
                <w:sz w:val="24"/>
                <w:szCs w:val="24"/>
                <w:lang w:eastAsia="en-ZW"/>
              </w:rPr>
              <w:t>3.2</w:t>
            </w:r>
          </w:p>
        </w:tc>
        <w:tc>
          <w:tcPr>
            <w:tcW w:w="665" w:type="pct"/>
            <w:noWrap/>
            <w:hideMark/>
          </w:tcPr>
          <w:p w14:paraId="7101811B" w14:textId="77777777" w:rsidR="00C70688" w:rsidRPr="00C70688" w:rsidRDefault="00C70688" w:rsidP="00C706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
                <w:bCs/>
                <w:color w:val="000000"/>
                <w:kern w:val="0"/>
                <w:sz w:val="24"/>
                <w:szCs w:val="24"/>
                <w:lang w:eastAsia="en-ZW"/>
              </w:rPr>
            </w:pPr>
            <w:r w:rsidRPr="00C70688">
              <w:rPr>
                <w:rFonts w:ascii="Tahoma" w:eastAsia="Times New Roman" w:hAnsi="Tahoma" w:cs="Tahoma"/>
                <w:b/>
                <w:bCs/>
                <w:color w:val="000000"/>
                <w:kern w:val="0"/>
                <w:sz w:val="24"/>
                <w:szCs w:val="24"/>
                <w:lang w:eastAsia="en-ZW"/>
              </w:rPr>
              <w:t>0</w:t>
            </w:r>
          </w:p>
        </w:tc>
        <w:tc>
          <w:tcPr>
            <w:tcW w:w="679" w:type="pct"/>
            <w:noWrap/>
            <w:hideMark/>
          </w:tcPr>
          <w:p w14:paraId="61C2CE1D" w14:textId="77777777" w:rsidR="00C70688" w:rsidRPr="00C70688" w:rsidRDefault="00C70688" w:rsidP="00C7068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
                <w:bCs/>
                <w:color w:val="000000"/>
                <w:kern w:val="0"/>
                <w:sz w:val="24"/>
                <w:szCs w:val="24"/>
                <w:lang w:eastAsia="en-ZW"/>
              </w:rPr>
            </w:pPr>
            <w:r w:rsidRPr="00C70688">
              <w:rPr>
                <w:rFonts w:ascii="Tahoma" w:eastAsia="Times New Roman" w:hAnsi="Tahoma" w:cs="Tahoma"/>
                <w:b/>
                <w:bCs/>
                <w:color w:val="000000"/>
                <w:kern w:val="0"/>
                <w:sz w:val="24"/>
                <w:szCs w:val="24"/>
                <w:lang w:eastAsia="en-ZW"/>
              </w:rPr>
              <w:t>-0.1</w:t>
            </w:r>
          </w:p>
        </w:tc>
      </w:tr>
      <w:tr w:rsidR="00E54C7E" w:rsidRPr="00C70688" w14:paraId="50210C19" w14:textId="77777777" w:rsidTr="00E54C7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01" w:type="pct"/>
            <w:noWrap/>
            <w:hideMark/>
          </w:tcPr>
          <w:p w14:paraId="44D890A6" w14:textId="77777777" w:rsidR="00C70688" w:rsidRPr="00C70688" w:rsidRDefault="00C70688" w:rsidP="00C70688">
            <w:pPr>
              <w:spacing w:after="0" w:line="240" w:lineRule="auto"/>
              <w:rPr>
                <w:rFonts w:ascii="Tahoma" w:eastAsia="Times New Roman" w:hAnsi="Tahoma" w:cs="Tahoma"/>
                <w:b w:val="0"/>
                <w:bCs w:val="0"/>
                <w:color w:val="000000"/>
                <w:kern w:val="0"/>
                <w:sz w:val="24"/>
                <w:szCs w:val="24"/>
                <w:lang w:eastAsia="en-ZW"/>
              </w:rPr>
            </w:pPr>
            <w:r w:rsidRPr="00C70688">
              <w:rPr>
                <w:rFonts w:ascii="Tahoma" w:eastAsia="Times New Roman" w:hAnsi="Tahoma" w:cs="Tahoma"/>
                <w:b w:val="0"/>
                <w:bCs w:val="0"/>
                <w:color w:val="000000"/>
                <w:kern w:val="0"/>
                <w:sz w:val="24"/>
                <w:szCs w:val="24"/>
                <w:lang w:eastAsia="en-ZW"/>
              </w:rPr>
              <w:t>Advanced Economies</w:t>
            </w:r>
          </w:p>
        </w:tc>
        <w:tc>
          <w:tcPr>
            <w:tcW w:w="637" w:type="pct"/>
            <w:noWrap/>
            <w:hideMark/>
          </w:tcPr>
          <w:p w14:paraId="43320E31" w14:textId="77777777" w:rsidR="00C70688" w:rsidRPr="00C70688" w:rsidRDefault="00C70688" w:rsidP="00C7068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b/>
                <w:bCs/>
                <w:color w:val="000000"/>
                <w:kern w:val="0"/>
                <w:sz w:val="24"/>
                <w:szCs w:val="24"/>
                <w:lang w:eastAsia="en-ZW"/>
              </w:rPr>
            </w:pPr>
            <w:r w:rsidRPr="00C70688">
              <w:rPr>
                <w:rFonts w:ascii="Tahoma" w:eastAsia="Times New Roman" w:hAnsi="Tahoma" w:cs="Tahoma"/>
                <w:b/>
                <w:bCs/>
                <w:color w:val="000000"/>
                <w:kern w:val="0"/>
                <w:sz w:val="24"/>
                <w:szCs w:val="24"/>
                <w:lang w:eastAsia="en-ZW"/>
              </w:rPr>
              <w:t>1.7</w:t>
            </w:r>
          </w:p>
        </w:tc>
        <w:tc>
          <w:tcPr>
            <w:tcW w:w="609" w:type="pct"/>
            <w:noWrap/>
            <w:hideMark/>
          </w:tcPr>
          <w:p w14:paraId="72573820" w14:textId="77777777" w:rsidR="00C70688" w:rsidRPr="00C70688" w:rsidRDefault="00C70688" w:rsidP="00C7068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b/>
                <w:bCs/>
                <w:color w:val="000000"/>
                <w:kern w:val="0"/>
                <w:sz w:val="24"/>
                <w:szCs w:val="24"/>
                <w:lang w:eastAsia="en-ZW"/>
              </w:rPr>
            </w:pPr>
            <w:r w:rsidRPr="00C70688">
              <w:rPr>
                <w:rFonts w:ascii="Tahoma" w:eastAsia="Times New Roman" w:hAnsi="Tahoma" w:cs="Tahoma"/>
                <w:b/>
                <w:bCs/>
                <w:color w:val="000000"/>
                <w:kern w:val="0"/>
                <w:sz w:val="24"/>
                <w:szCs w:val="24"/>
                <w:lang w:eastAsia="en-ZW"/>
              </w:rPr>
              <w:t>1.8</w:t>
            </w:r>
          </w:p>
        </w:tc>
        <w:tc>
          <w:tcPr>
            <w:tcW w:w="609" w:type="pct"/>
            <w:noWrap/>
            <w:hideMark/>
          </w:tcPr>
          <w:p w14:paraId="17112B06" w14:textId="77777777" w:rsidR="00C70688" w:rsidRPr="00C70688" w:rsidRDefault="00C70688" w:rsidP="00C7068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b/>
                <w:bCs/>
                <w:color w:val="000000"/>
                <w:kern w:val="0"/>
                <w:sz w:val="24"/>
                <w:szCs w:val="24"/>
                <w:lang w:eastAsia="en-ZW"/>
              </w:rPr>
            </w:pPr>
            <w:r w:rsidRPr="00C70688">
              <w:rPr>
                <w:rFonts w:ascii="Tahoma" w:eastAsia="Times New Roman" w:hAnsi="Tahoma" w:cs="Tahoma"/>
                <w:b/>
                <w:bCs/>
                <w:color w:val="000000"/>
                <w:kern w:val="0"/>
                <w:sz w:val="24"/>
                <w:szCs w:val="24"/>
                <w:lang w:eastAsia="en-ZW"/>
              </w:rPr>
              <w:t>1.8</w:t>
            </w:r>
          </w:p>
        </w:tc>
        <w:tc>
          <w:tcPr>
            <w:tcW w:w="665" w:type="pct"/>
            <w:noWrap/>
            <w:hideMark/>
          </w:tcPr>
          <w:p w14:paraId="08AC415A" w14:textId="77777777" w:rsidR="00C70688" w:rsidRPr="00C70688" w:rsidRDefault="00C70688" w:rsidP="00C7068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b/>
                <w:bCs/>
                <w:color w:val="000000"/>
                <w:kern w:val="0"/>
                <w:sz w:val="24"/>
                <w:szCs w:val="24"/>
                <w:lang w:eastAsia="en-ZW"/>
              </w:rPr>
            </w:pPr>
            <w:r w:rsidRPr="00C70688">
              <w:rPr>
                <w:rFonts w:ascii="Tahoma" w:eastAsia="Times New Roman" w:hAnsi="Tahoma" w:cs="Tahoma"/>
                <w:b/>
                <w:bCs/>
                <w:color w:val="000000"/>
                <w:kern w:val="0"/>
                <w:sz w:val="24"/>
                <w:szCs w:val="24"/>
                <w:lang w:eastAsia="en-ZW"/>
              </w:rPr>
              <w:t>0.1</w:t>
            </w:r>
          </w:p>
        </w:tc>
        <w:tc>
          <w:tcPr>
            <w:tcW w:w="679" w:type="pct"/>
            <w:noWrap/>
            <w:hideMark/>
          </w:tcPr>
          <w:p w14:paraId="5353C7B3" w14:textId="77777777" w:rsidR="00C70688" w:rsidRPr="00C70688" w:rsidRDefault="00C70688" w:rsidP="00C7068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kern w:val="0"/>
                <w:sz w:val="24"/>
                <w:szCs w:val="24"/>
                <w:lang w:eastAsia="en-ZW"/>
              </w:rPr>
            </w:pPr>
            <w:r w:rsidRPr="00C70688">
              <w:rPr>
                <w:rFonts w:ascii="Tahoma" w:eastAsia="Times New Roman" w:hAnsi="Tahoma" w:cs="Tahoma"/>
                <w:color w:val="000000"/>
                <w:kern w:val="0"/>
                <w:sz w:val="24"/>
                <w:szCs w:val="24"/>
                <w:lang w:eastAsia="en-ZW"/>
              </w:rPr>
              <w:t>0</w:t>
            </w:r>
          </w:p>
        </w:tc>
      </w:tr>
      <w:tr w:rsidR="00C70688" w:rsidRPr="00C70688" w14:paraId="40AA65EE" w14:textId="77777777" w:rsidTr="00E63964">
        <w:trPr>
          <w:trHeight w:val="261"/>
        </w:trPr>
        <w:tc>
          <w:tcPr>
            <w:cnfStyle w:val="001000000000" w:firstRow="0" w:lastRow="0" w:firstColumn="1" w:lastColumn="0" w:oddVBand="0" w:evenVBand="0" w:oddHBand="0" w:evenHBand="0" w:firstRowFirstColumn="0" w:firstRowLastColumn="0" w:lastRowFirstColumn="0" w:lastRowLastColumn="0"/>
            <w:tcW w:w="1801" w:type="pct"/>
            <w:noWrap/>
            <w:hideMark/>
          </w:tcPr>
          <w:p w14:paraId="1ED9EE68" w14:textId="77777777" w:rsidR="00C70688" w:rsidRPr="00C70688" w:rsidRDefault="00C70688" w:rsidP="00C70688">
            <w:pPr>
              <w:spacing w:after="0" w:line="240" w:lineRule="auto"/>
              <w:rPr>
                <w:rFonts w:ascii="Tahoma" w:eastAsia="Times New Roman" w:hAnsi="Tahoma" w:cs="Tahoma"/>
                <w:color w:val="000000"/>
                <w:kern w:val="0"/>
                <w:sz w:val="24"/>
                <w:szCs w:val="24"/>
                <w:lang w:eastAsia="en-ZW"/>
              </w:rPr>
            </w:pPr>
            <w:r w:rsidRPr="00C70688">
              <w:rPr>
                <w:rFonts w:ascii="Tahoma" w:eastAsia="Times New Roman" w:hAnsi="Tahoma" w:cs="Tahoma"/>
                <w:color w:val="000000"/>
                <w:kern w:val="0"/>
                <w:sz w:val="24"/>
                <w:szCs w:val="24"/>
                <w:lang w:eastAsia="en-ZW"/>
              </w:rPr>
              <w:t xml:space="preserve">United States </w:t>
            </w:r>
          </w:p>
        </w:tc>
        <w:tc>
          <w:tcPr>
            <w:tcW w:w="637" w:type="pct"/>
            <w:noWrap/>
            <w:hideMark/>
          </w:tcPr>
          <w:p w14:paraId="299BBEA9" w14:textId="77777777" w:rsidR="00C70688" w:rsidRPr="00C70688" w:rsidRDefault="00C70688" w:rsidP="00C706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kern w:val="0"/>
                <w:sz w:val="24"/>
                <w:szCs w:val="24"/>
                <w:lang w:eastAsia="en-ZW"/>
              </w:rPr>
            </w:pPr>
            <w:r w:rsidRPr="00C70688">
              <w:rPr>
                <w:rFonts w:ascii="Tahoma" w:eastAsia="Times New Roman" w:hAnsi="Tahoma" w:cs="Tahoma"/>
                <w:color w:val="000000"/>
                <w:kern w:val="0"/>
                <w:sz w:val="24"/>
                <w:szCs w:val="24"/>
                <w:lang w:eastAsia="en-ZW"/>
              </w:rPr>
              <w:t>2.9</w:t>
            </w:r>
          </w:p>
        </w:tc>
        <w:tc>
          <w:tcPr>
            <w:tcW w:w="609" w:type="pct"/>
            <w:noWrap/>
            <w:hideMark/>
          </w:tcPr>
          <w:p w14:paraId="56EE19AF" w14:textId="77777777" w:rsidR="00C70688" w:rsidRPr="00C70688" w:rsidRDefault="00C70688" w:rsidP="00C706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kern w:val="0"/>
                <w:sz w:val="24"/>
                <w:szCs w:val="24"/>
                <w:lang w:eastAsia="en-ZW"/>
              </w:rPr>
            </w:pPr>
            <w:r w:rsidRPr="00C70688">
              <w:rPr>
                <w:rFonts w:ascii="Tahoma" w:eastAsia="Times New Roman" w:hAnsi="Tahoma" w:cs="Tahoma"/>
                <w:color w:val="000000"/>
                <w:kern w:val="0"/>
                <w:sz w:val="24"/>
                <w:szCs w:val="24"/>
                <w:lang w:eastAsia="en-ZW"/>
              </w:rPr>
              <w:t>2.8</w:t>
            </w:r>
          </w:p>
        </w:tc>
        <w:tc>
          <w:tcPr>
            <w:tcW w:w="609" w:type="pct"/>
            <w:noWrap/>
            <w:hideMark/>
          </w:tcPr>
          <w:p w14:paraId="075C2293" w14:textId="77777777" w:rsidR="00C70688" w:rsidRPr="00C70688" w:rsidRDefault="00C70688" w:rsidP="00C706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kern w:val="0"/>
                <w:sz w:val="24"/>
                <w:szCs w:val="24"/>
                <w:lang w:eastAsia="en-ZW"/>
              </w:rPr>
            </w:pPr>
            <w:r w:rsidRPr="00C70688">
              <w:rPr>
                <w:rFonts w:ascii="Tahoma" w:eastAsia="Times New Roman" w:hAnsi="Tahoma" w:cs="Tahoma"/>
                <w:color w:val="000000"/>
                <w:kern w:val="0"/>
                <w:sz w:val="24"/>
                <w:szCs w:val="24"/>
                <w:lang w:eastAsia="en-ZW"/>
              </w:rPr>
              <w:t>2.2</w:t>
            </w:r>
          </w:p>
        </w:tc>
        <w:tc>
          <w:tcPr>
            <w:tcW w:w="665" w:type="pct"/>
            <w:noWrap/>
            <w:hideMark/>
          </w:tcPr>
          <w:p w14:paraId="74A70644" w14:textId="77777777" w:rsidR="00C70688" w:rsidRPr="00C70688" w:rsidRDefault="00C70688" w:rsidP="00C706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kern w:val="0"/>
                <w:sz w:val="24"/>
                <w:szCs w:val="24"/>
                <w:lang w:eastAsia="en-ZW"/>
              </w:rPr>
            </w:pPr>
            <w:r w:rsidRPr="00C70688">
              <w:rPr>
                <w:rFonts w:ascii="Tahoma" w:eastAsia="Times New Roman" w:hAnsi="Tahoma" w:cs="Tahoma"/>
                <w:color w:val="000000"/>
                <w:kern w:val="0"/>
                <w:sz w:val="24"/>
                <w:szCs w:val="24"/>
                <w:lang w:eastAsia="en-ZW"/>
              </w:rPr>
              <w:t>0.2</w:t>
            </w:r>
          </w:p>
        </w:tc>
        <w:tc>
          <w:tcPr>
            <w:tcW w:w="679" w:type="pct"/>
            <w:noWrap/>
            <w:hideMark/>
          </w:tcPr>
          <w:p w14:paraId="46A846A1" w14:textId="77777777" w:rsidR="00C70688" w:rsidRPr="00C70688" w:rsidRDefault="00C70688" w:rsidP="00C7068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kern w:val="0"/>
                <w:sz w:val="24"/>
                <w:szCs w:val="24"/>
                <w:lang w:eastAsia="en-ZW"/>
              </w:rPr>
            </w:pPr>
            <w:r w:rsidRPr="00C70688">
              <w:rPr>
                <w:rFonts w:ascii="Tahoma" w:eastAsia="Times New Roman" w:hAnsi="Tahoma" w:cs="Tahoma"/>
                <w:color w:val="000000"/>
                <w:kern w:val="0"/>
                <w:sz w:val="24"/>
                <w:szCs w:val="24"/>
                <w:lang w:eastAsia="en-ZW"/>
              </w:rPr>
              <w:t>0.3</w:t>
            </w:r>
          </w:p>
        </w:tc>
      </w:tr>
      <w:tr w:rsidR="00E54C7E" w:rsidRPr="00C70688" w14:paraId="7A270AC1" w14:textId="77777777" w:rsidTr="00E54C7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01" w:type="pct"/>
            <w:noWrap/>
            <w:hideMark/>
          </w:tcPr>
          <w:p w14:paraId="64153453" w14:textId="77777777" w:rsidR="00C70688" w:rsidRPr="00C70688" w:rsidRDefault="00C70688" w:rsidP="00C70688">
            <w:pPr>
              <w:spacing w:after="0" w:line="240" w:lineRule="auto"/>
              <w:rPr>
                <w:rFonts w:ascii="Tahoma" w:eastAsia="Times New Roman" w:hAnsi="Tahoma" w:cs="Tahoma"/>
                <w:color w:val="000000"/>
                <w:kern w:val="0"/>
                <w:sz w:val="24"/>
                <w:szCs w:val="24"/>
                <w:lang w:eastAsia="en-ZW"/>
              </w:rPr>
            </w:pPr>
            <w:r w:rsidRPr="00C70688">
              <w:rPr>
                <w:rFonts w:ascii="Tahoma" w:eastAsia="Times New Roman" w:hAnsi="Tahoma" w:cs="Tahoma"/>
                <w:color w:val="000000"/>
                <w:kern w:val="0"/>
                <w:sz w:val="24"/>
                <w:szCs w:val="24"/>
                <w:lang w:eastAsia="en-ZW"/>
              </w:rPr>
              <w:t>Eurozone</w:t>
            </w:r>
          </w:p>
        </w:tc>
        <w:tc>
          <w:tcPr>
            <w:tcW w:w="637" w:type="pct"/>
            <w:noWrap/>
            <w:hideMark/>
          </w:tcPr>
          <w:p w14:paraId="1C853E54" w14:textId="77777777" w:rsidR="00C70688" w:rsidRPr="00C70688" w:rsidRDefault="00C70688" w:rsidP="00C7068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kern w:val="0"/>
                <w:sz w:val="24"/>
                <w:szCs w:val="24"/>
                <w:lang w:eastAsia="en-ZW"/>
              </w:rPr>
            </w:pPr>
            <w:r w:rsidRPr="00C70688">
              <w:rPr>
                <w:rFonts w:ascii="Tahoma" w:eastAsia="Times New Roman" w:hAnsi="Tahoma" w:cs="Tahoma"/>
                <w:color w:val="000000"/>
                <w:kern w:val="0"/>
                <w:sz w:val="24"/>
                <w:szCs w:val="24"/>
                <w:lang w:eastAsia="en-ZW"/>
              </w:rPr>
              <w:t>0.5</w:t>
            </w:r>
          </w:p>
        </w:tc>
        <w:tc>
          <w:tcPr>
            <w:tcW w:w="609" w:type="pct"/>
            <w:noWrap/>
            <w:hideMark/>
          </w:tcPr>
          <w:p w14:paraId="3EB4DEC1" w14:textId="77777777" w:rsidR="00C70688" w:rsidRPr="00C70688" w:rsidRDefault="00C70688" w:rsidP="00C7068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kern w:val="0"/>
                <w:sz w:val="24"/>
                <w:szCs w:val="24"/>
                <w:lang w:eastAsia="en-ZW"/>
              </w:rPr>
            </w:pPr>
            <w:r w:rsidRPr="00C70688">
              <w:rPr>
                <w:rFonts w:ascii="Tahoma" w:eastAsia="Times New Roman" w:hAnsi="Tahoma" w:cs="Tahoma"/>
                <w:color w:val="000000"/>
                <w:kern w:val="0"/>
                <w:sz w:val="24"/>
                <w:szCs w:val="24"/>
                <w:lang w:eastAsia="en-ZW"/>
              </w:rPr>
              <w:t>0.8</w:t>
            </w:r>
          </w:p>
        </w:tc>
        <w:tc>
          <w:tcPr>
            <w:tcW w:w="609" w:type="pct"/>
            <w:noWrap/>
            <w:hideMark/>
          </w:tcPr>
          <w:p w14:paraId="3BD25B78" w14:textId="77777777" w:rsidR="00C70688" w:rsidRPr="00C70688" w:rsidRDefault="00C70688" w:rsidP="00C7068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kern w:val="0"/>
                <w:sz w:val="24"/>
                <w:szCs w:val="24"/>
                <w:lang w:eastAsia="en-ZW"/>
              </w:rPr>
            </w:pPr>
            <w:r w:rsidRPr="00C70688">
              <w:rPr>
                <w:rFonts w:ascii="Tahoma" w:eastAsia="Times New Roman" w:hAnsi="Tahoma" w:cs="Tahoma"/>
                <w:color w:val="000000"/>
                <w:kern w:val="0"/>
                <w:sz w:val="24"/>
                <w:szCs w:val="24"/>
                <w:lang w:eastAsia="en-ZW"/>
              </w:rPr>
              <w:t>1.2</w:t>
            </w:r>
          </w:p>
        </w:tc>
        <w:tc>
          <w:tcPr>
            <w:tcW w:w="665" w:type="pct"/>
            <w:noWrap/>
            <w:hideMark/>
          </w:tcPr>
          <w:p w14:paraId="100BDDC4" w14:textId="77777777" w:rsidR="00C70688" w:rsidRPr="00C70688" w:rsidRDefault="00C70688" w:rsidP="00C7068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kern w:val="0"/>
                <w:sz w:val="24"/>
                <w:szCs w:val="24"/>
                <w:lang w:eastAsia="en-ZW"/>
              </w:rPr>
            </w:pPr>
            <w:r w:rsidRPr="00C70688">
              <w:rPr>
                <w:rFonts w:ascii="Tahoma" w:eastAsia="Times New Roman" w:hAnsi="Tahoma" w:cs="Tahoma"/>
                <w:color w:val="000000"/>
                <w:kern w:val="0"/>
                <w:sz w:val="24"/>
                <w:szCs w:val="24"/>
                <w:lang w:eastAsia="en-ZW"/>
              </w:rPr>
              <w:t>-0.1</w:t>
            </w:r>
          </w:p>
        </w:tc>
        <w:tc>
          <w:tcPr>
            <w:tcW w:w="679" w:type="pct"/>
            <w:noWrap/>
            <w:hideMark/>
          </w:tcPr>
          <w:p w14:paraId="32477382" w14:textId="77777777" w:rsidR="00C70688" w:rsidRPr="00C70688" w:rsidRDefault="00C70688" w:rsidP="00C7068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kern w:val="0"/>
                <w:sz w:val="24"/>
                <w:szCs w:val="24"/>
                <w:lang w:eastAsia="en-ZW"/>
              </w:rPr>
            </w:pPr>
            <w:r w:rsidRPr="00C70688">
              <w:rPr>
                <w:rFonts w:ascii="Tahoma" w:eastAsia="Times New Roman" w:hAnsi="Tahoma" w:cs="Tahoma"/>
                <w:color w:val="000000"/>
                <w:kern w:val="0"/>
                <w:sz w:val="24"/>
                <w:szCs w:val="24"/>
                <w:lang w:eastAsia="en-ZW"/>
              </w:rPr>
              <w:t>-0.3</w:t>
            </w:r>
          </w:p>
        </w:tc>
      </w:tr>
      <w:tr w:rsidR="00C70688" w:rsidRPr="00C70688" w14:paraId="3F8FF378" w14:textId="77777777" w:rsidTr="00E63964">
        <w:trPr>
          <w:trHeight w:val="512"/>
        </w:trPr>
        <w:tc>
          <w:tcPr>
            <w:cnfStyle w:val="001000000000" w:firstRow="0" w:lastRow="0" w:firstColumn="1" w:lastColumn="0" w:oddVBand="0" w:evenVBand="0" w:oddHBand="0" w:evenHBand="0" w:firstRowFirstColumn="0" w:firstRowLastColumn="0" w:lastRowFirstColumn="0" w:lastRowLastColumn="0"/>
            <w:tcW w:w="1801" w:type="pct"/>
            <w:hideMark/>
          </w:tcPr>
          <w:p w14:paraId="46D487B9" w14:textId="77777777" w:rsidR="00C70688" w:rsidRPr="00C70688" w:rsidRDefault="00C70688" w:rsidP="00C70688">
            <w:pPr>
              <w:spacing w:after="0" w:line="240" w:lineRule="auto"/>
              <w:rPr>
                <w:rFonts w:ascii="Tahoma" w:eastAsia="Times New Roman" w:hAnsi="Tahoma" w:cs="Tahoma"/>
                <w:b w:val="0"/>
                <w:bCs w:val="0"/>
                <w:color w:val="000000"/>
                <w:kern w:val="0"/>
                <w:sz w:val="24"/>
                <w:szCs w:val="24"/>
                <w:lang w:eastAsia="en-ZW"/>
              </w:rPr>
            </w:pPr>
            <w:r w:rsidRPr="00C70688">
              <w:rPr>
                <w:rFonts w:ascii="Tahoma" w:eastAsia="Times New Roman" w:hAnsi="Tahoma" w:cs="Tahoma"/>
                <w:b w:val="0"/>
                <w:bCs w:val="0"/>
                <w:color w:val="000000"/>
                <w:kern w:val="0"/>
                <w:sz w:val="24"/>
                <w:szCs w:val="24"/>
                <w:lang w:eastAsia="en-ZW"/>
              </w:rPr>
              <w:t>Emerging Markets and Developing Economies</w:t>
            </w:r>
          </w:p>
        </w:tc>
        <w:tc>
          <w:tcPr>
            <w:tcW w:w="637" w:type="pct"/>
            <w:noWrap/>
            <w:hideMark/>
          </w:tcPr>
          <w:p w14:paraId="6267968D" w14:textId="77777777" w:rsidR="00C70688" w:rsidRPr="00C70688" w:rsidRDefault="00C70688" w:rsidP="00C706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
                <w:bCs/>
                <w:color w:val="000000"/>
                <w:kern w:val="0"/>
                <w:sz w:val="24"/>
                <w:szCs w:val="24"/>
                <w:lang w:eastAsia="en-ZW"/>
              </w:rPr>
            </w:pPr>
            <w:r w:rsidRPr="00C70688">
              <w:rPr>
                <w:rFonts w:ascii="Tahoma" w:eastAsia="Times New Roman" w:hAnsi="Tahoma" w:cs="Tahoma"/>
                <w:b/>
                <w:bCs/>
                <w:color w:val="000000"/>
                <w:kern w:val="0"/>
                <w:sz w:val="24"/>
                <w:szCs w:val="24"/>
                <w:lang w:eastAsia="en-ZW"/>
              </w:rPr>
              <w:t>4.4</w:t>
            </w:r>
          </w:p>
        </w:tc>
        <w:tc>
          <w:tcPr>
            <w:tcW w:w="609" w:type="pct"/>
            <w:noWrap/>
            <w:hideMark/>
          </w:tcPr>
          <w:p w14:paraId="3B0790F7" w14:textId="77777777" w:rsidR="00C70688" w:rsidRPr="00C70688" w:rsidRDefault="00C70688" w:rsidP="00C706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
                <w:bCs/>
                <w:color w:val="000000"/>
                <w:kern w:val="0"/>
                <w:sz w:val="24"/>
                <w:szCs w:val="24"/>
                <w:lang w:eastAsia="en-ZW"/>
              </w:rPr>
            </w:pPr>
            <w:r w:rsidRPr="00C70688">
              <w:rPr>
                <w:rFonts w:ascii="Tahoma" w:eastAsia="Times New Roman" w:hAnsi="Tahoma" w:cs="Tahoma"/>
                <w:b/>
                <w:bCs/>
                <w:color w:val="000000"/>
                <w:kern w:val="0"/>
                <w:sz w:val="24"/>
                <w:szCs w:val="24"/>
                <w:lang w:eastAsia="en-ZW"/>
              </w:rPr>
              <w:t>4.2</w:t>
            </w:r>
          </w:p>
        </w:tc>
        <w:tc>
          <w:tcPr>
            <w:tcW w:w="609" w:type="pct"/>
            <w:noWrap/>
            <w:hideMark/>
          </w:tcPr>
          <w:p w14:paraId="2C51233B" w14:textId="77777777" w:rsidR="00C70688" w:rsidRPr="00C70688" w:rsidRDefault="00C70688" w:rsidP="00C706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
                <w:bCs/>
                <w:color w:val="000000"/>
                <w:kern w:val="0"/>
                <w:sz w:val="24"/>
                <w:szCs w:val="24"/>
                <w:lang w:eastAsia="en-ZW"/>
              </w:rPr>
            </w:pPr>
            <w:r w:rsidRPr="00C70688">
              <w:rPr>
                <w:rFonts w:ascii="Tahoma" w:eastAsia="Times New Roman" w:hAnsi="Tahoma" w:cs="Tahoma"/>
                <w:b/>
                <w:bCs/>
                <w:color w:val="000000"/>
                <w:kern w:val="0"/>
                <w:sz w:val="24"/>
                <w:szCs w:val="24"/>
                <w:lang w:eastAsia="en-ZW"/>
              </w:rPr>
              <w:t>4.2</w:t>
            </w:r>
          </w:p>
        </w:tc>
        <w:tc>
          <w:tcPr>
            <w:tcW w:w="665" w:type="pct"/>
            <w:noWrap/>
            <w:hideMark/>
          </w:tcPr>
          <w:p w14:paraId="3FC15D8F" w14:textId="77777777" w:rsidR="00C70688" w:rsidRPr="00C70688" w:rsidRDefault="00C70688" w:rsidP="00C706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
                <w:bCs/>
                <w:color w:val="000000"/>
                <w:kern w:val="0"/>
                <w:sz w:val="24"/>
                <w:szCs w:val="24"/>
                <w:lang w:eastAsia="en-ZW"/>
              </w:rPr>
            </w:pPr>
            <w:r w:rsidRPr="00C70688">
              <w:rPr>
                <w:rFonts w:ascii="Tahoma" w:eastAsia="Times New Roman" w:hAnsi="Tahoma" w:cs="Tahoma"/>
                <w:b/>
                <w:bCs/>
                <w:color w:val="000000"/>
                <w:kern w:val="0"/>
                <w:sz w:val="24"/>
                <w:szCs w:val="24"/>
                <w:lang w:eastAsia="en-ZW"/>
              </w:rPr>
              <w:t>0</w:t>
            </w:r>
          </w:p>
        </w:tc>
        <w:tc>
          <w:tcPr>
            <w:tcW w:w="679" w:type="pct"/>
            <w:noWrap/>
            <w:hideMark/>
          </w:tcPr>
          <w:p w14:paraId="782F0998" w14:textId="77777777" w:rsidR="00C70688" w:rsidRPr="00C70688" w:rsidRDefault="00C70688" w:rsidP="00C7068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kern w:val="0"/>
                <w:sz w:val="24"/>
                <w:szCs w:val="24"/>
                <w:lang w:eastAsia="en-ZW"/>
              </w:rPr>
            </w:pPr>
            <w:r w:rsidRPr="00C70688">
              <w:rPr>
                <w:rFonts w:ascii="Tahoma" w:eastAsia="Times New Roman" w:hAnsi="Tahoma" w:cs="Tahoma"/>
                <w:color w:val="000000"/>
                <w:kern w:val="0"/>
                <w:sz w:val="24"/>
                <w:szCs w:val="24"/>
                <w:lang w:eastAsia="en-ZW"/>
              </w:rPr>
              <w:t>-0.1</w:t>
            </w:r>
          </w:p>
        </w:tc>
      </w:tr>
      <w:tr w:rsidR="00E54C7E" w:rsidRPr="00C70688" w14:paraId="595C172E" w14:textId="77777777" w:rsidTr="00E54C7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01" w:type="pct"/>
            <w:noWrap/>
            <w:hideMark/>
          </w:tcPr>
          <w:p w14:paraId="107C2820" w14:textId="77777777" w:rsidR="00C70688" w:rsidRPr="00C70688" w:rsidRDefault="00C70688" w:rsidP="00C70688">
            <w:pPr>
              <w:spacing w:after="0" w:line="240" w:lineRule="auto"/>
              <w:rPr>
                <w:rFonts w:ascii="Tahoma" w:eastAsia="Times New Roman" w:hAnsi="Tahoma" w:cs="Tahoma"/>
                <w:color w:val="000000"/>
                <w:kern w:val="0"/>
                <w:sz w:val="24"/>
                <w:szCs w:val="24"/>
                <w:lang w:eastAsia="en-ZW"/>
              </w:rPr>
            </w:pPr>
            <w:r w:rsidRPr="00C70688">
              <w:rPr>
                <w:rFonts w:ascii="Tahoma" w:eastAsia="Times New Roman" w:hAnsi="Tahoma" w:cs="Tahoma"/>
                <w:color w:val="000000"/>
                <w:kern w:val="0"/>
                <w:sz w:val="24"/>
                <w:szCs w:val="24"/>
                <w:lang w:eastAsia="en-ZW"/>
              </w:rPr>
              <w:t>China</w:t>
            </w:r>
          </w:p>
        </w:tc>
        <w:tc>
          <w:tcPr>
            <w:tcW w:w="637" w:type="pct"/>
            <w:noWrap/>
            <w:hideMark/>
          </w:tcPr>
          <w:p w14:paraId="061C0BD3" w14:textId="77777777" w:rsidR="00C70688" w:rsidRPr="00C70688" w:rsidRDefault="00C70688" w:rsidP="00C7068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kern w:val="0"/>
                <w:sz w:val="24"/>
                <w:szCs w:val="24"/>
                <w:lang w:eastAsia="en-ZW"/>
              </w:rPr>
            </w:pPr>
            <w:r w:rsidRPr="00C70688">
              <w:rPr>
                <w:rFonts w:ascii="Tahoma" w:eastAsia="Times New Roman" w:hAnsi="Tahoma" w:cs="Tahoma"/>
                <w:color w:val="000000"/>
                <w:kern w:val="0"/>
                <w:sz w:val="24"/>
                <w:szCs w:val="24"/>
                <w:lang w:eastAsia="en-ZW"/>
              </w:rPr>
              <w:t>5.2</w:t>
            </w:r>
          </w:p>
        </w:tc>
        <w:tc>
          <w:tcPr>
            <w:tcW w:w="609" w:type="pct"/>
            <w:noWrap/>
            <w:hideMark/>
          </w:tcPr>
          <w:p w14:paraId="7CFE59F7" w14:textId="77777777" w:rsidR="00C70688" w:rsidRPr="00C70688" w:rsidRDefault="00C70688" w:rsidP="00C7068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kern w:val="0"/>
                <w:sz w:val="24"/>
                <w:szCs w:val="24"/>
                <w:lang w:eastAsia="en-ZW"/>
              </w:rPr>
            </w:pPr>
            <w:r w:rsidRPr="00C70688">
              <w:rPr>
                <w:rFonts w:ascii="Tahoma" w:eastAsia="Times New Roman" w:hAnsi="Tahoma" w:cs="Tahoma"/>
                <w:color w:val="000000"/>
                <w:kern w:val="0"/>
                <w:sz w:val="24"/>
                <w:szCs w:val="24"/>
                <w:lang w:eastAsia="en-ZW"/>
              </w:rPr>
              <w:t>4.8</w:t>
            </w:r>
          </w:p>
        </w:tc>
        <w:tc>
          <w:tcPr>
            <w:tcW w:w="609" w:type="pct"/>
            <w:noWrap/>
            <w:hideMark/>
          </w:tcPr>
          <w:p w14:paraId="44CE6166" w14:textId="77777777" w:rsidR="00C70688" w:rsidRPr="00C70688" w:rsidRDefault="00C70688" w:rsidP="00C7068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kern w:val="0"/>
                <w:sz w:val="24"/>
                <w:szCs w:val="24"/>
                <w:lang w:eastAsia="en-ZW"/>
              </w:rPr>
            </w:pPr>
            <w:r w:rsidRPr="00C70688">
              <w:rPr>
                <w:rFonts w:ascii="Tahoma" w:eastAsia="Times New Roman" w:hAnsi="Tahoma" w:cs="Tahoma"/>
                <w:color w:val="000000"/>
                <w:kern w:val="0"/>
                <w:sz w:val="24"/>
                <w:szCs w:val="24"/>
                <w:lang w:eastAsia="en-ZW"/>
              </w:rPr>
              <w:t>4.5</w:t>
            </w:r>
          </w:p>
        </w:tc>
        <w:tc>
          <w:tcPr>
            <w:tcW w:w="665" w:type="pct"/>
            <w:noWrap/>
            <w:hideMark/>
          </w:tcPr>
          <w:p w14:paraId="3C7B6BE2" w14:textId="77777777" w:rsidR="00C70688" w:rsidRPr="00C70688" w:rsidRDefault="00C70688" w:rsidP="00C7068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kern w:val="0"/>
                <w:sz w:val="24"/>
                <w:szCs w:val="24"/>
                <w:lang w:eastAsia="en-ZW"/>
              </w:rPr>
            </w:pPr>
            <w:r w:rsidRPr="00C70688">
              <w:rPr>
                <w:rFonts w:ascii="Tahoma" w:eastAsia="Times New Roman" w:hAnsi="Tahoma" w:cs="Tahoma"/>
                <w:color w:val="000000"/>
                <w:kern w:val="0"/>
                <w:sz w:val="24"/>
                <w:szCs w:val="24"/>
                <w:lang w:eastAsia="en-ZW"/>
              </w:rPr>
              <w:t>-0.2</w:t>
            </w:r>
          </w:p>
        </w:tc>
        <w:tc>
          <w:tcPr>
            <w:tcW w:w="679" w:type="pct"/>
            <w:noWrap/>
            <w:hideMark/>
          </w:tcPr>
          <w:p w14:paraId="65E6912B" w14:textId="77777777" w:rsidR="00C70688" w:rsidRPr="00C70688" w:rsidRDefault="00C70688" w:rsidP="00C7068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kern w:val="0"/>
                <w:sz w:val="24"/>
                <w:szCs w:val="24"/>
                <w:lang w:eastAsia="en-ZW"/>
              </w:rPr>
            </w:pPr>
            <w:r w:rsidRPr="00C70688">
              <w:rPr>
                <w:rFonts w:ascii="Tahoma" w:eastAsia="Times New Roman" w:hAnsi="Tahoma" w:cs="Tahoma"/>
                <w:color w:val="000000"/>
                <w:kern w:val="0"/>
                <w:sz w:val="24"/>
                <w:szCs w:val="24"/>
                <w:lang w:eastAsia="en-ZW"/>
              </w:rPr>
              <w:t>0</w:t>
            </w:r>
          </w:p>
        </w:tc>
      </w:tr>
      <w:tr w:rsidR="00C70688" w:rsidRPr="00C70688" w14:paraId="6842EBA1" w14:textId="77777777" w:rsidTr="00E63964">
        <w:trPr>
          <w:trHeight w:val="261"/>
        </w:trPr>
        <w:tc>
          <w:tcPr>
            <w:cnfStyle w:val="001000000000" w:firstRow="0" w:lastRow="0" w:firstColumn="1" w:lastColumn="0" w:oddVBand="0" w:evenVBand="0" w:oddHBand="0" w:evenHBand="0" w:firstRowFirstColumn="0" w:firstRowLastColumn="0" w:lastRowFirstColumn="0" w:lastRowLastColumn="0"/>
            <w:tcW w:w="1801" w:type="pct"/>
            <w:noWrap/>
            <w:hideMark/>
          </w:tcPr>
          <w:p w14:paraId="3CF22384" w14:textId="77777777" w:rsidR="00C70688" w:rsidRPr="00C70688" w:rsidRDefault="00C70688" w:rsidP="00C70688">
            <w:pPr>
              <w:spacing w:after="0" w:line="240" w:lineRule="auto"/>
              <w:rPr>
                <w:rFonts w:ascii="Tahoma" w:eastAsia="Times New Roman" w:hAnsi="Tahoma" w:cs="Tahoma"/>
                <w:color w:val="000000"/>
                <w:kern w:val="0"/>
                <w:sz w:val="24"/>
                <w:szCs w:val="24"/>
                <w:lang w:eastAsia="en-ZW"/>
              </w:rPr>
            </w:pPr>
            <w:r w:rsidRPr="00C70688">
              <w:rPr>
                <w:rFonts w:ascii="Tahoma" w:eastAsia="Times New Roman" w:hAnsi="Tahoma" w:cs="Tahoma"/>
                <w:color w:val="000000"/>
                <w:kern w:val="0"/>
                <w:sz w:val="24"/>
                <w:szCs w:val="24"/>
                <w:lang w:eastAsia="en-ZW"/>
              </w:rPr>
              <w:t>India</w:t>
            </w:r>
          </w:p>
        </w:tc>
        <w:tc>
          <w:tcPr>
            <w:tcW w:w="637" w:type="pct"/>
            <w:noWrap/>
            <w:hideMark/>
          </w:tcPr>
          <w:p w14:paraId="304956B2" w14:textId="77777777" w:rsidR="00C70688" w:rsidRPr="00C70688" w:rsidRDefault="00C70688" w:rsidP="00C706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kern w:val="0"/>
                <w:sz w:val="24"/>
                <w:szCs w:val="24"/>
                <w:lang w:eastAsia="en-ZW"/>
              </w:rPr>
            </w:pPr>
            <w:r w:rsidRPr="00C70688">
              <w:rPr>
                <w:rFonts w:ascii="Tahoma" w:eastAsia="Times New Roman" w:hAnsi="Tahoma" w:cs="Tahoma"/>
                <w:color w:val="000000"/>
                <w:kern w:val="0"/>
                <w:sz w:val="24"/>
                <w:szCs w:val="24"/>
                <w:lang w:eastAsia="en-ZW"/>
              </w:rPr>
              <w:t>8.2</w:t>
            </w:r>
          </w:p>
        </w:tc>
        <w:tc>
          <w:tcPr>
            <w:tcW w:w="609" w:type="pct"/>
            <w:noWrap/>
            <w:hideMark/>
          </w:tcPr>
          <w:p w14:paraId="088FB90B" w14:textId="77777777" w:rsidR="00C70688" w:rsidRPr="00C70688" w:rsidRDefault="00C70688" w:rsidP="00C706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kern w:val="0"/>
                <w:sz w:val="24"/>
                <w:szCs w:val="24"/>
                <w:lang w:eastAsia="en-ZW"/>
              </w:rPr>
            </w:pPr>
            <w:r w:rsidRPr="00C70688">
              <w:rPr>
                <w:rFonts w:ascii="Tahoma" w:eastAsia="Times New Roman" w:hAnsi="Tahoma" w:cs="Tahoma"/>
                <w:color w:val="000000"/>
                <w:kern w:val="0"/>
                <w:sz w:val="24"/>
                <w:szCs w:val="24"/>
                <w:lang w:eastAsia="en-ZW"/>
              </w:rPr>
              <w:t>7</w:t>
            </w:r>
          </w:p>
        </w:tc>
        <w:tc>
          <w:tcPr>
            <w:tcW w:w="609" w:type="pct"/>
            <w:noWrap/>
            <w:hideMark/>
          </w:tcPr>
          <w:p w14:paraId="0CBA8E53" w14:textId="77777777" w:rsidR="00C70688" w:rsidRPr="00C70688" w:rsidRDefault="00C70688" w:rsidP="00C706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kern w:val="0"/>
                <w:sz w:val="24"/>
                <w:szCs w:val="24"/>
                <w:lang w:eastAsia="en-ZW"/>
              </w:rPr>
            </w:pPr>
            <w:r w:rsidRPr="00C70688">
              <w:rPr>
                <w:rFonts w:ascii="Tahoma" w:eastAsia="Times New Roman" w:hAnsi="Tahoma" w:cs="Tahoma"/>
                <w:color w:val="000000"/>
                <w:kern w:val="0"/>
                <w:sz w:val="24"/>
                <w:szCs w:val="24"/>
                <w:lang w:eastAsia="en-ZW"/>
              </w:rPr>
              <w:t>6.5</w:t>
            </w:r>
          </w:p>
        </w:tc>
        <w:tc>
          <w:tcPr>
            <w:tcW w:w="665" w:type="pct"/>
            <w:noWrap/>
            <w:hideMark/>
          </w:tcPr>
          <w:p w14:paraId="6BF2C9E3" w14:textId="77777777" w:rsidR="00C70688" w:rsidRPr="00C70688" w:rsidRDefault="00C70688" w:rsidP="00C706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kern w:val="0"/>
                <w:sz w:val="24"/>
                <w:szCs w:val="24"/>
                <w:lang w:eastAsia="en-ZW"/>
              </w:rPr>
            </w:pPr>
            <w:r w:rsidRPr="00C70688">
              <w:rPr>
                <w:rFonts w:ascii="Tahoma" w:eastAsia="Times New Roman" w:hAnsi="Tahoma" w:cs="Tahoma"/>
                <w:color w:val="000000"/>
                <w:kern w:val="0"/>
                <w:sz w:val="24"/>
                <w:szCs w:val="24"/>
                <w:lang w:eastAsia="en-ZW"/>
              </w:rPr>
              <w:t>0</w:t>
            </w:r>
          </w:p>
        </w:tc>
        <w:tc>
          <w:tcPr>
            <w:tcW w:w="679" w:type="pct"/>
            <w:noWrap/>
            <w:hideMark/>
          </w:tcPr>
          <w:p w14:paraId="5C37EB18" w14:textId="77777777" w:rsidR="00C70688" w:rsidRPr="00C70688" w:rsidRDefault="00C70688" w:rsidP="00C7068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kern w:val="0"/>
                <w:sz w:val="24"/>
                <w:szCs w:val="24"/>
                <w:lang w:eastAsia="en-ZW"/>
              </w:rPr>
            </w:pPr>
            <w:r w:rsidRPr="00C70688">
              <w:rPr>
                <w:rFonts w:ascii="Tahoma" w:eastAsia="Times New Roman" w:hAnsi="Tahoma" w:cs="Tahoma"/>
                <w:color w:val="000000"/>
                <w:kern w:val="0"/>
                <w:sz w:val="24"/>
                <w:szCs w:val="24"/>
                <w:lang w:eastAsia="en-ZW"/>
              </w:rPr>
              <w:t>0</w:t>
            </w:r>
          </w:p>
        </w:tc>
      </w:tr>
      <w:tr w:rsidR="00E54C7E" w:rsidRPr="00C70688" w14:paraId="2C2BFA45" w14:textId="77777777" w:rsidTr="00E54C7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01" w:type="pct"/>
            <w:noWrap/>
            <w:hideMark/>
          </w:tcPr>
          <w:p w14:paraId="6A567F9D" w14:textId="77777777" w:rsidR="00C70688" w:rsidRPr="00C70688" w:rsidRDefault="00C70688" w:rsidP="00C70688">
            <w:pPr>
              <w:spacing w:after="0" w:line="240" w:lineRule="auto"/>
              <w:rPr>
                <w:rFonts w:ascii="Tahoma" w:eastAsia="Times New Roman" w:hAnsi="Tahoma" w:cs="Tahoma"/>
                <w:b w:val="0"/>
                <w:bCs w:val="0"/>
                <w:color w:val="000000"/>
                <w:kern w:val="0"/>
                <w:sz w:val="24"/>
                <w:szCs w:val="24"/>
                <w:lang w:eastAsia="en-ZW"/>
              </w:rPr>
            </w:pPr>
            <w:r w:rsidRPr="00C70688">
              <w:rPr>
                <w:rFonts w:ascii="Tahoma" w:eastAsia="Times New Roman" w:hAnsi="Tahoma" w:cs="Tahoma"/>
                <w:b w:val="0"/>
                <w:bCs w:val="0"/>
                <w:color w:val="000000"/>
                <w:kern w:val="0"/>
                <w:sz w:val="24"/>
                <w:szCs w:val="24"/>
                <w:lang w:eastAsia="en-ZW"/>
              </w:rPr>
              <w:t>Sub-Saharan Africa</w:t>
            </w:r>
          </w:p>
        </w:tc>
        <w:tc>
          <w:tcPr>
            <w:tcW w:w="637" w:type="pct"/>
            <w:noWrap/>
            <w:hideMark/>
          </w:tcPr>
          <w:p w14:paraId="136A9B1B" w14:textId="77777777" w:rsidR="00C70688" w:rsidRPr="00C70688" w:rsidRDefault="00C70688" w:rsidP="00C7068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b/>
                <w:bCs/>
                <w:color w:val="000000"/>
                <w:kern w:val="0"/>
                <w:sz w:val="24"/>
                <w:szCs w:val="24"/>
                <w:lang w:eastAsia="en-ZW"/>
              </w:rPr>
            </w:pPr>
            <w:r w:rsidRPr="00C70688">
              <w:rPr>
                <w:rFonts w:ascii="Tahoma" w:eastAsia="Times New Roman" w:hAnsi="Tahoma" w:cs="Tahoma"/>
                <w:b/>
                <w:bCs/>
                <w:color w:val="000000"/>
                <w:kern w:val="0"/>
                <w:sz w:val="24"/>
                <w:szCs w:val="24"/>
                <w:lang w:eastAsia="en-ZW"/>
              </w:rPr>
              <w:t>3.6</w:t>
            </w:r>
          </w:p>
        </w:tc>
        <w:tc>
          <w:tcPr>
            <w:tcW w:w="609" w:type="pct"/>
            <w:noWrap/>
            <w:hideMark/>
          </w:tcPr>
          <w:p w14:paraId="7BCD11F4" w14:textId="77777777" w:rsidR="00C70688" w:rsidRPr="00C70688" w:rsidRDefault="00C70688" w:rsidP="00C7068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b/>
                <w:bCs/>
                <w:color w:val="000000"/>
                <w:kern w:val="0"/>
                <w:sz w:val="24"/>
                <w:szCs w:val="24"/>
                <w:lang w:eastAsia="en-ZW"/>
              </w:rPr>
            </w:pPr>
            <w:r w:rsidRPr="00C70688">
              <w:rPr>
                <w:rFonts w:ascii="Tahoma" w:eastAsia="Times New Roman" w:hAnsi="Tahoma" w:cs="Tahoma"/>
                <w:b/>
                <w:bCs/>
                <w:color w:val="000000"/>
                <w:kern w:val="0"/>
                <w:sz w:val="24"/>
                <w:szCs w:val="24"/>
                <w:lang w:eastAsia="en-ZW"/>
              </w:rPr>
              <w:t>3.6</w:t>
            </w:r>
          </w:p>
        </w:tc>
        <w:tc>
          <w:tcPr>
            <w:tcW w:w="609" w:type="pct"/>
            <w:noWrap/>
            <w:hideMark/>
          </w:tcPr>
          <w:p w14:paraId="0536B1DC" w14:textId="77777777" w:rsidR="00C70688" w:rsidRPr="00C70688" w:rsidRDefault="00C70688" w:rsidP="00C7068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b/>
                <w:bCs/>
                <w:color w:val="000000"/>
                <w:kern w:val="0"/>
                <w:sz w:val="24"/>
                <w:szCs w:val="24"/>
                <w:lang w:eastAsia="en-ZW"/>
              </w:rPr>
            </w:pPr>
            <w:r w:rsidRPr="00C70688">
              <w:rPr>
                <w:rFonts w:ascii="Tahoma" w:eastAsia="Times New Roman" w:hAnsi="Tahoma" w:cs="Tahoma"/>
                <w:b/>
                <w:bCs/>
                <w:color w:val="000000"/>
                <w:kern w:val="0"/>
                <w:sz w:val="24"/>
                <w:szCs w:val="24"/>
                <w:lang w:eastAsia="en-ZW"/>
              </w:rPr>
              <w:t>4.2</w:t>
            </w:r>
          </w:p>
        </w:tc>
        <w:tc>
          <w:tcPr>
            <w:tcW w:w="665" w:type="pct"/>
            <w:noWrap/>
            <w:hideMark/>
          </w:tcPr>
          <w:p w14:paraId="1E51EDE9" w14:textId="77777777" w:rsidR="00C70688" w:rsidRPr="00C70688" w:rsidRDefault="00C70688" w:rsidP="00C7068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b/>
                <w:bCs/>
                <w:color w:val="000000"/>
                <w:kern w:val="0"/>
                <w:sz w:val="24"/>
                <w:szCs w:val="24"/>
                <w:lang w:eastAsia="en-ZW"/>
              </w:rPr>
            </w:pPr>
            <w:r w:rsidRPr="00C70688">
              <w:rPr>
                <w:rFonts w:ascii="Tahoma" w:eastAsia="Times New Roman" w:hAnsi="Tahoma" w:cs="Tahoma"/>
                <w:b/>
                <w:bCs/>
                <w:color w:val="000000"/>
                <w:kern w:val="0"/>
                <w:sz w:val="24"/>
                <w:szCs w:val="24"/>
                <w:lang w:eastAsia="en-ZW"/>
              </w:rPr>
              <w:t>-0.1</w:t>
            </w:r>
          </w:p>
        </w:tc>
        <w:tc>
          <w:tcPr>
            <w:tcW w:w="679" w:type="pct"/>
            <w:noWrap/>
            <w:hideMark/>
          </w:tcPr>
          <w:p w14:paraId="4820C4D5" w14:textId="77777777" w:rsidR="00C70688" w:rsidRPr="00C70688" w:rsidRDefault="00C70688" w:rsidP="00C7068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kern w:val="0"/>
                <w:sz w:val="24"/>
                <w:szCs w:val="24"/>
                <w:lang w:eastAsia="en-ZW"/>
              </w:rPr>
            </w:pPr>
            <w:r w:rsidRPr="00C70688">
              <w:rPr>
                <w:rFonts w:ascii="Tahoma" w:eastAsia="Times New Roman" w:hAnsi="Tahoma" w:cs="Tahoma"/>
                <w:color w:val="000000"/>
                <w:kern w:val="0"/>
                <w:sz w:val="24"/>
                <w:szCs w:val="24"/>
                <w:lang w:eastAsia="en-ZW"/>
              </w:rPr>
              <w:t>0.1</w:t>
            </w:r>
          </w:p>
        </w:tc>
      </w:tr>
      <w:tr w:rsidR="00C70688" w:rsidRPr="00C70688" w14:paraId="3A4F5BEC" w14:textId="77777777" w:rsidTr="00E63964">
        <w:trPr>
          <w:trHeight w:val="261"/>
        </w:trPr>
        <w:tc>
          <w:tcPr>
            <w:cnfStyle w:val="001000000000" w:firstRow="0" w:lastRow="0" w:firstColumn="1" w:lastColumn="0" w:oddVBand="0" w:evenVBand="0" w:oddHBand="0" w:evenHBand="0" w:firstRowFirstColumn="0" w:firstRowLastColumn="0" w:lastRowFirstColumn="0" w:lastRowLastColumn="0"/>
            <w:tcW w:w="1801" w:type="pct"/>
            <w:noWrap/>
            <w:hideMark/>
          </w:tcPr>
          <w:p w14:paraId="2E2CE935" w14:textId="77777777" w:rsidR="00C70688" w:rsidRPr="00C70688" w:rsidRDefault="00C70688" w:rsidP="00C70688">
            <w:pPr>
              <w:spacing w:after="0" w:line="240" w:lineRule="auto"/>
              <w:rPr>
                <w:rFonts w:ascii="Tahoma" w:eastAsia="Times New Roman" w:hAnsi="Tahoma" w:cs="Tahoma"/>
                <w:color w:val="000000"/>
                <w:kern w:val="0"/>
                <w:sz w:val="24"/>
                <w:szCs w:val="24"/>
                <w:lang w:eastAsia="en-ZW"/>
              </w:rPr>
            </w:pPr>
            <w:r w:rsidRPr="00C70688">
              <w:rPr>
                <w:rFonts w:ascii="Tahoma" w:eastAsia="Times New Roman" w:hAnsi="Tahoma" w:cs="Tahoma"/>
                <w:color w:val="000000"/>
                <w:kern w:val="0"/>
                <w:sz w:val="24"/>
                <w:szCs w:val="24"/>
                <w:lang w:eastAsia="en-ZW"/>
              </w:rPr>
              <w:t>Nigeria</w:t>
            </w:r>
          </w:p>
        </w:tc>
        <w:tc>
          <w:tcPr>
            <w:tcW w:w="637" w:type="pct"/>
            <w:noWrap/>
            <w:hideMark/>
          </w:tcPr>
          <w:p w14:paraId="0BFB5C51" w14:textId="77777777" w:rsidR="00C70688" w:rsidRPr="00C70688" w:rsidRDefault="00C70688" w:rsidP="00C706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kern w:val="0"/>
                <w:sz w:val="24"/>
                <w:szCs w:val="24"/>
                <w:lang w:eastAsia="en-ZW"/>
              </w:rPr>
            </w:pPr>
            <w:r w:rsidRPr="00C70688">
              <w:rPr>
                <w:rFonts w:ascii="Tahoma" w:eastAsia="Times New Roman" w:hAnsi="Tahoma" w:cs="Tahoma"/>
                <w:color w:val="000000"/>
                <w:kern w:val="0"/>
                <w:sz w:val="24"/>
                <w:szCs w:val="24"/>
                <w:lang w:eastAsia="en-ZW"/>
              </w:rPr>
              <w:t>2.9</w:t>
            </w:r>
          </w:p>
        </w:tc>
        <w:tc>
          <w:tcPr>
            <w:tcW w:w="609" w:type="pct"/>
            <w:noWrap/>
            <w:hideMark/>
          </w:tcPr>
          <w:p w14:paraId="45113C88" w14:textId="77777777" w:rsidR="00C70688" w:rsidRPr="00C70688" w:rsidRDefault="00C70688" w:rsidP="00C706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kern w:val="0"/>
                <w:sz w:val="24"/>
                <w:szCs w:val="24"/>
                <w:lang w:eastAsia="en-ZW"/>
              </w:rPr>
            </w:pPr>
            <w:r w:rsidRPr="00C70688">
              <w:rPr>
                <w:rFonts w:ascii="Tahoma" w:eastAsia="Times New Roman" w:hAnsi="Tahoma" w:cs="Tahoma"/>
                <w:color w:val="000000"/>
                <w:kern w:val="0"/>
                <w:sz w:val="24"/>
                <w:szCs w:val="24"/>
                <w:lang w:eastAsia="en-ZW"/>
              </w:rPr>
              <w:t>2.9</w:t>
            </w:r>
          </w:p>
        </w:tc>
        <w:tc>
          <w:tcPr>
            <w:tcW w:w="609" w:type="pct"/>
            <w:noWrap/>
            <w:hideMark/>
          </w:tcPr>
          <w:p w14:paraId="414C1495" w14:textId="77777777" w:rsidR="00C70688" w:rsidRPr="00C70688" w:rsidRDefault="00C70688" w:rsidP="00C706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kern w:val="0"/>
                <w:sz w:val="24"/>
                <w:szCs w:val="24"/>
                <w:lang w:eastAsia="en-ZW"/>
              </w:rPr>
            </w:pPr>
            <w:r w:rsidRPr="00C70688">
              <w:rPr>
                <w:rFonts w:ascii="Tahoma" w:eastAsia="Times New Roman" w:hAnsi="Tahoma" w:cs="Tahoma"/>
                <w:color w:val="000000"/>
                <w:kern w:val="0"/>
                <w:sz w:val="24"/>
                <w:szCs w:val="24"/>
                <w:lang w:eastAsia="en-ZW"/>
              </w:rPr>
              <w:t>3.2</w:t>
            </w:r>
          </w:p>
        </w:tc>
        <w:tc>
          <w:tcPr>
            <w:tcW w:w="665" w:type="pct"/>
            <w:noWrap/>
            <w:hideMark/>
          </w:tcPr>
          <w:p w14:paraId="1EBE768A" w14:textId="77777777" w:rsidR="00C70688" w:rsidRPr="00C70688" w:rsidRDefault="00C70688" w:rsidP="00C706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kern w:val="0"/>
                <w:sz w:val="24"/>
                <w:szCs w:val="24"/>
                <w:lang w:eastAsia="en-ZW"/>
              </w:rPr>
            </w:pPr>
            <w:r w:rsidRPr="00C70688">
              <w:rPr>
                <w:rFonts w:ascii="Tahoma" w:eastAsia="Times New Roman" w:hAnsi="Tahoma" w:cs="Tahoma"/>
                <w:color w:val="000000"/>
                <w:kern w:val="0"/>
                <w:sz w:val="24"/>
                <w:szCs w:val="24"/>
                <w:lang w:eastAsia="en-ZW"/>
              </w:rPr>
              <w:t>-0.2</w:t>
            </w:r>
          </w:p>
        </w:tc>
        <w:tc>
          <w:tcPr>
            <w:tcW w:w="679" w:type="pct"/>
            <w:noWrap/>
            <w:hideMark/>
          </w:tcPr>
          <w:p w14:paraId="0BD660E1" w14:textId="77777777" w:rsidR="00C70688" w:rsidRPr="00C70688" w:rsidRDefault="00C70688" w:rsidP="00C7068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kern w:val="0"/>
                <w:sz w:val="24"/>
                <w:szCs w:val="24"/>
                <w:lang w:eastAsia="en-ZW"/>
              </w:rPr>
            </w:pPr>
            <w:r w:rsidRPr="00C70688">
              <w:rPr>
                <w:rFonts w:ascii="Tahoma" w:eastAsia="Times New Roman" w:hAnsi="Tahoma" w:cs="Tahoma"/>
                <w:color w:val="000000"/>
                <w:kern w:val="0"/>
                <w:sz w:val="24"/>
                <w:szCs w:val="24"/>
                <w:lang w:eastAsia="en-ZW"/>
              </w:rPr>
              <w:t>0.2</w:t>
            </w:r>
          </w:p>
        </w:tc>
      </w:tr>
      <w:tr w:rsidR="00E54C7E" w:rsidRPr="00C70688" w14:paraId="67CEF3C4" w14:textId="77777777" w:rsidTr="00E54C7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01" w:type="pct"/>
            <w:noWrap/>
            <w:hideMark/>
          </w:tcPr>
          <w:p w14:paraId="118651D1" w14:textId="77777777" w:rsidR="00C70688" w:rsidRPr="00C70688" w:rsidRDefault="00C70688" w:rsidP="00C70688">
            <w:pPr>
              <w:spacing w:after="0" w:line="240" w:lineRule="auto"/>
              <w:rPr>
                <w:rFonts w:ascii="Tahoma" w:eastAsia="Times New Roman" w:hAnsi="Tahoma" w:cs="Tahoma"/>
                <w:color w:val="000000"/>
                <w:kern w:val="0"/>
                <w:sz w:val="24"/>
                <w:szCs w:val="24"/>
                <w:lang w:eastAsia="en-ZW"/>
              </w:rPr>
            </w:pPr>
            <w:r w:rsidRPr="00C70688">
              <w:rPr>
                <w:rFonts w:ascii="Tahoma" w:eastAsia="Times New Roman" w:hAnsi="Tahoma" w:cs="Tahoma"/>
                <w:color w:val="000000"/>
                <w:kern w:val="0"/>
                <w:sz w:val="24"/>
                <w:szCs w:val="24"/>
                <w:lang w:eastAsia="en-ZW"/>
              </w:rPr>
              <w:t>South Africa</w:t>
            </w:r>
          </w:p>
        </w:tc>
        <w:tc>
          <w:tcPr>
            <w:tcW w:w="637" w:type="pct"/>
            <w:noWrap/>
            <w:hideMark/>
          </w:tcPr>
          <w:p w14:paraId="68FD73AC" w14:textId="77777777" w:rsidR="00C70688" w:rsidRPr="00C70688" w:rsidRDefault="00C70688" w:rsidP="00C7068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kern w:val="0"/>
                <w:sz w:val="24"/>
                <w:szCs w:val="24"/>
                <w:lang w:eastAsia="en-ZW"/>
              </w:rPr>
            </w:pPr>
            <w:r w:rsidRPr="00C70688">
              <w:rPr>
                <w:rFonts w:ascii="Tahoma" w:eastAsia="Times New Roman" w:hAnsi="Tahoma" w:cs="Tahoma"/>
                <w:color w:val="000000"/>
                <w:kern w:val="0"/>
                <w:sz w:val="24"/>
                <w:szCs w:val="24"/>
                <w:lang w:eastAsia="en-ZW"/>
              </w:rPr>
              <w:t>0.7</w:t>
            </w:r>
          </w:p>
        </w:tc>
        <w:tc>
          <w:tcPr>
            <w:tcW w:w="609" w:type="pct"/>
            <w:noWrap/>
            <w:hideMark/>
          </w:tcPr>
          <w:p w14:paraId="5E4B88E4" w14:textId="77777777" w:rsidR="00C70688" w:rsidRPr="00C70688" w:rsidRDefault="00C70688" w:rsidP="00C7068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kern w:val="0"/>
                <w:sz w:val="24"/>
                <w:szCs w:val="24"/>
                <w:lang w:eastAsia="en-ZW"/>
              </w:rPr>
            </w:pPr>
            <w:r w:rsidRPr="00C70688">
              <w:rPr>
                <w:rFonts w:ascii="Tahoma" w:eastAsia="Times New Roman" w:hAnsi="Tahoma" w:cs="Tahoma"/>
                <w:color w:val="000000"/>
                <w:kern w:val="0"/>
                <w:sz w:val="24"/>
                <w:szCs w:val="24"/>
                <w:lang w:eastAsia="en-ZW"/>
              </w:rPr>
              <w:t>1.1</w:t>
            </w:r>
          </w:p>
        </w:tc>
        <w:tc>
          <w:tcPr>
            <w:tcW w:w="609" w:type="pct"/>
            <w:noWrap/>
            <w:hideMark/>
          </w:tcPr>
          <w:p w14:paraId="12CF72E4" w14:textId="77777777" w:rsidR="00C70688" w:rsidRPr="00C70688" w:rsidRDefault="00C70688" w:rsidP="00C7068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kern w:val="0"/>
                <w:sz w:val="24"/>
                <w:szCs w:val="24"/>
                <w:lang w:eastAsia="en-ZW"/>
              </w:rPr>
            </w:pPr>
            <w:r w:rsidRPr="00C70688">
              <w:rPr>
                <w:rFonts w:ascii="Tahoma" w:eastAsia="Times New Roman" w:hAnsi="Tahoma" w:cs="Tahoma"/>
                <w:color w:val="000000"/>
                <w:kern w:val="0"/>
                <w:sz w:val="24"/>
                <w:szCs w:val="24"/>
                <w:lang w:eastAsia="en-ZW"/>
              </w:rPr>
              <w:t>1.5</w:t>
            </w:r>
          </w:p>
        </w:tc>
        <w:tc>
          <w:tcPr>
            <w:tcW w:w="665" w:type="pct"/>
            <w:noWrap/>
            <w:hideMark/>
          </w:tcPr>
          <w:p w14:paraId="3B77430F" w14:textId="77777777" w:rsidR="00C70688" w:rsidRPr="00C70688" w:rsidRDefault="00C70688" w:rsidP="00C7068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kern w:val="0"/>
                <w:sz w:val="24"/>
                <w:szCs w:val="24"/>
                <w:lang w:eastAsia="en-ZW"/>
              </w:rPr>
            </w:pPr>
            <w:r w:rsidRPr="00C70688">
              <w:rPr>
                <w:rFonts w:ascii="Tahoma" w:eastAsia="Times New Roman" w:hAnsi="Tahoma" w:cs="Tahoma"/>
                <w:color w:val="000000"/>
                <w:kern w:val="0"/>
                <w:sz w:val="24"/>
                <w:szCs w:val="24"/>
                <w:lang w:eastAsia="en-ZW"/>
              </w:rPr>
              <w:t>0.2</w:t>
            </w:r>
          </w:p>
        </w:tc>
        <w:tc>
          <w:tcPr>
            <w:tcW w:w="679" w:type="pct"/>
            <w:noWrap/>
            <w:hideMark/>
          </w:tcPr>
          <w:p w14:paraId="6954730F" w14:textId="77777777" w:rsidR="00C70688" w:rsidRPr="00C70688" w:rsidRDefault="00C70688" w:rsidP="00C7068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kern w:val="0"/>
                <w:sz w:val="24"/>
                <w:szCs w:val="24"/>
                <w:lang w:eastAsia="en-ZW"/>
              </w:rPr>
            </w:pPr>
            <w:r w:rsidRPr="00C70688">
              <w:rPr>
                <w:rFonts w:ascii="Tahoma" w:eastAsia="Times New Roman" w:hAnsi="Tahoma" w:cs="Tahoma"/>
                <w:color w:val="000000"/>
                <w:kern w:val="0"/>
                <w:sz w:val="24"/>
                <w:szCs w:val="24"/>
                <w:lang w:eastAsia="en-ZW"/>
              </w:rPr>
              <w:t>0.3</w:t>
            </w:r>
          </w:p>
        </w:tc>
      </w:tr>
      <w:tr w:rsidR="00C70688" w:rsidRPr="00C70688" w14:paraId="7010C939" w14:textId="77777777" w:rsidTr="00E63964">
        <w:trPr>
          <w:trHeight w:val="512"/>
        </w:trPr>
        <w:tc>
          <w:tcPr>
            <w:cnfStyle w:val="001000000000" w:firstRow="0" w:lastRow="0" w:firstColumn="1" w:lastColumn="0" w:oddVBand="0" w:evenVBand="0" w:oddHBand="0" w:evenHBand="0" w:firstRowFirstColumn="0" w:firstRowLastColumn="0" w:lastRowFirstColumn="0" w:lastRowLastColumn="0"/>
            <w:tcW w:w="1801" w:type="pct"/>
            <w:hideMark/>
          </w:tcPr>
          <w:p w14:paraId="096AA6EF" w14:textId="77777777" w:rsidR="00C70688" w:rsidRPr="00C70688" w:rsidRDefault="00C70688" w:rsidP="00C70688">
            <w:pPr>
              <w:spacing w:after="0" w:line="240" w:lineRule="auto"/>
              <w:rPr>
                <w:rFonts w:ascii="Tahoma" w:eastAsia="Times New Roman" w:hAnsi="Tahoma" w:cs="Tahoma"/>
                <w:b w:val="0"/>
                <w:bCs w:val="0"/>
                <w:color w:val="000000"/>
                <w:kern w:val="0"/>
                <w:sz w:val="24"/>
                <w:szCs w:val="24"/>
                <w:lang w:eastAsia="en-ZW"/>
              </w:rPr>
            </w:pPr>
            <w:r w:rsidRPr="00C70688">
              <w:rPr>
                <w:rFonts w:ascii="Tahoma" w:eastAsia="Times New Roman" w:hAnsi="Tahoma" w:cs="Tahoma"/>
                <w:b w:val="0"/>
                <w:bCs w:val="0"/>
                <w:color w:val="000000"/>
                <w:kern w:val="0"/>
                <w:sz w:val="24"/>
                <w:szCs w:val="24"/>
                <w:lang w:eastAsia="en-ZW"/>
              </w:rPr>
              <w:t>Low Income Developing Countries (Including Zimbabwe)</w:t>
            </w:r>
          </w:p>
        </w:tc>
        <w:tc>
          <w:tcPr>
            <w:tcW w:w="637" w:type="pct"/>
            <w:noWrap/>
            <w:hideMark/>
          </w:tcPr>
          <w:p w14:paraId="5B92D48C" w14:textId="77777777" w:rsidR="00C70688" w:rsidRPr="00C70688" w:rsidRDefault="00C70688" w:rsidP="00C706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
                <w:bCs/>
                <w:color w:val="000000"/>
                <w:kern w:val="0"/>
                <w:sz w:val="24"/>
                <w:szCs w:val="24"/>
                <w:lang w:eastAsia="en-ZW"/>
              </w:rPr>
            </w:pPr>
            <w:r w:rsidRPr="00C70688">
              <w:rPr>
                <w:rFonts w:ascii="Tahoma" w:eastAsia="Times New Roman" w:hAnsi="Tahoma" w:cs="Tahoma"/>
                <w:b/>
                <w:bCs/>
                <w:color w:val="000000"/>
                <w:kern w:val="0"/>
                <w:sz w:val="24"/>
                <w:szCs w:val="24"/>
                <w:lang w:eastAsia="en-ZW"/>
              </w:rPr>
              <w:t>4.1</w:t>
            </w:r>
          </w:p>
        </w:tc>
        <w:tc>
          <w:tcPr>
            <w:tcW w:w="609" w:type="pct"/>
            <w:noWrap/>
            <w:hideMark/>
          </w:tcPr>
          <w:p w14:paraId="2AF0E1C4" w14:textId="77777777" w:rsidR="00C70688" w:rsidRPr="00C70688" w:rsidRDefault="00C70688" w:rsidP="00C706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
                <w:bCs/>
                <w:color w:val="000000"/>
                <w:kern w:val="0"/>
                <w:sz w:val="24"/>
                <w:szCs w:val="24"/>
                <w:lang w:eastAsia="en-ZW"/>
              </w:rPr>
            </w:pPr>
            <w:r w:rsidRPr="00C70688">
              <w:rPr>
                <w:rFonts w:ascii="Tahoma" w:eastAsia="Times New Roman" w:hAnsi="Tahoma" w:cs="Tahoma"/>
                <w:b/>
                <w:bCs/>
                <w:color w:val="000000"/>
                <w:kern w:val="0"/>
                <w:sz w:val="24"/>
                <w:szCs w:val="24"/>
                <w:lang w:eastAsia="en-ZW"/>
              </w:rPr>
              <w:t>4</w:t>
            </w:r>
          </w:p>
        </w:tc>
        <w:tc>
          <w:tcPr>
            <w:tcW w:w="609" w:type="pct"/>
            <w:noWrap/>
            <w:hideMark/>
          </w:tcPr>
          <w:p w14:paraId="7611ED0C" w14:textId="77777777" w:rsidR="00C70688" w:rsidRPr="00C70688" w:rsidRDefault="00C70688" w:rsidP="00C706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
                <w:bCs/>
                <w:color w:val="000000"/>
                <w:kern w:val="0"/>
                <w:sz w:val="24"/>
                <w:szCs w:val="24"/>
                <w:lang w:eastAsia="en-ZW"/>
              </w:rPr>
            </w:pPr>
            <w:r w:rsidRPr="00C70688">
              <w:rPr>
                <w:rFonts w:ascii="Tahoma" w:eastAsia="Times New Roman" w:hAnsi="Tahoma" w:cs="Tahoma"/>
                <w:b/>
                <w:bCs/>
                <w:color w:val="000000"/>
                <w:kern w:val="0"/>
                <w:sz w:val="24"/>
                <w:szCs w:val="24"/>
                <w:lang w:eastAsia="en-ZW"/>
              </w:rPr>
              <w:t>4.7</w:t>
            </w:r>
          </w:p>
        </w:tc>
        <w:tc>
          <w:tcPr>
            <w:tcW w:w="665" w:type="pct"/>
            <w:noWrap/>
            <w:hideMark/>
          </w:tcPr>
          <w:p w14:paraId="28BFE530" w14:textId="77777777" w:rsidR="00C70688" w:rsidRPr="00C70688" w:rsidRDefault="00C70688" w:rsidP="00C706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
                <w:bCs/>
                <w:color w:val="000000"/>
                <w:kern w:val="0"/>
                <w:sz w:val="24"/>
                <w:szCs w:val="24"/>
                <w:lang w:eastAsia="en-ZW"/>
              </w:rPr>
            </w:pPr>
            <w:r w:rsidRPr="00C70688">
              <w:rPr>
                <w:rFonts w:ascii="Tahoma" w:eastAsia="Times New Roman" w:hAnsi="Tahoma" w:cs="Tahoma"/>
                <w:b/>
                <w:bCs/>
                <w:color w:val="000000"/>
                <w:kern w:val="0"/>
                <w:sz w:val="24"/>
                <w:szCs w:val="24"/>
                <w:lang w:eastAsia="en-ZW"/>
              </w:rPr>
              <w:t>-0.2</w:t>
            </w:r>
          </w:p>
        </w:tc>
        <w:tc>
          <w:tcPr>
            <w:tcW w:w="679" w:type="pct"/>
            <w:noWrap/>
            <w:hideMark/>
          </w:tcPr>
          <w:p w14:paraId="64C837C7" w14:textId="77777777" w:rsidR="00C70688" w:rsidRPr="00C70688" w:rsidRDefault="00C70688" w:rsidP="00C7068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
                <w:bCs/>
                <w:color w:val="000000"/>
                <w:kern w:val="0"/>
                <w:sz w:val="24"/>
                <w:szCs w:val="24"/>
                <w:lang w:eastAsia="en-ZW"/>
              </w:rPr>
            </w:pPr>
            <w:r w:rsidRPr="00C70688">
              <w:rPr>
                <w:rFonts w:ascii="Tahoma" w:eastAsia="Times New Roman" w:hAnsi="Tahoma" w:cs="Tahoma"/>
                <w:b/>
                <w:bCs/>
                <w:color w:val="000000"/>
                <w:kern w:val="0"/>
                <w:sz w:val="24"/>
                <w:szCs w:val="24"/>
                <w:lang w:eastAsia="en-ZW"/>
              </w:rPr>
              <w:t>-0.4</w:t>
            </w:r>
          </w:p>
        </w:tc>
      </w:tr>
    </w:tbl>
    <w:p w14:paraId="6A2A3983" w14:textId="051560B5" w:rsidR="00E36CF6" w:rsidRPr="00863A17" w:rsidRDefault="00E31148" w:rsidP="00F05BD5">
      <w:pPr>
        <w:rPr>
          <w:rFonts w:ascii="Tahoma" w:hAnsi="Tahoma" w:cs="Tahoma"/>
          <w:i/>
          <w:sz w:val="24"/>
          <w:szCs w:val="24"/>
        </w:rPr>
      </w:pPr>
      <w:r w:rsidRPr="00863A17">
        <w:rPr>
          <w:rFonts w:ascii="Tahoma" w:hAnsi="Tahoma" w:cs="Tahoma"/>
          <w:i/>
          <w:sz w:val="24"/>
          <w:szCs w:val="24"/>
          <w:lang w:val="en-US"/>
        </w:rPr>
        <w:t xml:space="preserve">Source: </w:t>
      </w:r>
      <w:r w:rsidR="00FC73FE">
        <w:rPr>
          <w:rFonts w:ascii="Tahoma" w:hAnsi="Tahoma" w:cs="Tahoma"/>
          <w:i/>
          <w:sz w:val="24"/>
          <w:szCs w:val="24"/>
          <w:lang w:val="en-US"/>
        </w:rPr>
        <w:t xml:space="preserve">IMF, WEO </w:t>
      </w:r>
      <w:r w:rsidR="00A41D77">
        <w:rPr>
          <w:rFonts w:ascii="Tahoma" w:hAnsi="Tahoma" w:cs="Tahoma"/>
          <w:i/>
          <w:sz w:val="24"/>
          <w:szCs w:val="24"/>
          <w:lang w:val="en-US"/>
        </w:rPr>
        <w:t>October</w:t>
      </w:r>
      <w:r w:rsidR="00FC73FE">
        <w:rPr>
          <w:rFonts w:ascii="Tahoma" w:hAnsi="Tahoma" w:cs="Tahoma"/>
          <w:i/>
          <w:sz w:val="24"/>
          <w:szCs w:val="24"/>
          <w:lang w:val="en-US"/>
        </w:rPr>
        <w:t xml:space="preserve"> 2024 </w:t>
      </w:r>
      <w:r w:rsidR="00664692">
        <w:rPr>
          <w:rFonts w:ascii="Tahoma" w:hAnsi="Tahoma" w:cs="Tahoma"/>
          <w:i/>
          <w:sz w:val="24"/>
          <w:szCs w:val="24"/>
          <w:lang w:val="en-US"/>
        </w:rPr>
        <w:t>U</w:t>
      </w:r>
      <w:r w:rsidR="00FC73FE">
        <w:rPr>
          <w:rFonts w:ascii="Tahoma" w:hAnsi="Tahoma" w:cs="Tahoma"/>
          <w:i/>
          <w:sz w:val="24"/>
          <w:szCs w:val="24"/>
          <w:lang w:val="en-US"/>
        </w:rPr>
        <w:t>pdate</w:t>
      </w:r>
    </w:p>
    <w:p w14:paraId="572B34D6" w14:textId="77777777" w:rsidR="007A3E1D" w:rsidRPr="00863A17" w:rsidRDefault="004F680D" w:rsidP="00BC5A90">
      <w:pPr>
        <w:pStyle w:val="Heading2"/>
        <w:spacing w:before="0" w:after="240" w:line="240" w:lineRule="auto"/>
        <w:rPr>
          <w:rFonts w:cs="Tahoma"/>
          <w:b/>
          <w:color w:val="000000"/>
          <w:szCs w:val="24"/>
          <w:lang w:val="en-US"/>
        </w:rPr>
      </w:pPr>
      <w:bookmarkStart w:id="10" w:name="_Toc166607891"/>
      <w:bookmarkStart w:id="11" w:name="_Toc182566279"/>
      <w:r w:rsidRPr="00863A17">
        <w:rPr>
          <w:rFonts w:cs="Tahoma"/>
          <w:b/>
          <w:color w:val="000000"/>
          <w:szCs w:val="24"/>
          <w:lang w:val="en-US"/>
        </w:rPr>
        <w:t>1.2</w:t>
      </w:r>
      <w:r w:rsidRPr="00863A17">
        <w:rPr>
          <w:rFonts w:cs="Tahoma"/>
          <w:b/>
          <w:color w:val="000000"/>
          <w:szCs w:val="24"/>
          <w:lang w:val="en-US"/>
        </w:rPr>
        <w:tab/>
      </w:r>
      <w:r w:rsidR="007A3E1D" w:rsidRPr="00863A17">
        <w:rPr>
          <w:rFonts w:cs="Tahoma"/>
          <w:b/>
          <w:color w:val="000000"/>
          <w:szCs w:val="24"/>
          <w:lang w:val="en-US"/>
        </w:rPr>
        <w:t>Global Inflation Developments</w:t>
      </w:r>
      <w:bookmarkEnd w:id="10"/>
      <w:bookmarkEnd w:id="11"/>
      <w:r w:rsidR="007A3E1D" w:rsidRPr="00863A17">
        <w:rPr>
          <w:rFonts w:cs="Tahoma"/>
          <w:b/>
          <w:color w:val="000000"/>
          <w:szCs w:val="24"/>
          <w:lang w:val="en-US"/>
        </w:rPr>
        <w:t xml:space="preserve"> </w:t>
      </w:r>
    </w:p>
    <w:p w14:paraId="2F96E9F5" w14:textId="232D3130" w:rsidR="00A741D6" w:rsidRDefault="004F680D" w:rsidP="00B32FF3">
      <w:pPr>
        <w:ind w:left="720" w:hanging="720"/>
        <w:jc w:val="both"/>
        <w:rPr>
          <w:rFonts w:ascii="Tahoma" w:hAnsi="Tahoma" w:cs="Tahoma"/>
          <w:sz w:val="24"/>
          <w:szCs w:val="24"/>
          <w:lang w:val="en-US"/>
        </w:rPr>
      </w:pPr>
      <w:r w:rsidRPr="00863A17">
        <w:rPr>
          <w:rFonts w:ascii="Tahoma" w:hAnsi="Tahoma" w:cs="Tahoma"/>
          <w:sz w:val="24"/>
          <w:szCs w:val="24"/>
          <w:lang w:val="en-US"/>
        </w:rPr>
        <w:t>1.2.1</w:t>
      </w:r>
      <w:r w:rsidRPr="00863A17">
        <w:rPr>
          <w:rFonts w:ascii="Tahoma" w:hAnsi="Tahoma" w:cs="Tahoma"/>
          <w:sz w:val="24"/>
          <w:szCs w:val="24"/>
          <w:lang w:val="en-US"/>
        </w:rPr>
        <w:tab/>
      </w:r>
      <w:r w:rsidR="00BC7AAF">
        <w:rPr>
          <w:rFonts w:ascii="Tahoma" w:hAnsi="Tahoma" w:cs="Tahoma"/>
          <w:sz w:val="24"/>
          <w:szCs w:val="24"/>
          <w:lang w:val="en-US"/>
        </w:rPr>
        <w:t xml:space="preserve">Inflation is expected to decline </w:t>
      </w:r>
      <w:r w:rsidR="0043763F">
        <w:rPr>
          <w:rFonts w:ascii="Tahoma" w:hAnsi="Tahoma" w:cs="Tahoma"/>
          <w:sz w:val="24"/>
          <w:szCs w:val="24"/>
          <w:lang w:val="en-US"/>
        </w:rPr>
        <w:t xml:space="preserve">steadily on a sequential basis due to monetary tightening, price controls in many countries and lower fuel prices (IMF, </w:t>
      </w:r>
      <w:r w:rsidR="00AB70DE">
        <w:rPr>
          <w:rFonts w:ascii="Tahoma" w:hAnsi="Tahoma" w:cs="Tahoma"/>
          <w:sz w:val="24"/>
          <w:szCs w:val="24"/>
          <w:lang w:val="en-US"/>
        </w:rPr>
        <w:t xml:space="preserve">WEO </w:t>
      </w:r>
      <w:r w:rsidR="0043763F">
        <w:rPr>
          <w:rFonts w:ascii="Tahoma" w:hAnsi="Tahoma" w:cs="Tahoma"/>
          <w:sz w:val="24"/>
          <w:szCs w:val="24"/>
          <w:lang w:val="en-US"/>
        </w:rPr>
        <w:t>October 2024</w:t>
      </w:r>
      <w:r w:rsidR="00AB70DE">
        <w:rPr>
          <w:rFonts w:ascii="Tahoma" w:hAnsi="Tahoma" w:cs="Tahoma"/>
          <w:sz w:val="24"/>
          <w:szCs w:val="24"/>
          <w:lang w:val="en-US"/>
        </w:rPr>
        <w:t xml:space="preserve"> Update</w:t>
      </w:r>
      <w:r w:rsidR="0043763F">
        <w:rPr>
          <w:rFonts w:ascii="Tahoma" w:hAnsi="Tahoma" w:cs="Tahoma"/>
          <w:sz w:val="24"/>
          <w:szCs w:val="24"/>
          <w:lang w:val="en-US"/>
        </w:rPr>
        <w:t xml:space="preserve">). </w:t>
      </w:r>
      <w:r w:rsidR="00606D9C">
        <w:rPr>
          <w:rFonts w:ascii="Tahoma" w:hAnsi="Tahoma" w:cs="Tahoma"/>
          <w:sz w:val="24"/>
          <w:szCs w:val="24"/>
          <w:lang w:val="en-US"/>
        </w:rPr>
        <w:t>Headline inflation is projected to decrease further, from an average of 6.7% in 2023 to 5.8% in 2024 and 4.3% in 2025 in the baseline</w:t>
      </w:r>
      <w:r w:rsidR="00D20E30">
        <w:rPr>
          <w:rFonts w:ascii="Tahoma" w:hAnsi="Tahoma" w:cs="Tahoma"/>
          <w:sz w:val="24"/>
          <w:szCs w:val="24"/>
          <w:lang w:val="en-US"/>
        </w:rPr>
        <w:t xml:space="preserve"> </w:t>
      </w:r>
      <w:r w:rsidR="00D20E30">
        <w:rPr>
          <w:rFonts w:ascii="Tahoma" w:hAnsi="Tahoma" w:cs="Tahoma"/>
          <w:sz w:val="24"/>
          <w:szCs w:val="24"/>
          <w:lang w:val="en-US"/>
        </w:rPr>
        <w:lastRenderedPageBreak/>
        <w:t>(see Figure 1)</w:t>
      </w:r>
      <w:r w:rsidR="00606D9C">
        <w:rPr>
          <w:rFonts w:ascii="Tahoma" w:hAnsi="Tahoma" w:cs="Tahoma"/>
          <w:sz w:val="24"/>
          <w:szCs w:val="24"/>
          <w:lang w:val="en-US"/>
        </w:rPr>
        <w:t>. Disinflation is expected to be faster in developed economies due to monetary tightening.</w:t>
      </w:r>
    </w:p>
    <w:p w14:paraId="4B9A2B47" w14:textId="77777777" w:rsidR="00657D43" w:rsidRPr="00894694" w:rsidRDefault="00894694" w:rsidP="00894694">
      <w:pPr>
        <w:pStyle w:val="ListofFigures"/>
        <w:rPr>
          <w:lang w:val="en-US"/>
        </w:rPr>
      </w:pPr>
      <w:bookmarkStart w:id="12" w:name="_Toc181785686"/>
      <w:r w:rsidRPr="00894694">
        <w:rPr>
          <w:lang w:val="en-US"/>
        </w:rPr>
        <w:t>Figure 1: Global Inflation Prospects</w:t>
      </w:r>
      <w:bookmarkEnd w:id="12"/>
    </w:p>
    <w:p w14:paraId="747B235F" w14:textId="000C0626" w:rsidR="00894694" w:rsidRDefault="00664692" w:rsidP="00B32FF3">
      <w:pPr>
        <w:ind w:left="720" w:hanging="720"/>
        <w:jc w:val="both"/>
        <w:rPr>
          <w:rFonts w:ascii="Tahoma" w:hAnsi="Tahoma" w:cs="Tahoma"/>
          <w:sz w:val="24"/>
          <w:szCs w:val="24"/>
          <w:lang w:val="en-US"/>
        </w:rPr>
      </w:pPr>
      <w:r w:rsidRPr="0041351D">
        <w:rPr>
          <w:noProof/>
        </w:rPr>
        <w:drawing>
          <wp:inline distT="0" distB="0" distL="0" distR="0" wp14:anchorId="330FA20C" wp14:editId="3D93EEC1">
            <wp:extent cx="5732145" cy="2667000"/>
            <wp:effectExtent l="0" t="0" r="1905" b="0"/>
            <wp:docPr id="4"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5F62CE9" w14:textId="7817367C" w:rsidR="00664692" w:rsidRDefault="00664692" w:rsidP="00B32FF3">
      <w:pPr>
        <w:ind w:left="720" w:hanging="720"/>
        <w:jc w:val="both"/>
        <w:rPr>
          <w:rFonts w:ascii="Tahoma" w:hAnsi="Tahoma" w:cs="Tahoma"/>
          <w:sz w:val="24"/>
          <w:szCs w:val="24"/>
          <w:lang w:val="en-US"/>
        </w:rPr>
      </w:pPr>
      <w:r>
        <w:rPr>
          <w:rFonts w:ascii="Tahoma" w:hAnsi="Tahoma" w:cs="Tahoma"/>
          <w:sz w:val="24"/>
          <w:szCs w:val="24"/>
          <w:lang w:val="en-US"/>
        </w:rPr>
        <w:t xml:space="preserve">Source: </w:t>
      </w:r>
      <w:r w:rsidRPr="00664692">
        <w:rPr>
          <w:rFonts w:ascii="Tahoma" w:hAnsi="Tahoma" w:cs="Tahoma"/>
          <w:i/>
          <w:sz w:val="24"/>
          <w:szCs w:val="24"/>
          <w:lang w:val="en-US"/>
        </w:rPr>
        <w:t xml:space="preserve">IMF, WEO October 2024 </w:t>
      </w:r>
      <w:r>
        <w:rPr>
          <w:rFonts w:ascii="Tahoma" w:hAnsi="Tahoma" w:cs="Tahoma"/>
          <w:i/>
          <w:sz w:val="24"/>
          <w:szCs w:val="24"/>
          <w:lang w:val="en-US"/>
        </w:rPr>
        <w:t>U</w:t>
      </w:r>
      <w:r w:rsidRPr="00664692">
        <w:rPr>
          <w:rFonts w:ascii="Tahoma" w:hAnsi="Tahoma" w:cs="Tahoma"/>
          <w:i/>
          <w:sz w:val="24"/>
          <w:szCs w:val="24"/>
          <w:lang w:val="en-US"/>
        </w:rPr>
        <w:t>pdate</w:t>
      </w:r>
    </w:p>
    <w:p w14:paraId="7A40DC3A" w14:textId="77777777" w:rsidR="005B02E0" w:rsidRDefault="005B02E0" w:rsidP="00123F0C">
      <w:pPr>
        <w:pStyle w:val="ListofFigures"/>
        <w:spacing w:after="0"/>
      </w:pPr>
      <w:bookmarkStart w:id="13" w:name="_Toc166608987"/>
    </w:p>
    <w:p w14:paraId="254D8D04" w14:textId="77777777" w:rsidR="00BB6E27" w:rsidRPr="00546CD8" w:rsidRDefault="004F680D" w:rsidP="00B42926">
      <w:pPr>
        <w:pStyle w:val="Heading1"/>
        <w:spacing w:before="0" w:after="240"/>
        <w:rPr>
          <w:lang w:val="en-US"/>
        </w:rPr>
      </w:pPr>
      <w:bookmarkStart w:id="14" w:name="_Toc166607892"/>
      <w:bookmarkStart w:id="15" w:name="_Toc182566280"/>
      <w:bookmarkEnd w:id="13"/>
      <w:r w:rsidRPr="00546CD8">
        <w:rPr>
          <w:lang w:val="en-US"/>
        </w:rPr>
        <w:t>2.0</w:t>
      </w:r>
      <w:r w:rsidRPr="00546CD8">
        <w:rPr>
          <w:lang w:val="en-US"/>
        </w:rPr>
        <w:tab/>
      </w:r>
      <w:r w:rsidR="00EF37FE" w:rsidRPr="00546CD8">
        <w:rPr>
          <w:lang w:val="en-US"/>
        </w:rPr>
        <w:t>International Commodity Prices</w:t>
      </w:r>
      <w:bookmarkEnd w:id="14"/>
      <w:bookmarkEnd w:id="15"/>
      <w:r w:rsidR="00EF37FE" w:rsidRPr="00546CD8">
        <w:rPr>
          <w:lang w:val="en-US"/>
        </w:rPr>
        <w:t xml:space="preserve"> </w:t>
      </w:r>
    </w:p>
    <w:p w14:paraId="2B279451" w14:textId="73B05B70" w:rsidR="00E63C0D" w:rsidRPr="00863A17" w:rsidRDefault="004F680D" w:rsidP="0047159F">
      <w:pPr>
        <w:ind w:left="720" w:hanging="720"/>
        <w:jc w:val="both"/>
        <w:rPr>
          <w:rFonts w:ascii="Tahoma" w:hAnsi="Tahoma" w:cs="Tahoma"/>
          <w:sz w:val="24"/>
          <w:szCs w:val="24"/>
          <w:lang w:val="en-US"/>
        </w:rPr>
      </w:pPr>
      <w:r w:rsidRPr="00863A17">
        <w:rPr>
          <w:rFonts w:ascii="Tahoma" w:hAnsi="Tahoma" w:cs="Tahoma"/>
          <w:sz w:val="24"/>
          <w:szCs w:val="24"/>
          <w:lang w:val="en-US"/>
        </w:rPr>
        <w:t>2.1</w:t>
      </w:r>
      <w:r w:rsidRPr="00863A17">
        <w:rPr>
          <w:rFonts w:ascii="Tahoma" w:hAnsi="Tahoma" w:cs="Tahoma"/>
          <w:sz w:val="24"/>
          <w:szCs w:val="24"/>
          <w:lang w:val="en-US"/>
        </w:rPr>
        <w:tab/>
      </w:r>
      <w:r w:rsidR="00AB70DE">
        <w:rPr>
          <w:rFonts w:ascii="Tahoma" w:hAnsi="Tahoma" w:cs="Tahoma"/>
          <w:sz w:val="24"/>
          <w:szCs w:val="24"/>
          <w:lang w:val="en-US"/>
        </w:rPr>
        <w:t>During the month under review</w:t>
      </w:r>
      <w:r w:rsidR="008162BA">
        <w:rPr>
          <w:rFonts w:ascii="Tahoma" w:hAnsi="Tahoma" w:cs="Tahoma"/>
          <w:sz w:val="24"/>
          <w:szCs w:val="24"/>
          <w:lang w:val="en-US"/>
        </w:rPr>
        <w:t>, all selected commodity</w:t>
      </w:r>
      <w:r w:rsidR="00BA01CB">
        <w:rPr>
          <w:rFonts w:ascii="Tahoma" w:hAnsi="Tahoma" w:cs="Tahoma"/>
          <w:sz w:val="24"/>
          <w:szCs w:val="24"/>
          <w:lang w:val="en-US"/>
        </w:rPr>
        <w:t xml:space="preserve"> prices</w:t>
      </w:r>
      <w:r w:rsidR="008162BA">
        <w:rPr>
          <w:rFonts w:ascii="Tahoma" w:hAnsi="Tahoma" w:cs="Tahoma"/>
          <w:sz w:val="24"/>
          <w:szCs w:val="24"/>
          <w:lang w:val="en-US"/>
        </w:rPr>
        <w:t xml:space="preserve"> </w:t>
      </w:r>
      <w:r w:rsidR="00D2737C">
        <w:rPr>
          <w:rFonts w:ascii="Tahoma" w:hAnsi="Tahoma" w:cs="Tahoma"/>
          <w:sz w:val="24"/>
          <w:szCs w:val="24"/>
          <w:lang w:val="en-US"/>
        </w:rPr>
        <w:t>registered a downward trend</w:t>
      </w:r>
      <w:r w:rsidR="008162BA">
        <w:rPr>
          <w:rFonts w:ascii="Tahoma" w:hAnsi="Tahoma" w:cs="Tahoma"/>
          <w:sz w:val="24"/>
          <w:szCs w:val="24"/>
          <w:lang w:val="en-US"/>
        </w:rPr>
        <w:t xml:space="preserve">, except for gold which gained 3.54% </w:t>
      </w:r>
      <w:r w:rsidR="00BC4213">
        <w:rPr>
          <w:rFonts w:ascii="Tahoma" w:hAnsi="Tahoma" w:cs="Tahoma"/>
          <w:sz w:val="24"/>
          <w:szCs w:val="24"/>
          <w:lang w:val="en-US"/>
        </w:rPr>
        <w:t>(see Table 2).</w:t>
      </w:r>
      <w:r w:rsidR="00370049">
        <w:rPr>
          <w:rFonts w:ascii="Tahoma" w:hAnsi="Tahoma" w:cs="Tahoma"/>
          <w:sz w:val="24"/>
          <w:szCs w:val="24"/>
          <w:lang w:val="en-US"/>
        </w:rPr>
        <w:t xml:space="preserve"> </w:t>
      </w:r>
      <w:r w:rsidR="00C22794">
        <w:rPr>
          <w:rFonts w:ascii="Tahoma" w:hAnsi="Tahoma" w:cs="Tahoma"/>
          <w:sz w:val="24"/>
          <w:szCs w:val="24"/>
          <w:lang w:val="en-US"/>
        </w:rPr>
        <w:t xml:space="preserve">The prices </w:t>
      </w:r>
      <w:r w:rsidR="00D2737C">
        <w:rPr>
          <w:rFonts w:ascii="Tahoma" w:hAnsi="Tahoma" w:cs="Tahoma"/>
          <w:sz w:val="24"/>
          <w:szCs w:val="24"/>
          <w:lang w:val="en-US"/>
        </w:rPr>
        <w:t>declined</w:t>
      </w:r>
      <w:r w:rsidR="00D2737C">
        <w:rPr>
          <w:rFonts w:ascii="Tahoma" w:hAnsi="Tahoma" w:cs="Tahoma"/>
          <w:sz w:val="24"/>
          <w:szCs w:val="24"/>
          <w:lang w:val="en-US"/>
        </w:rPr>
        <w:t xml:space="preserve"> </w:t>
      </w:r>
      <w:r w:rsidR="00C22794">
        <w:rPr>
          <w:rFonts w:ascii="Tahoma" w:hAnsi="Tahoma" w:cs="Tahoma"/>
          <w:sz w:val="24"/>
          <w:szCs w:val="24"/>
          <w:lang w:val="en-US"/>
        </w:rPr>
        <w:t xml:space="preserve">due to </w:t>
      </w:r>
      <w:r w:rsidR="002E6211">
        <w:rPr>
          <w:rFonts w:ascii="Tahoma" w:hAnsi="Tahoma" w:cs="Tahoma"/>
          <w:sz w:val="24"/>
          <w:szCs w:val="24"/>
          <w:lang w:val="en-US"/>
        </w:rPr>
        <w:t xml:space="preserve">excess </w:t>
      </w:r>
      <w:r w:rsidR="00D2737C">
        <w:rPr>
          <w:rFonts w:ascii="Tahoma" w:hAnsi="Tahoma" w:cs="Tahoma"/>
          <w:sz w:val="24"/>
          <w:szCs w:val="24"/>
          <w:lang w:val="en-US"/>
        </w:rPr>
        <w:t>supply</w:t>
      </w:r>
      <w:r w:rsidR="00C22794">
        <w:rPr>
          <w:rFonts w:ascii="Tahoma" w:hAnsi="Tahoma" w:cs="Tahoma"/>
          <w:sz w:val="24"/>
          <w:szCs w:val="24"/>
          <w:lang w:val="en-US"/>
        </w:rPr>
        <w:t xml:space="preserve"> concerns and weak demand outlook</w:t>
      </w:r>
      <w:r w:rsidR="002E6211">
        <w:rPr>
          <w:rFonts w:ascii="Tahoma" w:hAnsi="Tahoma" w:cs="Tahoma"/>
          <w:sz w:val="24"/>
          <w:szCs w:val="24"/>
          <w:lang w:val="en-US"/>
        </w:rPr>
        <w:t xml:space="preserve"> for commodities</w:t>
      </w:r>
      <w:r w:rsidR="00C22794">
        <w:rPr>
          <w:rFonts w:ascii="Tahoma" w:hAnsi="Tahoma" w:cs="Tahoma"/>
          <w:sz w:val="24"/>
          <w:szCs w:val="24"/>
          <w:lang w:val="en-US"/>
        </w:rPr>
        <w:t>.</w:t>
      </w:r>
    </w:p>
    <w:p w14:paraId="2871B44E" w14:textId="4D509CDC" w:rsidR="00BC4213" w:rsidRPr="00E63C0D" w:rsidRDefault="004F680D" w:rsidP="00437A2F">
      <w:pPr>
        <w:ind w:left="720" w:hanging="720"/>
        <w:jc w:val="both"/>
        <w:rPr>
          <w:rFonts w:ascii="Tahoma" w:hAnsi="Tahoma" w:cs="Tahoma"/>
          <w:sz w:val="24"/>
          <w:szCs w:val="24"/>
          <w:lang w:val="en-US"/>
        </w:rPr>
      </w:pPr>
      <w:r w:rsidRPr="00863A17">
        <w:rPr>
          <w:rFonts w:ascii="Tahoma" w:hAnsi="Tahoma" w:cs="Tahoma"/>
          <w:sz w:val="24"/>
          <w:szCs w:val="24"/>
          <w:lang w:val="en-US"/>
        </w:rPr>
        <w:t>2.2</w:t>
      </w:r>
      <w:r w:rsidRPr="00863A17">
        <w:rPr>
          <w:rFonts w:ascii="Tahoma" w:hAnsi="Tahoma" w:cs="Tahoma"/>
          <w:sz w:val="24"/>
          <w:szCs w:val="24"/>
          <w:lang w:val="en-US"/>
        </w:rPr>
        <w:tab/>
      </w:r>
      <w:r w:rsidR="00E43FD7">
        <w:rPr>
          <w:rFonts w:ascii="Tahoma" w:hAnsi="Tahoma" w:cs="Tahoma"/>
          <w:sz w:val="24"/>
          <w:szCs w:val="24"/>
          <w:lang w:val="en-US"/>
        </w:rPr>
        <w:t xml:space="preserve">The price of gold also gained on a </w:t>
      </w:r>
      <w:r w:rsidR="006F6612">
        <w:rPr>
          <w:rFonts w:ascii="Tahoma" w:hAnsi="Tahoma" w:cs="Tahoma"/>
          <w:sz w:val="24"/>
          <w:szCs w:val="24"/>
          <w:lang w:val="en-US"/>
        </w:rPr>
        <w:t>year to date (</w:t>
      </w:r>
      <w:r w:rsidR="00E43FD7">
        <w:rPr>
          <w:rFonts w:ascii="Tahoma" w:hAnsi="Tahoma" w:cs="Tahoma"/>
          <w:sz w:val="24"/>
          <w:szCs w:val="24"/>
          <w:lang w:val="en-US"/>
        </w:rPr>
        <w:t>YtD</w:t>
      </w:r>
      <w:r w:rsidR="006F6612">
        <w:rPr>
          <w:rFonts w:ascii="Tahoma" w:hAnsi="Tahoma" w:cs="Tahoma"/>
          <w:sz w:val="24"/>
          <w:szCs w:val="24"/>
          <w:lang w:val="en-US"/>
        </w:rPr>
        <w:t>)</w:t>
      </w:r>
      <w:r w:rsidR="00E43FD7">
        <w:rPr>
          <w:rFonts w:ascii="Tahoma" w:hAnsi="Tahoma" w:cs="Tahoma"/>
          <w:sz w:val="24"/>
          <w:szCs w:val="24"/>
          <w:lang w:val="en-US"/>
        </w:rPr>
        <w:t xml:space="preserve"> and </w:t>
      </w:r>
      <w:r w:rsidR="006F6612">
        <w:rPr>
          <w:rFonts w:ascii="Tahoma" w:hAnsi="Tahoma" w:cs="Tahoma"/>
          <w:sz w:val="24"/>
          <w:szCs w:val="24"/>
          <w:lang w:val="en-US"/>
        </w:rPr>
        <w:t>year on year (</w:t>
      </w:r>
      <w:r w:rsidR="00E43FD7">
        <w:rPr>
          <w:rFonts w:ascii="Tahoma" w:hAnsi="Tahoma" w:cs="Tahoma"/>
          <w:sz w:val="24"/>
          <w:szCs w:val="24"/>
          <w:lang w:val="en-US"/>
        </w:rPr>
        <w:t>Y</w:t>
      </w:r>
      <w:r w:rsidR="006F6612">
        <w:rPr>
          <w:rFonts w:ascii="Tahoma" w:hAnsi="Tahoma" w:cs="Tahoma"/>
          <w:sz w:val="24"/>
          <w:szCs w:val="24"/>
          <w:lang w:val="en-US"/>
        </w:rPr>
        <w:t>o</w:t>
      </w:r>
      <w:r w:rsidR="00E43FD7">
        <w:rPr>
          <w:rFonts w:ascii="Tahoma" w:hAnsi="Tahoma" w:cs="Tahoma"/>
          <w:sz w:val="24"/>
          <w:szCs w:val="24"/>
          <w:lang w:val="en-US"/>
        </w:rPr>
        <w:t>Y</w:t>
      </w:r>
      <w:r w:rsidR="006F6612">
        <w:rPr>
          <w:rFonts w:ascii="Tahoma" w:hAnsi="Tahoma" w:cs="Tahoma"/>
          <w:sz w:val="24"/>
          <w:szCs w:val="24"/>
          <w:lang w:val="en-US"/>
        </w:rPr>
        <w:t>)</w:t>
      </w:r>
      <w:r w:rsidR="00E43FD7">
        <w:rPr>
          <w:rFonts w:ascii="Tahoma" w:hAnsi="Tahoma" w:cs="Tahoma"/>
          <w:sz w:val="24"/>
          <w:szCs w:val="24"/>
          <w:lang w:val="en-US"/>
        </w:rPr>
        <w:t xml:space="preserve"> basis by 34.83% and 37.87%</w:t>
      </w:r>
      <w:r w:rsidR="006F6612">
        <w:rPr>
          <w:rFonts w:ascii="Tahoma" w:hAnsi="Tahoma" w:cs="Tahoma"/>
          <w:sz w:val="24"/>
          <w:szCs w:val="24"/>
          <w:lang w:val="en-US"/>
        </w:rPr>
        <w:t>,</w:t>
      </w:r>
      <w:r w:rsidR="00E43FD7">
        <w:rPr>
          <w:rFonts w:ascii="Tahoma" w:hAnsi="Tahoma" w:cs="Tahoma"/>
          <w:sz w:val="24"/>
          <w:szCs w:val="24"/>
          <w:lang w:val="en-US"/>
        </w:rPr>
        <w:t xml:space="preserve"> respectively.</w:t>
      </w:r>
      <w:r w:rsidR="00F5751C">
        <w:rPr>
          <w:rFonts w:ascii="Tahoma" w:hAnsi="Tahoma" w:cs="Tahoma"/>
          <w:sz w:val="24"/>
          <w:szCs w:val="24"/>
          <w:lang w:val="en-US"/>
        </w:rPr>
        <w:t xml:space="preserve"> </w:t>
      </w:r>
      <w:r w:rsidR="00AB665D" w:rsidRPr="000C29DA">
        <w:rPr>
          <w:rFonts w:ascii="Tahoma" w:hAnsi="Tahoma" w:cs="Tahoma"/>
          <w:sz w:val="24"/>
          <w:szCs w:val="24"/>
          <w:lang w:val="en-US"/>
        </w:rPr>
        <w:t xml:space="preserve"> </w:t>
      </w:r>
      <w:r w:rsidR="00F5751C">
        <w:rPr>
          <w:rFonts w:ascii="Tahoma" w:hAnsi="Tahoma" w:cs="Tahoma"/>
          <w:sz w:val="24"/>
          <w:szCs w:val="24"/>
          <w:lang w:val="en-US"/>
        </w:rPr>
        <w:t xml:space="preserve">Aluminum and copper prices </w:t>
      </w:r>
      <w:proofErr w:type="gramStart"/>
      <w:r w:rsidR="00F5751C">
        <w:rPr>
          <w:rFonts w:ascii="Tahoma" w:hAnsi="Tahoma" w:cs="Tahoma"/>
          <w:sz w:val="24"/>
          <w:szCs w:val="24"/>
          <w:lang w:val="en-US"/>
        </w:rPr>
        <w:t>firmed</w:t>
      </w:r>
      <w:proofErr w:type="gramEnd"/>
      <w:r w:rsidR="00F5751C">
        <w:rPr>
          <w:rFonts w:ascii="Tahoma" w:hAnsi="Tahoma" w:cs="Tahoma"/>
          <w:sz w:val="24"/>
          <w:szCs w:val="24"/>
          <w:lang w:val="en-US"/>
        </w:rPr>
        <w:t xml:space="preserve"> on a </w:t>
      </w:r>
      <w:r w:rsidR="00AB665D" w:rsidRPr="000C29DA">
        <w:rPr>
          <w:rFonts w:ascii="Tahoma" w:hAnsi="Tahoma" w:cs="Tahoma"/>
          <w:sz w:val="24"/>
          <w:szCs w:val="24"/>
          <w:lang w:val="en-US"/>
        </w:rPr>
        <w:t>YtD</w:t>
      </w:r>
      <w:r w:rsidR="00F5751C">
        <w:rPr>
          <w:rFonts w:ascii="Tahoma" w:hAnsi="Tahoma" w:cs="Tahoma"/>
          <w:sz w:val="24"/>
          <w:szCs w:val="24"/>
          <w:lang w:val="en-US"/>
        </w:rPr>
        <w:t xml:space="preserve"> and YoY</w:t>
      </w:r>
      <w:r w:rsidR="00E63C0D">
        <w:rPr>
          <w:rFonts w:ascii="Tahoma" w:hAnsi="Tahoma" w:cs="Tahoma"/>
          <w:sz w:val="24"/>
          <w:szCs w:val="24"/>
          <w:lang w:val="en-US"/>
        </w:rPr>
        <w:t xml:space="preserve"> basis, </w:t>
      </w:r>
      <w:r w:rsidR="00E563ED">
        <w:rPr>
          <w:rFonts w:ascii="Tahoma" w:hAnsi="Tahoma" w:cs="Tahoma"/>
          <w:sz w:val="24"/>
          <w:szCs w:val="24"/>
          <w:lang w:val="en-US"/>
        </w:rPr>
        <w:t xml:space="preserve">while natural gas price gained only on a YtD basis. </w:t>
      </w:r>
    </w:p>
    <w:p w14:paraId="63F4D1CA" w14:textId="289E7153" w:rsidR="00D2737C" w:rsidRDefault="004F680D" w:rsidP="004F680D">
      <w:pPr>
        <w:ind w:left="720" w:hanging="720"/>
        <w:jc w:val="both"/>
        <w:rPr>
          <w:rFonts w:ascii="Tahoma" w:hAnsi="Tahoma" w:cs="Tahoma"/>
          <w:sz w:val="24"/>
          <w:szCs w:val="24"/>
          <w:lang w:val="en-US"/>
        </w:rPr>
      </w:pPr>
      <w:r w:rsidRPr="00863A17">
        <w:rPr>
          <w:rFonts w:ascii="Tahoma" w:hAnsi="Tahoma" w:cs="Tahoma"/>
          <w:sz w:val="24"/>
          <w:szCs w:val="24"/>
          <w:lang w:val="en-US"/>
        </w:rPr>
        <w:t>2.3</w:t>
      </w:r>
      <w:r w:rsidRPr="00863A17">
        <w:rPr>
          <w:rFonts w:ascii="Tahoma" w:hAnsi="Tahoma" w:cs="Tahoma"/>
          <w:sz w:val="24"/>
          <w:szCs w:val="24"/>
          <w:lang w:val="en-US"/>
        </w:rPr>
        <w:tab/>
      </w:r>
      <w:bookmarkStart w:id="16" w:name="_Hlk181774988"/>
      <w:r w:rsidR="008E4FF1">
        <w:rPr>
          <w:rFonts w:ascii="Tahoma" w:hAnsi="Tahoma" w:cs="Tahoma"/>
          <w:sz w:val="24"/>
          <w:szCs w:val="24"/>
          <w:lang w:val="en-US"/>
        </w:rPr>
        <w:t xml:space="preserve">According to the World Bank (2024), commodity prices are expected to decrease and would lead aggregate prices to their lowest levels </w:t>
      </w:r>
      <w:proofErr w:type="gramStart"/>
      <w:r w:rsidR="008E4FF1">
        <w:rPr>
          <w:rFonts w:ascii="Tahoma" w:hAnsi="Tahoma" w:cs="Tahoma"/>
          <w:sz w:val="24"/>
          <w:szCs w:val="24"/>
          <w:lang w:val="en-US"/>
        </w:rPr>
        <w:t>since</w:t>
      </w:r>
      <w:proofErr w:type="gramEnd"/>
      <w:r w:rsidR="008E4FF1">
        <w:rPr>
          <w:rFonts w:ascii="Tahoma" w:hAnsi="Tahoma" w:cs="Tahoma"/>
          <w:sz w:val="24"/>
          <w:szCs w:val="24"/>
          <w:lang w:val="en-US"/>
        </w:rPr>
        <w:t xml:space="preserve"> 2020.</w:t>
      </w:r>
      <w:r w:rsidR="00505299">
        <w:rPr>
          <w:rFonts w:ascii="Tahoma" w:hAnsi="Tahoma" w:cs="Tahoma"/>
          <w:sz w:val="24"/>
          <w:szCs w:val="24"/>
          <w:lang w:val="en-US"/>
        </w:rPr>
        <w:t xml:space="preserve"> </w:t>
      </w:r>
      <w:r w:rsidR="006F6612">
        <w:rPr>
          <w:rFonts w:ascii="Tahoma" w:hAnsi="Tahoma" w:cs="Tahoma"/>
          <w:sz w:val="24"/>
          <w:szCs w:val="24"/>
          <w:lang w:val="en-US"/>
        </w:rPr>
        <w:t>In its WEO October 2024 Update, the IMF</w:t>
      </w:r>
      <w:r w:rsidR="004602CD">
        <w:rPr>
          <w:rFonts w:ascii="Tahoma" w:hAnsi="Tahoma" w:cs="Tahoma"/>
          <w:sz w:val="24"/>
          <w:szCs w:val="24"/>
          <w:lang w:val="en-US"/>
        </w:rPr>
        <w:t xml:space="preserve"> stated that prices for fuel commodities are expected to fall, owing to decline in price of natural gas and food prices are expected to decline</w:t>
      </w:r>
      <w:bookmarkEnd w:id="16"/>
      <w:r w:rsidR="004602CD">
        <w:rPr>
          <w:rFonts w:ascii="Tahoma" w:hAnsi="Tahoma" w:cs="Tahoma"/>
          <w:sz w:val="24"/>
          <w:szCs w:val="24"/>
          <w:lang w:val="en-US"/>
        </w:rPr>
        <w:t>.</w:t>
      </w:r>
      <w:r w:rsidR="00A30D6D">
        <w:rPr>
          <w:rFonts w:ascii="Tahoma" w:hAnsi="Tahoma" w:cs="Tahoma"/>
          <w:sz w:val="24"/>
          <w:szCs w:val="24"/>
          <w:lang w:val="en-US"/>
        </w:rPr>
        <w:t xml:space="preserve"> </w:t>
      </w:r>
    </w:p>
    <w:p w14:paraId="2D1ED5C0" w14:textId="3D62619F" w:rsidR="000732CC" w:rsidRPr="00D811C9" w:rsidRDefault="00D2737C" w:rsidP="004F680D">
      <w:pPr>
        <w:ind w:left="720" w:hanging="720"/>
        <w:jc w:val="both"/>
        <w:rPr>
          <w:rFonts w:ascii="Tahoma" w:hAnsi="Tahoma" w:cs="Tahoma"/>
          <w:sz w:val="24"/>
          <w:szCs w:val="24"/>
          <w:lang w:val="en-US"/>
        </w:rPr>
      </w:pPr>
      <w:r>
        <w:rPr>
          <w:rFonts w:ascii="Tahoma" w:hAnsi="Tahoma" w:cs="Tahoma"/>
          <w:sz w:val="24"/>
          <w:szCs w:val="24"/>
          <w:lang w:val="en-US"/>
        </w:rPr>
        <w:t>2.4</w:t>
      </w:r>
      <w:r>
        <w:rPr>
          <w:rFonts w:ascii="Tahoma" w:hAnsi="Tahoma" w:cs="Tahoma"/>
          <w:sz w:val="24"/>
          <w:szCs w:val="24"/>
          <w:lang w:val="en-US"/>
        </w:rPr>
        <w:tab/>
      </w:r>
      <w:r w:rsidR="00A30D6D">
        <w:rPr>
          <w:rFonts w:ascii="Tahoma" w:hAnsi="Tahoma" w:cs="Tahoma"/>
          <w:sz w:val="24"/>
          <w:szCs w:val="24"/>
          <w:lang w:val="en-US"/>
        </w:rPr>
        <w:t xml:space="preserve">The price trend displayed in Table 2 </w:t>
      </w:r>
      <w:r w:rsidR="006F6612">
        <w:rPr>
          <w:rFonts w:ascii="Tahoma" w:hAnsi="Tahoma" w:cs="Tahoma"/>
          <w:sz w:val="24"/>
          <w:szCs w:val="24"/>
          <w:lang w:val="en-US"/>
        </w:rPr>
        <w:t>is</w:t>
      </w:r>
      <w:r w:rsidR="00A30D6D">
        <w:rPr>
          <w:rFonts w:ascii="Tahoma" w:hAnsi="Tahoma" w:cs="Tahoma"/>
          <w:sz w:val="24"/>
          <w:szCs w:val="24"/>
          <w:lang w:val="en-US"/>
        </w:rPr>
        <w:t xml:space="preserve"> discouraging for Zimbabwe (</w:t>
      </w:r>
      <w:r w:rsidR="008E06E7">
        <w:rPr>
          <w:rFonts w:ascii="Tahoma" w:hAnsi="Tahoma" w:cs="Tahoma"/>
          <w:sz w:val="24"/>
          <w:szCs w:val="24"/>
          <w:lang w:val="en-US"/>
        </w:rPr>
        <w:t>mining</w:t>
      </w:r>
      <w:r w:rsidR="00A30D6D">
        <w:rPr>
          <w:rFonts w:ascii="Tahoma" w:hAnsi="Tahoma" w:cs="Tahoma"/>
          <w:sz w:val="24"/>
          <w:szCs w:val="24"/>
          <w:lang w:val="en-US"/>
        </w:rPr>
        <w:t xml:space="preserve"> and </w:t>
      </w:r>
      <w:r w:rsidR="00CC16ED">
        <w:rPr>
          <w:rFonts w:ascii="Tahoma" w:hAnsi="Tahoma" w:cs="Tahoma"/>
          <w:sz w:val="24"/>
          <w:szCs w:val="24"/>
          <w:lang w:val="en-US"/>
        </w:rPr>
        <w:t>a</w:t>
      </w:r>
      <w:r w:rsidR="00A30D6D">
        <w:rPr>
          <w:rFonts w:ascii="Tahoma" w:hAnsi="Tahoma" w:cs="Tahoma"/>
          <w:sz w:val="24"/>
          <w:szCs w:val="24"/>
          <w:lang w:val="en-US"/>
        </w:rPr>
        <w:t>gr</w:t>
      </w:r>
      <w:r w:rsidR="00050765">
        <w:rPr>
          <w:rFonts w:ascii="Tahoma" w:hAnsi="Tahoma" w:cs="Tahoma"/>
          <w:sz w:val="24"/>
          <w:szCs w:val="24"/>
          <w:lang w:val="en-US"/>
        </w:rPr>
        <w:t>iculture</w:t>
      </w:r>
      <w:r w:rsidR="008E06E7">
        <w:rPr>
          <w:rFonts w:ascii="Tahoma" w:hAnsi="Tahoma" w:cs="Tahoma"/>
          <w:sz w:val="24"/>
          <w:szCs w:val="24"/>
          <w:lang w:val="en-US"/>
        </w:rPr>
        <w:t xml:space="preserve"> sectors</w:t>
      </w:r>
      <w:r w:rsidR="00A30D6D">
        <w:rPr>
          <w:rFonts w:ascii="Tahoma" w:hAnsi="Tahoma" w:cs="Tahoma"/>
          <w:sz w:val="24"/>
          <w:szCs w:val="24"/>
          <w:lang w:val="en-US"/>
        </w:rPr>
        <w:t>) except for gold.</w:t>
      </w:r>
      <w:r w:rsidR="006F6612">
        <w:rPr>
          <w:rFonts w:ascii="Tahoma" w:hAnsi="Tahoma" w:cs="Tahoma"/>
          <w:sz w:val="24"/>
          <w:szCs w:val="24"/>
          <w:lang w:val="en-US"/>
        </w:rPr>
        <w:t xml:space="preserve"> On the other hand, the price trend for crude oil (brent) if maintained, indicates that Zimbabwe is likely to experience reduction in fuel prices going forward. </w:t>
      </w:r>
    </w:p>
    <w:p w14:paraId="12FAF02F" w14:textId="77777777" w:rsidR="00EF37FE" w:rsidRPr="00AB0841" w:rsidRDefault="009F5CE5" w:rsidP="00E63964">
      <w:pPr>
        <w:pStyle w:val="ListofTables"/>
        <w:rPr>
          <w:lang w:val="en-US"/>
        </w:rPr>
      </w:pPr>
      <w:bookmarkStart w:id="17" w:name="_Toc164072363"/>
      <w:bookmarkStart w:id="18" w:name="_Toc166658890"/>
      <w:bookmarkStart w:id="19" w:name="_Toc181785780"/>
      <w:r w:rsidRPr="00863A17">
        <w:lastRenderedPageBreak/>
        <w:t xml:space="preserve">Table </w:t>
      </w:r>
      <w:r w:rsidRPr="00863A17">
        <w:fldChar w:fldCharType="begin"/>
      </w:r>
      <w:r w:rsidRPr="00863A17">
        <w:instrText xml:space="preserve"> SEQ Table \* ARABIC </w:instrText>
      </w:r>
      <w:r w:rsidRPr="00863A17">
        <w:fldChar w:fldCharType="separate"/>
      </w:r>
      <w:r w:rsidR="00D30418">
        <w:rPr>
          <w:noProof/>
        </w:rPr>
        <w:t>2</w:t>
      </w:r>
      <w:r w:rsidRPr="00863A17">
        <w:fldChar w:fldCharType="end"/>
      </w:r>
      <w:r w:rsidRPr="00863A17">
        <w:t>:</w:t>
      </w:r>
      <w:r w:rsidRPr="00863A17">
        <w:rPr>
          <w:lang w:val="en-US"/>
        </w:rPr>
        <w:t xml:space="preserve"> Commodity Price Movements – </w:t>
      </w:r>
      <w:r w:rsidR="00761C54" w:rsidRPr="00863A17">
        <w:rPr>
          <w:lang w:val="en-US"/>
        </w:rPr>
        <w:t>Month</w:t>
      </w:r>
      <w:r w:rsidRPr="00863A17">
        <w:rPr>
          <w:lang w:val="en-US"/>
        </w:rPr>
        <w:t xml:space="preserve"> Ending </w:t>
      </w:r>
      <w:r w:rsidR="009F795E">
        <w:rPr>
          <w:lang w:val="en-US"/>
        </w:rPr>
        <w:t>3</w:t>
      </w:r>
      <w:r w:rsidR="004E7861">
        <w:rPr>
          <w:lang w:val="en-US"/>
        </w:rPr>
        <w:t>1</w:t>
      </w:r>
      <w:r w:rsidRPr="00863A17">
        <w:rPr>
          <w:lang w:val="en-US"/>
        </w:rPr>
        <w:t xml:space="preserve"> </w:t>
      </w:r>
      <w:r w:rsidR="004E7861">
        <w:rPr>
          <w:lang w:val="en-US"/>
        </w:rPr>
        <w:t>October</w:t>
      </w:r>
      <w:r w:rsidRPr="00863A17">
        <w:rPr>
          <w:lang w:val="en-US"/>
        </w:rPr>
        <w:t xml:space="preserve"> 202</w:t>
      </w:r>
      <w:r w:rsidR="007A3D03" w:rsidRPr="00863A17">
        <w:rPr>
          <w:lang w:val="en-US"/>
        </w:rPr>
        <w:t>4</w:t>
      </w:r>
      <w:bookmarkEnd w:id="17"/>
      <w:bookmarkEnd w:id="18"/>
      <w:bookmarkEnd w:id="19"/>
    </w:p>
    <w:p w14:paraId="3FDCEEDA" w14:textId="2DFF5C2E" w:rsidR="009D4508" w:rsidRPr="00AB0841" w:rsidRDefault="00664692" w:rsidP="0076325F">
      <w:pPr>
        <w:spacing w:after="0"/>
        <w:rPr>
          <w:rFonts w:ascii="Tahoma" w:hAnsi="Tahoma" w:cs="Tahoma"/>
          <w:noProof/>
          <w:sz w:val="24"/>
          <w:szCs w:val="24"/>
          <w:lang w:eastAsia="en-ZW"/>
        </w:rPr>
      </w:pPr>
      <w:r w:rsidRPr="004E7861">
        <w:rPr>
          <w:noProof/>
        </w:rPr>
        <w:drawing>
          <wp:inline distT="0" distB="0" distL="0" distR="0" wp14:anchorId="79C87089" wp14:editId="287BBC9B">
            <wp:extent cx="5734050" cy="19621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1962150"/>
                    </a:xfrm>
                    <a:prstGeom prst="rect">
                      <a:avLst/>
                    </a:prstGeom>
                    <a:noFill/>
                    <a:ln>
                      <a:noFill/>
                    </a:ln>
                  </pic:spPr>
                </pic:pic>
              </a:graphicData>
            </a:graphic>
          </wp:inline>
        </w:drawing>
      </w:r>
    </w:p>
    <w:p w14:paraId="19C3E861" w14:textId="77777777" w:rsidR="00EF37FE" w:rsidRPr="00863A17" w:rsidRDefault="00EF37FE" w:rsidP="00F05BD5">
      <w:pPr>
        <w:spacing w:line="480" w:lineRule="auto"/>
        <w:rPr>
          <w:rFonts w:ascii="Tahoma" w:hAnsi="Tahoma" w:cs="Tahoma"/>
          <w:i/>
          <w:sz w:val="24"/>
          <w:szCs w:val="24"/>
          <w:lang w:val="en-US"/>
        </w:rPr>
      </w:pPr>
      <w:r w:rsidRPr="00863A17">
        <w:rPr>
          <w:rFonts w:ascii="Tahoma" w:hAnsi="Tahoma" w:cs="Tahoma"/>
          <w:i/>
          <w:sz w:val="24"/>
          <w:szCs w:val="24"/>
          <w:lang w:val="en-US"/>
        </w:rPr>
        <w:t xml:space="preserve">Source: </w:t>
      </w:r>
      <w:r w:rsidR="006B3019" w:rsidRPr="00863A17">
        <w:rPr>
          <w:rFonts w:ascii="Tahoma" w:hAnsi="Tahoma" w:cs="Tahoma"/>
          <w:i/>
          <w:sz w:val="24"/>
          <w:szCs w:val="24"/>
          <w:lang w:val="en-US"/>
        </w:rPr>
        <w:t>Trading Economics (202</w:t>
      </w:r>
      <w:r w:rsidR="00431F13" w:rsidRPr="00863A17">
        <w:rPr>
          <w:rFonts w:ascii="Tahoma" w:hAnsi="Tahoma" w:cs="Tahoma"/>
          <w:i/>
          <w:sz w:val="24"/>
          <w:szCs w:val="24"/>
          <w:lang w:val="en-US"/>
        </w:rPr>
        <w:t>4</w:t>
      </w:r>
      <w:r w:rsidR="006B3019" w:rsidRPr="00863A17">
        <w:rPr>
          <w:rFonts w:ascii="Tahoma" w:hAnsi="Tahoma" w:cs="Tahoma"/>
          <w:i/>
          <w:sz w:val="24"/>
          <w:szCs w:val="24"/>
          <w:lang w:val="en-US"/>
        </w:rPr>
        <w:t>)</w:t>
      </w:r>
    </w:p>
    <w:p w14:paraId="0BB69A26" w14:textId="77777777" w:rsidR="00EF37FE" w:rsidRPr="00863A17" w:rsidRDefault="004F680D" w:rsidP="00F05BD5">
      <w:pPr>
        <w:pStyle w:val="Heading1"/>
        <w:spacing w:before="0" w:after="240"/>
        <w:rPr>
          <w:lang w:val="en-US"/>
        </w:rPr>
      </w:pPr>
      <w:bookmarkStart w:id="20" w:name="_Toc166607893"/>
      <w:bookmarkStart w:id="21" w:name="_Toc182566281"/>
      <w:r w:rsidRPr="00863A17">
        <w:rPr>
          <w:lang w:val="en-US"/>
        </w:rPr>
        <w:t>3.0</w:t>
      </w:r>
      <w:r w:rsidRPr="00863A17">
        <w:rPr>
          <w:lang w:val="en-US"/>
        </w:rPr>
        <w:tab/>
      </w:r>
      <w:r w:rsidR="00476766" w:rsidRPr="00863A17">
        <w:rPr>
          <w:lang w:val="en-US"/>
        </w:rPr>
        <w:t>Zimbabwe GDP Growth Update</w:t>
      </w:r>
      <w:bookmarkEnd w:id="20"/>
      <w:bookmarkEnd w:id="21"/>
      <w:r w:rsidR="00476766" w:rsidRPr="00863A17">
        <w:rPr>
          <w:lang w:val="en-US"/>
        </w:rPr>
        <w:t xml:space="preserve"> </w:t>
      </w:r>
      <w:r w:rsidR="00EF37FE" w:rsidRPr="00863A17">
        <w:rPr>
          <w:lang w:val="en-US"/>
        </w:rPr>
        <w:t xml:space="preserve"> </w:t>
      </w:r>
    </w:p>
    <w:p w14:paraId="77444D29" w14:textId="77777777" w:rsidR="0076325F" w:rsidRPr="008C5898" w:rsidRDefault="004F680D" w:rsidP="0064734D">
      <w:pPr>
        <w:ind w:left="720" w:hanging="720"/>
        <w:jc w:val="both"/>
        <w:rPr>
          <w:rFonts w:ascii="Tahoma" w:hAnsi="Tahoma" w:cs="Tahoma"/>
          <w:sz w:val="24"/>
          <w:szCs w:val="24"/>
          <w:lang w:val="en-US"/>
        </w:rPr>
      </w:pPr>
      <w:r w:rsidRPr="00863A17">
        <w:rPr>
          <w:rFonts w:ascii="Tahoma" w:hAnsi="Tahoma" w:cs="Tahoma"/>
          <w:sz w:val="24"/>
          <w:szCs w:val="24"/>
          <w:lang w:val="en-US"/>
        </w:rPr>
        <w:t>3.1</w:t>
      </w:r>
      <w:r w:rsidRPr="00863A17">
        <w:rPr>
          <w:rFonts w:ascii="Tahoma" w:hAnsi="Tahoma" w:cs="Tahoma"/>
          <w:sz w:val="24"/>
          <w:szCs w:val="24"/>
          <w:lang w:val="en-US"/>
        </w:rPr>
        <w:tab/>
      </w:r>
      <w:bookmarkStart w:id="22" w:name="_Hlk181775021"/>
      <w:r w:rsidR="00BD09BA">
        <w:rPr>
          <w:rFonts w:ascii="Tahoma" w:hAnsi="Tahoma" w:cs="Tahoma"/>
          <w:sz w:val="24"/>
          <w:szCs w:val="24"/>
          <w:lang w:val="en-US"/>
        </w:rPr>
        <w:t>Z</w:t>
      </w:r>
      <w:r w:rsidR="002D0E61">
        <w:rPr>
          <w:rFonts w:ascii="Tahoma" w:hAnsi="Tahoma" w:cs="Tahoma"/>
          <w:sz w:val="24"/>
          <w:szCs w:val="24"/>
          <w:lang w:val="en-US"/>
        </w:rPr>
        <w:t xml:space="preserve">imbabwe </w:t>
      </w:r>
      <w:r w:rsidR="00BD09BA">
        <w:rPr>
          <w:rFonts w:ascii="Tahoma" w:hAnsi="Tahoma" w:cs="Tahoma"/>
          <w:sz w:val="24"/>
          <w:szCs w:val="24"/>
          <w:lang w:val="en-US"/>
        </w:rPr>
        <w:t>GDP</w:t>
      </w:r>
      <w:r w:rsidR="002D0E61">
        <w:rPr>
          <w:rFonts w:ascii="Tahoma" w:hAnsi="Tahoma" w:cs="Tahoma"/>
          <w:sz w:val="24"/>
          <w:szCs w:val="24"/>
          <w:lang w:val="en-US"/>
        </w:rPr>
        <w:t xml:space="preserve"> growth </w:t>
      </w:r>
      <w:r w:rsidR="0064734D">
        <w:rPr>
          <w:rFonts w:ascii="Tahoma" w:hAnsi="Tahoma" w:cs="Tahoma"/>
          <w:sz w:val="24"/>
          <w:szCs w:val="24"/>
          <w:lang w:val="en-US"/>
        </w:rPr>
        <w:t xml:space="preserve">remain projected </w:t>
      </w:r>
      <w:r w:rsidR="002D0E61">
        <w:rPr>
          <w:rFonts w:ascii="Tahoma" w:hAnsi="Tahoma" w:cs="Tahoma"/>
          <w:sz w:val="24"/>
          <w:szCs w:val="24"/>
          <w:lang w:val="en-US"/>
        </w:rPr>
        <w:t xml:space="preserve">at 2% in </w:t>
      </w:r>
      <w:r w:rsidR="00BD09BA">
        <w:rPr>
          <w:rFonts w:ascii="Tahoma" w:hAnsi="Tahoma" w:cs="Tahoma"/>
          <w:sz w:val="24"/>
          <w:szCs w:val="24"/>
          <w:lang w:val="en-US"/>
        </w:rPr>
        <w:t xml:space="preserve">2024 </w:t>
      </w:r>
      <w:r w:rsidR="00261A5B">
        <w:rPr>
          <w:rFonts w:ascii="Tahoma" w:hAnsi="Tahoma" w:cs="Tahoma"/>
          <w:sz w:val="24"/>
          <w:szCs w:val="24"/>
          <w:lang w:val="en-US"/>
        </w:rPr>
        <w:t>amidst</w:t>
      </w:r>
      <w:r w:rsidR="0064734D">
        <w:rPr>
          <w:rFonts w:ascii="Tahoma" w:hAnsi="Tahoma" w:cs="Tahoma"/>
          <w:sz w:val="24"/>
          <w:szCs w:val="24"/>
          <w:lang w:val="en-US"/>
        </w:rPr>
        <w:t xml:space="preserve"> </w:t>
      </w:r>
      <w:r w:rsidR="00BD09BA">
        <w:rPr>
          <w:rFonts w:ascii="Tahoma" w:hAnsi="Tahoma" w:cs="Tahoma"/>
          <w:sz w:val="24"/>
          <w:szCs w:val="24"/>
          <w:lang w:val="en-US"/>
        </w:rPr>
        <w:t>El-Nino induced drought</w:t>
      </w:r>
      <w:bookmarkStart w:id="23" w:name="_Hlk166603728"/>
      <w:r w:rsidR="00261A5B">
        <w:rPr>
          <w:rFonts w:ascii="Tahoma" w:hAnsi="Tahoma" w:cs="Tahoma"/>
          <w:sz w:val="24"/>
          <w:szCs w:val="24"/>
          <w:lang w:val="en-US"/>
        </w:rPr>
        <w:t xml:space="preserve"> effects</w:t>
      </w:r>
      <w:bookmarkEnd w:id="22"/>
      <w:r w:rsidR="0064734D">
        <w:rPr>
          <w:rFonts w:ascii="Tahoma" w:hAnsi="Tahoma" w:cs="Tahoma"/>
          <w:sz w:val="24"/>
          <w:szCs w:val="24"/>
          <w:lang w:val="en-US"/>
        </w:rPr>
        <w:t xml:space="preserve"> which negatively affected the economy especially the agriculture and energy sector (Hydro-power station)</w:t>
      </w:r>
      <w:r w:rsidR="004416F2">
        <w:rPr>
          <w:rFonts w:ascii="Tahoma" w:hAnsi="Tahoma" w:cs="Tahoma"/>
          <w:sz w:val="24"/>
          <w:szCs w:val="24"/>
          <w:lang w:val="en-US"/>
        </w:rPr>
        <w:t xml:space="preserve"> subsequently impacting the industry sector.</w:t>
      </w:r>
    </w:p>
    <w:p w14:paraId="1251284A" w14:textId="77777777" w:rsidR="00EF37FE" w:rsidRPr="00086539" w:rsidRDefault="00B1678A" w:rsidP="009F5CE5">
      <w:pPr>
        <w:pStyle w:val="Heading1"/>
        <w:spacing w:before="0" w:after="240" w:line="240" w:lineRule="auto"/>
        <w:rPr>
          <w:rFonts w:cs="Tahoma"/>
          <w:bCs/>
          <w:color w:val="000000"/>
          <w:szCs w:val="24"/>
          <w:lang w:val="en-US"/>
        </w:rPr>
      </w:pPr>
      <w:bookmarkStart w:id="24" w:name="_Toc166607894"/>
      <w:bookmarkStart w:id="25" w:name="_Toc182566282"/>
      <w:bookmarkEnd w:id="23"/>
      <w:r w:rsidRPr="00086539">
        <w:rPr>
          <w:rFonts w:cs="Tahoma"/>
          <w:bCs/>
          <w:color w:val="000000"/>
          <w:szCs w:val="24"/>
          <w:lang w:val="en-US"/>
        </w:rPr>
        <w:t>4.0</w:t>
      </w:r>
      <w:r w:rsidRPr="00086539">
        <w:rPr>
          <w:rFonts w:cs="Tahoma"/>
          <w:bCs/>
          <w:color w:val="000000"/>
          <w:szCs w:val="24"/>
          <w:lang w:val="en-US"/>
        </w:rPr>
        <w:tab/>
      </w:r>
      <w:r w:rsidR="00EF37FE" w:rsidRPr="00086539">
        <w:rPr>
          <w:rFonts w:cs="Tahoma"/>
          <w:bCs/>
          <w:color w:val="000000"/>
          <w:szCs w:val="24"/>
          <w:lang w:val="en-US"/>
        </w:rPr>
        <w:t>Merchandise Trade Developments</w:t>
      </w:r>
      <w:bookmarkEnd w:id="24"/>
      <w:bookmarkEnd w:id="25"/>
      <w:r w:rsidR="00EF37FE" w:rsidRPr="00086539">
        <w:rPr>
          <w:rFonts w:cs="Tahoma"/>
          <w:bCs/>
          <w:color w:val="000000"/>
          <w:szCs w:val="24"/>
          <w:lang w:val="en-US"/>
        </w:rPr>
        <w:t xml:space="preserve"> </w:t>
      </w:r>
    </w:p>
    <w:p w14:paraId="4E83653D" w14:textId="77777777" w:rsidR="00D75883" w:rsidRDefault="00B1678A" w:rsidP="00C262AF">
      <w:pPr>
        <w:ind w:left="720" w:hanging="720"/>
        <w:jc w:val="both"/>
        <w:rPr>
          <w:rFonts w:ascii="Tahoma" w:hAnsi="Tahoma" w:cs="Tahoma"/>
          <w:sz w:val="24"/>
          <w:szCs w:val="24"/>
          <w:lang w:val="en-US"/>
        </w:rPr>
      </w:pPr>
      <w:r w:rsidRPr="00863A17">
        <w:rPr>
          <w:rFonts w:ascii="Tahoma" w:hAnsi="Tahoma" w:cs="Tahoma"/>
          <w:sz w:val="24"/>
          <w:szCs w:val="24"/>
          <w:lang w:val="en-US"/>
        </w:rPr>
        <w:t>4.1</w:t>
      </w:r>
      <w:r w:rsidRPr="00863A17">
        <w:rPr>
          <w:rFonts w:ascii="Tahoma" w:hAnsi="Tahoma" w:cs="Tahoma"/>
          <w:sz w:val="24"/>
          <w:szCs w:val="24"/>
          <w:lang w:val="en-US"/>
        </w:rPr>
        <w:tab/>
      </w:r>
      <w:r w:rsidR="00A55EE7">
        <w:rPr>
          <w:rFonts w:ascii="Tahoma" w:hAnsi="Tahoma" w:cs="Tahoma"/>
          <w:sz w:val="24"/>
          <w:szCs w:val="24"/>
          <w:lang w:val="en-US"/>
        </w:rPr>
        <w:t>Zimbabwe National Statistics Agency (ZimStat) had not published the merchandise trade data for</w:t>
      </w:r>
      <w:r w:rsidR="00224681">
        <w:rPr>
          <w:rFonts w:ascii="Tahoma" w:hAnsi="Tahoma" w:cs="Tahoma"/>
          <w:sz w:val="24"/>
          <w:szCs w:val="24"/>
          <w:lang w:val="en-US"/>
        </w:rPr>
        <w:t xml:space="preserve"> </w:t>
      </w:r>
      <w:r w:rsidR="00041010">
        <w:rPr>
          <w:rFonts w:ascii="Tahoma" w:hAnsi="Tahoma" w:cs="Tahoma"/>
          <w:sz w:val="24"/>
          <w:szCs w:val="24"/>
          <w:lang w:val="en-US"/>
        </w:rPr>
        <w:t>October</w:t>
      </w:r>
      <w:r w:rsidR="00A55EE7">
        <w:rPr>
          <w:rFonts w:ascii="Tahoma" w:hAnsi="Tahoma" w:cs="Tahoma"/>
          <w:sz w:val="24"/>
          <w:szCs w:val="24"/>
          <w:lang w:val="en-US"/>
        </w:rPr>
        <w:t xml:space="preserve"> 2024 </w:t>
      </w:r>
      <w:r w:rsidR="00D75883">
        <w:rPr>
          <w:rFonts w:ascii="Tahoma" w:hAnsi="Tahoma" w:cs="Tahoma"/>
          <w:sz w:val="24"/>
          <w:szCs w:val="24"/>
          <w:lang w:val="en-US"/>
        </w:rPr>
        <w:t xml:space="preserve">by </w:t>
      </w:r>
      <w:r w:rsidR="00A55EE7">
        <w:rPr>
          <w:rFonts w:ascii="Tahoma" w:hAnsi="Tahoma" w:cs="Tahoma"/>
          <w:sz w:val="24"/>
          <w:szCs w:val="24"/>
          <w:lang w:val="en-US"/>
        </w:rPr>
        <w:t xml:space="preserve">the time of compiling this report, thus the analysis is based on </w:t>
      </w:r>
      <w:r w:rsidR="00041010">
        <w:rPr>
          <w:rFonts w:ascii="Tahoma" w:hAnsi="Tahoma" w:cs="Tahoma"/>
          <w:sz w:val="24"/>
          <w:szCs w:val="24"/>
          <w:lang w:val="en-US"/>
        </w:rPr>
        <w:t>August</w:t>
      </w:r>
      <w:r w:rsidR="00A55EE7">
        <w:rPr>
          <w:rFonts w:ascii="Tahoma" w:hAnsi="Tahoma" w:cs="Tahoma"/>
          <w:sz w:val="24"/>
          <w:szCs w:val="24"/>
          <w:lang w:val="en-US"/>
        </w:rPr>
        <w:t xml:space="preserve"> 2024 data. </w:t>
      </w:r>
    </w:p>
    <w:p w14:paraId="21CFC481" w14:textId="0247EDFA" w:rsidR="00897CB3" w:rsidRDefault="00D75883" w:rsidP="00C262AF">
      <w:pPr>
        <w:ind w:left="720" w:hanging="720"/>
        <w:jc w:val="both"/>
        <w:rPr>
          <w:rFonts w:ascii="Tahoma" w:hAnsi="Tahoma" w:cs="Tahoma"/>
          <w:sz w:val="24"/>
          <w:szCs w:val="24"/>
          <w:lang w:val="en-US"/>
        </w:rPr>
      </w:pPr>
      <w:r>
        <w:rPr>
          <w:rFonts w:ascii="Tahoma" w:hAnsi="Tahoma" w:cs="Tahoma"/>
          <w:sz w:val="24"/>
          <w:szCs w:val="24"/>
          <w:lang w:val="en-US"/>
        </w:rPr>
        <w:t>4.2</w:t>
      </w:r>
      <w:r>
        <w:rPr>
          <w:rFonts w:ascii="Tahoma" w:hAnsi="Tahoma" w:cs="Tahoma"/>
          <w:sz w:val="24"/>
          <w:szCs w:val="24"/>
          <w:lang w:val="en-US"/>
        </w:rPr>
        <w:tab/>
      </w:r>
      <w:bookmarkStart w:id="26" w:name="_Hlk181775050"/>
      <w:r w:rsidR="00534F79">
        <w:rPr>
          <w:rFonts w:ascii="Tahoma" w:hAnsi="Tahoma" w:cs="Tahoma"/>
          <w:sz w:val="24"/>
          <w:szCs w:val="24"/>
          <w:lang w:val="en-US"/>
        </w:rPr>
        <w:t>T</w:t>
      </w:r>
      <w:r w:rsidR="00A55EE7">
        <w:rPr>
          <w:rFonts w:ascii="Tahoma" w:hAnsi="Tahoma" w:cs="Tahoma"/>
          <w:sz w:val="24"/>
          <w:szCs w:val="24"/>
          <w:lang w:val="en-US"/>
        </w:rPr>
        <w:t>otal merchandise trade</w:t>
      </w:r>
      <w:r w:rsidR="00534F79">
        <w:rPr>
          <w:rFonts w:ascii="Tahoma" w:hAnsi="Tahoma" w:cs="Tahoma"/>
          <w:sz w:val="24"/>
          <w:szCs w:val="24"/>
          <w:lang w:val="en-US"/>
        </w:rPr>
        <w:t xml:space="preserve"> amounted to</w:t>
      </w:r>
      <w:r w:rsidR="00A55EE7">
        <w:rPr>
          <w:rFonts w:ascii="Tahoma" w:hAnsi="Tahoma" w:cs="Tahoma"/>
          <w:sz w:val="24"/>
          <w:szCs w:val="24"/>
          <w:lang w:val="en-US"/>
        </w:rPr>
        <w:t xml:space="preserve"> USD</w:t>
      </w:r>
      <w:r w:rsidR="00534F79">
        <w:rPr>
          <w:rFonts w:ascii="Tahoma" w:hAnsi="Tahoma" w:cs="Tahoma"/>
          <w:sz w:val="24"/>
          <w:szCs w:val="24"/>
          <w:lang w:val="en-US"/>
        </w:rPr>
        <w:t>1546.8</w:t>
      </w:r>
      <w:r w:rsidR="00A55EE7">
        <w:rPr>
          <w:rFonts w:ascii="Tahoma" w:hAnsi="Tahoma" w:cs="Tahoma"/>
          <w:sz w:val="24"/>
          <w:szCs w:val="24"/>
          <w:lang w:val="en-US"/>
        </w:rPr>
        <w:t xml:space="preserve"> million</w:t>
      </w:r>
      <w:r w:rsidR="00534F79">
        <w:rPr>
          <w:rFonts w:ascii="Tahoma" w:hAnsi="Tahoma" w:cs="Tahoma"/>
          <w:sz w:val="24"/>
          <w:szCs w:val="24"/>
          <w:lang w:val="en-US"/>
        </w:rPr>
        <w:t xml:space="preserve"> in August 2024</w:t>
      </w:r>
      <w:r w:rsidR="00A55EE7">
        <w:rPr>
          <w:rFonts w:ascii="Tahoma" w:hAnsi="Tahoma" w:cs="Tahoma"/>
          <w:sz w:val="24"/>
          <w:szCs w:val="24"/>
          <w:lang w:val="en-US"/>
        </w:rPr>
        <w:t>,</w:t>
      </w:r>
      <w:r w:rsidR="00534F79">
        <w:rPr>
          <w:rFonts w:ascii="Tahoma" w:hAnsi="Tahoma" w:cs="Tahoma"/>
          <w:sz w:val="24"/>
          <w:szCs w:val="24"/>
          <w:lang w:val="en-US"/>
        </w:rPr>
        <w:t xml:space="preserve"> up 12.8% from USD1371.5 million</w:t>
      </w:r>
      <w:r w:rsidR="009029E7">
        <w:rPr>
          <w:rFonts w:ascii="Tahoma" w:hAnsi="Tahoma" w:cs="Tahoma"/>
          <w:sz w:val="24"/>
          <w:szCs w:val="24"/>
          <w:lang w:val="en-US"/>
        </w:rPr>
        <w:t xml:space="preserve"> in July 2024 due to </w:t>
      </w:r>
      <w:r w:rsidR="00252C38">
        <w:rPr>
          <w:rFonts w:ascii="Tahoma" w:hAnsi="Tahoma" w:cs="Tahoma"/>
          <w:sz w:val="24"/>
          <w:szCs w:val="24"/>
          <w:lang w:val="en-US"/>
        </w:rPr>
        <w:t>an increase</w:t>
      </w:r>
      <w:r w:rsidR="009029E7">
        <w:rPr>
          <w:rFonts w:ascii="Tahoma" w:hAnsi="Tahoma" w:cs="Tahoma"/>
          <w:sz w:val="24"/>
          <w:szCs w:val="24"/>
          <w:lang w:val="en-US"/>
        </w:rPr>
        <w:t xml:space="preserve"> in exports and imports.</w:t>
      </w:r>
      <w:r w:rsidR="00375F22">
        <w:rPr>
          <w:rFonts w:ascii="Tahoma" w:hAnsi="Tahoma" w:cs="Tahoma"/>
          <w:sz w:val="24"/>
          <w:szCs w:val="24"/>
          <w:lang w:val="en-US"/>
        </w:rPr>
        <w:t xml:space="preserve"> </w:t>
      </w:r>
      <w:r>
        <w:rPr>
          <w:rFonts w:ascii="Tahoma" w:hAnsi="Tahoma" w:cs="Tahoma"/>
          <w:sz w:val="24"/>
          <w:szCs w:val="24"/>
          <w:lang w:val="en-US"/>
        </w:rPr>
        <w:t xml:space="preserve">On a </w:t>
      </w:r>
      <w:r w:rsidR="00BC6C25">
        <w:rPr>
          <w:rFonts w:ascii="Tahoma" w:hAnsi="Tahoma" w:cs="Tahoma"/>
          <w:sz w:val="24"/>
          <w:szCs w:val="24"/>
          <w:lang w:val="en-US"/>
        </w:rPr>
        <w:t>YoY basis, merchandise trade</w:t>
      </w:r>
      <w:r w:rsidR="009C1166">
        <w:rPr>
          <w:rFonts w:ascii="Tahoma" w:hAnsi="Tahoma" w:cs="Tahoma"/>
          <w:sz w:val="24"/>
          <w:szCs w:val="24"/>
          <w:lang w:val="en-US"/>
        </w:rPr>
        <w:t xml:space="preserve"> rose by about 5.2</w:t>
      </w:r>
      <w:r w:rsidR="002739B4">
        <w:rPr>
          <w:rFonts w:ascii="Tahoma" w:hAnsi="Tahoma" w:cs="Tahoma"/>
          <w:sz w:val="24"/>
          <w:szCs w:val="24"/>
          <w:lang w:val="en-US"/>
        </w:rPr>
        <w:t>%</w:t>
      </w:r>
      <w:r w:rsidR="00BC6C25">
        <w:rPr>
          <w:rFonts w:ascii="Tahoma" w:hAnsi="Tahoma" w:cs="Tahoma"/>
          <w:sz w:val="24"/>
          <w:szCs w:val="24"/>
          <w:lang w:val="en-US"/>
        </w:rPr>
        <w:t xml:space="preserve"> from USD</w:t>
      </w:r>
      <w:r w:rsidR="009C1166">
        <w:rPr>
          <w:rFonts w:ascii="Tahoma" w:hAnsi="Tahoma" w:cs="Tahoma"/>
          <w:sz w:val="24"/>
          <w:szCs w:val="24"/>
          <w:lang w:val="en-US"/>
        </w:rPr>
        <w:t>1469.9</w:t>
      </w:r>
      <w:r w:rsidR="002739B4">
        <w:rPr>
          <w:rFonts w:ascii="Tahoma" w:hAnsi="Tahoma" w:cs="Tahoma"/>
          <w:sz w:val="24"/>
          <w:szCs w:val="24"/>
          <w:lang w:val="en-US"/>
        </w:rPr>
        <w:t xml:space="preserve"> million</w:t>
      </w:r>
      <w:r w:rsidR="00BC6C25">
        <w:rPr>
          <w:rFonts w:ascii="Tahoma" w:hAnsi="Tahoma" w:cs="Tahoma"/>
          <w:sz w:val="24"/>
          <w:szCs w:val="24"/>
          <w:lang w:val="en-US"/>
        </w:rPr>
        <w:t xml:space="preserve"> in </w:t>
      </w:r>
      <w:r w:rsidR="009C1166">
        <w:rPr>
          <w:rFonts w:ascii="Tahoma" w:hAnsi="Tahoma" w:cs="Tahoma"/>
          <w:sz w:val="24"/>
          <w:szCs w:val="24"/>
          <w:lang w:val="en-US"/>
        </w:rPr>
        <w:t>August</w:t>
      </w:r>
      <w:r w:rsidR="00BC6C25">
        <w:rPr>
          <w:rFonts w:ascii="Tahoma" w:hAnsi="Tahoma" w:cs="Tahoma"/>
          <w:sz w:val="24"/>
          <w:szCs w:val="24"/>
          <w:lang w:val="en-US"/>
        </w:rPr>
        <w:t xml:space="preserve"> 2023 </w:t>
      </w:r>
      <w:bookmarkEnd w:id="26"/>
      <w:r w:rsidR="00EB16D2">
        <w:rPr>
          <w:rFonts w:ascii="Tahoma" w:hAnsi="Tahoma" w:cs="Tahoma"/>
          <w:sz w:val="24"/>
          <w:szCs w:val="24"/>
          <w:lang w:val="en-US"/>
        </w:rPr>
        <w:t>(</w:t>
      </w:r>
      <w:r w:rsidR="00A55EE7">
        <w:rPr>
          <w:rFonts w:ascii="Tahoma" w:hAnsi="Tahoma" w:cs="Tahoma"/>
          <w:sz w:val="24"/>
          <w:szCs w:val="24"/>
          <w:lang w:val="en-US"/>
        </w:rPr>
        <w:t>RBZ</w:t>
      </w:r>
      <w:r w:rsidR="009C1166">
        <w:rPr>
          <w:rFonts w:ascii="Tahoma" w:hAnsi="Tahoma" w:cs="Tahoma"/>
          <w:sz w:val="24"/>
          <w:szCs w:val="24"/>
          <w:lang w:val="en-US"/>
        </w:rPr>
        <w:t xml:space="preserve"> August</w:t>
      </w:r>
      <w:r w:rsidR="00C928AA">
        <w:rPr>
          <w:rFonts w:ascii="Tahoma" w:hAnsi="Tahoma" w:cs="Tahoma"/>
          <w:sz w:val="24"/>
          <w:szCs w:val="24"/>
          <w:lang w:val="en-US"/>
        </w:rPr>
        <w:t xml:space="preserve"> 2024</w:t>
      </w:r>
      <w:r w:rsidR="00A55EE7">
        <w:rPr>
          <w:rFonts w:ascii="Tahoma" w:hAnsi="Tahoma" w:cs="Tahoma"/>
          <w:sz w:val="24"/>
          <w:szCs w:val="24"/>
          <w:lang w:val="en-US"/>
        </w:rPr>
        <w:t xml:space="preserve"> Monthly Re</w:t>
      </w:r>
      <w:r w:rsidR="00C928AA">
        <w:rPr>
          <w:rFonts w:ascii="Tahoma" w:hAnsi="Tahoma" w:cs="Tahoma"/>
          <w:sz w:val="24"/>
          <w:szCs w:val="24"/>
          <w:lang w:val="en-US"/>
        </w:rPr>
        <w:t>view</w:t>
      </w:r>
      <w:r w:rsidR="00EB16D2">
        <w:rPr>
          <w:rFonts w:ascii="Tahoma" w:hAnsi="Tahoma" w:cs="Tahoma"/>
          <w:sz w:val="24"/>
          <w:szCs w:val="24"/>
          <w:lang w:val="en-US"/>
        </w:rPr>
        <w:t>).</w:t>
      </w:r>
    </w:p>
    <w:p w14:paraId="3AB25F8E" w14:textId="17FDE12E" w:rsidR="00D75883" w:rsidRDefault="00354CAD" w:rsidP="00340BCF">
      <w:pPr>
        <w:ind w:left="720" w:hanging="720"/>
        <w:jc w:val="both"/>
        <w:rPr>
          <w:rFonts w:ascii="Tahoma" w:hAnsi="Tahoma" w:cs="Tahoma"/>
          <w:noProof/>
          <w:sz w:val="24"/>
          <w:szCs w:val="24"/>
          <w:lang w:eastAsia="en-ZW"/>
        </w:rPr>
      </w:pPr>
      <w:r>
        <w:rPr>
          <w:rFonts w:ascii="Tahoma" w:hAnsi="Tahoma" w:cs="Tahoma"/>
          <w:noProof/>
          <w:sz w:val="24"/>
          <w:szCs w:val="24"/>
          <w:lang w:eastAsia="en-ZW"/>
        </w:rPr>
        <w:t>4.1</w:t>
      </w:r>
      <w:r w:rsidR="00056C3C">
        <w:rPr>
          <w:rFonts w:ascii="Tahoma" w:hAnsi="Tahoma" w:cs="Tahoma"/>
          <w:noProof/>
          <w:sz w:val="24"/>
          <w:szCs w:val="24"/>
          <w:lang w:eastAsia="en-ZW"/>
        </w:rPr>
        <w:tab/>
      </w:r>
      <w:bookmarkStart w:id="27" w:name="_Hlk181775076"/>
      <w:r w:rsidR="00252C38">
        <w:rPr>
          <w:rFonts w:ascii="Tahoma" w:hAnsi="Tahoma" w:cs="Tahoma"/>
          <w:noProof/>
          <w:sz w:val="24"/>
          <w:szCs w:val="24"/>
          <w:lang w:eastAsia="en-ZW"/>
        </w:rPr>
        <w:t xml:space="preserve">Although the trade deficit improved in August 2024 from July 2024, it still remains in the </w:t>
      </w:r>
      <w:r w:rsidR="00BB518F">
        <w:rPr>
          <w:rFonts w:ascii="Tahoma" w:hAnsi="Tahoma" w:cs="Tahoma"/>
          <w:noProof/>
          <w:sz w:val="24"/>
          <w:szCs w:val="24"/>
          <w:lang w:eastAsia="en-ZW"/>
        </w:rPr>
        <w:t xml:space="preserve">negative territory </w:t>
      </w:r>
      <w:r w:rsidR="00252C38">
        <w:rPr>
          <w:rFonts w:ascii="Tahoma" w:hAnsi="Tahoma" w:cs="Tahoma"/>
          <w:noProof/>
          <w:sz w:val="24"/>
          <w:szCs w:val="24"/>
          <w:lang w:eastAsia="en-ZW"/>
        </w:rPr>
        <w:t xml:space="preserve">with </w:t>
      </w:r>
      <w:r w:rsidR="00BB518F">
        <w:rPr>
          <w:rFonts w:ascii="Tahoma" w:hAnsi="Tahoma" w:cs="Tahoma"/>
          <w:noProof/>
          <w:sz w:val="24"/>
          <w:szCs w:val="24"/>
          <w:lang w:eastAsia="en-ZW"/>
        </w:rPr>
        <w:t>a deficit of U</w:t>
      </w:r>
      <w:r w:rsidR="00252C38">
        <w:rPr>
          <w:rFonts w:ascii="Tahoma" w:hAnsi="Tahoma" w:cs="Tahoma"/>
          <w:noProof/>
          <w:sz w:val="24"/>
          <w:szCs w:val="24"/>
          <w:lang w:eastAsia="en-ZW"/>
        </w:rPr>
        <w:t>SD</w:t>
      </w:r>
      <w:r w:rsidR="00BB518F">
        <w:rPr>
          <w:rFonts w:ascii="Tahoma" w:hAnsi="Tahoma" w:cs="Tahoma"/>
          <w:noProof/>
          <w:sz w:val="24"/>
          <w:szCs w:val="24"/>
          <w:lang w:eastAsia="en-ZW"/>
        </w:rPr>
        <w:t>198.8 million</w:t>
      </w:r>
      <w:r w:rsidR="00136197">
        <w:rPr>
          <w:rFonts w:ascii="Tahoma" w:hAnsi="Tahoma" w:cs="Tahoma"/>
          <w:noProof/>
          <w:sz w:val="24"/>
          <w:szCs w:val="24"/>
          <w:lang w:eastAsia="en-ZW"/>
        </w:rPr>
        <w:t xml:space="preserve"> (see Figure 2)</w:t>
      </w:r>
      <w:r w:rsidR="00BB518F">
        <w:rPr>
          <w:rFonts w:ascii="Tahoma" w:hAnsi="Tahoma" w:cs="Tahoma"/>
          <w:noProof/>
          <w:sz w:val="24"/>
          <w:szCs w:val="24"/>
          <w:lang w:eastAsia="en-ZW"/>
        </w:rPr>
        <w:t>.</w:t>
      </w:r>
      <w:r w:rsidR="00136197">
        <w:rPr>
          <w:rFonts w:ascii="Tahoma" w:hAnsi="Tahoma" w:cs="Tahoma"/>
          <w:noProof/>
          <w:sz w:val="24"/>
          <w:szCs w:val="24"/>
          <w:lang w:eastAsia="en-ZW"/>
        </w:rPr>
        <w:t xml:space="preserve"> </w:t>
      </w:r>
      <w:r w:rsidR="00BB518F">
        <w:rPr>
          <w:rFonts w:ascii="Tahoma" w:hAnsi="Tahoma" w:cs="Tahoma"/>
          <w:noProof/>
          <w:sz w:val="24"/>
          <w:szCs w:val="24"/>
          <w:lang w:eastAsia="en-ZW"/>
        </w:rPr>
        <w:t xml:space="preserve">Exports were USD674 million, 22.9% higher than in July 2024 and 3.7% higher than in August 2023 </w:t>
      </w:r>
      <w:r w:rsidR="00252C38">
        <w:rPr>
          <w:rFonts w:ascii="Tahoma" w:hAnsi="Tahoma" w:cs="Tahoma"/>
          <w:noProof/>
          <w:sz w:val="24"/>
          <w:szCs w:val="24"/>
          <w:lang w:eastAsia="en-ZW"/>
        </w:rPr>
        <w:t>with</w:t>
      </w:r>
      <w:r w:rsidR="00BB518F">
        <w:rPr>
          <w:rFonts w:ascii="Tahoma" w:hAnsi="Tahoma" w:cs="Tahoma"/>
          <w:noProof/>
          <w:sz w:val="24"/>
          <w:szCs w:val="24"/>
          <w:lang w:eastAsia="en-ZW"/>
        </w:rPr>
        <w:t xml:space="preserve"> the monthly increase </w:t>
      </w:r>
      <w:r w:rsidR="00252C38">
        <w:rPr>
          <w:rFonts w:ascii="Tahoma" w:hAnsi="Tahoma" w:cs="Tahoma"/>
          <w:noProof/>
          <w:sz w:val="24"/>
          <w:szCs w:val="24"/>
          <w:lang w:eastAsia="en-ZW"/>
        </w:rPr>
        <w:t>being</w:t>
      </w:r>
      <w:r w:rsidR="00252C38">
        <w:rPr>
          <w:rFonts w:ascii="Tahoma" w:hAnsi="Tahoma" w:cs="Tahoma"/>
          <w:noProof/>
          <w:sz w:val="24"/>
          <w:szCs w:val="24"/>
          <w:lang w:eastAsia="en-ZW"/>
        </w:rPr>
        <w:t xml:space="preserve"> </w:t>
      </w:r>
      <w:r w:rsidR="00BB518F">
        <w:rPr>
          <w:rFonts w:ascii="Tahoma" w:hAnsi="Tahoma" w:cs="Tahoma"/>
          <w:noProof/>
          <w:sz w:val="24"/>
          <w:szCs w:val="24"/>
          <w:lang w:eastAsia="en-ZW"/>
        </w:rPr>
        <w:t xml:space="preserve">underpinned by growth in export earnings from gold, </w:t>
      </w:r>
      <w:r w:rsidR="00252C38">
        <w:rPr>
          <w:rFonts w:ascii="Tahoma" w:hAnsi="Tahoma" w:cs="Tahoma"/>
          <w:noProof/>
          <w:sz w:val="24"/>
          <w:szCs w:val="24"/>
          <w:lang w:eastAsia="en-ZW"/>
        </w:rPr>
        <w:t>Platinum Group Metals (</w:t>
      </w:r>
      <w:r w:rsidR="00BB518F">
        <w:rPr>
          <w:rFonts w:ascii="Tahoma" w:hAnsi="Tahoma" w:cs="Tahoma"/>
          <w:noProof/>
          <w:sz w:val="24"/>
          <w:szCs w:val="24"/>
          <w:lang w:eastAsia="en-ZW"/>
        </w:rPr>
        <w:t>PGMs</w:t>
      </w:r>
      <w:r w:rsidR="00252C38">
        <w:rPr>
          <w:rFonts w:ascii="Tahoma" w:hAnsi="Tahoma" w:cs="Tahoma"/>
          <w:noProof/>
          <w:sz w:val="24"/>
          <w:szCs w:val="24"/>
          <w:lang w:eastAsia="en-ZW"/>
        </w:rPr>
        <w:t>)</w:t>
      </w:r>
      <w:r w:rsidR="00BB518F">
        <w:rPr>
          <w:rFonts w:ascii="Tahoma" w:hAnsi="Tahoma" w:cs="Tahoma"/>
          <w:noProof/>
          <w:sz w:val="24"/>
          <w:szCs w:val="24"/>
          <w:lang w:eastAsia="en-ZW"/>
        </w:rPr>
        <w:t xml:space="preserve"> and tobacco.</w:t>
      </w:r>
      <w:r w:rsidR="00136197">
        <w:rPr>
          <w:rFonts w:ascii="Tahoma" w:hAnsi="Tahoma" w:cs="Tahoma"/>
          <w:noProof/>
          <w:sz w:val="24"/>
          <w:szCs w:val="24"/>
          <w:lang w:eastAsia="en-ZW"/>
        </w:rPr>
        <w:t xml:space="preserve"> Import bill amounted to USD872.8 million in August 2024, reflecting a 6% increase from July 2024 and 6.4% higher than in August 2023</w:t>
      </w:r>
      <w:r w:rsidR="00252C38">
        <w:rPr>
          <w:rFonts w:ascii="Tahoma" w:hAnsi="Tahoma" w:cs="Tahoma"/>
          <w:noProof/>
          <w:sz w:val="24"/>
          <w:szCs w:val="24"/>
          <w:lang w:eastAsia="en-ZW"/>
        </w:rPr>
        <w:t>. M</w:t>
      </w:r>
      <w:r w:rsidR="00136197">
        <w:rPr>
          <w:rFonts w:ascii="Tahoma" w:hAnsi="Tahoma" w:cs="Tahoma"/>
          <w:noProof/>
          <w:sz w:val="24"/>
          <w:szCs w:val="24"/>
          <w:lang w:eastAsia="en-ZW"/>
        </w:rPr>
        <w:t>ajor imports in August 2024 were diesel, maize, petrol and machinery</w:t>
      </w:r>
      <w:bookmarkEnd w:id="27"/>
      <w:r w:rsidR="00136197">
        <w:rPr>
          <w:rFonts w:ascii="Tahoma" w:hAnsi="Tahoma" w:cs="Tahoma"/>
          <w:noProof/>
          <w:sz w:val="24"/>
          <w:szCs w:val="24"/>
          <w:lang w:eastAsia="en-ZW"/>
        </w:rPr>
        <w:t>.</w:t>
      </w:r>
    </w:p>
    <w:p w14:paraId="6FE5FC60" w14:textId="77777777" w:rsidR="00664692" w:rsidRDefault="00664692" w:rsidP="00D75883">
      <w:pPr>
        <w:pStyle w:val="ListofFigures"/>
      </w:pPr>
      <w:bookmarkStart w:id="28" w:name="_Toc181785687"/>
    </w:p>
    <w:p w14:paraId="41DAF68D" w14:textId="77777777" w:rsidR="00252C38" w:rsidRPr="00252C38" w:rsidRDefault="00252C38" w:rsidP="00E63964">
      <w:pPr>
        <w:pStyle w:val="Caption"/>
      </w:pPr>
    </w:p>
    <w:p w14:paraId="5EE89E92" w14:textId="77777777" w:rsidR="00664692" w:rsidRDefault="00664692" w:rsidP="00D75883">
      <w:pPr>
        <w:pStyle w:val="ListofFigures"/>
      </w:pPr>
    </w:p>
    <w:p w14:paraId="459C1B72" w14:textId="77777777" w:rsidR="001B3D5A" w:rsidRDefault="001B3D5A" w:rsidP="001B3D5A">
      <w:pPr>
        <w:pStyle w:val="Caption"/>
      </w:pPr>
    </w:p>
    <w:p w14:paraId="0F7458EF" w14:textId="77777777" w:rsidR="001B3D5A" w:rsidRPr="001B3D5A" w:rsidRDefault="001B3D5A" w:rsidP="00E63964"/>
    <w:p w14:paraId="6808AA7E" w14:textId="3CD1FD21" w:rsidR="00D75883" w:rsidRPr="00E1754A" w:rsidRDefault="00D75883" w:rsidP="00D75883">
      <w:pPr>
        <w:pStyle w:val="ListofFigures"/>
      </w:pPr>
      <w:r w:rsidRPr="00863A17">
        <w:lastRenderedPageBreak/>
        <w:t xml:space="preserve">Figure </w:t>
      </w:r>
      <w:r w:rsidR="00C075DB">
        <w:rPr>
          <w:bCs/>
        </w:rPr>
        <w:t>2</w:t>
      </w:r>
      <w:r w:rsidRPr="00863A17">
        <w:t xml:space="preserve">: </w:t>
      </w:r>
      <w:r>
        <w:rPr>
          <w:lang w:val="en-US"/>
        </w:rPr>
        <w:t>Merchandise Trade Developments</w:t>
      </w:r>
      <w:bookmarkEnd w:id="28"/>
      <w:r>
        <w:rPr>
          <w:lang w:val="en-US"/>
        </w:rPr>
        <w:t xml:space="preserve"> </w:t>
      </w:r>
    </w:p>
    <w:p w14:paraId="2F8190CC" w14:textId="2D4D4C57" w:rsidR="00D75883" w:rsidRDefault="00664692" w:rsidP="00D75883">
      <w:pPr>
        <w:spacing w:after="0"/>
        <w:ind w:left="720" w:hanging="720"/>
        <w:jc w:val="both"/>
        <w:rPr>
          <w:noProof/>
          <w:lang w:eastAsia="en-ZW"/>
        </w:rPr>
      </w:pPr>
      <w:r w:rsidRPr="0041351D">
        <w:rPr>
          <w:noProof/>
        </w:rPr>
        <w:drawing>
          <wp:inline distT="0" distB="0" distL="0" distR="0" wp14:anchorId="1992313B" wp14:editId="12CD6C2F">
            <wp:extent cx="5732145" cy="3000375"/>
            <wp:effectExtent l="0" t="0" r="1905" b="9525"/>
            <wp:docPr id="6"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89CA09A" w14:textId="77777777" w:rsidR="00D75883" w:rsidRPr="00746F8E" w:rsidRDefault="00D75883" w:rsidP="00D75883">
      <w:pPr>
        <w:spacing w:after="0"/>
        <w:ind w:left="720" w:hanging="720"/>
        <w:jc w:val="both"/>
        <w:rPr>
          <w:rFonts w:ascii="Tahoma" w:hAnsi="Tahoma" w:cs="Tahoma"/>
          <w:i/>
          <w:noProof/>
          <w:sz w:val="24"/>
          <w:szCs w:val="24"/>
          <w:lang w:eastAsia="en-ZW"/>
        </w:rPr>
      </w:pPr>
      <w:r w:rsidRPr="00746F8E">
        <w:rPr>
          <w:rFonts w:ascii="Tahoma" w:hAnsi="Tahoma" w:cs="Tahoma"/>
          <w:i/>
          <w:noProof/>
          <w:sz w:val="24"/>
          <w:szCs w:val="24"/>
          <w:lang w:eastAsia="en-ZW"/>
        </w:rPr>
        <w:t>Source: RBZ (2024)</w:t>
      </w:r>
    </w:p>
    <w:p w14:paraId="4BC9FA27" w14:textId="77777777" w:rsidR="00D75883" w:rsidRPr="00354CAD" w:rsidRDefault="00D75883" w:rsidP="00C262AF">
      <w:pPr>
        <w:ind w:left="720" w:hanging="720"/>
        <w:jc w:val="both"/>
        <w:rPr>
          <w:rFonts w:ascii="Tahoma" w:hAnsi="Tahoma" w:cs="Tahoma"/>
          <w:sz w:val="24"/>
          <w:szCs w:val="24"/>
          <w:lang w:val="en-US"/>
        </w:rPr>
      </w:pPr>
    </w:p>
    <w:p w14:paraId="1E8E8B94" w14:textId="77777777" w:rsidR="00EF37FE" w:rsidRPr="00086539" w:rsidRDefault="00B1678A" w:rsidP="009F5CE5">
      <w:pPr>
        <w:pStyle w:val="Heading1"/>
        <w:spacing w:before="0" w:after="240" w:line="240" w:lineRule="auto"/>
        <w:rPr>
          <w:rFonts w:cs="Tahoma"/>
          <w:bCs/>
          <w:color w:val="000000"/>
          <w:szCs w:val="24"/>
          <w:lang w:val="en-US"/>
        </w:rPr>
      </w:pPr>
      <w:bookmarkStart w:id="29" w:name="_Toc166607895"/>
      <w:bookmarkStart w:id="30" w:name="_Toc182566283"/>
      <w:r w:rsidRPr="00086539">
        <w:rPr>
          <w:rFonts w:cs="Tahoma"/>
          <w:bCs/>
          <w:color w:val="000000"/>
          <w:szCs w:val="24"/>
          <w:lang w:val="en-US"/>
        </w:rPr>
        <w:t>5.0</w:t>
      </w:r>
      <w:r w:rsidRPr="00086539">
        <w:rPr>
          <w:rFonts w:cs="Tahoma"/>
          <w:bCs/>
          <w:color w:val="000000"/>
          <w:szCs w:val="24"/>
          <w:lang w:val="en-US"/>
        </w:rPr>
        <w:tab/>
      </w:r>
      <w:r w:rsidR="00EF37FE" w:rsidRPr="00086539">
        <w:rPr>
          <w:rFonts w:cs="Tahoma"/>
          <w:bCs/>
          <w:color w:val="000000"/>
          <w:szCs w:val="24"/>
          <w:lang w:val="en-US"/>
        </w:rPr>
        <w:t>Exchange Rate Developments</w:t>
      </w:r>
      <w:bookmarkEnd w:id="29"/>
      <w:bookmarkEnd w:id="30"/>
      <w:r w:rsidR="00EF37FE" w:rsidRPr="00086539">
        <w:rPr>
          <w:rFonts w:cs="Tahoma"/>
          <w:bCs/>
          <w:color w:val="000000"/>
          <w:szCs w:val="24"/>
          <w:lang w:val="en-US"/>
        </w:rPr>
        <w:t xml:space="preserve"> </w:t>
      </w:r>
    </w:p>
    <w:p w14:paraId="5D8D6556" w14:textId="77777777" w:rsidR="00EF25BB" w:rsidRPr="00863A17" w:rsidRDefault="00B1678A" w:rsidP="003C1D2F">
      <w:pPr>
        <w:pStyle w:val="Heading2"/>
        <w:spacing w:before="0" w:after="240" w:line="240" w:lineRule="auto"/>
        <w:rPr>
          <w:rFonts w:cs="Tahoma"/>
          <w:b/>
          <w:color w:val="000000"/>
          <w:szCs w:val="24"/>
          <w:lang w:val="en-US"/>
        </w:rPr>
      </w:pPr>
      <w:bookmarkStart w:id="31" w:name="_Toc166607896"/>
      <w:bookmarkStart w:id="32" w:name="_Toc182566284"/>
      <w:r w:rsidRPr="00863A17">
        <w:rPr>
          <w:rFonts w:cs="Tahoma"/>
          <w:b/>
          <w:color w:val="000000"/>
          <w:szCs w:val="24"/>
          <w:lang w:val="en-US"/>
        </w:rPr>
        <w:t>5.1</w:t>
      </w:r>
      <w:r w:rsidRPr="00863A17">
        <w:rPr>
          <w:rFonts w:cs="Tahoma"/>
          <w:b/>
          <w:color w:val="000000"/>
          <w:szCs w:val="24"/>
          <w:lang w:val="en-US"/>
        </w:rPr>
        <w:tab/>
      </w:r>
      <w:r w:rsidR="0093372C">
        <w:rPr>
          <w:rFonts w:cs="Tahoma"/>
          <w:b/>
          <w:color w:val="000000"/>
          <w:szCs w:val="24"/>
          <w:lang w:val="en-US"/>
        </w:rPr>
        <w:t>ZWG</w:t>
      </w:r>
      <w:r w:rsidR="00EF25BB" w:rsidRPr="00863A17">
        <w:rPr>
          <w:rFonts w:cs="Tahoma"/>
          <w:b/>
          <w:color w:val="000000"/>
          <w:szCs w:val="24"/>
          <w:lang w:val="en-US"/>
        </w:rPr>
        <w:t xml:space="preserve"> Exchange Rate Developments</w:t>
      </w:r>
      <w:bookmarkEnd w:id="31"/>
      <w:bookmarkEnd w:id="32"/>
      <w:r w:rsidR="00EF25BB" w:rsidRPr="00863A17">
        <w:rPr>
          <w:rFonts w:cs="Tahoma"/>
          <w:b/>
          <w:color w:val="000000"/>
          <w:szCs w:val="24"/>
          <w:lang w:val="en-US"/>
        </w:rPr>
        <w:t xml:space="preserve"> </w:t>
      </w:r>
    </w:p>
    <w:p w14:paraId="14757367" w14:textId="73E55F5B" w:rsidR="00D51501" w:rsidRPr="00D51501" w:rsidRDefault="00D51501" w:rsidP="00D51501">
      <w:pPr>
        <w:ind w:left="720" w:hanging="720"/>
        <w:jc w:val="both"/>
        <w:rPr>
          <w:rFonts w:ascii="Tahoma" w:hAnsi="Tahoma" w:cs="Tahoma"/>
          <w:sz w:val="24"/>
          <w:szCs w:val="24"/>
          <w:lang w:val="en-US"/>
        </w:rPr>
      </w:pPr>
      <w:r w:rsidRPr="00D51501">
        <w:rPr>
          <w:rFonts w:ascii="Tahoma" w:hAnsi="Tahoma" w:cs="Tahoma"/>
          <w:sz w:val="24"/>
          <w:szCs w:val="24"/>
          <w:lang w:val="en-US"/>
        </w:rPr>
        <w:t>5.1.1</w:t>
      </w:r>
      <w:r w:rsidRPr="00D51501">
        <w:rPr>
          <w:rFonts w:ascii="Tahoma" w:hAnsi="Tahoma" w:cs="Tahoma"/>
          <w:sz w:val="24"/>
          <w:szCs w:val="24"/>
          <w:lang w:val="en-US"/>
        </w:rPr>
        <w:tab/>
      </w:r>
      <w:r w:rsidR="00E93DB0">
        <w:rPr>
          <w:rFonts w:ascii="Tahoma" w:hAnsi="Tahoma" w:cs="Tahoma"/>
          <w:sz w:val="24"/>
          <w:szCs w:val="24"/>
          <w:lang w:val="en-US"/>
        </w:rPr>
        <w:t>T</w:t>
      </w:r>
      <w:r w:rsidRPr="00D51501">
        <w:rPr>
          <w:rFonts w:ascii="Tahoma" w:hAnsi="Tahoma" w:cs="Tahoma"/>
          <w:sz w:val="24"/>
          <w:szCs w:val="24"/>
          <w:lang w:val="en-US"/>
        </w:rPr>
        <w:t xml:space="preserve">he ZWG </w:t>
      </w:r>
      <w:r w:rsidR="00E71AD8">
        <w:rPr>
          <w:rFonts w:ascii="Tahoma" w:hAnsi="Tahoma" w:cs="Tahoma"/>
          <w:sz w:val="24"/>
          <w:szCs w:val="24"/>
          <w:lang w:val="en-US"/>
        </w:rPr>
        <w:t>lost value</w:t>
      </w:r>
      <w:r w:rsidRPr="00D51501">
        <w:rPr>
          <w:rFonts w:ascii="Tahoma" w:hAnsi="Tahoma" w:cs="Tahoma"/>
          <w:sz w:val="24"/>
          <w:szCs w:val="24"/>
          <w:lang w:val="en-US"/>
        </w:rPr>
        <w:t xml:space="preserve"> against all major currencies</w:t>
      </w:r>
      <w:r w:rsidR="00E93DB0">
        <w:rPr>
          <w:rFonts w:ascii="Tahoma" w:hAnsi="Tahoma" w:cs="Tahoma"/>
          <w:sz w:val="24"/>
          <w:szCs w:val="24"/>
          <w:lang w:val="en-US"/>
        </w:rPr>
        <w:t xml:space="preserve"> </w:t>
      </w:r>
      <w:proofErr w:type="gramStart"/>
      <w:r w:rsidR="00E93DB0">
        <w:rPr>
          <w:rFonts w:ascii="Tahoma" w:hAnsi="Tahoma" w:cs="Tahoma"/>
          <w:sz w:val="24"/>
          <w:szCs w:val="24"/>
          <w:lang w:val="en-US"/>
        </w:rPr>
        <w:t>on</w:t>
      </w:r>
      <w:proofErr w:type="gramEnd"/>
      <w:r w:rsidR="00E93DB0">
        <w:rPr>
          <w:rFonts w:ascii="Tahoma" w:hAnsi="Tahoma" w:cs="Tahoma"/>
          <w:sz w:val="24"/>
          <w:szCs w:val="24"/>
          <w:lang w:val="en-US"/>
        </w:rPr>
        <w:t xml:space="preserve"> </w:t>
      </w:r>
      <w:r w:rsidR="001B17C0">
        <w:rPr>
          <w:rFonts w:ascii="Tahoma" w:hAnsi="Tahoma" w:cs="Tahoma"/>
          <w:sz w:val="24"/>
          <w:szCs w:val="24"/>
          <w:lang w:val="en-US"/>
        </w:rPr>
        <w:t>month on month (M</w:t>
      </w:r>
      <w:r w:rsidR="00E93DB0">
        <w:rPr>
          <w:rFonts w:ascii="Tahoma" w:hAnsi="Tahoma" w:cs="Tahoma"/>
          <w:sz w:val="24"/>
          <w:szCs w:val="24"/>
          <w:lang w:val="en-US"/>
        </w:rPr>
        <w:t>o</w:t>
      </w:r>
      <w:r w:rsidR="001B17C0">
        <w:rPr>
          <w:rFonts w:ascii="Tahoma" w:hAnsi="Tahoma" w:cs="Tahoma"/>
          <w:sz w:val="24"/>
          <w:szCs w:val="24"/>
          <w:lang w:val="en-US"/>
        </w:rPr>
        <w:t>M)</w:t>
      </w:r>
      <w:r w:rsidR="00E93DB0">
        <w:rPr>
          <w:rFonts w:ascii="Tahoma" w:hAnsi="Tahoma" w:cs="Tahoma"/>
          <w:sz w:val="24"/>
          <w:szCs w:val="24"/>
          <w:lang w:val="en-US"/>
        </w:rPr>
        <w:t>, YtD and YoY basis</w:t>
      </w:r>
      <w:r w:rsidRPr="00D51501">
        <w:rPr>
          <w:rFonts w:ascii="Tahoma" w:hAnsi="Tahoma" w:cs="Tahoma"/>
          <w:sz w:val="24"/>
          <w:szCs w:val="24"/>
          <w:lang w:val="en-US"/>
        </w:rPr>
        <w:t xml:space="preserve"> as shown in Table </w:t>
      </w:r>
      <w:r w:rsidR="00E93DB0">
        <w:rPr>
          <w:rFonts w:ascii="Tahoma" w:hAnsi="Tahoma" w:cs="Tahoma"/>
          <w:sz w:val="24"/>
          <w:szCs w:val="24"/>
          <w:lang w:val="en-US"/>
        </w:rPr>
        <w:t>3</w:t>
      </w:r>
      <w:r w:rsidR="001B17C0">
        <w:rPr>
          <w:rFonts w:ascii="Tahoma" w:hAnsi="Tahoma" w:cs="Tahoma"/>
          <w:sz w:val="24"/>
          <w:szCs w:val="24"/>
          <w:lang w:val="en-US"/>
        </w:rPr>
        <w:t xml:space="preserve"> due </w:t>
      </w:r>
      <w:proofErr w:type="gramStart"/>
      <w:r w:rsidR="001B17C0">
        <w:rPr>
          <w:rFonts w:ascii="Tahoma" w:hAnsi="Tahoma" w:cs="Tahoma"/>
          <w:sz w:val="24"/>
          <w:szCs w:val="24"/>
          <w:lang w:val="en-US"/>
        </w:rPr>
        <w:t xml:space="preserve">to </w:t>
      </w:r>
      <w:r w:rsidR="00905B1B">
        <w:rPr>
          <w:rFonts w:ascii="Tahoma" w:hAnsi="Tahoma" w:cs="Tahoma"/>
          <w:sz w:val="24"/>
          <w:szCs w:val="24"/>
          <w:lang w:val="en-US"/>
        </w:rPr>
        <w:t xml:space="preserve"> devaluation</w:t>
      </w:r>
      <w:proofErr w:type="gramEnd"/>
      <w:r w:rsidR="00905B1B">
        <w:rPr>
          <w:rFonts w:ascii="Tahoma" w:hAnsi="Tahoma" w:cs="Tahoma"/>
          <w:sz w:val="24"/>
          <w:szCs w:val="24"/>
          <w:lang w:val="en-US"/>
        </w:rPr>
        <w:t xml:space="preserve"> and to lack of</w:t>
      </w:r>
      <w:r w:rsidR="001B17C0">
        <w:rPr>
          <w:rFonts w:ascii="Tahoma" w:hAnsi="Tahoma" w:cs="Tahoma"/>
          <w:sz w:val="24"/>
          <w:szCs w:val="24"/>
          <w:lang w:val="en-US"/>
        </w:rPr>
        <w:t xml:space="preserve"> public</w:t>
      </w:r>
      <w:r w:rsidR="00905B1B">
        <w:rPr>
          <w:rFonts w:ascii="Tahoma" w:hAnsi="Tahoma" w:cs="Tahoma"/>
          <w:sz w:val="24"/>
          <w:szCs w:val="24"/>
          <w:lang w:val="en-US"/>
        </w:rPr>
        <w:t xml:space="preserve"> trust </w:t>
      </w:r>
      <w:r w:rsidR="001B17C0">
        <w:rPr>
          <w:rFonts w:ascii="Tahoma" w:hAnsi="Tahoma" w:cs="Tahoma"/>
          <w:sz w:val="24"/>
          <w:szCs w:val="24"/>
          <w:lang w:val="en-US"/>
        </w:rPr>
        <w:t>and confidence in the currency</w:t>
      </w:r>
      <w:r w:rsidR="00905B1B">
        <w:rPr>
          <w:rFonts w:ascii="Tahoma" w:hAnsi="Tahoma" w:cs="Tahoma"/>
          <w:sz w:val="24"/>
          <w:szCs w:val="24"/>
          <w:lang w:val="en-US"/>
        </w:rPr>
        <w:t>.</w:t>
      </w:r>
      <w:r w:rsidR="00E71AD8">
        <w:rPr>
          <w:rFonts w:ascii="Tahoma" w:hAnsi="Tahoma" w:cs="Tahoma"/>
          <w:sz w:val="24"/>
          <w:szCs w:val="24"/>
          <w:lang w:val="en-US"/>
        </w:rPr>
        <w:t xml:space="preserve"> </w:t>
      </w:r>
    </w:p>
    <w:p w14:paraId="78D9041E" w14:textId="77777777" w:rsidR="00D51501" w:rsidRPr="00134E84" w:rsidRDefault="00D51501" w:rsidP="00134E84">
      <w:pPr>
        <w:pStyle w:val="ListofTables"/>
      </w:pPr>
      <w:bookmarkStart w:id="33" w:name="_Toc181785781"/>
      <w:r w:rsidRPr="00134E84">
        <w:t xml:space="preserve">Table </w:t>
      </w:r>
      <w:r w:rsidR="007B4687" w:rsidRPr="00134E84">
        <w:t>3</w:t>
      </w:r>
      <w:r w:rsidRPr="00134E84">
        <w:t>: ZWG Exchange Rate Movements</w:t>
      </w:r>
      <w:r w:rsidR="00824F12">
        <w:t xml:space="preserve"> - </w:t>
      </w:r>
      <w:r w:rsidRPr="00134E84">
        <w:t>Month Ending 3</w:t>
      </w:r>
      <w:r w:rsidR="00036597">
        <w:t>1</w:t>
      </w:r>
      <w:r w:rsidRPr="00134E84">
        <w:t xml:space="preserve"> </w:t>
      </w:r>
      <w:r w:rsidR="00036597">
        <w:t>October</w:t>
      </w:r>
      <w:r w:rsidRPr="00134E84">
        <w:t xml:space="preserve"> 2024</w:t>
      </w:r>
      <w:bookmarkEnd w:id="33"/>
    </w:p>
    <w:p w14:paraId="387FDA9A" w14:textId="3F6A35BF" w:rsidR="00D51501" w:rsidRPr="00D51501" w:rsidRDefault="00664692" w:rsidP="00134E84">
      <w:pPr>
        <w:spacing w:after="0"/>
        <w:ind w:left="720" w:hanging="720"/>
        <w:jc w:val="both"/>
        <w:rPr>
          <w:rFonts w:ascii="Tahoma" w:hAnsi="Tahoma" w:cs="Tahoma"/>
          <w:sz w:val="24"/>
          <w:szCs w:val="24"/>
          <w:lang w:val="en-US"/>
        </w:rPr>
      </w:pPr>
      <w:r w:rsidRPr="00036597">
        <w:rPr>
          <w:noProof/>
        </w:rPr>
        <w:drawing>
          <wp:inline distT="0" distB="0" distL="0" distR="0" wp14:anchorId="187768D9" wp14:editId="7F42C41B">
            <wp:extent cx="5734050" cy="128587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285875"/>
                    </a:xfrm>
                    <a:prstGeom prst="rect">
                      <a:avLst/>
                    </a:prstGeom>
                    <a:noFill/>
                    <a:ln>
                      <a:noFill/>
                    </a:ln>
                  </pic:spPr>
                </pic:pic>
              </a:graphicData>
            </a:graphic>
          </wp:inline>
        </w:drawing>
      </w:r>
    </w:p>
    <w:p w14:paraId="1BF20869" w14:textId="77777777" w:rsidR="00D51501" w:rsidRDefault="00D51501" w:rsidP="00340BCF">
      <w:pPr>
        <w:spacing w:after="0"/>
        <w:ind w:left="720" w:hanging="720"/>
        <w:jc w:val="both"/>
        <w:rPr>
          <w:rFonts w:ascii="Tahoma" w:hAnsi="Tahoma" w:cs="Tahoma"/>
          <w:i/>
          <w:sz w:val="24"/>
          <w:szCs w:val="24"/>
          <w:lang w:val="en-US"/>
        </w:rPr>
      </w:pPr>
      <w:r w:rsidRPr="00D51501">
        <w:rPr>
          <w:rFonts w:ascii="Tahoma" w:hAnsi="Tahoma" w:cs="Tahoma"/>
          <w:i/>
          <w:sz w:val="24"/>
          <w:szCs w:val="24"/>
          <w:lang w:val="en-US"/>
        </w:rPr>
        <w:t xml:space="preserve">Source: RBZ (2024) </w:t>
      </w:r>
    </w:p>
    <w:p w14:paraId="77951DB2" w14:textId="77777777" w:rsidR="001B17C0" w:rsidRDefault="001B17C0" w:rsidP="00340BCF">
      <w:pPr>
        <w:spacing w:after="0"/>
        <w:ind w:left="720" w:hanging="720"/>
        <w:jc w:val="both"/>
        <w:rPr>
          <w:rFonts w:ascii="Tahoma" w:hAnsi="Tahoma" w:cs="Tahoma"/>
          <w:i/>
          <w:sz w:val="24"/>
          <w:szCs w:val="24"/>
          <w:lang w:val="en-US"/>
        </w:rPr>
      </w:pPr>
    </w:p>
    <w:p w14:paraId="3E60409B" w14:textId="5E973DD7" w:rsidR="001B17C0" w:rsidRPr="001B17C0" w:rsidRDefault="001B17C0" w:rsidP="00340BCF">
      <w:pPr>
        <w:spacing w:after="0"/>
        <w:ind w:left="720" w:hanging="720"/>
        <w:jc w:val="both"/>
        <w:rPr>
          <w:rFonts w:ascii="Tahoma" w:hAnsi="Tahoma" w:cs="Tahoma"/>
          <w:iCs/>
          <w:sz w:val="24"/>
          <w:szCs w:val="24"/>
          <w:lang w:val="en-US"/>
        </w:rPr>
      </w:pPr>
      <w:r w:rsidRPr="00E63964">
        <w:rPr>
          <w:rFonts w:ascii="Tahoma" w:hAnsi="Tahoma" w:cs="Tahoma"/>
          <w:iCs/>
          <w:sz w:val="24"/>
          <w:szCs w:val="24"/>
          <w:lang w:val="en-US"/>
        </w:rPr>
        <w:t>5.1.2</w:t>
      </w:r>
      <w:r w:rsidRPr="00E63964">
        <w:rPr>
          <w:rFonts w:ascii="Tahoma" w:hAnsi="Tahoma" w:cs="Tahoma"/>
          <w:iCs/>
          <w:sz w:val="24"/>
          <w:szCs w:val="24"/>
          <w:lang w:val="en-US"/>
        </w:rPr>
        <w:tab/>
      </w:r>
      <w:r>
        <w:rPr>
          <w:rFonts w:ascii="Tahoma" w:hAnsi="Tahoma" w:cs="Tahoma"/>
          <w:iCs/>
          <w:sz w:val="24"/>
          <w:szCs w:val="24"/>
          <w:lang w:val="en-US"/>
        </w:rPr>
        <w:t xml:space="preserve">Strengthening of the ZWG remains fundamental to realizing the much-needed macroeconomic stability in the country. This calls for the need for the Reserve Bank to come up with measures to build public trust and confidence in the local currency. </w:t>
      </w:r>
    </w:p>
    <w:p w14:paraId="2F395C0B" w14:textId="77777777" w:rsidR="00340BCF" w:rsidRDefault="00340BCF" w:rsidP="00340BCF">
      <w:pPr>
        <w:spacing w:after="0"/>
        <w:ind w:left="720" w:hanging="720"/>
        <w:jc w:val="both"/>
        <w:rPr>
          <w:rFonts w:ascii="Tahoma" w:hAnsi="Tahoma" w:cs="Tahoma"/>
          <w:sz w:val="24"/>
          <w:szCs w:val="24"/>
          <w:lang w:val="en-US"/>
        </w:rPr>
      </w:pPr>
    </w:p>
    <w:p w14:paraId="468CD8CE" w14:textId="77777777" w:rsidR="001E6E33" w:rsidRPr="00F05BD5" w:rsidRDefault="00D51501" w:rsidP="00F05BD5">
      <w:pPr>
        <w:pStyle w:val="Heading2"/>
        <w:spacing w:before="0" w:after="240" w:line="240" w:lineRule="auto"/>
        <w:rPr>
          <w:rFonts w:cs="Tahoma"/>
          <w:b/>
          <w:bCs/>
          <w:szCs w:val="24"/>
          <w:lang w:val="en-US"/>
        </w:rPr>
      </w:pPr>
      <w:bookmarkStart w:id="34" w:name="_Toc182566285"/>
      <w:r w:rsidRPr="00F05BD5">
        <w:rPr>
          <w:rFonts w:cs="Tahoma"/>
          <w:b/>
          <w:color w:val="000000"/>
          <w:szCs w:val="24"/>
          <w:lang w:val="en-US"/>
        </w:rPr>
        <w:t>5.</w:t>
      </w:r>
      <w:r w:rsidR="001E6E33" w:rsidRPr="00F05BD5">
        <w:rPr>
          <w:rFonts w:cs="Tahoma"/>
          <w:b/>
          <w:color w:val="000000"/>
          <w:szCs w:val="24"/>
          <w:lang w:val="en-US"/>
        </w:rPr>
        <w:t>2</w:t>
      </w:r>
      <w:r w:rsidR="001E6E33" w:rsidRPr="00F05BD5">
        <w:rPr>
          <w:rFonts w:cs="Tahoma"/>
          <w:b/>
          <w:color w:val="000000"/>
          <w:szCs w:val="24"/>
          <w:lang w:val="en-US"/>
        </w:rPr>
        <w:tab/>
        <w:t>Parallel Market Developments</w:t>
      </w:r>
      <w:bookmarkEnd w:id="34"/>
      <w:r w:rsidR="001E6E33" w:rsidRPr="00F05BD5">
        <w:rPr>
          <w:rFonts w:cs="Tahoma"/>
          <w:b/>
          <w:color w:val="000000"/>
          <w:szCs w:val="24"/>
          <w:lang w:val="en-US"/>
        </w:rPr>
        <w:t xml:space="preserve"> </w:t>
      </w:r>
    </w:p>
    <w:p w14:paraId="24662344" w14:textId="1AA122D7" w:rsidR="00C10419" w:rsidRPr="00E05277" w:rsidRDefault="001E6E33" w:rsidP="00E05277">
      <w:pPr>
        <w:ind w:left="720" w:hanging="720"/>
        <w:jc w:val="both"/>
        <w:rPr>
          <w:rFonts w:ascii="Tahoma" w:hAnsi="Tahoma" w:cs="Tahoma"/>
          <w:sz w:val="24"/>
          <w:szCs w:val="24"/>
          <w:lang w:val="en-US"/>
        </w:rPr>
      </w:pPr>
      <w:r>
        <w:rPr>
          <w:rFonts w:ascii="Tahoma" w:hAnsi="Tahoma" w:cs="Tahoma"/>
          <w:sz w:val="24"/>
          <w:szCs w:val="24"/>
          <w:lang w:val="en-US"/>
        </w:rPr>
        <w:t>5.2.1</w:t>
      </w:r>
      <w:r>
        <w:rPr>
          <w:rFonts w:ascii="Tahoma" w:hAnsi="Tahoma" w:cs="Tahoma"/>
          <w:sz w:val="24"/>
          <w:szCs w:val="24"/>
          <w:lang w:val="en-US"/>
        </w:rPr>
        <w:tab/>
      </w:r>
      <w:r w:rsidR="00C017BF">
        <w:rPr>
          <w:rFonts w:ascii="Tahoma" w:hAnsi="Tahoma" w:cs="Tahoma"/>
          <w:sz w:val="24"/>
          <w:szCs w:val="24"/>
          <w:lang w:val="en-US"/>
        </w:rPr>
        <w:t xml:space="preserve">In October 2024, </w:t>
      </w:r>
      <w:r w:rsidR="00133028">
        <w:rPr>
          <w:rFonts w:ascii="Tahoma" w:hAnsi="Tahoma" w:cs="Tahoma"/>
          <w:sz w:val="24"/>
          <w:szCs w:val="24"/>
          <w:lang w:val="en-US"/>
        </w:rPr>
        <w:t>parallel market varied around USD/ZWG40</w:t>
      </w:r>
      <w:r w:rsidR="000C5E77">
        <w:rPr>
          <w:rFonts w:ascii="Tahoma" w:hAnsi="Tahoma" w:cs="Tahoma"/>
          <w:sz w:val="24"/>
          <w:szCs w:val="24"/>
          <w:lang w:val="en-US"/>
        </w:rPr>
        <w:t xml:space="preserve"> to </w:t>
      </w:r>
      <w:r w:rsidR="00133028">
        <w:rPr>
          <w:rFonts w:ascii="Tahoma" w:hAnsi="Tahoma" w:cs="Tahoma"/>
          <w:sz w:val="24"/>
          <w:szCs w:val="24"/>
          <w:lang w:val="en-US"/>
        </w:rPr>
        <w:t>45 while official exchange rate fluctuated around USD/ZWG25.13</w:t>
      </w:r>
      <w:r w:rsidR="000C5E77">
        <w:rPr>
          <w:rFonts w:ascii="Tahoma" w:hAnsi="Tahoma" w:cs="Tahoma"/>
          <w:sz w:val="24"/>
          <w:szCs w:val="24"/>
          <w:lang w:val="en-US"/>
        </w:rPr>
        <w:t xml:space="preserve"> to </w:t>
      </w:r>
      <w:r w:rsidR="00133028">
        <w:rPr>
          <w:rFonts w:ascii="Tahoma" w:hAnsi="Tahoma" w:cs="Tahoma"/>
          <w:sz w:val="24"/>
          <w:szCs w:val="24"/>
          <w:lang w:val="en-US"/>
        </w:rPr>
        <w:t xml:space="preserve">28.68 reducing parallel </w:t>
      </w:r>
      <w:r w:rsidR="00133028">
        <w:rPr>
          <w:rFonts w:ascii="Tahoma" w:hAnsi="Tahoma" w:cs="Tahoma"/>
          <w:sz w:val="24"/>
          <w:szCs w:val="24"/>
          <w:lang w:val="en-US"/>
        </w:rPr>
        <w:lastRenderedPageBreak/>
        <w:t xml:space="preserve">market premium from around 59% to around </w:t>
      </w:r>
      <w:r w:rsidR="000C5E77">
        <w:rPr>
          <w:rFonts w:ascii="Tahoma" w:hAnsi="Tahoma" w:cs="Tahoma"/>
          <w:sz w:val="24"/>
          <w:szCs w:val="24"/>
          <w:lang w:val="en-US"/>
        </w:rPr>
        <w:t>57</w:t>
      </w:r>
      <w:r w:rsidR="00133028">
        <w:rPr>
          <w:rFonts w:ascii="Tahoma" w:hAnsi="Tahoma" w:cs="Tahoma"/>
          <w:sz w:val="24"/>
          <w:szCs w:val="24"/>
          <w:lang w:val="en-US"/>
        </w:rPr>
        <w:t>%</w:t>
      </w:r>
      <w:r w:rsidR="000C5E77">
        <w:rPr>
          <w:rFonts w:ascii="Tahoma" w:hAnsi="Tahoma" w:cs="Tahoma"/>
          <w:sz w:val="24"/>
          <w:szCs w:val="24"/>
          <w:lang w:val="en-US"/>
        </w:rPr>
        <w:t xml:space="preserve"> (see Figure 3). </w:t>
      </w:r>
      <w:r w:rsidR="00133028">
        <w:rPr>
          <w:rFonts w:ascii="Tahoma" w:hAnsi="Tahoma" w:cs="Tahoma"/>
          <w:sz w:val="24"/>
          <w:szCs w:val="24"/>
          <w:lang w:val="en-US"/>
        </w:rPr>
        <w:t xml:space="preserve"> </w:t>
      </w:r>
      <w:r w:rsidR="00917258">
        <w:rPr>
          <w:rFonts w:ascii="Tahoma" w:hAnsi="Tahoma" w:cs="Tahoma"/>
          <w:sz w:val="24"/>
          <w:szCs w:val="24"/>
          <w:lang w:val="en-US"/>
        </w:rPr>
        <w:t>The continued disparit</w:t>
      </w:r>
      <w:r w:rsidR="000C5E77">
        <w:rPr>
          <w:rFonts w:ascii="Tahoma" w:hAnsi="Tahoma" w:cs="Tahoma"/>
          <w:sz w:val="24"/>
          <w:szCs w:val="24"/>
          <w:lang w:val="en-US"/>
        </w:rPr>
        <w:t>y</w:t>
      </w:r>
      <w:r w:rsidR="00917258">
        <w:rPr>
          <w:rFonts w:ascii="Tahoma" w:hAnsi="Tahoma" w:cs="Tahoma"/>
          <w:sz w:val="24"/>
          <w:szCs w:val="24"/>
          <w:lang w:val="en-US"/>
        </w:rPr>
        <w:t xml:space="preserve"> between the two exchange rates </w:t>
      </w:r>
      <w:proofErr w:type="gramStart"/>
      <w:r w:rsidR="00917258">
        <w:rPr>
          <w:rFonts w:ascii="Tahoma" w:hAnsi="Tahoma" w:cs="Tahoma"/>
          <w:sz w:val="24"/>
          <w:szCs w:val="24"/>
          <w:lang w:val="en-US"/>
        </w:rPr>
        <w:t>points</w:t>
      </w:r>
      <w:proofErr w:type="gramEnd"/>
      <w:r w:rsidR="00917258">
        <w:rPr>
          <w:rFonts w:ascii="Tahoma" w:hAnsi="Tahoma" w:cs="Tahoma"/>
          <w:sz w:val="24"/>
          <w:szCs w:val="24"/>
          <w:lang w:val="en-US"/>
        </w:rPr>
        <w:t xml:space="preserve"> to lack of </w:t>
      </w:r>
      <w:r w:rsidR="000C5E77">
        <w:rPr>
          <w:rFonts w:ascii="Tahoma" w:hAnsi="Tahoma" w:cs="Tahoma"/>
          <w:sz w:val="24"/>
          <w:szCs w:val="24"/>
          <w:lang w:val="en-US"/>
        </w:rPr>
        <w:t xml:space="preserve">public </w:t>
      </w:r>
      <w:r w:rsidR="00917258">
        <w:rPr>
          <w:rFonts w:ascii="Tahoma" w:hAnsi="Tahoma" w:cs="Tahoma"/>
          <w:sz w:val="24"/>
          <w:szCs w:val="24"/>
          <w:lang w:val="en-US"/>
        </w:rPr>
        <w:t xml:space="preserve">trust </w:t>
      </w:r>
      <w:r w:rsidR="000C5E77">
        <w:rPr>
          <w:rFonts w:ascii="Tahoma" w:hAnsi="Tahoma" w:cs="Tahoma"/>
          <w:sz w:val="24"/>
          <w:szCs w:val="24"/>
          <w:lang w:val="en-US"/>
        </w:rPr>
        <w:t xml:space="preserve">and confidence </w:t>
      </w:r>
      <w:r w:rsidR="00917258">
        <w:rPr>
          <w:rFonts w:ascii="Tahoma" w:hAnsi="Tahoma" w:cs="Tahoma"/>
          <w:sz w:val="24"/>
          <w:szCs w:val="24"/>
          <w:lang w:val="en-US"/>
        </w:rPr>
        <w:t xml:space="preserve">in the </w:t>
      </w:r>
      <w:r w:rsidR="000C5E77">
        <w:rPr>
          <w:rFonts w:ascii="Tahoma" w:hAnsi="Tahoma" w:cs="Tahoma"/>
          <w:sz w:val="24"/>
          <w:szCs w:val="24"/>
          <w:lang w:val="en-US"/>
        </w:rPr>
        <w:t xml:space="preserve">local currency. </w:t>
      </w:r>
      <w:r w:rsidR="00917258">
        <w:rPr>
          <w:rFonts w:ascii="Tahoma" w:hAnsi="Tahoma" w:cs="Tahoma"/>
          <w:sz w:val="24"/>
          <w:szCs w:val="24"/>
          <w:lang w:val="en-US"/>
        </w:rPr>
        <w:t xml:space="preserve"> </w:t>
      </w:r>
    </w:p>
    <w:p w14:paraId="7D63A5AA" w14:textId="77777777" w:rsidR="00B36D27" w:rsidRPr="00B36D27" w:rsidRDefault="00632EC8" w:rsidP="00F05BD5">
      <w:pPr>
        <w:pStyle w:val="ListofFigures"/>
      </w:pPr>
      <w:bookmarkStart w:id="35" w:name="_Toc181785688"/>
      <w:r>
        <w:t xml:space="preserve">Figure </w:t>
      </w:r>
      <w:r w:rsidR="00C017BF">
        <w:t>3</w:t>
      </w:r>
      <w:r w:rsidR="00B36D27">
        <w:t xml:space="preserve"> : </w:t>
      </w:r>
      <w:r w:rsidR="00C10419">
        <w:t xml:space="preserve">Parallel Market Developments - </w:t>
      </w:r>
      <w:r w:rsidR="00EB11EA">
        <w:t>October</w:t>
      </w:r>
      <w:r w:rsidR="004B2536">
        <w:t xml:space="preserve"> 2024</w:t>
      </w:r>
      <w:bookmarkEnd w:id="35"/>
      <w:r w:rsidR="004B2536">
        <w:t xml:space="preserve"> </w:t>
      </w:r>
    </w:p>
    <w:p w14:paraId="72D77346" w14:textId="401E01B5" w:rsidR="00FD0116" w:rsidRPr="00863A17" w:rsidRDefault="00664692" w:rsidP="00A60CE8">
      <w:pPr>
        <w:spacing w:after="0"/>
        <w:ind w:left="720" w:hanging="720"/>
        <w:jc w:val="both"/>
        <w:rPr>
          <w:rFonts w:ascii="Tahoma" w:hAnsi="Tahoma" w:cs="Tahoma"/>
          <w:sz w:val="24"/>
          <w:szCs w:val="24"/>
          <w:lang w:val="en-US"/>
        </w:rPr>
      </w:pPr>
      <w:r w:rsidRPr="0041351D">
        <w:rPr>
          <w:noProof/>
        </w:rPr>
        <w:drawing>
          <wp:inline distT="0" distB="0" distL="0" distR="0" wp14:anchorId="37FDFA17" wp14:editId="1C1E04EB">
            <wp:extent cx="5732145" cy="3038475"/>
            <wp:effectExtent l="0" t="0" r="1905" b="9525"/>
            <wp:docPr id="8"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E6E42D5" w14:textId="77777777" w:rsidR="00AB120F" w:rsidRPr="00340BCF" w:rsidRDefault="007B4687" w:rsidP="00340BCF">
      <w:pPr>
        <w:rPr>
          <w:rFonts w:ascii="Tahoma" w:hAnsi="Tahoma" w:cs="Tahoma"/>
          <w:i/>
          <w:sz w:val="24"/>
          <w:szCs w:val="24"/>
        </w:rPr>
      </w:pPr>
      <w:bookmarkStart w:id="36" w:name="_Toc164072364"/>
      <w:bookmarkStart w:id="37" w:name="_Toc166658891"/>
      <w:r>
        <w:rPr>
          <w:rFonts w:ascii="Tahoma" w:hAnsi="Tahoma" w:cs="Tahoma"/>
          <w:i/>
          <w:sz w:val="24"/>
          <w:szCs w:val="24"/>
        </w:rPr>
        <w:t xml:space="preserve">Source: RBZ and Harare </w:t>
      </w:r>
      <w:r w:rsidR="00EE71C0">
        <w:rPr>
          <w:rFonts w:ascii="Tahoma" w:hAnsi="Tahoma" w:cs="Tahoma"/>
          <w:i/>
          <w:sz w:val="24"/>
          <w:szCs w:val="24"/>
        </w:rPr>
        <w:t>S</w:t>
      </w:r>
      <w:r>
        <w:rPr>
          <w:rFonts w:ascii="Tahoma" w:hAnsi="Tahoma" w:cs="Tahoma"/>
          <w:i/>
          <w:sz w:val="24"/>
          <w:szCs w:val="24"/>
        </w:rPr>
        <w:t>treets</w:t>
      </w:r>
      <w:r w:rsidR="00AB120F" w:rsidRPr="004149E4">
        <w:rPr>
          <w:rFonts w:ascii="Tahoma" w:hAnsi="Tahoma" w:cs="Tahoma"/>
          <w:i/>
          <w:sz w:val="24"/>
          <w:szCs w:val="24"/>
        </w:rPr>
        <w:t xml:space="preserve"> (2024)</w:t>
      </w:r>
    </w:p>
    <w:p w14:paraId="7706CFB3" w14:textId="77777777" w:rsidR="00C65CC6" w:rsidRPr="00863A17" w:rsidRDefault="004C7E36" w:rsidP="003C1D2F">
      <w:pPr>
        <w:pStyle w:val="Heading2"/>
        <w:spacing w:before="0" w:after="240" w:line="240" w:lineRule="auto"/>
        <w:rPr>
          <w:rFonts w:cs="Tahoma"/>
          <w:b/>
          <w:color w:val="000000"/>
          <w:szCs w:val="24"/>
          <w:lang w:val="en-US"/>
        </w:rPr>
      </w:pPr>
      <w:bookmarkStart w:id="38" w:name="_Toc166607897"/>
      <w:bookmarkStart w:id="39" w:name="_Toc182566286"/>
      <w:bookmarkEnd w:id="36"/>
      <w:bookmarkEnd w:id="37"/>
      <w:r w:rsidRPr="00863A17">
        <w:rPr>
          <w:rFonts w:cs="Tahoma"/>
          <w:b/>
          <w:color w:val="000000"/>
          <w:szCs w:val="24"/>
          <w:lang w:val="en-US"/>
        </w:rPr>
        <w:t>5.</w:t>
      </w:r>
      <w:r w:rsidR="00F05BD5">
        <w:rPr>
          <w:rFonts w:cs="Tahoma"/>
          <w:b/>
          <w:color w:val="000000"/>
          <w:szCs w:val="24"/>
          <w:lang w:val="en-US"/>
        </w:rPr>
        <w:t>3</w:t>
      </w:r>
      <w:r w:rsidRPr="00863A17">
        <w:rPr>
          <w:rFonts w:cs="Tahoma"/>
          <w:b/>
          <w:color w:val="000000"/>
          <w:szCs w:val="24"/>
          <w:lang w:val="en-US"/>
        </w:rPr>
        <w:tab/>
      </w:r>
      <w:r w:rsidR="00EF25BB" w:rsidRPr="00863A17">
        <w:rPr>
          <w:rFonts w:cs="Tahoma"/>
          <w:b/>
          <w:color w:val="000000"/>
          <w:szCs w:val="24"/>
          <w:lang w:val="en-US"/>
        </w:rPr>
        <w:t>Cross Rate Developments</w:t>
      </w:r>
      <w:bookmarkEnd w:id="38"/>
      <w:bookmarkEnd w:id="39"/>
      <w:r w:rsidR="00EF25BB" w:rsidRPr="00863A17">
        <w:rPr>
          <w:rFonts w:cs="Tahoma"/>
          <w:b/>
          <w:color w:val="000000"/>
          <w:szCs w:val="24"/>
          <w:lang w:val="en-US"/>
        </w:rPr>
        <w:t xml:space="preserve"> </w:t>
      </w:r>
    </w:p>
    <w:p w14:paraId="5B5AFC90" w14:textId="6683424B" w:rsidR="00C65CC6" w:rsidRDefault="004C7E36" w:rsidP="004C7E36">
      <w:pPr>
        <w:ind w:left="720" w:hanging="720"/>
        <w:jc w:val="both"/>
        <w:rPr>
          <w:rFonts w:ascii="Tahoma" w:hAnsi="Tahoma" w:cs="Tahoma"/>
          <w:sz w:val="24"/>
          <w:szCs w:val="24"/>
          <w:lang w:val="en-US"/>
        </w:rPr>
      </w:pPr>
      <w:r w:rsidRPr="00863A17">
        <w:rPr>
          <w:rFonts w:ascii="Tahoma" w:hAnsi="Tahoma" w:cs="Tahoma"/>
          <w:sz w:val="24"/>
          <w:szCs w:val="24"/>
          <w:lang w:val="en-US"/>
        </w:rPr>
        <w:t>5.</w:t>
      </w:r>
      <w:r w:rsidR="00F05BD5">
        <w:rPr>
          <w:rFonts w:ascii="Tahoma" w:hAnsi="Tahoma" w:cs="Tahoma"/>
          <w:sz w:val="24"/>
          <w:szCs w:val="24"/>
          <w:lang w:val="en-US"/>
        </w:rPr>
        <w:t>3</w:t>
      </w:r>
      <w:r w:rsidRPr="00863A17">
        <w:rPr>
          <w:rFonts w:ascii="Tahoma" w:hAnsi="Tahoma" w:cs="Tahoma"/>
          <w:sz w:val="24"/>
          <w:szCs w:val="24"/>
          <w:lang w:val="en-US"/>
        </w:rPr>
        <w:t>.1</w:t>
      </w:r>
      <w:r w:rsidRPr="00863A17">
        <w:rPr>
          <w:rFonts w:ascii="Tahoma" w:hAnsi="Tahoma" w:cs="Tahoma"/>
          <w:sz w:val="24"/>
          <w:szCs w:val="24"/>
          <w:lang w:val="en-US"/>
        </w:rPr>
        <w:tab/>
      </w:r>
      <w:r w:rsidR="00EB11EA">
        <w:rPr>
          <w:rFonts w:ascii="Tahoma" w:hAnsi="Tahoma" w:cs="Tahoma"/>
          <w:sz w:val="24"/>
          <w:szCs w:val="24"/>
          <w:lang w:val="en-US"/>
        </w:rPr>
        <w:t>During the month under review, the</w:t>
      </w:r>
      <w:r w:rsidR="00EF25BB" w:rsidRPr="002E6010">
        <w:rPr>
          <w:rFonts w:ascii="Tahoma" w:hAnsi="Tahoma" w:cs="Tahoma"/>
          <w:sz w:val="24"/>
          <w:szCs w:val="24"/>
          <w:lang w:val="en-US"/>
        </w:rPr>
        <w:t xml:space="preserve"> USD</w:t>
      </w:r>
      <w:r w:rsidR="00EB11EA">
        <w:rPr>
          <w:rFonts w:ascii="Tahoma" w:hAnsi="Tahoma" w:cs="Tahoma"/>
          <w:sz w:val="24"/>
          <w:szCs w:val="24"/>
          <w:lang w:val="en-US"/>
        </w:rPr>
        <w:t xml:space="preserve"> gained</w:t>
      </w:r>
      <w:r w:rsidR="00C846A6">
        <w:rPr>
          <w:rFonts w:ascii="Tahoma" w:hAnsi="Tahoma" w:cs="Tahoma"/>
          <w:sz w:val="24"/>
          <w:szCs w:val="24"/>
          <w:lang w:val="en-US"/>
        </w:rPr>
        <w:t xml:space="preserve"> value</w:t>
      </w:r>
      <w:r w:rsidR="00623F3A">
        <w:rPr>
          <w:rFonts w:ascii="Tahoma" w:hAnsi="Tahoma" w:cs="Tahoma"/>
          <w:sz w:val="24"/>
          <w:szCs w:val="24"/>
          <w:lang w:val="en-US"/>
        </w:rPr>
        <w:t xml:space="preserve"> against the GBP, </w:t>
      </w:r>
      <w:r w:rsidR="00253FAC">
        <w:rPr>
          <w:rFonts w:ascii="Tahoma" w:hAnsi="Tahoma" w:cs="Tahoma"/>
          <w:sz w:val="24"/>
          <w:szCs w:val="24"/>
          <w:lang w:val="en-US"/>
        </w:rPr>
        <w:t>EUR</w:t>
      </w:r>
      <w:r w:rsidR="00623F3A">
        <w:rPr>
          <w:rFonts w:ascii="Tahoma" w:hAnsi="Tahoma" w:cs="Tahoma"/>
          <w:sz w:val="24"/>
          <w:szCs w:val="24"/>
          <w:lang w:val="en-US"/>
        </w:rPr>
        <w:t xml:space="preserve"> and ZAR</w:t>
      </w:r>
      <w:r w:rsidR="00C846A6">
        <w:rPr>
          <w:rFonts w:ascii="Tahoma" w:hAnsi="Tahoma" w:cs="Tahoma"/>
          <w:sz w:val="24"/>
          <w:szCs w:val="24"/>
          <w:lang w:val="en-US"/>
        </w:rPr>
        <w:t xml:space="preserve"> </w:t>
      </w:r>
      <w:r w:rsidR="00652559">
        <w:rPr>
          <w:rFonts w:ascii="Tahoma" w:hAnsi="Tahoma" w:cs="Tahoma"/>
          <w:sz w:val="24"/>
          <w:szCs w:val="24"/>
          <w:lang w:val="en-US"/>
        </w:rPr>
        <w:t xml:space="preserve">by </w:t>
      </w:r>
      <w:r w:rsidR="00EB11EA">
        <w:rPr>
          <w:rFonts w:ascii="Tahoma" w:hAnsi="Tahoma" w:cs="Tahoma"/>
          <w:sz w:val="24"/>
          <w:szCs w:val="24"/>
          <w:lang w:val="en-US"/>
        </w:rPr>
        <w:t>3.37</w:t>
      </w:r>
      <w:r w:rsidR="00652559">
        <w:rPr>
          <w:rFonts w:ascii="Tahoma" w:hAnsi="Tahoma" w:cs="Tahoma"/>
          <w:sz w:val="24"/>
          <w:szCs w:val="24"/>
          <w:lang w:val="en-US"/>
        </w:rPr>
        <w:t xml:space="preserve">%, </w:t>
      </w:r>
      <w:r w:rsidR="00EB11EA">
        <w:rPr>
          <w:rFonts w:ascii="Tahoma" w:hAnsi="Tahoma" w:cs="Tahoma"/>
          <w:sz w:val="24"/>
          <w:szCs w:val="24"/>
          <w:lang w:val="en-US"/>
        </w:rPr>
        <w:t>2.91</w:t>
      </w:r>
      <w:r w:rsidR="00652559">
        <w:rPr>
          <w:rFonts w:ascii="Tahoma" w:hAnsi="Tahoma" w:cs="Tahoma"/>
          <w:sz w:val="24"/>
          <w:szCs w:val="24"/>
          <w:lang w:val="en-US"/>
        </w:rPr>
        <w:t>% and 3.</w:t>
      </w:r>
      <w:r w:rsidR="00EB11EA">
        <w:rPr>
          <w:rFonts w:ascii="Tahoma" w:hAnsi="Tahoma" w:cs="Tahoma"/>
          <w:sz w:val="24"/>
          <w:szCs w:val="24"/>
          <w:lang w:val="en-US"/>
        </w:rPr>
        <w:t>49%</w:t>
      </w:r>
      <w:r w:rsidR="00652559">
        <w:rPr>
          <w:rFonts w:ascii="Tahoma" w:hAnsi="Tahoma" w:cs="Tahoma"/>
          <w:sz w:val="24"/>
          <w:szCs w:val="24"/>
          <w:lang w:val="en-US"/>
        </w:rPr>
        <w:t xml:space="preserve"> respectively,</w:t>
      </w:r>
      <w:r w:rsidR="00EB11EA">
        <w:rPr>
          <w:rFonts w:ascii="Tahoma" w:hAnsi="Tahoma" w:cs="Tahoma"/>
          <w:sz w:val="24"/>
          <w:szCs w:val="24"/>
          <w:lang w:val="en-US"/>
        </w:rPr>
        <w:t xml:space="preserve"> however, it lost against the GBP, EUR and ZAR on a YtD and YoY basis,</w:t>
      </w:r>
      <w:r w:rsidR="00652559">
        <w:rPr>
          <w:rFonts w:ascii="Tahoma" w:hAnsi="Tahoma" w:cs="Tahoma"/>
          <w:sz w:val="24"/>
          <w:szCs w:val="24"/>
          <w:lang w:val="en-US"/>
        </w:rPr>
        <w:t xml:space="preserve"> </w:t>
      </w:r>
      <w:r w:rsidR="00623F3A">
        <w:rPr>
          <w:rFonts w:ascii="Tahoma" w:hAnsi="Tahoma" w:cs="Tahoma"/>
          <w:sz w:val="24"/>
          <w:szCs w:val="24"/>
          <w:lang w:val="en-US"/>
        </w:rPr>
        <w:t>see Table 4</w:t>
      </w:r>
      <w:r w:rsidR="00EB11EA">
        <w:rPr>
          <w:rFonts w:ascii="Tahoma" w:hAnsi="Tahoma" w:cs="Tahoma"/>
          <w:sz w:val="24"/>
          <w:szCs w:val="24"/>
          <w:lang w:val="en-US"/>
        </w:rPr>
        <w:t>.</w:t>
      </w:r>
      <w:r w:rsidR="009034D4">
        <w:rPr>
          <w:rFonts w:ascii="Tahoma" w:hAnsi="Tahoma" w:cs="Tahoma"/>
          <w:sz w:val="24"/>
          <w:szCs w:val="24"/>
          <w:lang w:val="en-US"/>
        </w:rPr>
        <w:t xml:space="preserve"> </w:t>
      </w:r>
    </w:p>
    <w:p w14:paraId="4C9807F0" w14:textId="77777777" w:rsidR="00E664AA" w:rsidRPr="00E664AA" w:rsidRDefault="003C1D2F" w:rsidP="00E664AA">
      <w:pPr>
        <w:pStyle w:val="ListofTables"/>
        <w:rPr>
          <w:lang w:val="en-US"/>
        </w:rPr>
      </w:pPr>
      <w:bookmarkStart w:id="40" w:name="_Toc164072365"/>
      <w:bookmarkStart w:id="41" w:name="_Toc166658892"/>
      <w:bookmarkStart w:id="42" w:name="_Toc181785782"/>
      <w:r w:rsidRPr="00863A17">
        <w:t xml:space="preserve">Table </w:t>
      </w:r>
      <w:r w:rsidR="00A72F1B">
        <w:t>4</w:t>
      </w:r>
      <w:r w:rsidRPr="00863A17">
        <w:t xml:space="preserve">: </w:t>
      </w:r>
      <w:r w:rsidRPr="00863A17">
        <w:rPr>
          <w:lang w:val="en-US"/>
        </w:rPr>
        <w:t xml:space="preserve">USD Exchange Rate Movements – </w:t>
      </w:r>
      <w:r w:rsidR="00642C66" w:rsidRPr="00863A17">
        <w:rPr>
          <w:lang w:val="en-US"/>
        </w:rPr>
        <w:t>Month</w:t>
      </w:r>
      <w:r w:rsidRPr="00863A17">
        <w:rPr>
          <w:lang w:val="en-US"/>
        </w:rPr>
        <w:t xml:space="preserve"> Ended </w:t>
      </w:r>
      <w:r w:rsidR="006C1DD6">
        <w:rPr>
          <w:lang w:val="en-US"/>
        </w:rPr>
        <w:t>3</w:t>
      </w:r>
      <w:r w:rsidR="00EB11EA">
        <w:rPr>
          <w:lang w:val="en-US"/>
        </w:rPr>
        <w:t>1</w:t>
      </w:r>
      <w:r w:rsidR="006C1DD6">
        <w:rPr>
          <w:lang w:val="en-US"/>
        </w:rPr>
        <w:t xml:space="preserve"> </w:t>
      </w:r>
      <w:r w:rsidR="00EB11EA">
        <w:rPr>
          <w:lang w:val="en-US"/>
        </w:rPr>
        <w:t>October</w:t>
      </w:r>
      <w:r w:rsidRPr="00863A17">
        <w:rPr>
          <w:lang w:val="en-US"/>
        </w:rPr>
        <w:t xml:space="preserve"> 202</w:t>
      </w:r>
      <w:r w:rsidR="00642C66" w:rsidRPr="00863A17">
        <w:rPr>
          <w:lang w:val="en-US"/>
        </w:rPr>
        <w:t>4</w:t>
      </w:r>
      <w:bookmarkEnd w:id="40"/>
      <w:bookmarkEnd w:id="41"/>
      <w:bookmarkEnd w:id="42"/>
    </w:p>
    <w:p w14:paraId="7F75640A" w14:textId="31897711" w:rsidR="00E664AA" w:rsidRPr="00863A17" w:rsidRDefault="00664692" w:rsidP="00CB6A80">
      <w:pPr>
        <w:spacing w:after="0"/>
        <w:rPr>
          <w:rFonts w:ascii="Tahoma" w:hAnsi="Tahoma" w:cs="Tahoma"/>
          <w:sz w:val="24"/>
          <w:szCs w:val="24"/>
          <w:lang w:val="en-US"/>
        </w:rPr>
      </w:pPr>
      <w:r w:rsidRPr="00EB11EA">
        <w:rPr>
          <w:noProof/>
        </w:rPr>
        <w:drawing>
          <wp:inline distT="0" distB="0" distL="0" distR="0" wp14:anchorId="2570131B" wp14:editId="15B3E5F4">
            <wp:extent cx="5734050" cy="129540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1295400"/>
                    </a:xfrm>
                    <a:prstGeom prst="rect">
                      <a:avLst/>
                    </a:prstGeom>
                    <a:noFill/>
                    <a:ln>
                      <a:noFill/>
                    </a:ln>
                  </pic:spPr>
                </pic:pic>
              </a:graphicData>
            </a:graphic>
          </wp:inline>
        </w:drawing>
      </w:r>
    </w:p>
    <w:p w14:paraId="558BDC60" w14:textId="77777777" w:rsidR="00184FA3" w:rsidRDefault="004C7E36">
      <w:pPr>
        <w:rPr>
          <w:rFonts w:ascii="Tahoma" w:hAnsi="Tahoma" w:cs="Tahoma"/>
          <w:i/>
          <w:sz w:val="24"/>
          <w:szCs w:val="24"/>
          <w:lang w:val="en-US"/>
        </w:rPr>
      </w:pPr>
      <w:r w:rsidRPr="00863A17">
        <w:rPr>
          <w:rFonts w:ascii="Tahoma" w:hAnsi="Tahoma" w:cs="Tahoma"/>
          <w:i/>
          <w:sz w:val="24"/>
          <w:szCs w:val="24"/>
          <w:lang w:val="en-US"/>
        </w:rPr>
        <w:t xml:space="preserve">Source: </w:t>
      </w:r>
      <w:r w:rsidR="006F52AC" w:rsidRPr="00863A17">
        <w:rPr>
          <w:rFonts w:ascii="Tahoma" w:hAnsi="Tahoma" w:cs="Tahoma"/>
          <w:i/>
          <w:sz w:val="24"/>
          <w:szCs w:val="24"/>
          <w:lang w:val="en-US"/>
        </w:rPr>
        <w:t>RBZ</w:t>
      </w:r>
      <w:r w:rsidRPr="00863A17">
        <w:rPr>
          <w:rFonts w:ascii="Tahoma" w:hAnsi="Tahoma" w:cs="Tahoma"/>
          <w:i/>
          <w:sz w:val="24"/>
          <w:szCs w:val="24"/>
          <w:lang w:val="en-US"/>
        </w:rPr>
        <w:t xml:space="preserve"> (202</w:t>
      </w:r>
      <w:r w:rsidR="006F52AC" w:rsidRPr="00863A17">
        <w:rPr>
          <w:rFonts w:ascii="Tahoma" w:hAnsi="Tahoma" w:cs="Tahoma"/>
          <w:i/>
          <w:sz w:val="24"/>
          <w:szCs w:val="24"/>
          <w:lang w:val="en-US"/>
        </w:rPr>
        <w:t>4</w:t>
      </w:r>
      <w:r w:rsidRPr="00863A17">
        <w:rPr>
          <w:rFonts w:ascii="Tahoma" w:hAnsi="Tahoma" w:cs="Tahoma"/>
          <w:i/>
          <w:sz w:val="24"/>
          <w:szCs w:val="24"/>
          <w:lang w:val="en-US"/>
        </w:rPr>
        <w:t>)</w:t>
      </w:r>
    </w:p>
    <w:p w14:paraId="51CCD863" w14:textId="1DDDB2D8" w:rsidR="000C5E77" w:rsidRPr="00E63964" w:rsidRDefault="000C5E77" w:rsidP="00E63964">
      <w:pPr>
        <w:ind w:left="720" w:hanging="720"/>
        <w:jc w:val="both"/>
        <w:rPr>
          <w:rFonts w:ascii="Tahoma" w:hAnsi="Tahoma" w:cs="Tahoma"/>
          <w:iCs/>
          <w:sz w:val="24"/>
          <w:szCs w:val="24"/>
          <w:lang w:val="en-US"/>
        </w:rPr>
      </w:pPr>
      <w:r>
        <w:rPr>
          <w:rFonts w:ascii="Tahoma" w:hAnsi="Tahoma" w:cs="Tahoma"/>
          <w:iCs/>
          <w:sz w:val="24"/>
          <w:szCs w:val="24"/>
          <w:lang w:val="en-US"/>
        </w:rPr>
        <w:t>5.3.2</w:t>
      </w:r>
      <w:r>
        <w:rPr>
          <w:rFonts w:ascii="Tahoma" w:hAnsi="Tahoma" w:cs="Tahoma"/>
          <w:iCs/>
          <w:sz w:val="24"/>
          <w:szCs w:val="24"/>
          <w:lang w:val="en-US"/>
        </w:rPr>
        <w:tab/>
      </w:r>
      <w:r>
        <w:rPr>
          <w:rFonts w:ascii="Tahoma" w:hAnsi="Tahoma" w:cs="Tahoma"/>
          <w:sz w:val="24"/>
          <w:szCs w:val="24"/>
          <w:lang w:val="en-US"/>
        </w:rPr>
        <w:t xml:space="preserve">The </w:t>
      </w:r>
      <w:r>
        <w:rPr>
          <w:rFonts w:ascii="Tahoma" w:hAnsi="Tahoma" w:cs="Tahoma"/>
          <w:sz w:val="24"/>
          <w:szCs w:val="24"/>
          <w:lang w:val="en-US"/>
        </w:rPr>
        <w:t>a</w:t>
      </w:r>
      <w:r>
        <w:rPr>
          <w:rFonts w:ascii="Tahoma" w:hAnsi="Tahoma" w:cs="Tahoma"/>
          <w:sz w:val="24"/>
          <w:szCs w:val="24"/>
          <w:lang w:val="en-US"/>
        </w:rPr>
        <w:t>ppreciation of USD against the ZAR</w:t>
      </w:r>
      <w:r>
        <w:rPr>
          <w:rFonts w:ascii="Tahoma" w:hAnsi="Tahoma" w:cs="Tahoma"/>
          <w:sz w:val="24"/>
          <w:szCs w:val="24"/>
          <w:lang w:val="en-US"/>
        </w:rPr>
        <w:t xml:space="preserve"> during the month</w:t>
      </w:r>
      <w:r>
        <w:rPr>
          <w:rFonts w:ascii="Tahoma" w:hAnsi="Tahoma" w:cs="Tahoma"/>
          <w:sz w:val="24"/>
          <w:szCs w:val="24"/>
          <w:lang w:val="en-US"/>
        </w:rPr>
        <w:t xml:space="preserve">, discourages </w:t>
      </w:r>
      <w:r>
        <w:rPr>
          <w:rFonts w:ascii="Tahoma" w:hAnsi="Tahoma" w:cs="Tahoma"/>
          <w:sz w:val="24"/>
          <w:szCs w:val="24"/>
          <w:lang w:val="en-US"/>
        </w:rPr>
        <w:t xml:space="preserve">the country’s </w:t>
      </w:r>
      <w:r>
        <w:rPr>
          <w:rFonts w:ascii="Tahoma" w:hAnsi="Tahoma" w:cs="Tahoma"/>
          <w:sz w:val="24"/>
          <w:szCs w:val="24"/>
          <w:lang w:val="en-US"/>
        </w:rPr>
        <w:t>exports</w:t>
      </w:r>
      <w:r>
        <w:rPr>
          <w:rFonts w:ascii="Tahoma" w:hAnsi="Tahoma" w:cs="Tahoma"/>
          <w:sz w:val="24"/>
          <w:szCs w:val="24"/>
          <w:lang w:val="en-US"/>
        </w:rPr>
        <w:t xml:space="preserve"> to South Africa. </w:t>
      </w:r>
    </w:p>
    <w:p w14:paraId="71923BBE" w14:textId="77777777" w:rsidR="00184FA3" w:rsidRPr="00A64F64" w:rsidRDefault="004C7E36" w:rsidP="003C1D2F">
      <w:pPr>
        <w:pStyle w:val="Heading1"/>
        <w:spacing w:before="0" w:after="240" w:line="240" w:lineRule="auto"/>
        <w:rPr>
          <w:rFonts w:cs="Tahoma"/>
          <w:bCs/>
          <w:color w:val="000000"/>
          <w:szCs w:val="24"/>
          <w:lang w:val="en-US"/>
        </w:rPr>
      </w:pPr>
      <w:bookmarkStart w:id="43" w:name="_Toc166607898"/>
      <w:bookmarkStart w:id="44" w:name="_Toc182566287"/>
      <w:r w:rsidRPr="00A64F64">
        <w:rPr>
          <w:rFonts w:cs="Tahoma"/>
          <w:bCs/>
          <w:color w:val="000000"/>
          <w:szCs w:val="24"/>
          <w:lang w:val="en-US"/>
        </w:rPr>
        <w:t>6.0</w:t>
      </w:r>
      <w:r w:rsidRPr="00A64F64">
        <w:rPr>
          <w:rFonts w:cs="Tahoma"/>
          <w:bCs/>
          <w:color w:val="000000"/>
          <w:szCs w:val="24"/>
          <w:lang w:val="en-US"/>
        </w:rPr>
        <w:tab/>
      </w:r>
      <w:r w:rsidR="00184FA3" w:rsidRPr="00A64F64">
        <w:rPr>
          <w:rFonts w:cs="Tahoma"/>
          <w:bCs/>
          <w:color w:val="000000"/>
          <w:szCs w:val="24"/>
          <w:lang w:val="en-US"/>
        </w:rPr>
        <w:t>Inflation Developments</w:t>
      </w:r>
      <w:bookmarkEnd w:id="43"/>
      <w:bookmarkEnd w:id="44"/>
      <w:r w:rsidR="00184FA3" w:rsidRPr="00A64F64">
        <w:rPr>
          <w:rFonts w:cs="Tahoma"/>
          <w:bCs/>
          <w:color w:val="000000"/>
          <w:szCs w:val="24"/>
          <w:lang w:val="en-US"/>
        </w:rPr>
        <w:t xml:space="preserve"> </w:t>
      </w:r>
    </w:p>
    <w:p w14:paraId="120AE54F" w14:textId="12FA824A" w:rsidR="005D4799" w:rsidRPr="00340BCF" w:rsidRDefault="00744659" w:rsidP="00340BCF">
      <w:pPr>
        <w:ind w:left="720" w:hanging="720"/>
        <w:jc w:val="both"/>
        <w:rPr>
          <w:rFonts w:ascii="Tahoma" w:hAnsi="Tahoma" w:cs="Tahoma"/>
          <w:sz w:val="24"/>
          <w:szCs w:val="24"/>
        </w:rPr>
      </w:pPr>
      <w:r w:rsidRPr="00744659">
        <w:rPr>
          <w:rFonts w:ascii="Tahoma" w:hAnsi="Tahoma" w:cs="Tahoma"/>
          <w:sz w:val="24"/>
          <w:szCs w:val="24"/>
        </w:rPr>
        <w:t>6.</w:t>
      </w:r>
      <w:r w:rsidR="00106F16">
        <w:rPr>
          <w:rFonts w:ascii="Tahoma" w:hAnsi="Tahoma" w:cs="Tahoma"/>
          <w:sz w:val="24"/>
          <w:szCs w:val="24"/>
        </w:rPr>
        <w:t>1</w:t>
      </w:r>
      <w:r w:rsidRPr="00744659">
        <w:rPr>
          <w:rFonts w:ascii="Tahoma" w:hAnsi="Tahoma" w:cs="Tahoma"/>
          <w:sz w:val="24"/>
          <w:szCs w:val="24"/>
        </w:rPr>
        <w:tab/>
      </w:r>
      <w:r w:rsidR="000C5E77">
        <w:rPr>
          <w:rFonts w:ascii="Tahoma" w:hAnsi="Tahoma" w:cs="Tahoma"/>
          <w:sz w:val="24"/>
          <w:szCs w:val="24"/>
        </w:rPr>
        <w:t xml:space="preserve">During the month under consideration, </w:t>
      </w:r>
      <w:r w:rsidR="005C0350">
        <w:rPr>
          <w:rFonts w:ascii="Tahoma" w:hAnsi="Tahoma" w:cs="Tahoma"/>
          <w:sz w:val="24"/>
          <w:szCs w:val="24"/>
        </w:rPr>
        <w:t>ZWG</w:t>
      </w:r>
      <w:r w:rsidR="005C0350" w:rsidRPr="00744659">
        <w:rPr>
          <w:rFonts w:ascii="Tahoma" w:hAnsi="Tahoma" w:cs="Tahoma"/>
          <w:sz w:val="24"/>
          <w:szCs w:val="24"/>
        </w:rPr>
        <w:t xml:space="preserve"> inflation </w:t>
      </w:r>
      <w:r w:rsidR="005C0350">
        <w:rPr>
          <w:rFonts w:ascii="Tahoma" w:hAnsi="Tahoma" w:cs="Tahoma"/>
          <w:sz w:val="24"/>
          <w:szCs w:val="24"/>
        </w:rPr>
        <w:t xml:space="preserve">rose </w:t>
      </w:r>
      <w:r w:rsidR="00EC512C">
        <w:rPr>
          <w:rFonts w:ascii="Tahoma" w:hAnsi="Tahoma" w:cs="Tahoma"/>
          <w:sz w:val="24"/>
          <w:szCs w:val="24"/>
        </w:rPr>
        <w:t>from</w:t>
      </w:r>
      <w:r>
        <w:rPr>
          <w:rFonts w:ascii="Tahoma" w:hAnsi="Tahoma" w:cs="Tahoma"/>
          <w:sz w:val="24"/>
          <w:szCs w:val="24"/>
        </w:rPr>
        <w:t xml:space="preserve"> </w:t>
      </w:r>
      <w:r w:rsidR="00336354">
        <w:rPr>
          <w:rFonts w:ascii="Tahoma" w:hAnsi="Tahoma" w:cs="Tahoma"/>
          <w:sz w:val="24"/>
          <w:szCs w:val="24"/>
        </w:rPr>
        <w:t>5.8</w:t>
      </w:r>
      <w:r w:rsidRPr="00744659">
        <w:rPr>
          <w:rFonts w:ascii="Tahoma" w:hAnsi="Tahoma" w:cs="Tahoma"/>
          <w:sz w:val="24"/>
          <w:szCs w:val="24"/>
        </w:rPr>
        <w:t>%</w:t>
      </w:r>
      <w:r w:rsidR="00EC512C">
        <w:rPr>
          <w:rFonts w:ascii="Tahoma" w:hAnsi="Tahoma" w:cs="Tahoma"/>
          <w:sz w:val="24"/>
          <w:szCs w:val="24"/>
        </w:rPr>
        <w:t xml:space="preserve"> in </w:t>
      </w:r>
      <w:r w:rsidR="00336354">
        <w:rPr>
          <w:rFonts w:ascii="Tahoma" w:hAnsi="Tahoma" w:cs="Tahoma"/>
          <w:sz w:val="24"/>
          <w:szCs w:val="24"/>
        </w:rPr>
        <w:t>September</w:t>
      </w:r>
      <w:r w:rsidR="00EC512C">
        <w:rPr>
          <w:rFonts w:ascii="Tahoma" w:hAnsi="Tahoma" w:cs="Tahoma"/>
          <w:sz w:val="24"/>
          <w:szCs w:val="24"/>
        </w:rPr>
        <w:t xml:space="preserve"> 2024</w:t>
      </w:r>
      <w:r w:rsidRPr="00744659">
        <w:rPr>
          <w:rFonts w:ascii="Tahoma" w:hAnsi="Tahoma" w:cs="Tahoma"/>
          <w:sz w:val="24"/>
          <w:szCs w:val="24"/>
        </w:rPr>
        <w:t xml:space="preserve"> </w:t>
      </w:r>
      <w:r w:rsidR="00EC512C">
        <w:rPr>
          <w:rFonts w:ascii="Tahoma" w:hAnsi="Tahoma" w:cs="Tahoma"/>
          <w:sz w:val="24"/>
          <w:szCs w:val="24"/>
        </w:rPr>
        <w:t xml:space="preserve">to </w:t>
      </w:r>
      <w:r w:rsidR="00472DF5">
        <w:rPr>
          <w:rFonts w:ascii="Tahoma" w:hAnsi="Tahoma" w:cs="Tahoma"/>
          <w:sz w:val="24"/>
          <w:szCs w:val="24"/>
        </w:rPr>
        <w:t>37.2</w:t>
      </w:r>
      <w:r w:rsidR="00EC512C">
        <w:rPr>
          <w:rFonts w:ascii="Tahoma" w:hAnsi="Tahoma" w:cs="Tahoma"/>
          <w:sz w:val="24"/>
          <w:szCs w:val="24"/>
        </w:rPr>
        <w:t xml:space="preserve">% in </w:t>
      </w:r>
      <w:r w:rsidR="00336354">
        <w:rPr>
          <w:rFonts w:ascii="Tahoma" w:hAnsi="Tahoma" w:cs="Tahoma"/>
          <w:sz w:val="24"/>
          <w:szCs w:val="24"/>
        </w:rPr>
        <w:t>October</w:t>
      </w:r>
      <w:r w:rsidR="00EC512C">
        <w:rPr>
          <w:rFonts w:ascii="Tahoma" w:hAnsi="Tahoma" w:cs="Tahoma"/>
          <w:sz w:val="24"/>
          <w:szCs w:val="24"/>
        </w:rPr>
        <w:t xml:space="preserve"> 2024</w:t>
      </w:r>
      <w:r w:rsidR="00336354">
        <w:rPr>
          <w:rFonts w:ascii="Tahoma" w:hAnsi="Tahoma" w:cs="Tahoma"/>
          <w:sz w:val="24"/>
          <w:szCs w:val="24"/>
        </w:rPr>
        <w:t xml:space="preserve">, </w:t>
      </w:r>
      <w:r w:rsidRPr="00744659">
        <w:rPr>
          <w:rFonts w:ascii="Tahoma" w:hAnsi="Tahoma" w:cs="Tahoma"/>
          <w:sz w:val="24"/>
          <w:szCs w:val="24"/>
        </w:rPr>
        <w:t xml:space="preserve">see Figure </w:t>
      </w:r>
      <w:r w:rsidR="005C0350">
        <w:rPr>
          <w:rFonts w:ascii="Tahoma" w:hAnsi="Tahoma" w:cs="Tahoma"/>
          <w:sz w:val="24"/>
          <w:szCs w:val="24"/>
        </w:rPr>
        <w:t>4</w:t>
      </w:r>
      <w:r w:rsidRPr="00744659">
        <w:rPr>
          <w:rFonts w:ascii="Tahoma" w:hAnsi="Tahoma" w:cs="Tahoma"/>
          <w:sz w:val="24"/>
          <w:szCs w:val="24"/>
        </w:rPr>
        <w:t xml:space="preserve">. </w:t>
      </w:r>
      <w:r w:rsidR="000C5E77">
        <w:rPr>
          <w:rFonts w:ascii="Tahoma" w:hAnsi="Tahoma" w:cs="Tahoma"/>
          <w:sz w:val="24"/>
          <w:szCs w:val="24"/>
        </w:rPr>
        <w:t>S</w:t>
      </w:r>
      <w:r w:rsidR="000C5E77">
        <w:rPr>
          <w:rFonts w:ascii="Tahoma" w:hAnsi="Tahoma" w:cs="Tahoma"/>
          <w:sz w:val="24"/>
          <w:szCs w:val="24"/>
        </w:rPr>
        <w:t>ince the introduction of the ZWG in April</w:t>
      </w:r>
      <w:r w:rsidR="000C5E77">
        <w:rPr>
          <w:rFonts w:ascii="Tahoma" w:hAnsi="Tahoma" w:cs="Tahoma"/>
          <w:sz w:val="24"/>
          <w:szCs w:val="24"/>
        </w:rPr>
        <w:t>, t</w:t>
      </w:r>
      <w:r w:rsidR="00336354">
        <w:rPr>
          <w:rFonts w:ascii="Tahoma" w:hAnsi="Tahoma" w:cs="Tahoma"/>
          <w:sz w:val="24"/>
          <w:szCs w:val="24"/>
        </w:rPr>
        <w:t xml:space="preserve">he ZWG inflation </w:t>
      </w:r>
      <w:r w:rsidR="000C5E77">
        <w:rPr>
          <w:rFonts w:ascii="Tahoma" w:hAnsi="Tahoma" w:cs="Tahoma"/>
          <w:sz w:val="24"/>
          <w:szCs w:val="24"/>
        </w:rPr>
        <w:t>has maintained an upward trajectory</w:t>
      </w:r>
      <w:r w:rsidR="00336354">
        <w:rPr>
          <w:rFonts w:ascii="Tahoma" w:hAnsi="Tahoma" w:cs="Tahoma"/>
          <w:sz w:val="24"/>
          <w:szCs w:val="24"/>
        </w:rPr>
        <w:t>.</w:t>
      </w:r>
      <w:r w:rsidR="00F63304">
        <w:rPr>
          <w:rFonts w:ascii="Tahoma" w:hAnsi="Tahoma" w:cs="Tahoma"/>
          <w:sz w:val="24"/>
          <w:szCs w:val="24"/>
        </w:rPr>
        <w:t xml:space="preserve"> This trend reflects </w:t>
      </w:r>
      <w:r w:rsidR="00106F16">
        <w:rPr>
          <w:rFonts w:ascii="Tahoma" w:hAnsi="Tahoma" w:cs="Tahoma"/>
          <w:sz w:val="24"/>
          <w:szCs w:val="24"/>
        </w:rPr>
        <w:t xml:space="preserve">the </w:t>
      </w:r>
      <w:r w:rsidR="00F63304">
        <w:rPr>
          <w:rFonts w:ascii="Tahoma" w:hAnsi="Tahoma" w:cs="Tahoma"/>
          <w:sz w:val="24"/>
          <w:szCs w:val="24"/>
        </w:rPr>
        <w:t>disparit</w:t>
      </w:r>
      <w:r w:rsidR="00106F16">
        <w:rPr>
          <w:rFonts w:ascii="Tahoma" w:hAnsi="Tahoma" w:cs="Tahoma"/>
          <w:sz w:val="24"/>
          <w:szCs w:val="24"/>
        </w:rPr>
        <w:t>y</w:t>
      </w:r>
      <w:r w:rsidR="00F63304">
        <w:rPr>
          <w:rFonts w:ascii="Tahoma" w:hAnsi="Tahoma" w:cs="Tahoma"/>
          <w:sz w:val="24"/>
          <w:szCs w:val="24"/>
        </w:rPr>
        <w:t xml:space="preserve"> in </w:t>
      </w:r>
      <w:r w:rsidR="00106F16">
        <w:rPr>
          <w:rFonts w:ascii="Tahoma" w:hAnsi="Tahoma" w:cs="Tahoma"/>
          <w:sz w:val="24"/>
          <w:szCs w:val="24"/>
        </w:rPr>
        <w:t xml:space="preserve">the official and parallel market </w:t>
      </w:r>
      <w:r w:rsidR="00F63304">
        <w:rPr>
          <w:rFonts w:ascii="Tahoma" w:hAnsi="Tahoma" w:cs="Tahoma"/>
          <w:sz w:val="24"/>
          <w:szCs w:val="24"/>
        </w:rPr>
        <w:t xml:space="preserve">exchange </w:t>
      </w:r>
      <w:r w:rsidR="00F63304">
        <w:rPr>
          <w:rFonts w:ascii="Tahoma" w:hAnsi="Tahoma" w:cs="Tahoma"/>
          <w:sz w:val="24"/>
          <w:szCs w:val="24"/>
        </w:rPr>
        <w:lastRenderedPageBreak/>
        <w:t>rates, supply chain disruptions due to geo-political conflicts and shortages due to El-Nino drought.</w:t>
      </w:r>
    </w:p>
    <w:p w14:paraId="470BAFC9" w14:textId="77777777" w:rsidR="005F0769" w:rsidRDefault="005D4799" w:rsidP="00F05BD5">
      <w:pPr>
        <w:pStyle w:val="ListofFigures"/>
      </w:pPr>
      <w:bookmarkStart w:id="45" w:name="_Toc181785689"/>
      <w:r>
        <w:t xml:space="preserve">Figure </w:t>
      </w:r>
      <w:r w:rsidR="005C5497">
        <w:t>4</w:t>
      </w:r>
      <w:r>
        <w:t>: Month-on-Month</w:t>
      </w:r>
      <w:r w:rsidR="000C78EC">
        <w:t xml:space="preserve"> ZWG</w:t>
      </w:r>
      <w:r>
        <w:t xml:space="preserve"> Inflation Outturn</w:t>
      </w:r>
      <w:bookmarkEnd w:id="45"/>
      <w:r>
        <w:t xml:space="preserve"> </w:t>
      </w:r>
    </w:p>
    <w:p w14:paraId="266392AE" w14:textId="59D51787" w:rsidR="005F0769" w:rsidRDefault="00664692" w:rsidP="005D4799">
      <w:pPr>
        <w:spacing w:after="0"/>
        <w:ind w:left="720" w:hanging="720"/>
        <w:jc w:val="both"/>
        <w:rPr>
          <w:rFonts w:ascii="Tahoma" w:hAnsi="Tahoma" w:cs="Tahoma"/>
          <w:sz w:val="24"/>
          <w:szCs w:val="24"/>
        </w:rPr>
      </w:pPr>
      <w:r>
        <w:rPr>
          <w:rFonts w:ascii="Tahoma" w:hAnsi="Tahoma" w:cs="Tahoma"/>
          <w:noProof/>
          <w:sz w:val="24"/>
          <w:szCs w:val="24"/>
        </w:rPr>
        <w:drawing>
          <wp:inline distT="0" distB="0" distL="0" distR="0" wp14:anchorId="23467275" wp14:editId="2737261C">
            <wp:extent cx="5715000" cy="2705100"/>
            <wp:effectExtent l="0" t="0" r="0" b="0"/>
            <wp:docPr id="19891512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705100"/>
                    </a:xfrm>
                    <a:prstGeom prst="rect">
                      <a:avLst/>
                    </a:prstGeom>
                    <a:noFill/>
                  </pic:spPr>
                </pic:pic>
              </a:graphicData>
            </a:graphic>
          </wp:inline>
        </w:drawing>
      </w:r>
    </w:p>
    <w:p w14:paraId="54FEDCD3" w14:textId="77777777" w:rsidR="005F0769" w:rsidRDefault="005D4799" w:rsidP="005D4799">
      <w:pPr>
        <w:spacing w:after="0"/>
        <w:ind w:left="720" w:hanging="720"/>
        <w:jc w:val="both"/>
        <w:rPr>
          <w:rFonts w:ascii="Tahoma" w:hAnsi="Tahoma" w:cs="Tahoma"/>
          <w:i/>
          <w:sz w:val="24"/>
          <w:szCs w:val="24"/>
        </w:rPr>
      </w:pPr>
      <w:r w:rsidRPr="005D4799">
        <w:rPr>
          <w:rFonts w:ascii="Tahoma" w:hAnsi="Tahoma" w:cs="Tahoma"/>
          <w:i/>
          <w:sz w:val="24"/>
          <w:szCs w:val="24"/>
        </w:rPr>
        <w:t xml:space="preserve">Source: ZimStat (2024) </w:t>
      </w:r>
    </w:p>
    <w:p w14:paraId="506A6CA8" w14:textId="77777777" w:rsidR="005D4799" w:rsidRPr="005D4799" w:rsidRDefault="005D4799" w:rsidP="005D4799">
      <w:pPr>
        <w:spacing w:after="0"/>
        <w:ind w:left="720" w:hanging="720"/>
        <w:jc w:val="both"/>
        <w:rPr>
          <w:rFonts w:ascii="Tahoma" w:hAnsi="Tahoma" w:cs="Tahoma"/>
          <w:sz w:val="24"/>
          <w:szCs w:val="24"/>
        </w:rPr>
      </w:pPr>
    </w:p>
    <w:p w14:paraId="1DD7595A" w14:textId="52B83FD5" w:rsidR="00FC71BF" w:rsidRPr="00863A17" w:rsidRDefault="005F0769" w:rsidP="004C7E36">
      <w:pPr>
        <w:ind w:left="720" w:hanging="720"/>
        <w:jc w:val="both"/>
        <w:rPr>
          <w:rFonts w:ascii="Tahoma" w:hAnsi="Tahoma" w:cs="Tahoma"/>
          <w:sz w:val="24"/>
          <w:szCs w:val="24"/>
        </w:rPr>
      </w:pPr>
      <w:r>
        <w:rPr>
          <w:rFonts w:ascii="Tahoma" w:hAnsi="Tahoma" w:cs="Tahoma"/>
          <w:sz w:val="24"/>
          <w:szCs w:val="24"/>
        </w:rPr>
        <w:t>6.2</w:t>
      </w:r>
      <w:r w:rsidR="004C7E36" w:rsidRPr="00863A17">
        <w:rPr>
          <w:rFonts w:ascii="Tahoma" w:hAnsi="Tahoma" w:cs="Tahoma"/>
          <w:sz w:val="24"/>
          <w:szCs w:val="24"/>
        </w:rPr>
        <w:tab/>
      </w:r>
      <w:bookmarkStart w:id="46" w:name="_Hlk166606180"/>
      <w:r w:rsidR="00E90A43">
        <w:rPr>
          <w:rFonts w:ascii="Tahoma" w:hAnsi="Tahoma" w:cs="Tahoma"/>
          <w:sz w:val="24"/>
          <w:szCs w:val="24"/>
        </w:rPr>
        <w:t>MoM</w:t>
      </w:r>
      <w:r w:rsidR="005C0350">
        <w:rPr>
          <w:rFonts w:ascii="Tahoma" w:hAnsi="Tahoma" w:cs="Tahoma"/>
          <w:sz w:val="24"/>
          <w:szCs w:val="24"/>
        </w:rPr>
        <w:t xml:space="preserve"> </w:t>
      </w:r>
      <w:r w:rsidR="000C2AA3">
        <w:rPr>
          <w:rFonts w:ascii="Tahoma" w:hAnsi="Tahoma" w:cs="Tahoma"/>
          <w:sz w:val="24"/>
          <w:szCs w:val="24"/>
        </w:rPr>
        <w:t xml:space="preserve">weighted </w:t>
      </w:r>
      <w:r w:rsidR="00B45B57">
        <w:rPr>
          <w:rFonts w:ascii="Tahoma" w:hAnsi="Tahoma" w:cs="Tahoma"/>
          <w:sz w:val="24"/>
          <w:szCs w:val="24"/>
        </w:rPr>
        <w:t>inflation</w:t>
      </w:r>
      <w:r w:rsidR="00C1543E">
        <w:rPr>
          <w:rFonts w:ascii="Tahoma" w:hAnsi="Tahoma" w:cs="Tahoma"/>
          <w:sz w:val="24"/>
          <w:szCs w:val="24"/>
        </w:rPr>
        <w:t xml:space="preserve"> </w:t>
      </w:r>
      <w:r w:rsidR="005C0350">
        <w:rPr>
          <w:rFonts w:ascii="Tahoma" w:hAnsi="Tahoma" w:cs="Tahoma"/>
          <w:sz w:val="24"/>
          <w:szCs w:val="24"/>
        </w:rPr>
        <w:t xml:space="preserve">increased </w:t>
      </w:r>
      <w:r w:rsidR="00E76745">
        <w:rPr>
          <w:rFonts w:ascii="Tahoma" w:hAnsi="Tahoma" w:cs="Tahoma"/>
          <w:sz w:val="24"/>
          <w:szCs w:val="24"/>
        </w:rPr>
        <w:t>from</w:t>
      </w:r>
      <w:r w:rsidR="005C0350">
        <w:rPr>
          <w:rFonts w:ascii="Tahoma" w:hAnsi="Tahoma" w:cs="Tahoma"/>
          <w:sz w:val="24"/>
          <w:szCs w:val="24"/>
        </w:rPr>
        <w:t xml:space="preserve"> </w:t>
      </w:r>
      <w:r w:rsidR="00E90A43">
        <w:rPr>
          <w:rFonts w:ascii="Tahoma" w:hAnsi="Tahoma" w:cs="Tahoma"/>
          <w:sz w:val="24"/>
          <w:szCs w:val="24"/>
        </w:rPr>
        <w:t>1.9</w:t>
      </w:r>
      <w:r w:rsidR="005C0350">
        <w:rPr>
          <w:rFonts w:ascii="Tahoma" w:hAnsi="Tahoma" w:cs="Tahoma"/>
          <w:sz w:val="24"/>
          <w:szCs w:val="24"/>
        </w:rPr>
        <w:t>%</w:t>
      </w:r>
      <w:r w:rsidR="00E76745">
        <w:rPr>
          <w:rFonts w:ascii="Tahoma" w:hAnsi="Tahoma" w:cs="Tahoma"/>
          <w:sz w:val="24"/>
          <w:szCs w:val="24"/>
        </w:rPr>
        <w:t xml:space="preserve"> in </w:t>
      </w:r>
      <w:r w:rsidR="00E90A43">
        <w:rPr>
          <w:rFonts w:ascii="Tahoma" w:hAnsi="Tahoma" w:cs="Tahoma"/>
          <w:sz w:val="24"/>
          <w:szCs w:val="24"/>
        </w:rPr>
        <w:t>September</w:t>
      </w:r>
      <w:r w:rsidR="00E76745">
        <w:rPr>
          <w:rFonts w:ascii="Tahoma" w:hAnsi="Tahoma" w:cs="Tahoma"/>
          <w:sz w:val="24"/>
          <w:szCs w:val="24"/>
        </w:rPr>
        <w:t xml:space="preserve"> 2024 to </w:t>
      </w:r>
      <w:r w:rsidR="00E90A43">
        <w:rPr>
          <w:rFonts w:ascii="Tahoma" w:hAnsi="Tahoma" w:cs="Tahoma"/>
          <w:sz w:val="24"/>
          <w:szCs w:val="24"/>
        </w:rPr>
        <w:t>7.30</w:t>
      </w:r>
      <w:r w:rsidR="00E76745">
        <w:rPr>
          <w:rFonts w:ascii="Tahoma" w:hAnsi="Tahoma" w:cs="Tahoma"/>
          <w:sz w:val="24"/>
          <w:szCs w:val="24"/>
        </w:rPr>
        <w:t xml:space="preserve">% in </w:t>
      </w:r>
      <w:r w:rsidR="00E90A43">
        <w:rPr>
          <w:rFonts w:ascii="Tahoma" w:hAnsi="Tahoma" w:cs="Tahoma"/>
          <w:sz w:val="24"/>
          <w:szCs w:val="24"/>
        </w:rPr>
        <w:t>October</w:t>
      </w:r>
      <w:r w:rsidR="00E76745">
        <w:rPr>
          <w:rFonts w:ascii="Tahoma" w:hAnsi="Tahoma" w:cs="Tahoma"/>
          <w:sz w:val="24"/>
          <w:szCs w:val="24"/>
        </w:rPr>
        <w:t xml:space="preserve"> 2024</w:t>
      </w:r>
      <w:r w:rsidR="005C0350">
        <w:rPr>
          <w:rFonts w:ascii="Tahoma" w:hAnsi="Tahoma" w:cs="Tahoma"/>
          <w:sz w:val="24"/>
          <w:szCs w:val="24"/>
        </w:rPr>
        <w:t xml:space="preserve"> (</w:t>
      </w:r>
      <w:r w:rsidR="00670FF1" w:rsidRPr="00863A17">
        <w:rPr>
          <w:rFonts w:ascii="Tahoma" w:hAnsi="Tahoma" w:cs="Tahoma"/>
          <w:sz w:val="24"/>
          <w:szCs w:val="24"/>
        </w:rPr>
        <w:t xml:space="preserve">see Figure </w:t>
      </w:r>
      <w:r w:rsidR="005C0350">
        <w:rPr>
          <w:rFonts w:ascii="Tahoma" w:hAnsi="Tahoma" w:cs="Tahoma"/>
          <w:sz w:val="24"/>
          <w:szCs w:val="24"/>
        </w:rPr>
        <w:t>5)</w:t>
      </w:r>
      <w:r w:rsidR="00670FF1" w:rsidRPr="00863A17">
        <w:rPr>
          <w:rFonts w:ascii="Tahoma" w:hAnsi="Tahoma" w:cs="Tahoma"/>
          <w:sz w:val="24"/>
          <w:szCs w:val="24"/>
        </w:rPr>
        <w:t xml:space="preserve">. </w:t>
      </w:r>
    </w:p>
    <w:p w14:paraId="698B8FE2" w14:textId="77777777" w:rsidR="00474E3B" w:rsidRDefault="00FA3C4E" w:rsidP="00087E0F">
      <w:pPr>
        <w:pStyle w:val="ListofFigures"/>
      </w:pPr>
      <w:bookmarkStart w:id="47" w:name="_Toc181785690"/>
      <w:bookmarkEnd w:id="46"/>
      <w:r w:rsidRPr="00863A17">
        <w:t xml:space="preserve">Figure </w:t>
      </w:r>
      <w:r w:rsidR="005C5497">
        <w:rPr>
          <w:bCs/>
        </w:rPr>
        <w:t>5</w:t>
      </w:r>
      <w:r w:rsidRPr="00863A17">
        <w:t xml:space="preserve">: </w:t>
      </w:r>
      <w:r w:rsidRPr="00863A17">
        <w:rPr>
          <w:lang w:val="en-US"/>
        </w:rPr>
        <w:t>Month</w:t>
      </w:r>
      <w:r w:rsidR="00FF7839" w:rsidRPr="00863A17">
        <w:rPr>
          <w:lang w:val="en-US"/>
        </w:rPr>
        <w:t>-</w:t>
      </w:r>
      <w:r w:rsidR="00670FF1" w:rsidRPr="00863A17">
        <w:rPr>
          <w:lang w:val="en-US"/>
        </w:rPr>
        <w:t>on</w:t>
      </w:r>
      <w:r w:rsidR="00FF7839" w:rsidRPr="00863A17">
        <w:rPr>
          <w:lang w:val="en-US"/>
        </w:rPr>
        <w:t>-</w:t>
      </w:r>
      <w:r w:rsidR="00670FF1" w:rsidRPr="00863A17">
        <w:rPr>
          <w:lang w:val="en-US"/>
        </w:rPr>
        <w:t>Month</w:t>
      </w:r>
      <w:r w:rsidR="000C78EC">
        <w:rPr>
          <w:lang w:val="en-US"/>
        </w:rPr>
        <w:t xml:space="preserve"> Weighted</w:t>
      </w:r>
      <w:r w:rsidRPr="00863A17">
        <w:rPr>
          <w:lang w:val="en-US"/>
        </w:rPr>
        <w:t xml:space="preserve"> Inflation Outturn</w:t>
      </w:r>
      <w:bookmarkEnd w:id="47"/>
    </w:p>
    <w:p w14:paraId="2A1BC82A" w14:textId="29D21136" w:rsidR="00087E0F" w:rsidRPr="00863A17" w:rsidRDefault="00664692" w:rsidP="004C7E36">
      <w:pPr>
        <w:spacing w:after="0"/>
        <w:rPr>
          <w:rFonts w:ascii="Tahoma" w:hAnsi="Tahoma" w:cs="Tahoma"/>
          <w:sz w:val="24"/>
          <w:szCs w:val="24"/>
          <w:lang w:val="en-US"/>
        </w:rPr>
      </w:pPr>
      <w:r w:rsidRPr="0041351D">
        <w:rPr>
          <w:noProof/>
        </w:rPr>
        <w:drawing>
          <wp:inline distT="0" distB="0" distL="0" distR="0" wp14:anchorId="5799C8FA" wp14:editId="56FE3F41">
            <wp:extent cx="5732145" cy="2581275"/>
            <wp:effectExtent l="0" t="0" r="1905" b="9525"/>
            <wp:docPr id="10"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6DABECA" w14:textId="77777777" w:rsidR="00474E3B" w:rsidRPr="00863A17" w:rsidRDefault="004C7E36" w:rsidP="00474E3B">
      <w:pPr>
        <w:rPr>
          <w:rFonts w:ascii="Tahoma" w:hAnsi="Tahoma" w:cs="Tahoma"/>
          <w:i/>
          <w:sz w:val="24"/>
          <w:szCs w:val="24"/>
          <w:lang w:val="en-US"/>
        </w:rPr>
      </w:pPr>
      <w:r w:rsidRPr="00863A17">
        <w:rPr>
          <w:rFonts w:ascii="Tahoma" w:hAnsi="Tahoma" w:cs="Tahoma"/>
          <w:i/>
          <w:sz w:val="24"/>
          <w:szCs w:val="24"/>
          <w:lang w:val="en-US"/>
        </w:rPr>
        <w:t>Source: ZimStat (202</w:t>
      </w:r>
      <w:r w:rsidR="00FF16B2" w:rsidRPr="00863A17">
        <w:rPr>
          <w:rFonts w:ascii="Tahoma" w:hAnsi="Tahoma" w:cs="Tahoma"/>
          <w:i/>
          <w:sz w:val="24"/>
          <w:szCs w:val="24"/>
          <w:lang w:val="en-US"/>
        </w:rPr>
        <w:t>4</w:t>
      </w:r>
      <w:r w:rsidRPr="00863A17">
        <w:rPr>
          <w:rFonts w:ascii="Tahoma" w:hAnsi="Tahoma" w:cs="Tahoma"/>
          <w:i/>
          <w:sz w:val="24"/>
          <w:szCs w:val="24"/>
          <w:lang w:val="en-US"/>
        </w:rPr>
        <w:t>)</w:t>
      </w:r>
    </w:p>
    <w:p w14:paraId="10D60275" w14:textId="0C02B02A" w:rsidR="00474E3B" w:rsidRPr="00863A17" w:rsidRDefault="004C7E36" w:rsidP="00F05BD5">
      <w:pPr>
        <w:ind w:left="720" w:hanging="720"/>
        <w:jc w:val="both"/>
        <w:rPr>
          <w:rFonts w:ascii="Tahoma" w:hAnsi="Tahoma" w:cs="Tahoma"/>
          <w:sz w:val="24"/>
          <w:szCs w:val="24"/>
          <w:lang w:val="en-US"/>
        </w:rPr>
      </w:pPr>
      <w:r w:rsidRPr="00863A17">
        <w:rPr>
          <w:rFonts w:ascii="Tahoma" w:hAnsi="Tahoma" w:cs="Tahoma"/>
          <w:sz w:val="24"/>
          <w:szCs w:val="24"/>
          <w:lang w:val="en-US"/>
        </w:rPr>
        <w:t>6.</w:t>
      </w:r>
      <w:r w:rsidR="005F0769">
        <w:rPr>
          <w:rFonts w:ascii="Tahoma" w:hAnsi="Tahoma" w:cs="Tahoma"/>
          <w:sz w:val="24"/>
          <w:szCs w:val="24"/>
          <w:lang w:val="en-US"/>
        </w:rPr>
        <w:t>3</w:t>
      </w:r>
      <w:r w:rsidRPr="00863A17">
        <w:rPr>
          <w:rFonts w:ascii="Tahoma" w:hAnsi="Tahoma" w:cs="Tahoma"/>
          <w:sz w:val="24"/>
          <w:szCs w:val="24"/>
          <w:lang w:val="en-US"/>
        </w:rPr>
        <w:tab/>
      </w:r>
      <w:r w:rsidR="00C456DD">
        <w:rPr>
          <w:rFonts w:ascii="Tahoma" w:hAnsi="Tahoma" w:cs="Tahoma"/>
          <w:sz w:val="24"/>
          <w:szCs w:val="24"/>
          <w:lang w:val="en-US"/>
        </w:rPr>
        <w:t>The main contributor</w:t>
      </w:r>
      <w:r w:rsidR="00F875D5">
        <w:rPr>
          <w:rFonts w:ascii="Tahoma" w:hAnsi="Tahoma" w:cs="Tahoma"/>
          <w:sz w:val="24"/>
          <w:szCs w:val="24"/>
          <w:lang w:val="en-US"/>
        </w:rPr>
        <w:t>s</w:t>
      </w:r>
      <w:r w:rsidR="00C456DD">
        <w:rPr>
          <w:rFonts w:ascii="Tahoma" w:hAnsi="Tahoma" w:cs="Tahoma"/>
          <w:sz w:val="24"/>
          <w:szCs w:val="24"/>
          <w:lang w:val="en-US"/>
        </w:rPr>
        <w:t xml:space="preserve"> to</w:t>
      </w:r>
      <w:r w:rsidR="008D6D88">
        <w:rPr>
          <w:rFonts w:ascii="Tahoma" w:hAnsi="Tahoma" w:cs="Tahoma"/>
          <w:sz w:val="24"/>
          <w:szCs w:val="24"/>
          <w:lang w:val="en-US"/>
        </w:rPr>
        <w:t xml:space="preserve"> both weighted and ZWG</w:t>
      </w:r>
      <w:r w:rsidR="00C456DD">
        <w:rPr>
          <w:rFonts w:ascii="Tahoma" w:hAnsi="Tahoma" w:cs="Tahoma"/>
          <w:sz w:val="24"/>
          <w:szCs w:val="24"/>
          <w:lang w:val="en-US"/>
        </w:rPr>
        <w:t xml:space="preserve"> inflation</w:t>
      </w:r>
      <w:r w:rsidR="00BA6BB3">
        <w:rPr>
          <w:rFonts w:ascii="Tahoma" w:hAnsi="Tahoma" w:cs="Tahoma"/>
          <w:sz w:val="24"/>
          <w:szCs w:val="24"/>
          <w:lang w:val="en-US"/>
        </w:rPr>
        <w:t xml:space="preserve"> in </w:t>
      </w:r>
      <w:r w:rsidR="00710494">
        <w:rPr>
          <w:rFonts w:ascii="Tahoma" w:hAnsi="Tahoma" w:cs="Tahoma"/>
          <w:sz w:val="24"/>
          <w:szCs w:val="24"/>
          <w:lang w:val="en-US"/>
        </w:rPr>
        <w:t>October</w:t>
      </w:r>
      <w:r w:rsidR="00BA6BB3">
        <w:rPr>
          <w:rFonts w:ascii="Tahoma" w:hAnsi="Tahoma" w:cs="Tahoma"/>
          <w:sz w:val="24"/>
          <w:szCs w:val="24"/>
          <w:lang w:val="en-US"/>
        </w:rPr>
        <w:t xml:space="preserve"> 2024</w:t>
      </w:r>
      <w:r w:rsidR="00C456DD">
        <w:rPr>
          <w:rFonts w:ascii="Tahoma" w:hAnsi="Tahoma" w:cs="Tahoma"/>
          <w:sz w:val="24"/>
          <w:szCs w:val="24"/>
          <w:lang w:val="en-US"/>
        </w:rPr>
        <w:t xml:space="preserve"> </w:t>
      </w:r>
      <w:r w:rsidR="00106F16">
        <w:rPr>
          <w:rFonts w:ascii="Tahoma" w:hAnsi="Tahoma" w:cs="Tahoma"/>
          <w:sz w:val="24"/>
          <w:szCs w:val="24"/>
          <w:lang w:val="en-US"/>
        </w:rPr>
        <w:t>were</w:t>
      </w:r>
      <w:r w:rsidR="00106F16">
        <w:rPr>
          <w:rFonts w:ascii="Tahoma" w:hAnsi="Tahoma" w:cs="Tahoma"/>
          <w:sz w:val="24"/>
          <w:szCs w:val="24"/>
          <w:lang w:val="en-US"/>
        </w:rPr>
        <w:t xml:space="preserve"> </w:t>
      </w:r>
      <w:r w:rsidR="00F875D5">
        <w:rPr>
          <w:rFonts w:ascii="Tahoma" w:hAnsi="Tahoma" w:cs="Tahoma"/>
          <w:sz w:val="24"/>
          <w:szCs w:val="24"/>
          <w:lang w:val="en-US"/>
        </w:rPr>
        <w:t>food and non-alcoholic beverages and housing</w:t>
      </w:r>
      <w:r w:rsidR="00C456DD">
        <w:rPr>
          <w:rFonts w:ascii="Tahoma" w:hAnsi="Tahoma" w:cs="Tahoma"/>
          <w:sz w:val="24"/>
          <w:szCs w:val="24"/>
          <w:lang w:val="en-US"/>
        </w:rPr>
        <w:t>, water, electri</w:t>
      </w:r>
      <w:r w:rsidR="00F875D5">
        <w:rPr>
          <w:rFonts w:ascii="Tahoma" w:hAnsi="Tahoma" w:cs="Tahoma"/>
          <w:sz w:val="24"/>
          <w:szCs w:val="24"/>
          <w:lang w:val="en-US"/>
        </w:rPr>
        <w:t xml:space="preserve">city, gas and other fuels </w:t>
      </w:r>
      <w:r w:rsidR="005C0350">
        <w:rPr>
          <w:rFonts w:ascii="Tahoma" w:hAnsi="Tahoma" w:cs="Tahoma"/>
          <w:sz w:val="24"/>
          <w:szCs w:val="24"/>
          <w:lang w:val="en-US"/>
        </w:rPr>
        <w:t>(see Table 5)</w:t>
      </w:r>
      <w:r w:rsidR="00F875D5">
        <w:rPr>
          <w:rFonts w:ascii="Tahoma" w:hAnsi="Tahoma" w:cs="Tahoma"/>
          <w:sz w:val="24"/>
          <w:szCs w:val="24"/>
          <w:lang w:val="en-US"/>
        </w:rPr>
        <w:t>.</w:t>
      </w:r>
      <w:r w:rsidR="00EC0618">
        <w:rPr>
          <w:rFonts w:ascii="Tahoma" w:hAnsi="Tahoma" w:cs="Tahoma"/>
          <w:sz w:val="24"/>
          <w:szCs w:val="24"/>
          <w:lang w:val="en-US"/>
        </w:rPr>
        <w:t xml:space="preserve"> </w:t>
      </w:r>
    </w:p>
    <w:p w14:paraId="7D290962" w14:textId="77777777" w:rsidR="00364947" w:rsidRDefault="003C1D2F" w:rsidP="00F05BD5">
      <w:pPr>
        <w:pStyle w:val="ListofTables"/>
        <w:spacing w:after="240"/>
      </w:pPr>
      <w:bookmarkStart w:id="48" w:name="_Toc164072366"/>
      <w:bookmarkStart w:id="49" w:name="_Toc166658893"/>
      <w:bookmarkStart w:id="50" w:name="_Toc181785783"/>
      <w:r w:rsidRPr="00863A17">
        <w:lastRenderedPageBreak/>
        <w:t xml:space="preserve">Table </w:t>
      </w:r>
      <w:r w:rsidR="00632011">
        <w:t>5</w:t>
      </w:r>
      <w:r w:rsidRPr="00863A17">
        <w:t xml:space="preserve">: </w:t>
      </w:r>
      <w:r w:rsidR="0008600D">
        <w:t xml:space="preserve">Monthly </w:t>
      </w:r>
      <w:r w:rsidRPr="00863A17">
        <w:rPr>
          <w:lang w:val="en-US"/>
        </w:rPr>
        <w:t xml:space="preserve">Inflation </w:t>
      </w:r>
      <w:r w:rsidR="00DF0401">
        <w:rPr>
          <w:lang w:val="en-US"/>
        </w:rPr>
        <w:t xml:space="preserve">for </w:t>
      </w:r>
      <w:r w:rsidR="00C3348F">
        <w:rPr>
          <w:lang w:val="en-US"/>
        </w:rPr>
        <w:t>October</w:t>
      </w:r>
      <w:r w:rsidRPr="00863A17">
        <w:rPr>
          <w:lang w:val="en-US"/>
        </w:rPr>
        <w:t xml:space="preserve"> 202</w:t>
      </w:r>
      <w:r w:rsidR="002525BF" w:rsidRPr="00863A17">
        <w:rPr>
          <w:lang w:val="en-US"/>
        </w:rPr>
        <w:t>4</w:t>
      </w:r>
      <w:bookmarkEnd w:id="48"/>
      <w:bookmarkEnd w:id="49"/>
      <w:bookmarkEnd w:id="50"/>
    </w:p>
    <w:p w14:paraId="2A59EE5D" w14:textId="64F476C7" w:rsidR="001C152E" w:rsidRPr="00863A17" w:rsidRDefault="00664692" w:rsidP="004C7E36">
      <w:pPr>
        <w:spacing w:after="0"/>
        <w:rPr>
          <w:rFonts w:ascii="Tahoma" w:hAnsi="Tahoma" w:cs="Tahoma"/>
          <w:sz w:val="24"/>
          <w:szCs w:val="24"/>
          <w:lang w:val="en-US"/>
        </w:rPr>
      </w:pPr>
      <w:r w:rsidRPr="00656DC6">
        <w:rPr>
          <w:noProof/>
        </w:rPr>
        <w:drawing>
          <wp:inline distT="0" distB="0" distL="0" distR="0" wp14:anchorId="41BFF450" wp14:editId="26A6B82E">
            <wp:extent cx="5724525" cy="23622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362200"/>
                    </a:xfrm>
                    <a:prstGeom prst="rect">
                      <a:avLst/>
                    </a:prstGeom>
                    <a:noFill/>
                    <a:ln>
                      <a:noFill/>
                    </a:ln>
                  </pic:spPr>
                </pic:pic>
              </a:graphicData>
            </a:graphic>
          </wp:inline>
        </w:drawing>
      </w:r>
    </w:p>
    <w:p w14:paraId="571A1FB4" w14:textId="77777777" w:rsidR="00D81672" w:rsidRPr="00863A17" w:rsidRDefault="00D81672">
      <w:pPr>
        <w:rPr>
          <w:rFonts w:ascii="Tahoma" w:hAnsi="Tahoma" w:cs="Tahoma"/>
          <w:i/>
          <w:sz w:val="24"/>
          <w:szCs w:val="24"/>
          <w:lang w:val="en-US"/>
        </w:rPr>
      </w:pPr>
      <w:r w:rsidRPr="00863A17">
        <w:rPr>
          <w:rFonts w:ascii="Tahoma" w:hAnsi="Tahoma" w:cs="Tahoma"/>
          <w:i/>
          <w:sz w:val="24"/>
          <w:szCs w:val="24"/>
          <w:lang w:val="en-US"/>
        </w:rPr>
        <w:t>Source</w:t>
      </w:r>
      <w:r w:rsidR="004C7E36" w:rsidRPr="00863A17">
        <w:rPr>
          <w:rFonts w:ascii="Tahoma" w:hAnsi="Tahoma" w:cs="Tahoma"/>
          <w:i/>
          <w:sz w:val="24"/>
          <w:szCs w:val="24"/>
          <w:lang w:val="en-US"/>
        </w:rPr>
        <w:t>: ZimStat (202</w:t>
      </w:r>
      <w:r w:rsidR="00386A89" w:rsidRPr="00863A17">
        <w:rPr>
          <w:rFonts w:ascii="Tahoma" w:hAnsi="Tahoma" w:cs="Tahoma"/>
          <w:i/>
          <w:sz w:val="24"/>
          <w:szCs w:val="24"/>
          <w:lang w:val="en-US"/>
        </w:rPr>
        <w:t>4</w:t>
      </w:r>
      <w:r w:rsidR="004C7E36" w:rsidRPr="00863A17">
        <w:rPr>
          <w:rFonts w:ascii="Tahoma" w:hAnsi="Tahoma" w:cs="Tahoma"/>
          <w:i/>
          <w:sz w:val="24"/>
          <w:szCs w:val="24"/>
          <w:lang w:val="en-US"/>
        </w:rPr>
        <w:t>)</w:t>
      </w:r>
    </w:p>
    <w:p w14:paraId="203F25E4" w14:textId="77777777" w:rsidR="00184FA3" w:rsidRPr="00A64F64" w:rsidRDefault="00184FA3" w:rsidP="003D0C8C">
      <w:pPr>
        <w:pStyle w:val="Heading1"/>
        <w:numPr>
          <w:ilvl w:val="0"/>
          <w:numId w:val="6"/>
        </w:numPr>
        <w:spacing w:before="0" w:after="240" w:line="240" w:lineRule="auto"/>
        <w:rPr>
          <w:rFonts w:cs="Tahoma"/>
          <w:bCs/>
          <w:color w:val="000000"/>
          <w:szCs w:val="24"/>
          <w:lang w:val="en-US"/>
        </w:rPr>
      </w:pPr>
      <w:bookmarkStart w:id="51" w:name="_Toc166607899"/>
      <w:bookmarkStart w:id="52" w:name="_Toc182566288"/>
      <w:r w:rsidRPr="00A64F64">
        <w:rPr>
          <w:rFonts w:cs="Tahoma"/>
          <w:bCs/>
          <w:color w:val="000000"/>
          <w:szCs w:val="24"/>
          <w:lang w:val="en-US"/>
        </w:rPr>
        <w:t>Monetary Developments</w:t>
      </w:r>
      <w:bookmarkEnd w:id="51"/>
      <w:bookmarkEnd w:id="52"/>
      <w:r w:rsidRPr="00A64F64">
        <w:rPr>
          <w:rFonts w:cs="Tahoma"/>
          <w:bCs/>
          <w:color w:val="000000"/>
          <w:szCs w:val="24"/>
          <w:lang w:val="en-US"/>
        </w:rPr>
        <w:t xml:space="preserve"> </w:t>
      </w:r>
    </w:p>
    <w:p w14:paraId="319D6C14" w14:textId="77777777" w:rsidR="003D0C8C" w:rsidRPr="003D0C8C" w:rsidRDefault="003D0C8C" w:rsidP="003D0C8C">
      <w:pPr>
        <w:pStyle w:val="Heading2"/>
        <w:spacing w:before="0" w:after="240" w:line="240" w:lineRule="auto"/>
        <w:rPr>
          <w:rFonts w:cs="Tahoma"/>
          <w:b/>
          <w:color w:val="000000"/>
          <w:szCs w:val="24"/>
          <w:lang w:val="en-US"/>
        </w:rPr>
      </w:pPr>
      <w:bookmarkStart w:id="53" w:name="_Toc166607900"/>
      <w:bookmarkStart w:id="54" w:name="_Toc182566289"/>
      <w:r w:rsidRPr="003D0C8C">
        <w:rPr>
          <w:rFonts w:cs="Tahoma"/>
          <w:b/>
          <w:color w:val="000000"/>
          <w:szCs w:val="24"/>
          <w:lang w:val="en-US"/>
        </w:rPr>
        <w:t>7.1</w:t>
      </w:r>
      <w:r w:rsidRPr="003D0C8C">
        <w:rPr>
          <w:rFonts w:cs="Tahoma"/>
          <w:b/>
          <w:color w:val="000000"/>
          <w:szCs w:val="24"/>
          <w:lang w:val="en-US"/>
        </w:rPr>
        <w:tab/>
        <w:t>Money Supply</w:t>
      </w:r>
      <w:bookmarkEnd w:id="53"/>
      <w:bookmarkEnd w:id="54"/>
      <w:r w:rsidR="00CF7A33">
        <w:rPr>
          <w:rFonts w:cs="Tahoma"/>
          <w:b/>
          <w:color w:val="000000"/>
          <w:szCs w:val="24"/>
          <w:lang w:val="en-US"/>
        </w:rPr>
        <w:t xml:space="preserve"> </w:t>
      </w:r>
    </w:p>
    <w:p w14:paraId="052D8D56" w14:textId="77777777" w:rsidR="00106F16" w:rsidRDefault="004C7E36" w:rsidP="00E63964">
      <w:pPr>
        <w:ind w:left="720" w:hanging="720"/>
        <w:jc w:val="both"/>
        <w:rPr>
          <w:rFonts w:ascii="Tahoma" w:hAnsi="Tahoma" w:cs="Tahoma"/>
          <w:sz w:val="24"/>
          <w:szCs w:val="24"/>
          <w:lang w:val="en-US"/>
        </w:rPr>
      </w:pPr>
      <w:r w:rsidRPr="00CB6A80">
        <w:rPr>
          <w:rFonts w:ascii="Tahoma" w:hAnsi="Tahoma" w:cs="Tahoma"/>
          <w:sz w:val="24"/>
          <w:szCs w:val="24"/>
          <w:lang w:val="en-US"/>
        </w:rPr>
        <w:t>7.1</w:t>
      </w:r>
      <w:r w:rsidR="00FA7297" w:rsidRPr="00CB6A80">
        <w:rPr>
          <w:rFonts w:ascii="Tahoma" w:hAnsi="Tahoma" w:cs="Tahoma"/>
          <w:sz w:val="24"/>
          <w:szCs w:val="24"/>
          <w:lang w:val="en-US"/>
        </w:rPr>
        <w:t>.</w:t>
      </w:r>
      <w:r w:rsidR="003D0C8C">
        <w:rPr>
          <w:rFonts w:ascii="Tahoma" w:hAnsi="Tahoma" w:cs="Tahoma"/>
          <w:sz w:val="24"/>
          <w:szCs w:val="24"/>
          <w:lang w:val="en-US"/>
        </w:rPr>
        <w:t>1</w:t>
      </w:r>
      <w:r w:rsidRPr="00CB6A80">
        <w:rPr>
          <w:rFonts w:ascii="Tahoma" w:hAnsi="Tahoma" w:cs="Tahoma"/>
          <w:sz w:val="24"/>
          <w:szCs w:val="24"/>
          <w:lang w:val="en-US"/>
        </w:rPr>
        <w:tab/>
      </w:r>
      <w:bookmarkStart w:id="55" w:name="_Hlk179978693"/>
      <w:r w:rsidR="00106F16">
        <w:rPr>
          <w:rFonts w:ascii="Tahoma" w:hAnsi="Tahoma" w:cs="Tahoma"/>
          <w:sz w:val="24"/>
          <w:szCs w:val="24"/>
          <w:lang w:val="en-US"/>
        </w:rPr>
        <w:t xml:space="preserve">By the time of compiling this report, October money supply statistics had not been published thus analysis in based on August 2024 data. </w:t>
      </w:r>
    </w:p>
    <w:p w14:paraId="7F480358" w14:textId="512633AA" w:rsidR="000A50AA" w:rsidRDefault="00106F16" w:rsidP="00E63964">
      <w:pPr>
        <w:ind w:left="720" w:hanging="720"/>
        <w:jc w:val="both"/>
        <w:rPr>
          <w:rFonts w:ascii="Tahoma" w:hAnsi="Tahoma" w:cs="Tahoma"/>
          <w:sz w:val="24"/>
          <w:szCs w:val="24"/>
          <w:lang w:val="en-US"/>
        </w:rPr>
      </w:pPr>
      <w:r>
        <w:rPr>
          <w:rFonts w:ascii="Tahoma" w:hAnsi="Tahoma" w:cs="Tahoma"/>
          <w:sz w:val="24"/>
          <w:szCs w:val="24"/>
          <w:lang w:val="en-US"/>
        </w:rPr>
        <w:t>7.1.2</w:t>
      </w:r>
      <w:r>
        <w:rPr>
          <w:rFonts w:ascii="Tahoma" w:hAnsi="Tahoma" w:cs="Tahoma"/>
          <w:sz w:val="24"/>
          <w:szCs w:val="24"/>
          <w:lang w:val="en-US"/>
        </w:rPr>
        <w:tab/>
      </w:r>
      <w:r w:rsidR="005E2242">
        <w:rPr>
          <w:rFonts w:ascii="Tahoma" w:hAnsi="Tahoma" w:cs="Tahoma"/>
          <w:sz w:val="24"/>
          <w:szCs w:val="24"/>
          <w:lang w:val="en-US"/>
        </w:rPr>
        <w:t>In August 2024, b</w:t>
      </w:r>
      <w:r w:rsidR="00C15011">
        <w:rPr>
          <w:rFonts w:ascii="Tahoma" w:hAnsi="Tahoma" w:cs="Tahoma"/>
          <w:sz w:val="24"/>
          <w:szCs w:val="24"/>
          <w:lang w:val="en-US"/>
        </w:rPr>
        <w:t>road money stock stood at ZW</w:t>
      </w:r>
      <w:r w:rsidR="00CD06BB">
        <w:rPr>
          <w:rFonts w:ascii="Tahoma" w:hAnsi="Tahoma" w:cs="Tahoma"/>
          <w:sz w:val="24"/>
          <w:szCs w:val="24"/>
          <w:lang w:val="en-US"/>
        </w:rPr>
        <w:t>G</w:t>
      </w:r>
      <w:r w:rsidR="005E2242">
        <w:rPr>
          <w:rFonts w:ascii="Tahoma" w:hAnsi="Tahoma" w:cs="Tahoma"/>
          <w:sz w:val="24"/>
          <w:szCs w:val="24"/>
          <w:lang w:val="en-US"/>
        </w:rPr>
        <w:t>46.47</w:t>
      </w:r>
      <w:r w:rsidR="00CD06BB">
        <w:rPr>
          <w:rFonts w:ascii="Tahoma" w:hAnsi="Tahoma" w:cs="Tahoma"/>
          <w:sz w:val="24"/>
          <w:szCs w:val="24"/>
          <w:lang w:val="en-US"/>
        </w:rPr>
        <w:t xml:space="preserve"> billion</w:t>
      </w:r>
      <w:r w:rsidR="005E2242">
        <w:rPr>
          <w:rFonts w:ascii="Tahoma" w:hAnsi="Tahoma" w:cs="Tahoma"/>
          <w:sz w:val="24"/>
          <w:szCs w:val="24"/>
          <w:lang w:val="en-US"/>
        </w:rPr>
        <w:t>, a 1.08% growth from ZWG45.98 billion</w:t>
      </w:r>
      <w:r w:rsidR="00303E26">
        <w:rPr>
          <w:rFonts w:ascii="Tahoma" w:hAnsi="Tahoma" w:cs="Tahoma"/>
          <w:sz w:val="24"/>
          <w:szCs w:val="24"/>
          <w:lang w:val="en-US"/>
        </w:rPr>
        <w:t xml:space="preserve"> in</w:t>
      </w:r>
      <w:r w:rsidR="006508CC">
        <w:rPr>
          <w:rFonts w:ascii="Tahoma" w:hAnsi="Tahoma" w:cs="Tahoma"/>
          <w:sz w:val="24"/>
          <w:szCs w:val="24"/>
          <w:lang w:val="en-US"/>
        </w:rPr>
        <w:t xml:space="preserve"> July</w:t>
      </w:r>
      <w:r w:rsidR="00303E26">
        <w:rPr>
          <w:rFonts w:ascii="Tahoma" w:hAnsi="Tahoma" w:cs="Tahoma"/>
          <w:sz w:val="24"/>
          <w:szCs w:val="24"/>
          <w:lang w:val="en-US"/>
        </w:rPr>
        <w:t xml:space="preserve"> 2024</w:t>
      </w:r>
      <w:r w:rsidR="005E2242">
        <w:rPr>
          <w:rFonts w:ascii="Tahoma" w:hAnsi="Tahoma" w:cs="Tahoma"/>
          <w:sz w:val="24"/>
          <w:szCs w:val="24"/>
          <w:lang w:val="en-US"/>
        </w:rPr>
        <w:t xml:space="preserve"> as shown in Figure 6 </w:t>
      </w:r>
      <w:r w:rsidR="003D514B">
        <w:rPr>
          <w:rFonts w:ascii="Tahoma" w:hAnsi="Tahoma" w:cs="Tahoma"/>
          <w:sz w:val="24"/>
          <w:szCs w:val="24"/>
          <w:lang w:val="en-US"/>
        </w:rPr>
        <w:t xml:space="preserve">(RBZ </w:t>
      </w:r>
      <w:r w:rsidR="005E2242">
        <w:rPr>
          <w:rFonts w:ascii="Tahoma" w:hAnsi="Tahoma" w:cs="Tahoma"/>
          <w:sz w:val="24"/>
          <w:szCs w:val="24"/>
          <w:lang w:val="en-US"/>
        </w:rPr>
        <w:t>August</w:t>
      </w:r>
      <w:r w:rsidR="003D514B">
        <w:rPr>
          <w:rFonts w:ascii="Tahoma" w:hAnsi="Tahoma" w:cs="Tahoma"/>
          <w:sz w:val="24"/>
          <w:szCs w:val="24"/>
          <w:lang w:val="en-US"/>
        </w:rPr>
        <w:t xml:space="preserve"> 2024 Monthly Economic Review)</w:t>
      </w:r>
      <w:r w:rsidR="005C0350">
        <w:rPr>
          <w:rFonts w:ascii="Tahoma" w:hAnsi="Tahoma" w:cs="Tahoma"/>
          <w:sz w:val="24"/>
          <w:szCs w:val="24"/>
          <w:lang w:val="en-US"/>
        </w:rPr>
        <w:t xml:space="preserve">. </w:t>
      </w:r>
      <w:r w:rsidR="005E2242">
        <w:rPr>
          <w:rFonts w:ascii="Tahoma" w:hAnsi="Tahoma" w:cs="Tahoma"/>
          <w:sz w:val="24"/>
          <w:szCs w:val="24"/>
          <w:lang w:val="en-US"/>
        </w:rPr>
        <w:t>The</w:t>
      </w:r>
      <w:r w:rsidR="00F57AA6">
        <w:rPr>
          <w:rFonts w:ascii="Tahoma" w:hAnsi="Tahoma" w:cs="Tahoma"/>
          <w:sz w:val="24"/>
          <w:szCs w:val="24"/>
          <w:lang w:val="en-US"/>
        </w:rPr>
        <w:t xml:space="preserve"> </w:t>
      </w:r>
      <w:r w:rsidR="00CD06BB">
        <w:rPr>
          <w:rFonts w:ascii="Tahoma" w:hAnsi="Tahoma" w:cs="Tahoma"/>
          <w:sz w:val="24"/>
          <w:szCs w:val="24"/>
          <w:lang w:val="en-US"/>
        </w:rPr>
        <w:t xml:space="preserve">money </w:t>
      </w:r>
      <w:r w:rsidR="005E2242">
        <w:rPr>
          <w:rFonts w:ascii="Tahoma" w:hAnsi="Tahoma" w:cs="Tahoma"/>
          <w:sz w:val="24"/>
          <w:szCs w:val="24"/>
          <w:lang w:val="en-US"/>
        </w:rPr>
        <w:t>stock composed of foreign currency deposits of 74.68%, local currency deposits of 25.17% and 0.15% local currency in circulation.</w:t>
      </w:r>
      <w:r w:rsidR="00CD06BB">
        <w:rPr>
          <w:rFonts w:ascii="Tahoma" w:hAnsi="Tahoma" w:cs="Tahoma"/>
          <w:sz w:val="24"/>
          <w:szCs w:val="24"/>
          <w:lang w:val="en-US"/>
        </w:rPr>
        <w:t xml:space="preserve"> </w:t>
      </w:r>
      <w:bookmarkEnd w:id="55"/>
    </w:p>
    <w:p w14:paraId="08B53D22" w14:textId="77777777" w:rsidR="005C0350" w:rsidRDefault="005C0350" w:rsidP="00F05BD5">
      <w:pPr>
        <w:spacing w:after="0"/>
        <w:ind w:left="720" w:hanging="720"/>
        <w:jc w:val="both"/>
        <w:rPr>
          <w:rFonts w:ascii="Tahoma" w:hAnsi="Tahoma" w:cs="Tahoma"/>
          <w:sz w:val="24"/>
          <w:szCs w:val="24"/>
          <w:lang w:val="en-US"/>
        </w:rPr>
      </w:pPr>
    </w:p>
    <w:p w14:paraId="2BF70610" w14:textId="77777777" w:rsidR="000A50AA" w:rsidRPr="00E70553" w:rsidRDefault="000A50AA" w:rsidP="00F05BD5">
      <w:pPr>
        <w:pStyle w:val="ListofFigures"/>
      </w:pPr>
      <w:bookmarkStart w:id="56" w:name="_Toc181785691"/>
      <w:r w:rsidRPr="00E70553">
        <w:t xml:space="preserve">Figure </w:t>
      </w:r>
      <w:r w:rsidR="005E2242">
        <w:t>6</w:t>
      </w:r>
      <w:r w:rsidR="005C0350">
        <w:t>:</w:t>
      </w:r>
      <w:r w:rsidRPr="00E70553">
        <w:t xml:space="preserve"> Broad Money (M3) Supply</w:t>
      </w:r>
      <w:bookmarkEnd w:id="56"/>
    </w:p>
    <w:p w14:paraId="3EB05CF1" w14:textId="796D320A" w:rsidR="000A50AA" w:rsidRDefault="00664692" w:rsidP="00C36C70">
      <w:pPr>
        <w:spacing w:after="0"/>
        <w:ind w:left="720" w:hanging="720"/>
        <w:jc w:val="both"/>
        <w:rPr>
          <w:noProof/>
          <w:lang w:eastAsia="en-ZW"/>
        </w:rPr>
      </w:pPr>
      <w:r>
        <w:rPr>
          <w:noProof/>
          <w:lang w:eastAsia="en-ZW"/>
        </w:rPr>
        <w:drawing>
          <wp:inline distT="0" distB="0" distL="0" distR="0" wp14:anchorId="60A1ACDF" wp14:editId="694E1F38">
            <wp:extent cx="5803900" cy="2819400"/>
            <wp:effectExtent l="0" t="0" r="6350" b="0"/>
            <wp:docPr id="8193335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3900" cy="2819400"/>
                    </a:xfrm>
                    <a:prstGeom prst="rect">
                      <a:avLst/>
                    </a:prstGeom>
                    <a:noFill/>
                  </pic:spPr>
                </pic:pic>
              </a:graphicData>
            </a:graphic>
          </wp:inline>
        </w:drawing>
      </w:r>
    </w:p>
    <w:p w14:paraId="0EEA6E2F" w14:textId="77777777" w:rsidR="00C36C70" w:rsidRDefault="00C36C70" w:rsidP="00C36C70">
      <w:pPr>
        <w:spacing w:after="0"/>
        <w:ind w:left="720" w:hanging="720"/>
        <w:jc w:val="both"/>
        <w:rPr>
          <w:rFonts w:ascii="Tahoma" w:hAnsi="Tahoma" w:cs="Tahoma"/>
          <w:i/>
          <w:noProof/>
          <w:sz w:val="24"/>
          <w:szCs w:val="24"/>
          <w:lang w:eastAsia="en-ZW"/>
        </w:rPr>
      </w:pPr>
      <w:r w:rsidRPr="00C36C70">
        <w:rPr>
          <w:rFonts w:ascii="Tahoma" w:hAnsi="Tahoma" w:cs="Tahoma"/>
          <w:i/>
          <w:noProof/>
          <w:sz w:val="24"/>
          <w:szCs w:val="24"/>
          <w:lang w:eastAsia="en-ZW"/>
        </w:rPr>
        <w:t>Source: RBZ (2024)</w:t>
      </w:r>
    </w:p>
    <w:p w14:paraId="3A74FAA5" w14:textId="77777777" w:rsidR="00C36C70" w:rsidRPr="00FE4A95" w:rsidRDefault="005D2E94" w:rsidP="00FE4A95">
      <w:pPr>
        <w:pStyle w:val="Heading2"/>
        <w:spacing w:before="0" w:after="240" w:line="240" w:lineRule="auto"/>
        <w:rPr>
          <w:rFonts w:cs="Tahoma"/>
          <w:b/>
          <w:color w:val="000000"/>
          <w:szCs w:val="24"/>
          <w:lang w:val="en-US"/>
        </w:rPr>
      </w:pPr>
      <w:bookmarkStart w:id="57" w:name="_Toc182566290"/>
      <w:r>
        <w:rPr>
          <w:rFonts w:cs="Tahoma"/>
          <w:b/>
          <w:color w:val="000000"/>
          <w:szCs w:val="24"/>
          <w:lang w:val="en-US"/>
        </w:rPr>
        <w:lastRenderedPageBreak/>
        <w:t>7.2</w:t>
      </w:r>
      <w:r w:rsidR="00D6287E">
        <w:rPr>
          <w:rFonts w:cs="Tahoma"/>
          <w:b/>
          <w:color w:val="000000"/>
          <w:szCs w:val="24"/>
          <w:lang w:val="en-US"/>
        </w:rPr>
        <w:tab/>
        <w:t>Interest Rates</w:t>
      </w:r>
      <w:bookmarkEnd w:id="57"/>
      <w:r>
        <w:rPr>
          <w:rFonts w:cs="Tahoma"/>
          <w:b/>
          <w:color w:val="000000"/>
          <w:szCs w:val="24"/>
          <w:lang w:val="en-US"/>
        </w:rPr>
        <w:t xml:space="preserve"> </w:t>
      </w:r>
    </w:p>
    <w:p w14:paraId="34C069C1" w14:textId="77777777" w:rsidR="00D50A5E" w:rsidRPr="004853CA" w:rsidRDefault="005D2E94" w:rsidP="00113183">
      <w:pPr>
        <w:ind w:left="720" w:hanging="720"/>
        <w:jc w:val="both"/>
        <w:rPr>
          <w:rFonts w:ascii="Tahoma" w:eastAsia="Times New Roman" w:hAnsi="Tahoma" w:cs="Tahoma"/>
          <w:i/>
          <w:kern w:val="0"/>
          <w:sz w:val="24"/>
          <w:szCs w:val="24"/>
          <w:lang w:eastAsia="en-ZW"/>
        </w:rPr>
      </w:pPr>
      <w:r>
        <w:rPr>
          <w:rFonts w:ascii="Tahoma" w:hAnsi="Tahoma" w:cs="Tahoma"/>
          <w:sz w:val="24"/>
          <w:szCs w:val="24"/>
          <w:lang w:val="en-US"/>
        </w:rPr>
        <w:t>7.1.1</w:t>
      </w:r>
      <w:r w:rsidR="00866209">
        <w:rPr>
          <w:rFonts w:ascii="Tahoma" w:hAnsi="Tahoma" w:cs="Tahoma"/>
          <w:sz w:val="24"/>
          <w:szCs w:val="24"/>
          <w:lang w:val="en-US"/>
        </w:rPr>
        <w:tab/>
      </w:r>
      <w:bookmarkStart w:id="58" w:name="_Hlk179978750"/>
      <w:bookmarkStart w:id="59" w:name="_Hlk166606487"/>
      <w:r w:rsidR="00113183">
        <w:rPr>
          <w:rFonts w:ascii="Tahoma" w:hAnsi="Tahoma" w:cs="Tahoma"/>
          <w:sz w:val="24"/>
          <w:szCs w:val="24"/>
          <w:lang w:val="en-US"/>
        </w:rPr>
        <w:t xml:space="preserve">As </w:t>
      </w:r>
      <w:r w:rsidR="00C708EB">
        <w:rPr>
          <w:rFonts w:ascii="Tahoma" w:hAnsi="Tahoma" w:cs="Tahoma"/>
          <w:sz w:val="24"/>
          <w:szCs w:val="24"/>
          <w:lang w:val="en-US"/>
        </w:rPr>
        <w:t>of</w:t>
      </w:r>
      <w:r w:rsidR="00113183">
        <w:rPr>
          <w:rFonts w:ascii="Tahoma" w:hAnsi="Tahoma" w:cs="Tahoma"/>
          <w:sz w:val="24"/>
          <w:szCs w:val="24"/>
          <w:lang w:val="en-US"/>
        </w:rPr>
        <w:t xml:space="preserve"> 11 October 2024, the average commercial bank deposit rate for savings on foreign currency was revised from a minimum of 1.53% to 1.22% and a maximum of 1.86% to 1.50%. Other categories of interest rates remained unchanged (refer to </w:t>
      </w:r>
      <w:r w:rsidR="00FD11C4">
        <w:rPr>
          <w:rFonts w:ascii="Tahoma" w:hAnsi="Tahoma" w:cs="Tahoma"/>
          <w:sz w:val="24"/>
          <w:szCs w:val="24"/>
          <w:lang w:val="en-US"/>
        </w:rPr>
        <w:t xml:space="preserve">the </w:t>
      </w:r>
      <w:r w:rsidR="00113183">
        <w:rPr>
          <w:rFonts w:ascii="Tahoma" w:hAnsi="Tahoma" w:cs="Tahoma"/>
          <w:sz w:val="24"/>
          <w:szCs w:val="24"/>
          <w:lang w:val="en-US"/>
        </w:rPr>
        <w:t>NECF September 2024 Economic Bulletin)</w:t>
      </w:r>
      <w:bookmarkEnd w:id="58"/>
      <w:r w:rsidR="00113183">
        <w:rPr>
          <w:rFonts w:ascii="Tahoma" w:hAnsi="Tahoma" w:cs="Tahoma"/>
          <w:sz w:val="24"/>
          <w:szCs w:val="24"/>
          <w:lang w:val="en-US"/>
        </w:rPr>
        <w:t>.</w:t>
      </w:r>
    </w:p>
    <w:bookmarkEnd w:id="59"/>
    <w:p w14:paraId="78D50B1B" w14:textId="70C571D5" w:rsidR="004514A3" w:rsidRDefault="00A1045C" w:rsidP="00E63964">
      <w:pPr>
        <w:spacing w:line="240" w:lineRule="auto"/>
        <w:ind w:left="720" w:hanging="720"/>
        <w:jc w:val="both"/>
        <w:rPr>
          <w:rFonts w:ascii="Tahoma" w:hAnsi="Tahoma" w:cs="Tahoma"/>
          <w:sz w:val="24"/>
          <w:szCs w:val="24"/>
        </w:rPr>
      </w:pPr>
      <w:r>
        <w:rPr>
          <w:rFonts w:ascii="Tahoma" w:hAnsi="Tahoma" w:cs="Tahoma"/>
          <w:sz w:val="24"/>
          <w:szCs w:val="24"/>
        </w:rPr>
        <w:t>7.1.2</w:t>
      </w:r>
      <w:r>
        <w:rPr>
          <w:rFonts w:ascii="Tahoma" w:hAnsi="Tahoma" w:cs="Tahoma"/>
          <w:sz w:val="24"/>
          <w:szCs w:val="24"/>
        </w:rPr>
        <w:tab/>
      </w:r>
      <w:bookmarkStart w:id="60" w:name="_Hlk179978781"/>
      <w:r w:rsidR="00DE15B4">
        <w:rPr>
          <w:rFonts w:ascii="Tahoma" w:hAnsi="Tahoma" w:cs="Tahoma"/>
          <w:sz w:val="24"/>
          <w:szCs w:val="24"/>
        </w:rPr>
        <w:t xml:space="preserve">The downward revision of the foreign currency saving </w:t>
      </w:r>
      <w:r w:rsidR="004B51EB">
        <w:rPr>
          <w:rFonts w:ascii="Tahoma" w:hAnsi="Tahoma" w:cs="Tahoma"/>
          <w:sz w:val="24"/>
          <w:szCs w:val="24"/>
        </w:rPr>
        <w:t xml:space="preserve">interest </w:t>
      </w:r>
      <w:r w:rsidR="00DE15B4">
        <w:rPr>
          <w:rFonts w:ascii="Tahoma" w:hAnsi="Tahoma" w:cs="Tahoma"/>
          <w:sz w:val="24"/>
          <w:szCs w:val="24"/>
        </w:rPr>
        <w:t>rate discourages saving</w:t>
      </w:r>
      <w:r w:rsidR="009D4D20">
        <w:rPr>
          <w:rFonts w:ascii="Tahoma" w:hAnsi="Tahoma" w:cs="Tahoma"/>
          <w:sz w:val="24"/>
          <w:szCs w:val="24"/>
        </w:rPr>
        <w:t>s</w:t>
      </w:r>
      <w:r w:rsidR="00DE15B4">
        <w:rPr>
          <w:rFonts w:ascii="Tahoma" w:hAnsi="Tahoma" w:cs="Tahoma"/>
          <w:sz w:val="24"/>
          <w:szCs w:val="24"/>
        </w:rPr>
        <w:t xml:space="preserve"> in foreign currency. </w:t>
      </w:r>
      <w:bookmarkEnd w:id="60"/>
    </w:p>
    <w:p w14:paraId="20181341" w14:textId="77777777" w:rsidR="00184FA3" w:rsidRPr="00A64F64" w:rsidRDefault="00F67469" w:rsidP="00022BFE">
      <w:pPr>
        <w:pStyle w:val="Heading1"/>
        <w:spacing w:before="0" w:after="240" w:line="240" w:lineRule="auto"/>
        <w:rPr>
          <w:rFonts w:cs="Tahoma"/>
          <w:bCs/>
          <w:color w:val="000000"/>
          <w:szCs w:val="24"/>
          <w:lang w:val="en-US"/>
        </w:rPr>
      </w:pPr>
      <w:bookmarkStart w:id="61" w:name="_Toc166607902"/>
      <w:bookmarkStart w:id="62" w:name="_Toc182566291"/>
      <w:r w:rsidRPr="00A64F64">
        <w:rPr>
          <w:rFonts w:cs="Tahoma"/>
          <w:bCs/>
          <w:color w:val="000000"/>
          <w:szCs w:val="24"/>
          <w:lang w:val="en-US"/>
        </w:rPr>
        <w:t>8.0</w:t>
      </w:r>
      <w:r w:rsidRPr="00A64F64">
        <w:rPr>
          <w:rFonts w:cs="Tahoma"/>
          <w:bCs/>
          <w:color w:val="000000"/>
          <w:szCs w:val="24"/>
          <w:lang w:val="en-US"/>
        </w:rPr>
        <w:tab/>
      </w:r>
      <w:r w:rsidR="00184FA3" w:rsidRPr="00A64F64">
        <w:rPr>
          <w:rFonts w:cs="Tahoma"/>
          <w:bCs/>
          <w:color w:val="000000"/>
          <w:szCs w:val="24"/>
          <w:lang w:val="en-US"/>
        </w:rPr>
        <w:t>Stock Market Developments</w:t>
      </w:r>
      <w:bookmarkEnd w:id="61"/>
      <w:bookmarkEnd w:id="62"/>
      <w:r w:rsidR="00184FA3" w:rsidRPr="00A64F64">
        <w:rPr>
          <w:rFonts w:cs="Tahoma"/>
          <w:bCs/>
          <w:color w:val="000000"/>
          <w:szCs w:val="24"/>
          <w:lang w:val="en-US"/>
        </w:rPr>
        <w:t xml:space="preserve"> </w:t>
      </w:r>
    </w:p>
    <w:p w14:paraId="56A7759C" w14:textId="77777777" w:rsidR="00184FA3" w:rsidRPr="00863A17" w:rsidRDefault="00F67469" w:rsidP="003C1D2F">
      <w:pPr>
        <w:pStyle w:val="Heading2"/>
        <w:spacing w:before="0" w:after="240" w:line="240" w:lineRule="auto"/>
        <w:rPr>
          <w:rFonts w:cs="Tahoma"/>
          <w:b/>
          <w:color w:val="000000"/>
          <w:szCs w:val="24"/>
          <w:lang w:val="en-US"/>
        </w:rPr>
      </w:pPr>
      <w:bookmarkStart w:id="63" w:name="_Toc166607903"/>
      <w:bookmarkStart w:id="64" w:name="_Toc182566292"/>
      <w:r w:rsidRPr="00863A17">
        <w:rPr>
          <w:rFonts w:cs="Tahoma"/>
          <w:b/>
          <w:color w:val="000000"/>
          <w:szCs w:val="24"/>
          <w:lang w:val="en-US"/>
        </w:rPr>
        <w:t>8.1</w:t>
      </w:r>
      <w:r w:rsidRPr="00863A17">
        <w:rPr>
          <w:rFonts w:cs="Tahoma"/>
          <w:b/>
          <w:color w:val="000000"/>
          <w:szCs w:val="24"/>
          <w:lang w:val="en-US"/>
        </w:rPr>
        <w:tab/>
      </w:r>
      <w:r w:rsidR="00184FA3" w:rsidRPr="00863A17">
        <w:rPr>
          <w:rFonts w:cs="Tahoma"/>
          <w:b/>
          <w:color w:val="000000"/>
          <w:szCs w:val="24"/>
          <w:lang w:val="en-US"/>
        </w:rPr>
        <w:t>Zimbabwe Stock Exchange</w:t>
      </w:r>
      <w:bookmarkEnd w:id="63"/>
      <w:bookmarkEnd w:id="64"/>
      <w:r w:rsidR="00184FA3" w:rsidRPr="00863A17">
        <w:rPr>
          <w:rFonts w:cs="Tahoma"/>
          <w:b/>
          <w:color w:val="000000"/>
          <w:szCs w:val="24"/>
          <w:lang w:val="en-US"/>
        </w:rPr>
        <w:t xml:space="preserve"> </w:t>
      </w:r>
    </w:p>
    <w:p w14:paraId="7157C912" w14:textId="5CCF1D14" w:rsidR="00F6081E" w:rsidRPr="00863A17" w:rsidRDefault="00F67469" w:rsidP="00F67469">
      <w:pPr>
        <w:ind w:left="720" w:hanging="720"/>
        <w:jc w:val="both"/>
        <w:rPr>
          <w:rFonts w:ascii="Tahoma" w:hAnsi="Tahoma" w:cs="Tahoma"/>
          <w:sz w:val="24"/>
          <w:szCs w:val="24"/>
          <w:lang w:val="en-US"/>
        </w:rPr>
      </w:pPr>
      <w:r w:rsidRPr="00863A17">
        <w:rPr>
          <w:rFonts w:ascii="Tahoma" w:hAnsi="Tahoma" w:cs="Tahoma"/>
          <w:sz w:val="24"/>
          <w:szCs w:val="24"/>
          <w:lang w:val="en-US"/>
        </w:rPr>
        <w:t>8.1.</w:t>
      </w:r>
      <w:r w:rsidR="009D4D20">
        <w:rPr>
          <w:rFonts w:ascii="Tahoma" w:hAnsi="Tahoma" w:cs="Tahoma"/>
          <w:sz w:val="24"/>
          <w:szCs w:val="24"/>
          <w:lang w:val="en-US"/>
        </w:rPr>
        <w:t>1</w:t>
      </w:r>
      <w:r w:rsidRPr="00863A17">
        <w:rPr>
          <w:rFonts w:ascii="Tahoma" w:hAnsi="Tahoma" w:cs="Tahoma"/>
          <w:sz w:val="24"/>
          <w:szCs w:val="24"/>
          <w:lang w:val="en-US"/>
        </w:rPr>
        <w:tab/>
      </w:r>
      <w:bookmarkStart w:id="65" w:name="_Hlk179978801"/>
      <w:r w:rsidR="008E7F02">
        <w:rPr>
          <w:rFonts w:ascii="Tahoma" w:hAnsi="Tahoma" w:cs="Tahoma"/>
          <w:sz w:val="24"/>
          <w:szCs w:val="24"/>
          <w:lang w:val="en-US"/>
        </w:rPr>
        <w:t>The</w:t>
      </w:r>
      <w:r w:rsidR="006809E5">
        <w:rPr>
          <w:rFonts w:ascii="Tahoma" w:hAnsi="Tahoma" w:cs="Tahoma"/>
          <w:sz w:val="24"/>
          <w:szCs w:val="24"/>
          <w:lang w:val="en-US"/>
        </w:rPr>
        <w:t xml:space="preserve"> ZSE</w:t>
      </w:r>
      <w:r w:rsidR="008E7F02">
        <w:rPr>
          <w:rFonts w:ascii="Tahoma" w:hAnsi="Tahoma" w:cs="Tahoma"/>
          <w:sz w:val="24"/>
          <w:szCs w:val="24"/>
          <w:lang w:val="en-US"/>
        </w:rPr>
        <w:t xml:space="preserve"> was characterized by</w:t>
      </w:r>
      <w:r w:rsidR="006809E5">
        <w:rPr>
          <w:rFonts w:ascii="Tahoma" w:hAnsi="Tahoma" w:cs="Tahoma"/>
          <w:sz w:val="24"/>
          <w:szCs w:val="24"/>
          <w:lang w:val="en-US"/>
        </w:rPr>
        <w:t xml:space="preserve"> bullish </w:t>
      </w:r>
      <w:r w:rsidR="009D4D20">
        <w:rPr>
          <w:rFonts w:ascii="Tahoma" w:hAnsi="Tahoma" w:cs="Tahoma"/>
          <w:sz w:val="24"/>
          <w:szCs w:val="24"/>
          <w:lang w:val="en-US"/>
        </w:rPr>
        <w:t>trend</w:t>
      </w:r>
      <w:r w:rsidR="008E7F02">
        <w:rPr>
          <w:rFonts w:ascii="Tahoma" w:hAnsi="Tahoma" w:cs="Tahoma"/>
          <w:sz w:val="24"/>
          <w:szCs w:val="24"/>
          <w:lang w:val="en-US"/>
        </w:rPr>
        <w:t xml:space="preserve"> during the </w:t>
      </w:r>
      <w:r w:rsidR="009D4D20">
        <w:rPr>
          <w:rFonts w:ascii="Tahoma" w:hAnsi="Tahoma" w:cs="Tahoma"/>
          <w:sz w:val="24"/>
          <w:szCs w:val="24"/>
          <w:lang w:val="en-US"/>
        </w:rPr>
        <w:t>month</w:t>
      </w:r>
      <w:r w:rsidR="008E7F02">
        <w:rPr>
          <w:rFonts w:ascii="Tahoma" w:hAnsi="Tahoma" w:cs="Tahoma"/>
          <w:sz w:val="24"/>
          <w:szCs w:val="24"/>
          <w:lang w:val="en-US"/>
        </w:rPr>
        <w:t xml:space="preserve"> under review</w:t>
      </w:r>
      <w:r w:rsidR="000E6686">
        <w:rPr>
          <w:rFonts w:ascii="Tahoma" w:hAnsi="Tahoma" w:cs="Tahoma"/>
          <w:sz w:val="24"/>
          <w:szCs w:val="24"/>
          <w:lang w:val="en-US"/>
        </w:rPr>
        <w:t xml:space="preserve"> mainly driven by gains in blue-chip stocks</w:t>
      </w:r>
      <w:r w:rsidR="006809E5">
        <w:rPr>
          <w:rFonts w:ascii="Tahoma" w:hAnsi="Tahoma" w:cs="Tahoma"/>
          <w:sz w:val="24"/>
          <w:szCs w:val="24"/>
          <w:lang w:val="en-US"/>
        </w:rPr>
        <w:t>.</w:t>
      </w:r>
      <w:r w:rsidR="00BC1A8E">
        <w:rPr>
          <w:rFonts w:ascii="Tahoma" w:hAnsi="Tahoma" w:cs="Tahoma"/>
          <w:sz w:val="24"/>
          <w:szCs w:val="24"/>
          <w:lang w:val="en-US"/>
        </w:rPr>
        <w:t xml:space="preserve"> </w:t>
      </w:r>
      <w:r w:rsidR="008E7F02">
        <w:rPr>
          <w:rFonts w:ascii="Tahoma" w:hAnsi="Tahoma" w:cs="Tahoma"/>
          <w:sz w:val="24"/>
          <w:szCs w:val="24"/>
          <w:lang w:val="en-US"/>
        </w:rPr>
        <w:t xml:space="preserve">On a </w:t>
      </w:r>
      <w:proofErr w:type="gramStart"/>
      <w:r w:rsidR="009D4D20">
        <w:rPr>
          <w:rFonts w:ascii="Tahoma" w:hAnsi="Tahoma" w:cs="Tahoma"/>
          <w:sz w:val="24"/>
          <w:szCs w:val="24"/>
          <w:lang w:val="en-US"/>
        </w:rPr>
        <w:t>MoM</w:t>
      </w:r>
      <w:proofErr w:type="gramEnd"/>
      <w:r w:rsidR="008E7F02">
        <w:rPr>
          <w:rFonts w:ascii="Tahoma" w:hAnsi="Tahoma" w:cs="Tahoma"/>
          <w:sz w:val="24"/>
          <w:szCs w:val="24"/>
          <w:lang w:val="en-US"/>
        </w:rPr>
        <w:t xml:space="preserve"> basis, </w:t>
      </w:r>
      <w:r w:rsidR="009D4D20">
        <w:rPr>
          <w:rFonts w:ascii="Tahoma" w:hAnsi="Tahoma" w:cs="Tahoma"/>
          <w:sz w:val="24"/>
          <w:szCs w:val="24"/>
          <w:lang w:val="en-US"/>
        </w:rPr>
        <w:t xml:space="preserve">the </w:t>
      </w:r>
      <w:r w:rsidR="009D4D20">
        <w:rPr>
          <w:rFonts w:ascii="Tahoma" w:hAnsi="Tahoma" w:cs="Tahoma"/>
          <w:sz w:val="24"/>
          <w:szCs w:val="24"/>
        </w:rPr>
        <w:t>A</w:t>
      </w:r>
      <w:r w:rsidR="008E7F02">
        <w:rPr>
          <w:rFonts w:ascii="Tahoma" w:hAnsi="Tahoma" w:cs="Tahoma"/>
          <w:sz w:val="24"/>
          <w:szCs w:val="24"/>
        </w:rPr>
        <w:t>ll</w:t>
      </w:r>
      <w:r w:rsidR="009D4D20">
        <w:rPr>
          <w:rFonts w:ascii="Tahoma" w:hAnsi="Tahoma" w:cs="Tahoma"/>
          <w:sz w:val="24"/>
          <w:szCs w:val="24"/>
        </w:rPr>
        <w:t xml:space="preserve"> S</w:t>
      </w:r>
      <w:r w:rsidR="008E7F02">
        <w:rPr>
          <w:rFonts w:ascii="Tahoma" w:hAnsi="Tahoma" w:cs="Tahoma"/>
          <w:sz w:val="24"/>
          <w:szCs w:val="24"/>
        </w:rPr>
        <w:t xml:space="preserve">hare </w:t>
      </w:r>
      <w:r w:rsidR="009D4D20">
        <w:rPr>
          <w:rFonts w:ascii="Tahoma" w:hAnsi="Tahoma" w:cs="Tahoma"/>
          <w:sz w:val="24"/>
          <w:szCs w:val="24"/>
        </w:rPr>
        <w:t>I</w:t>
      </w:r>
      <w:r w:rsidR="008E7F02">
        <w:rPr>
          <w:rFonts w:ascii="Tahoma" w:hAnsi="Tahoma" w:cs="Tahoma"/>
          <w:sz w:val="24"/>
          <w:szCs w:val="24"/>
        </w:rPr>
        <w:t>ndex</w:t>
      </w:r>
      <w:r w:rsidR="009D4D20">
        <w:rPr>
          <w:rFonts w:ascii="Tahoma" w:hAnsi="Tahoma" w:cs="Tahoma"/>
          <w:sz w:val="24"/>
          <w:szCs w:val="24"/>
        </w:rPr>
        <w:t>, T</w:t>
      </w:r>
      <w:r w:rsidR="006809E5">
        <w:rPr>
          <w:rFonts w:ascii="Tahoma" w:hAnsi="Tahoma" w:cs="Tahoma"/>
          <w:sz w:val="24"/>
          <w:szCs w:val="24"/>
        </w:rPr>
        <w:t xml:space="preserve">op 10 </w:t>
      </w:r>
      <w:r w:rsidR="009D4D20">
        <w:rPr>
          <w:rFonts w:ascii="Tahoma" w:hAnsi="Tahoma" w:cs="Tahoma"/>
          <w:sz w:val="24"/>
          <w:szCs w:val="24"/>
        </w:rPr>
        <w:t>I</w:t>
      </w:r>
      <w:r w:rsidR="006809E5">
        <w:rPr>
          <w:rFonts w:ascii="Tahoma" w:hAnsi="Tahoma" w:cs="Tahoma"/>
          <w:sz w:val="24"/>
          <w:szCs w:val="24"/>
        </w:rPr>
        <w:t>ndex</w:t>
      </w:r>
      <w:r w:rsidR="009D4D20">
        <w:rPr>
          <w:rFonts w:ascii="Tahoma" w:hAnsi="Tahoma" w:cs="Tahoma"/>
          <w:sz w:val="24"/>
          <w:szCs w:val="24"/>
        </w:rPr>
        <w:t>, V</w:t>
      </w:r>
      <w:r w:rsidR="006809E5">
        <w:rPr>
          <w:rFonts w:ascii="Tahoma" w:hAnsi="Tahoma" w:cs="Tahoma"/>
          <w:sz w:val="24"/>
          <w:szCs w:val="24"/>
        </w:rPr>
        <w:t xml:space="preserve">alue </w:t>
      </w:r>
      <w:r w:rsidR="009D4D20">
        <w:rPr>
          <w:rFonts w:ascii="Tahoma" w:hAnsi="Tahoma" w:cs="Tahoma"/>
          <w:sz w:val="24"/>
          <w:szCs w:val="24"/>
        </w:rPr>
        <w:t>T</w:t>
      </w:r>
      <w:r w:rsidR="00C817CC">
        <w:rPr>
          <w:rFonts w:ascii="Tahoma" w:hAnsi="Tahoma" w:cs="Tahoma"/>
          <w:sz w:val="24"/>
          <w:szCs w:val="24"/>
        </w:rPr>
        <w:t>raded</w:t>
      </w:r>
      <w:r w:rsidR="009D4D20">
        <w:rPr>
          <w:rFonts w:ascii="Tahoma" w:hAnsi="Tahoma" w:cs="Tahoma"/>
          <w:sz w:val="24"/>
          <w:szCs w:val="24"/>
        </w:rPr>
        <w:t>, and M</w:t>
      </w:r>
      <w:r w:rsidR="004514A3">
        <w:rPr>
          <w:rFonts w:ascii="Tahoma" w:hAnsi="Tahoma" w:cs="Tahoma"/>
          <w:sz w:val="24"/>
          <w:szCs w:val="24"/>
        </w:rPr>
        <w:t xml:space="preserve">arket </w:t>
      </w:r>
      <w:r w:rsidR="009D4D20">
        <w:rPr>
          <w:rFonts w:ascii="Tahoma" w:hAnsi="Tahoma" w:cs="Tahoma"/>
          <w:sz w:val="24"/>
          <w:szCs w:val="24"/>
        </w:rPr>
        <w:t>C</w:t>
      </w:r>
      <w:r w:rsidR="004514A3">
        <w:rPr>
          <w:rFonts w:ascii="Tahoma" w:hAnsi="Tahoma" w:cs="Tahoma"/>
          <w:sz w:val="24"/>
          <w:szCs w:val="24"/>
        </w:rPr>
        <w:t xml:space="preserve">apitalization </w:t>
      </w:r>
      <w:r w:rsidR="00424F97">
        <w:rPr>
          <w:rFonts w:ascii="Tahoma" w:hAnsi="Tahoma" w:cs="Tahoma"/>
          <w:sz w:val="24"/>
          <w:szCs w:val="24"/>
        </w:rPr>
        <w:t>gain</w:t>
      </w:r>
      <w:r w:rsidR="008E7F02">
        <w:rPr>
          <w:rFonts w:ascii="Tahoma" w:hAnsi="Tahoma" w:cs="Tahoma"/>
          <w:sz w:val="24"/>
          <w:szCs w:val="24"/>
        </w:rPr>
        <w:t>ed</w:t>
      </w:r>
      <w:r w:rsidR="00362187" w:rsidRPr="00863A17">
        <w:rPr>
          <w:rFonts w:ascii="Tahoma" w:hAnsi="Tahoma" w:cs="Tahoma"/>
          <w:sz w:val="24"/>
          <w:szCs w:val="24"/>
        </w:rPr>
        <w:t xml:space="preserve"> by </w:t>
      </w:r>
      <w:r w:rsidR="009D4D20">
        <w:rPr>
          <w:rFonts w:ascii="Tahoma" w:hAnsi="Tahoma" w:cs="Tahoma"/>
          <w:sz w:val="24"/>
          <w:szCs w:val="24"/>
        </w:rPr>
        <w:t>gained by 18.79%, 17.64%, 1503.3%</w:t>
      </w:r>
      <w:r w:rsidR="009D4D20">
        <w:rPr>
          <w:rFonts w:ascii="Tahoma" w:hAnsi="Tahoma" w:cs="Tahoma"/>
          <w:sz w:val="24"/>
          <w:szCs w:val="24"/>
        </w:rPr>
        <w:t xml:space="preserve">, and </w:t>
      </w:r>
      <w:r w:rsidR="006809E5">
        <w:rPr>
          <w:rFonts w:ascii="Tahoma" w:hAnsi="Tahoma" w:cs="Tahoma"/>
          <w:sz w:val="24"/>
          <w:szCs w:val="24"/>
        </w:rPr>
        <w:t>2</w:t>
      </w:r>
      <w:r w:rsidR="008E7F02">
        <w:rPr>
          <w:rFonts w:ascii="Tahoma" w:hAnsi="Tahoma" w:cs="Tahoma"/>
          <w:sz w:val="24"/>
          <w:szCs w:val="24"/>
        </w:rPr>
        <w:t>0.05</w:t>
      </w:r>
      <w:r w:rsidR="00BC1A8E">
        <w:rPr>
          <w:rFonts w:ascii="Tahoma" w:hAnsi="Tahoma" w:cs="Tahoma"/>
          <w:sz w:val="24"/>
          <w:szCs w:val="24"/>
        </w:rPr>
        <w:t>%</w:t>
      </w:r>
      <w:r w:rsidR="009D4D20">
        <w:rPr>
          <w:rFonts w:ascii="Tahoma" w:hAnsi="Tahoma" w:cs="Tahoma"/>
          <w:sz w:val="24"/>
          <w:szCs w:val="24"/>
        </w:rPr>
        <w:t>, respectively</w:t>
      </w:r>
      <w:r w:rsidR="005F5AF8">
        <w:rPr>
          <w:rFonts w:ascii="Tahoma" w:hAnsi="Tahoma" w:cs="Tahoma"/>
          <w:sz w:val="24"/>
          <w:szCs w:val="24"/>
        </w:rPr>
        <w:t>.</w:t>
      </w:r>
      <w:r w:rsidR="007A0D34">
        <w:rPr>
          <w:rFonts w:ascii="Tahoma" w:hAnsi="Tahoma" w:cs="Tahoma"/>
          <w:sz w:val="24"/>
          <w:szCs w:val="24"/>
        </w:rPr>
        <w:t xml:space="preserve"> Value </w:t>
      </w:r>
      <w:r w:rsidR="009D4D20">
        <w:rPr>
          <w:rFonts w:ascii="Tahoma" w:hAnsi="Tahoma" w:cs="Tahoma"/>
          <w:sz w:val="24"/>
          <w:szCs w:val="24"/>
        </w:rPr>
        <w:t>T</w:t>
      </w:r>
      <w:r w:rsidR="007A0D34">
        <w:rPr>
          <w:rFonts w:ascii="Tahoma" w:hAnsi="Tahoma" w:cs="Tahoma"/>
          <w:sz w:val="24"/>
          <w:szCs w:val="24"/>
        </w:rPr>
        <w:t>raded growth was bolstered by strong performance across several key counters.</w:t>
      </w:r>
    </w:p>
    <w:p w14:paraId="4FC9AADA" w14:textId="109B822D" w:rsidR="00F6081E" w:rsidRPr="00863A17" w:rsidRDefault="00F67469" w:rsidP="00F67469">
      <w:pPr>
        <w:ind w:left="720" w:hanging="720"/>
        <w:jc w:val="both"/>
        <w:rPr>
          <w:rFonts w:ascii="Tahoma" w:hAnsi="Tahoma" w:cs="Tahoma"/>
          <w:sz w:val="24"/>
          <w:szCs w:val="24"/>
        </w:rPr>
      </w:pPr>
      <w:r w:rsidRPr="00863A17">
        <w:rPr>
          <w:rFonts w:ascii="Tahoma" w:hAnsi="Tahoma" w:cs="Tahoma"/>
          <w:sz w:val="24"/>
          <w:szCs w:val="24"/>
        </w:rPr>
        <w:t>8.1.</w:t>
      </w:r>
      <w:r w:rsidR="009D4D20">
        <w:rPr>
          <w:rFonts w:ascii="Tahoma" w:hAnsi="Tahoma" w:cs="Tahoma"/>
          <w:sz w:val="24"/>
          <w:szCs w:val="24"/>
        </w:rPr>
        <w:t>2</w:t>
      </w:r>
      <w:r w:rsidRPr="00863A17">
        <w:rPr>
          <w:rFonts w:ascii="Tahoma" w:hAnsi="Tahoma" w:cs="Tahoma"/>
          <w:sz w:val="24"/>
          <w:szCs w:val="24"/>
        </w:rPr>
        <w:tab/>
      </w:r>
      <w:r w:rsidR="00505644">
        <w:rPr>
          <w:rFonts w:ascii="Tahoma" w:hAnsi="Tahoma" w:cs="Tahoma"/>
          <w:sz w:val="24"/>
          <w:szCs w:val="24"/>
        </w:rPr>
        <w:t>On</w:t>
      </w:r>
      <w:r w:rsidR="00FA2E40">
        <w:rPr>
          <w:rFonts w:ascii="Tahoma" w:hAnsi="Tahoma" w:cs="Tahoma"/>
          <w:sz w:val="24"/>
          <w:szCs w:val="24"/>
        </w:rPr>
        <w:t xml:space="preserve"> </w:t>
      </w:r>
      <w:r w:rsidR="0040512D">
        <w:rPr>
          <w:rFonts w:ascii="Tahoma" w:hAnsi="Tahoma" w:cs="Tahoma"/>
          <w:sz w:val="24"/>
          <w:szCs w:val="24"/>
        </w:rPr>
        <w:t>year-to-date</w:t>
      </w:r>
      <w:r w:rsidR="00130CC2">
        <w:rPr>
          <w:rFonts w:ascii="Tahoma" w:hAnsi="Tahoma" w:cs="Tahoma"/>
          <w:sz w:val="24"/>
          <w:szCs w:val="24"/>
        </w:rPr>
        <w:t xml:space="preserve"> and </w:t>
      </w:r>
      <w:r w:rsidR="0040512D">
        <w:rPr>
          <w:rFonts w:ascii="Tahoma" w:hAnsi="Tahoma" w:cs="Tahoma"/>
          <w:sz w:val="24"/>
          <w:szCs w:val="24"/>
        </w:rPr>
        <w:t>year-on-year</w:t>
      </w:r>
      <w:r w:rsidR="00130CC2">
        <w:rPr>
          <w:rFonts w:ascii="Tahoma" w:hAnsi="Tahoma" w:cs="Tahoma"/>
          <w:sz w:val="24"/>
          <w:szCs w:val="24"/>
        </w:rPr>
        <w:t>,</w:t>
      </w:r>
      <w:r w:rsidR="00542DE9">
        <w:rPr>
          <w:rFonts w:ascii="Tahoma" w:hAnsi="Tahoma" w:cs="Tahoma"/>
          <w:sz w:val="24"/>
          <w:szCs w:val="24"/>
        </w:rPr>
        <w:t xml:space="preserve"> all selected indices gained, see Table 7</w:t>
      </w:r>
      <w:bookmarkEnd w:id="65"/>
      <w:r w:rsidR="00542DE9">
        <w:rPr>
          <w:rFonts w:ascii="Tahoma" w:hAnsi="Tahoma" w:cs="Tahoma"/>
          <w:sz w:val="24"/>
          <w:szCs w:val="24"/>
        </w:rPr>
        <w:t>.</w:t>
      </w:r>
      <w:r w:rsidR="00A1045C">
        <w:rPr>
          <w:rFonts w:ascii="Tahoma" w:hAnsi="Tahoma" w:cs="Tahoma"/>
          <w:sz w:val="24"/>
          <w:szCs w:val="24"/>
        </w:rPr>
        <w:t xml:space="preserve"> </w:t>
      </w:r>
    </w:p>
    <w:p w14:paraId="06AC5C05" w14:textId="77777777" w:rsidR="00ED0A35" w:rsidRPr="00ED0A35" w:rsidRDefault="00595E97" w:rsidP="00ED0A35">
      <w:pPr>
        <w:pStyle w:val="ListofTables"/>
      </w:pPr>
      <w:bookmarkStart w:id="66" w:name="_Toc164072367"/>
      <w:bookmarkStart w:id="67" w:name="_Toc166658894"/>
      <w:bookmarkStart w:id="68" w:name="_Toc181785784"/>
      <w:r w:rsidRPr="0031015F">
        <w:t xml:space="preserve">Table </w:t>
      </w:r>
      <w:r w:rsidR="009950A4">
        <w:t>6</w:t>
      </w:r>
      <w:r w:rsidRPr="0031015F">
        <w:t xml:space="preserve">: Zimbabwe Stock </w:t>
      </w:r>
      <w:r w:rsidR="00D30418" w:rsidRPr="0031015F">
        <w:t xml:space="preserve">Exchange </w:t>
      </w:r>
      <w:r w:rsidRPr="0031015F">
        <w:t>Movements</w:t>
      </w:r>
      <w:bookmarkEnd w:id="66"/>
      <w:bookmarkEnd w:id="67"/>
      <w:bookmarkEnd w:id="68"/>
    </w:p>
    <w:p w14:paraId="1D52D1BC" w14:textId="2A02104D" w:rsidR="00E24E7D" w:rsidRDefault="00664692" w:rsidP="00427CDA">
      <w:pPr>
        <w:spacing w:after="0"/>
        <w:ind w:left="720" w:hanging="720"/>
        <w:jc w:val="both"/>
        <w:rPr>
          <w:rFonts w:ascii="Tahoma" w:hAnsi="Tahoma" w:cs="Tahoma"/>
          <w:sz w:val="24"/>
          <w:szCs w:val="24"/>
        </w:rPr>
      </w:pPr>
      <w:r w:rsidRPr="00093CAE">
        <w:rPr>
          <w:noProof/>
        </w:rPr>
        <w:drawing>
          <wp:inline distT="0" distB="0" distL="0" distR="0" wp14:anchorId="7C0C8490" wp14:editId="6DB092F1">
            <wp:extent cx="5734050" cy="104775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1047750"/>
                    </a:xfrm>
                    <a:prstGeom prst="rect">
                      <a:avLst/>
                    </a:prstGeom>
                    <a:noFill/>
                    <a:ln>
                      <a:noFill/>
                    </a:ln>
                  </pic:spPr>
                </pic:pic>
              </a:graphicData>
            </a:graphic>
          </wp:inline>
        </w:drawing>
      </w:r>
    </w:p>
    <w:p w14:paraId="0D44C954" w14:textId="77777777" w:rsidR="00C56F60" w:rsidRPr="00C56F60" w:rsidRDefault="00C56F60" w:rsidP="00F67469">
      <w:pPr>
        <w:ind w:left="720" w:hanging="720"/>
        <w:jc w:val="both"/>
        <w:rPr>
          <w:rFonts w:ascii="Tahoma" w:hAnsi="Tahoma" w:cs="Tahoma"/>
          <w:i/>
          <w:iCs/>
          <w:sz w:val="24"/>
          <w:szCs w:val="24"/>
          <w:lang w:val="en-US"/>
        </w:rPr>
      </w:pPr>
      <w:r w:rsidRPr="00C56F60">
        <w:rPr>
          <w:rFonts w:ascii="Tahoma" w:hAnsi="Tahoma" w:cs="Tahoma"/>
          <w:i/>
          <w:iCs/>
          <w:sz w:val="24"/>
          <w:szCs w:val="24"/>
        </w:rPr>
        <w:t xml:space="preserve">Source: </w:t>
      </w:r>
      <w:r w:rsidR="00D31BED">
        <w:rPr>
          <w:rFonts w:ascii="Tahoma" w:hAnsi="Tahoma" w:cs="Tahoma"/>
          <w:i/>
          <w:iCs/>
          <w:sz w:val="24"/>
          <w:szCs w:val="24"/>
        </w:rPr>
        <w:t>ZSE</w:t>
      </w:r>
      <w:r w:rsidRPr="00C56F60">
        <w:rPr>
          <w:rFonts w:ascii="Tahoma" w:hAnsi="Tahoma" w:cs="Tahoma"/>
          <w:i/>
          <w:iCs/>
          <w:sz w:val="24"/>
          <w:szCs w:val="24"/>
        </w:rPr>
        <w:t xml:space="preserve"> (2024)</w:t>
      </w:r>
    </w:p>
    <w:p w14:paraId="22EC5F8D" w14:textId="77777777" w:rsidR="00184FA3" w:rsidRPr="00863A17" w:rsidRDefault="00F67469" w:rsidP="003C1D2F">
      <w:pPr>
        <w:pStyle w:val="Heading2"/>
        <w:spacing w:before="0" w:after="240" w:line="240" w:lineRule="auto"/>
        <w:rPr>
          <w:rFonts w:cs="Tahoma"/>
          <w:b/>
          <w:color w:val="000000"/>
          <w:szCs w:val="24"/>
          <w:lang w:val="en-US"/>
        </w:rPr>
      </w:pPr>
      <w:bookmarkStart w:id="69" w:name="_Toc166607904"/>
      <w:bookmarkStart w:id="70" w:name="_Toc182566293"/>
      <w:r w:rsidRPr="00863A17">
        <w:rPr>
          <w:rFonts w:cs="Tahoma"/>
          <w:b/>
          <w:color w:val="000000"/>
          <w:szCs w:val="24"/>
          <w:lang w:val="en-US"/>
        </w:rPr>
        <w:t>8.2</w:t>
      </w:r>
      <w:r w:rsidRPr="00863A17">
        <w:rPr>
          <w:rFonts w:cs="Tahoma"/>
          <w:b/>
          <w:color w:val="000000"/>
          <w:szCs w:val="24"/>
          <w:lang w:val="en-US"/>
        </w:rPr>
        <w:tab/>
      </w:r>
      <w:r w:rsidR="00184FA3" w:rsidRPr="00863A17">
        <w:rPr>
          <w:rFonts w:cs="Tahoma"/>
          <w:b/>
          <w:color w:val="000000"/>
          <w:szCs w:val="24"/>
          <w:lang w:val="en-US"/>
        </w:rPr>
        <w:t>Victoria Falls Stock Exchange</w:t>
      </w:r>
      <w:bookmarkEnd w:id="69"/>
      <w:bookmarkEnd w:id="70"/>
      <w:r w:rsidR="00184FA3" w:rsidRPr="00863A17">
        <w:rPr>
          <w:rFonts w:cs="Tahoma"/>
          <w:b/>
          <w:color w:val="000000"/>
          <w:szCs w:val="24"/>
          <w:lang w:val="en-US"/>
        </w:rPr>
        <w:t xml:space="preserve"> </w:t>
      </w:r>
    </w:p>
    <w:p w14:paraId="611A7B5D" w14:textId="79EC1D69" w:rsidR="00427CDA" w:rsidRDefault="00F67469" w:rsidP="00D46304">
      <w:pPr>
        <w:ind w:left="720" w:hanging="720"/>
        <w:jc w:val="both"/>
        <w:rPr>
          <w:rFonts w:ascii="Tahoma" w:hAnsi="Tahoma" w:cs="Tahoma"/>
          <w:sz w:val="24"/>
          <w:szCs w:val="24"/>
          <w:lang w:val="en-US"/>
        </w:rPr>
      </w:pPr>
      <w:r w:rsidRPr="00863A17">
        <w:rPr>
          <w:rFonts w:ascii="Tahoma" w:hAnsi="Tahoma" w:cs="Tahoma"/>
          <w:sz w:val="24"/>
          <w:szCs w:val="24"/>
          <w:lang w:val="en-US"/>
        </w:rPr>
        <w:t>8.2.1</w:t>
      </w:r>
      <w:r w:rsidRPr="00863A17">
        <w:rPr>
          <w:rFonts w:ascii="Tahoma" w:hAnsi="Tahoma" w:cs="Tahoma"/>
          <w:sz w:val="24"/>
          <w:szCs w:val="24"/>
          <w:lang w:val="en-US"/>
        </w:rPr>
        <w:tab/>
      </w:r>
      <w:bookmarkStart w:id="71" w:name="_Hlk179978821"/>
      <w:r w:rsidR="009D4D20">
        <w:rPr>
          <w:rFonts w:ascii="Tahoma" w:hAnsi="Tahoma" w:cs="Tahoma"/>
          <w:sz w:val="24"/>
          <w:szCs w:val="24"/>
          <w:lang w:val="en-US"/>
        </w:rPr>
        <w:t>During the month under review, t</w:t>
      </w:r>
      <w:r w:rsidR="00427CDA">
        <w:rPr>
          <w:rFonts w:ascii="Tahoma" w:hAnsi="Tahoma" w:cs="Tahoma"/>
          <w:sz w:val="24"/>
          <w:szCs w:val="24"/>
          <w:lang w:val="en-US"/>
        </w:rPr>
        <w:t>he V</w:t>
      </w:r>
      <w:r w:rsidR="00EE1EEF">
        <w:rPr>
          <w:rFonts w:ascii="Tahoma" w:hAnsi="Tahoma" w:cs="Tahoma"/>
          <w:sz w:val="24"/>
          <w:szCs w:val="24"/>
          <w:lang w:val="en-US"/>
        </w:rPr>
        <w:t xml:space="preserve">FEX market exhibited </w:t>
      </w:r>
      <w:r w:rsidR="009D4D20">
        <w:rPr>
          <w:rFonts w:ascii="Tahoma" w:hAnsi="Tahoma" w:cs="Tahoma"/>
          <w:sz w:val="24"/>
          <w:szCs w:val="24"/>
          <w:lang w:val="en-US"/>
        </w:rPr>
        <w:t xml:space="preserve">a </w:t>
      </w:r>
      <w:r w:rsidR="00F71110">
        <w:rPr>
          <w:rFonts w:ascii="Tahoma" w:hAnsi="Tahoma" w:cs="Tahoma"/>
          <w:sz w:val="24"/>
          <w:szCs w:val="24"/>
          <w:lang w:val="en-US"/>
        </w:rPr>
        <w:t>bearish</w:t>
      </w:r>
      <w:r w:rsidR="00EE1EEF">
        <w:rPr>
          <w:rFonts w:ascii="Tahoma" w:hAnsi="Tahoma" w:cs="Tahoma"/>
          <w:sz w:val="24"/>
          <w:szCs w:val="24"/>
          <w:lang w:val="en-US"/>
        </w:rPr>
        <w:t xml:space="preserve"> </w:t>
      </w:r>
      <w:r w:rsidR="00F71110">
        <w:rPr>
          <w:rFonts w:ascii="Tahoma" w:hAnsi="Tahoma" w:cs="Tahoma"/>
          <w:sz w:val="24"/>
          <w:szCs w:val="24"/>
          <w:lang w:val="en-US"/>
        </w:rPr>
        <w:t>trend</w:t>
      </w:r>
      <w:r w:rsidR="004A2699">
        <w:rPr>
          <w:rFonts w:ascii="Tahoma" w:hAnsi="Tahoma" w:cs="Tahoma"/>
          <w:sz w:val="24"/>
          <w:szCs w:val="24"/>
          <w:lang w:val="en-US"/>
        </w:rPr>
        <w:t xml:space="preserve"> due to low activity</w:t>
      </w:r>
      <w:r w:rsidR="00EE1EEF">
        <w:rPr>
          <w:rFonts w:ascii="Tahoma" w:hAnsi="Tahoma" w:cs="Tahoma"/>
          <w:sz w:val="24"/>
          <w:szCs w:val="24"/>
          <w:lang w:val="en-US"/>
        </w:rPr>
        <w:t>.</w:t>
      </w:r>
      <w:r w:rsidR="00427CDA">
        <w:rPr>
          <w:rFonts w:ascii="Tahoma" w:hAnsi="Tahoma" w:cs="Tahoma"/>
          <w:sz w:val="24"/>
          <w:szCs w:val="24"/>
          <w:lang w:val="en-US"/>
        </w:rPr>
        <w:t xml:space="preserve"> </w:t>
      </w:r>
      <w:r w:rsidR="009D4D20">
        <w:rPr>
          <w:rFonts w:ascii="Tahoma" w:hAnsi="Tahoma" w:cs="Tahoma"/>
          <w:sz w:val="24"/>
          <w:szCs w:val="24"/>
          <w:lang w:val="en-US"/>
        </w:rPr>
        <w:t xml:space="preserve">The </w:t>
      </w:r>
      <w:r w:rsidR="004514A3">
        <w:rPr>
          <w:rFonts w:ascii="Tahoma" w:hAnsi="Tahoma" w:cs="Tahoma"/>
          <w:sz w:val="24"/>
          <w:szCs w:val="24"/>
          <w:lang w:val="en-US"/>
        </w:rPr>
        <w:t xml:space="preserve">All-Share </w:t>
      </w:r>
      <w:r w:rsidR="00CE5F58">
        <w:rPr>
          <w:rFonts w:ascii="Tahoma" w:hAnsi="Tahoma" w:cs="Tahoma"/>
          <w:sz w:val="24"/>
          <w:szCs w:val="24"/>
          <w:lang w:val="en-US"/>
        </w:rPr>
        <w:t>i</w:t>
      </w:r>
      <w:r w:rsidR="004514A3">
        <w:rPr>
          <w:rFonts w:ascii="Tahoma" w:hAnsi="Tahoma" w:cs="Tahoma"/>
          <w:sz w:val="24"/>
          <w:szCs w:val="24"/>
          <w:lang w:val="en-US"/>
        </w:rPr>
        <w:t>ndex</w:t>
      </w:r>
      <w:r w:rsidR="001B5559">
        <w:rPr>
          <w:rFonts w:ascii="Tahoma" w:hAnsi="Tahoma" w:cs="Tahoma"/>
          <w:sz w:val="24"/>
          <w:szCs w:val="24"/>
          <w:lang w:val="en-US"/>
        </w:rPr>
        <w:t xml:space="preserve">, </w:t>
      </w:r>
      <w:r w:rsidR="009D4D20">
        <w:rPr>
          <w:rFonts w:ascii="Tahoma" w:hAnsi="Tahoma" w:cs="Tahoma"/>
          <w:sz w:val="24"/>
          <w:szCs w:val="24"/>
          <w:lang w:val="en-US"/>
        </w:rPr>
        <w:t>V</w:t>
      </w:r>
      <w:r w:rsidR="001B5559">
        <w:rPr>
          <w:rFonts w:ascii="Tahoma" w:hAnsi="Tahoma" w:cs="Tahoma"/>
          <w:sz w:val="24"/>
          <w:szCs w:val="24"/>
          <w:lang w:val="en-US"/>
        </w:rPr>
        <w:t xml:space="preserve">alue </w:t>
      </w:r>
      <w:r w:rsidR="009D4D20">
        <w:rPr>
          <w:rFonts w:ascii="Tahoma" w:hAnsi="Tahoma" w:cs="Tahoma"/>
          <w:sz w:val="24"/>
          <w:szCs w:val="24"/>
          <w:lang w:val="en-US"/>
        </w:rPr>
        <w:t>T</w:t>
      </w:r>
      <w:r w:rsidR="001B5559">
        <w:rPr>
          <w:rFonts w:ascii="Tahoma" w:hAnsi="Tahoma" w:cs="Tahoma"/>
          <w:sz w:val="24"/>
          <w:szCs w:val="24"/>
          <w:lang w:val="en-US"/>
        </w:rPr>
        <w:t>raded,</w:t>
      </w:r>
      <w:r w:rsidR="00CE5F58">
        <w:rPr>
          <w:rFonts w:ascii="Tahoma" w:hAnsi="Tahoma" w:cs="Tahoma"/>
          <w:sz w:val="24"/>
          <w:szCs w:val="24"/>
          <w:lang w:val="en-US"/>
        </w:rPr>
        <w:t xml:space="preserve"> and</w:t>
      </w:r>
      <w:r w:rsidR="00ED6A04">
        <w:rPr>
          <w:rFonts w:ascii="Tahoma" w:hAnsi="Tahoma" w:cs="Tahoma"/>
          <w:sz w:val="24"/>
          <w:szCs w:val="24"/>
          <w:lang w:val="en-US"/>
        </w:rPr>
        <w:t xml:space="preserve"> </w:t>
      </w:r>
      <w:r w:rsidR="009D4D20">
        <w:rPr>
          <w:rFonts w:ascii="Tahoma" w:hAnsi="Tahoma" w:cs="Tahoma"/>
          <w:sz w:val="24"/>
          <w:szCs w:val="24"/>
          <w:lang w:val="en-US"/>
        </w:rPr>
        <w:t>M</w:t>
      </w:r>
      <w:r w:rsidR="00ED6A04">
        <w:rPr>
          <w:rFonts w:ascii="Tahoma" w:hAnsi="Tahoma" w:cs="Tahoma"/>
          <w:sz w:val="24"/>
          <w:szCs w:val="24"/>
          <w:lang w:val="en-US"/>
        </w:rPr>
        <w:t xml:space="preserve">arket </w:t>
      </w:r>
      <w:r w:rsidR="009D4D20">
        <w:rPr>
          <w:rFonts w:ascii="Tahoma" w:hAnsi="Tahoma" w:cs="Tahoma"/>
          <w:sz w:val="24"/>
          <w:szCs w:val="24"/>
          <w:lang w:val="en-US"/>
        </w:rPr>
        <w:t>C</w:t>
      </w:r>
      <w:r w:rsidR="009A28B6">
        <w:rPr>
          <w:rFonts w:ascii="Tahoma" w:hAnsi="Tahoma" w:cs="Tahoma"/>
          <w:sz w:val="24"/>
          <w:szCs w:val="24"/>
          <w:lang w:val="en-US"/>
        </w:rPr>
        <w:t>apitalization</w:t>
      </w:r>
      <w:r w:rsidR="003C53A3">
        <w:rPr>
          <w:rFonts w:ascii="Tahoma" w:hAnsi="Tahoma" w:cs="Tahoma"/>
          <w:sz w:val="24"/>
          <w:szCs w:val="24"/>
          <w:lang w:val="en-US"/>
        </w:rPr>
        <w:t xml:space="preserve"> </w:t>
      </w:r>
      <w:r w:rsidR="001B5559">
        <w:rPr>
          <w:rFonts w:ascii="Tahoma" w:hAnsi="Tahoma" w:cs="Tahoma"/>
          <w:sz w:val="24"/>
          <w:szCs w:val="24"/>
          <w:lang w:val="en-US"/>
        </w:rPr>
        <w:t xml:space="preserve">lost by 2.79%, 74.89% and 3.61% respectively </w:t>
      </w:r>
      <w:r w:rsidR="00982A75">
        <w:rPr>
          <w:rFonts w:ascii="Tahoma" w:hAnsi="Tahoma" w:cs="Tahoma"/>
          <w:sz w:val="24"/>
          <w:szCs w:val="24"/>
          <w:lang w:val="en-US"/>
        </w:rPr>
        <w:t>(see Table 8</w:t>
      </w:r>
      <w:r w:rsidR="00410952">
        <w:rPr>
          <w:rFonts w:ascii="Tahoma" w:hAnsi="Tahoma" w:cs="Tahoma"/>
          <w:sz w:val="24"/>
          <w:szCs w:val="24"/>
          <w:lang w:val="en-US"/>
        </w:rPr>
        <w:t>)</w:t>
      </w:r>
      <w:r w:rsidR="004514A3">
        <w:rPr>
          <w:rFonts w:ascii="Tahoma" w:hAnsi="Tahoma" w:cs="Tahoma"/>
          <w:sz w:val="24"/>
          <w:szCs w:val="24"/>
          <w:lang w:val="en-US"/>
        </w:rPr>
        <w:t xml:space="preserve">. </w:t>
      </w:r>
    </w:p>
    <w:p w14:paraId="4FFB8224" w14:textId="11204528" w:rsidR="00F84FC8" w:rsidRPr="00863A17" w:rsidRDefault="00DC4765" w:rsidP="00906D64">
      <w:pPr>
        <w:ind w:left="720" w:hanging="720"/>
        <w:jc w:val="both"/>
        <w:rPr>
          <w:rFonts w:ascii="Tahoma" w:hAnsi="Tahoma" w:cs="Tahoma"/>
          <w:sz w:val="24"/>
          <w:szCs w:val="24"/>
          <w:lang w:val="en-US"/>
        </w:rPr>
      </w:pPr>
      <w:r w:rsidRPr="00863A17">
        <w:rPr>
          <w:rFonts w:ascii="Tahoma" w:hAnsi="Tahoma" w:cs="Tahoma"/>
          <w:sz w:val="24"/>
          <w:szCs w:val="24"/>
          <w:lang w:val="en-US"/>
        </w:rPr>
        <w:t xml:space="preserve"> </w:t>
      </w:r>
      <w:r w:rsidR="00F67469" w:rsidRPr="00863A17">
        <w:rPr>
          <w:rFonts w:ascii="Tahoma" w:hAnsi="Tahoma" w:cs="Tahoma"/>
          <w:sz w:val="24"/>
          <w:szCs w:val="24"/>
          <w:lang w:val="en-US"/>
        </w:rPr>
        <w:t>8.2.</w:t>
      </w:r>
      <w:r w:rsidR="009D4D20">
        <w:rPr>
          <w:rFonts w:ascii="Tahoma" w:hAnsi="Tahoma" w:cs="Tahoma"/>
          <w:sz w:val="24"/>
          <w:szCs w:val="24"/>
          <w:lang w:val="en-US"/>
        </w:rPr>
        <w:t>2</w:t>
      </w:r>
      <w:r w:rsidR="00F67469" w:rsidRPr="00863A17">
        <w:rPr>
          <w:rFonts w:ascii="Tahoma" w:hAnsi="Tahoma" w:cs="Tahoma"/>
          <w:sz w:val="24"/>
          <w:szCs w:val="24"/>
          <w:lang w:val="en-US"/>
        </w:rPr>
        <w:tab/>
      </w:r>
      <w:r w:rsidR="004A2699">
        <w:rPr>
          <w:rFonts w:ascii="Tahoma" w:hAnsi="Tahoma" w:cs="Tahoma"/>
          <w:sz w:val="24"/>
          <w:szCs w:val="24"/>
          <w:lang w:val="en-US"/>
        </w:rPr>
        <w:t xml:space="preserve">On a YtD basis the </w:t>
      </w:r>
      <w:r w:rsidR="009D7A60">
        <w:rPr>
          <w:rFonts w:ascii="Tahoma" w:hAnsi="Tahoma" w:cs="Tahoma"/>
          <w:sz w:val="24"/>
          <w:szCs w:val="24"/>
          <w:lang w:val="en-US"/>
        </w:rPr>
        <w:t xml:space="preserve">Value </w:t>
      </w:r>
      <w:r w:rsidR="004A2699">
        <w:rPr>
          <w:rFonts w:ascii="Tahoma" w:hAnsi="Tahoma" w:cs="Tahoma"/>
          <w:sz w:val="24"/>
          <w:szCs w:val="24"/>
          <w:lang w:val="en-US"/>
        </w:rPr>
        <w:t xml:space="preserve">Traded </w:t>
      </w:r>
      <w:r w:rsidR="009D7A60">
        <w:rPr>
          <w:rFonts w:ascii="Tahoma" w:hAnsi="Tahoma" w:cs="Tahoma"/>
          <w:sz w:val="24"/>
          <w:szCs w:val="24"/>
          <w:lang w:val="en-US"/>
        </w:rPr>
        <w:t xml:space="preserve">and </w:t>
      </w:r>
      <w:r w:rsidR="004A2699">
        <w:rPr>
          <w:rFonts w:ascii="Tahoma" w:hAnsi="Tahoma" w:cs="Tahoma"/>
          <w:sz w:val="24"/>
          <w:szCs w:val="24"/>
          <w:lang w:val="en-US"/>
        </w:rPr>
        <w:t xml:space="preserve">Market Capitalization </w:t>
      </w:r>
      <w:r w:rsidR="009D7A60">
        <w:rPr>
          <w:rFonts w:ascii="Tahoma" w:hAnsi="Tahoma" w:cs="Tahoma"/>
          <w:sz w:val="24"/>
          <w:szCs w:val="24"/>
          <w:lang w:val="en-US"/>
        </w:rPr>
        <w:t xml:space="preserve">retreated </w:t>
      </w:r>
      <w:r w:rsidR="004A2699">
        <w:rPr>
          <w:rFonts w:ascii="Tahoma" w:hAnsi="Tahoma" w:cs="Tahoma"/>
          <w:sz w:val="24"/>
          <w:szCs w:val="24"/>
          <w:lang w:val="en-US"/>
        </w:rPr>
        <w:t>while</w:t>
      </w:r>
      <w:r w:rsidR="004A2699">
        <w:rPr>
          <w:rFonts w:ascii="Tahoma" w:hAnsi="Tahoma" w:cs="Tahoma"/>
          <w:sz w:val="24"/>
          <w:szCs w:val="24"/>
          <w:lang w:val="en-US"/>
        </w:rPr>
        <w:t xml:space="preserve"> </w:t>
      </w:r>
      <w:r w:rsidR="004A2699">
        <w:rPr>
          <w:rFonts w:ascii="Tahoma" w:hAnsi="Tahoma" w:cs="Tahoma"/>
          <w:sz w:val="24"/>
          <w:szCs w:val="24"/>
          <w:lang w:val="en-US"/>
        </w:rPr>
        <w:t xml:space="preserve">the </w:t>
      </w:r>
      <w:proofErr w:type="gramStart"/>
      <w:r w:rsidR="004A2699">
        <w:rPr>
          <w:rFonts w:ascii="Tahoma" w:hAnsi="Tahoma" w:cs="Tahoma"/>
          <w:sz w:val="24"/>
          <w:szCs w:val="24"/>
          <w:lang w:val="en-US"/>
        </w:rPr>
        <w:t>A</w:t>
      </w:r>
      <w:r w:rsidR="009D7A60">
        <w:rPr>
          <w:rFonts w:ascii="Tahoma" w:hAnsi="Tahoma" w:cs="Tahoma"/>
          <w:sz w:val="24"/>
          <w:szCs w:val="24"/>
          <w:lang w:val="en-US"/>
        </w:rPr>
        <w:t>ll</w:t>
      </w:r>
      <w:r w:rsidR="004A2699">
        <w:rPr>
          <w:rFonts w:ascii="Tahoma" w:hAnsi="Tahoma" w:cs="Tahoma"/>
          <w:sz w:val="24"/>
          <w:szCs w:val="24"/>
          <w:lang w:val="en-US"/>
        </w:rPr>
        <w:t xml:space="preserve"> S</w:t>
      </w:r>
      <w:r w:rsidR="009D7A60">
        <w:rPr>
          <w:rFonts w:ascii="Tahoma" w:hAnsi="Tahoma" w:cs="Tahoma"/>
          <w:sz w:val="24"/>
          <w:szCs w:val="24"/>
          <w:lang w:val="en-US"/>
        </w:rPr>
        <w:t>hare</w:t>
      </w:r>
      <w:proofErr w:type="gramEnd"/>
      <w:r w:rsidR="009D7A60">
        <w:rPr>
          <w:rFonts w:ascii="Tahoma" w:hAnsi="Tahoma" w:cs="Tahoma"/>
          <w:sz w:val="24"/>
          <w:szCs w:val="24"/>
          <w:lang w:val="en-US"/>
        </w:rPr>
        <w:t xml:space="preserve"> </w:t>
      </w:r>
      <w:r w:rsidR="004A2699">
        <w:rPr>
          <w:rFonts w:ascii="Tahoma" w:hAnsi="Tahoma" w:cs="Tahoma"/>
          <w:sz w:val="24"/>
          <w:szCs w:val="24"/>
          <w:lang w:val="en-US"/>
        </w:rPr>
        <w:t>I</w:t>
      </w:r>
      <w:r w:rsidR="009D7A60">
        <w:rPr>
          <w:rFonts w:ascii="Tahoma" w:hAnsi="Tahoma" w:cs="Tahoma"/>
          <w:sz w:val="24"/>
          <w:szCs w:val="24"/>
          <w:lang w:val="en-US"/>
        </w:rPr>
        <w:t>ndex gain</w:t>
      </w:r>
      <w:r w:rsidR="004A2699">
        <w:rPr>
          <w:rFonts w:ascii="Tahoma" w:hAnsi="Tahoma" w:cs="Tahoma"/>
          <w:sz w:val="24"/>
          <w:szCs w:val="24"/>
          <w:lang w:val="en-US"/>
        </w:rPr>
        <w:t>ed by</w:t>
      </w:r>
      <w:r w:rsidR="009D7A60">
        <w:rPr>
          <w:rFonts w:ascii="Tahoma" w:hAnsi="Tahoma" w:cs="Tahoma"/>
          <w:sz w:val="24"/>
          <w:szCs w:val="24"/>
          <w:lang w:val="en-US"/>
        </w:rPr>
        <w:t xml:space="preserve"> 0.16%</w:t>
      </w:r>
      <w:r w:rsidR="004A2699">
        <w:rPr>
          <w:rFonts w:ascii="Tahoma" w:hAnsi="Tahoma" w:cs="Tahoma"/>
          <w:sz w:val="24"/>
          <w:szCs w:val="24"/>
          <w:lang w:val="en-US"/>
        </w:rPr>
        <w:t>.</w:t>
      </w:r>
      <w:r w:rsidR="009D7A60">
        <w:rPr>
          <w:rFonts w:ascii="Tahoma" w:hAnsi="Tahoma" w:cs="Tahoma"/>
          <w:sz w:val="24"/>
          <w:szCs w:val="24"/>
          <w:lang w:val="en-US"/>
        </w:rPr>
        <w:t xml:space="preserve"> </w:t>
      </w:r>
      <w:r w:rsidR="004A2699">
        <w:rPr>
          <w:rFonts w:ascii="Tahoma" w:hAnsi="Tahoma" w:cs="Tahoma"/>
          <w:sz w:val="24"/>
          <w:szCs w:val="24"/>
          <w:lang w:val="en-US"/>
        </w:rPr>
        <w:t>On</w:t>
      </w:r>
      <w:r w:rsidR="004A2699">
        <w:rPr>
          <w:rFonts w:ascii="Tahoma" w:hAnsi="Tahoma" w:cs="Tahoma"/>
          <w:sz w:val="24"/>
          <w:szCs w:val="24"/>
          <w:lang w:val="en-US"/>
        </w:rPr>
        <w:t xml:space="preserve"> </w:t>
      </w:r>
      <w:r w:rsidR="009D7A60">
        <w:rPr>
          <w:rFonts w:ascii="Tahoma" w:hAnsi="Tahoma" w:cs="Tahoma"/>
          <w:sz w:val="24"/>
          <w:szCs w:val="24"/>
          <w:lang w:val="en-US"/>
        </w:rPr>
        <w:t xml:space="preserve">a </w:t>
      </w:r>
      <w:r w:rsidR="004A2699">
        <w:rPr>
          <w:rFonts w:ascii="Tahoma" w:hAnsi="Tahoma" w:cs="Tahoma"/>
          <w:sz w:val="24"/>
          <w:szCs w:val="24"/>
          <w:lang w:val="en-US"/>
        </w:rPr>
        <w:t xml:space="preserve">YoY basis, the </w:t>
      </w:r>
      <w:proofErr w:type="gramStart"/>
      <w:r w:rsidR="004A2699">
        <w:rPr>
          <w:rFonts w:ascii="Tahoma" w:hAnsi="Tahoma" w:cs="Tahoma"/>
          <w:sz w:val="24"/>
          <w:szCs w:val="24"/>
          <w:lang w:val="en-US"/>
        </w:rPr>
        <w:t>All Share</w:t>
      </w:r>
      <w:proofErr w:type="gramEnd"/>
      <w:r w:rsidR="004A2699">
        <w:rPr>
          <w:rFonts w:ascii="Tahoma" w:hAnsi="Tahoma" w:cs="Tahoma"/>
          <w:sz w:val="24"/>
          <w:szCs w:val="24"/>
          <w:lang w:val="en-US"/>
        </w:rPr>
        <w:t xml:space="preserve"> Index and Market Capitalisation gained by 51.78% and 9.08% respectively, while the Value Traded lost by 92.89%. </w:t>
      </w:r>
    </w:p>
    <w:p w14:paraId="7EBC735E" w14:textId="77777777" w:rsidR="00E57C56" w:rsidRDefault="00D30418" w:rsidP="00246949">
      <w:pPr>
        <w:pStyle w:val="ListofTables"/>
      </w:pPr>
      <w:bookmarkStart w:id="72" w:name="_Toc164072368"/>
      <w:bookmarkStart w:id="73" w:name="_Toc166658895"/>
      <w:bookmarkStart w:id="74" w:name="_Toc181785785"/>
      <w:bookmarkEnd w:id="71"/>
      <w:r w:rsidRPr="0031015F">
        <w:t xml:space="preserve">Table </w:t>
      </w:r>
      <w:r w:rsidR="009950A4">
        <w:t>7</w:t>
      </w:r>
      <w:r w:rsidRPr="0031015F">
        <w:t>: Victoria Falls Stock Exchange Movements</w:t>
      </w:r>
      <w:bookmarkEnd w:id="72"/>
      <w:bookmarkEnd w:id="73"/>
      <w:bookmarkEnd w:id="74"/>
    </w:p>
    <w:p w14:paraId="1EA2EA9E" w14:textId="4BBD2AC2" w:rsidR="00AB0841" w:rsidRPr="00863A17" w:rsidRDefault="00664692" w:rsidP="00FF0FB8">
      <w:pPr>
        <w:spacing w:after="0"/>
        <w:rPr>
          <w:rFonts w:ascii="Tahoma" w:hAnsi="Tahoma" w:cs="Tahoma"/>
          <w:sz w:val="24"/>
          <w:szCs w:val="24"/>
          <w:lang w:val="en-US"/>
        </w:rPr>
      </w:pPr>
      <w:r w:rsidRPr="00F71110">
        <w:rPr>
          <w:noProof/>
        </w:rPr>
        <w:drawing>
          <wp:inline distT="0" distB="0" distL="0" distR="0" wp14:anchorId="074690E9" wp14:editId="5D0CB65E">
            <wp:extent cx="5724525" cy="1038225"/>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1038225"/>
                    </a:xfrm>
                    <a:prstGeom prst="rect">
                      <a:avLst/>
                    </a:prstGeom>
                    <a:noFill/>
                    <a:ln>
                      <a:noFill/>
                    </a:ln>
                  </pic:spPr>
                </pic:pic>
              </a:graphicData>
            </a:graphic>
          </wp:inline>
        </w:drawing>
      </w:r>
    </w:p>
    <w:p w14:paraId="6B0F6079" w14:textId="77777777" w:rsidR="00E36CF6" w:rsidRDefault="00E36CF6">
      <w:pPr>
        <w:rPr>
          <w:rFonts w:ascii="Tahoma" w:hAnsi="Tahoma" w:cs="Tahoma"/>
          <w:i/>
          <w:sz w:val="24"/>
          <w:szCs w:val="24"/>
          <w:lang w:val="en-US"/>
        </w:rPr>
      </w:pPr>
      <w:r w:rsidRPr="00863A17">
        <w:rPr>
          <w:rFonts w:ascii="Tahoma" w:hAnsi="Tahoma" w:cs="Tahoma"/>
          <w:i/>
          <w:sz w:val="24"/>
          <w:szCs w:val="24"/>
          <w:lang w:val="en-US"/>
        </w:rPr>
        <w:t>Source:</w:t>
      </w:r>
      <w:r w:rsidR="00F67469" w:rsidRPr="00863A17">
        <w:rPr>
          <w:rFonts w:ascii="Tahoma" w:hAnsi="Tahoma" w:cs="Tahoma"/>
          <w:i/>
          <w:sz w:val="24"/>
          <w:szCs w:val="24"/>
          <w:lang w:val="en-US"/>
        </w:rPr>
        <w:t xml:space="preserve"> </w:t>
      </w:r>
      <w:r w:rsidR="005F5AF8">
        <w:rPr>
          <w:rFonts w:ascii="Tahoma" w:hAnsi="Tahoma" w:cs="Tahoma"/>
          <w:i/>
          <w:sz w:val="24"/>
          <w:szCs w:val="24"/>
          <w:lang w:val="en-US"/>
        </w:rPr>
        <w:t>VFEX</w:t>
      </w:r>
      <w:r w:rsidR="00F5173C" w:rsidRPr="00863A17">
        <w:rPr>
          <w:rFonts w:ascii="Tahoma" w:hAnsi="Tahoma" w:cs="Tahoma"/>
          <w:i/>
          <w:sz w:val="24"/>
          <w:szCs w:val="24"/>
          <w:lang w:val="en-US"/>
        </w:rPr>
        <w:t xml:space="preserve"> </w:t>
      </w:r>
      <w:r w:rsidR="00F67469" w:rsidRPr="00863A17">
        <w:rPr>
          <w:rFonts w:ascii="Tahoma" w:hAnsi="Tahoma" w:cs="Tahoma"/>
          <w:i/>
          <w:sz w:val="24"/>
          <w:szCs w:val="24"/>
          <w:lang w:val="en-US"/>
        </w:rPr>
        <w:t>(</w:t>
      </w:r>
      <w:r w:rsidRPr="00863A17">
        <w:rPr>
          <w:rFonts w:ascii="Tahoma" w:hAnsi="Tahoma" w:cs="Tahoma"/>
          <w:i/>
          <w:sz w:val="24"/>
          <w:szCs w:val="24"/>
          <w:lang w:val="en-US"/>
        </w:rPr>
        <w:t>202</w:t>
      </w:r>
      <w:r w:rsidR="003F1F46" w:rsidRPr="00863A17">
        <w:rPr>
          <w:rFonts w:ascii="Tahoma" w:hAnsi="Tahoma" w:cs="Tahoma"/>
          <w:i/>
          <w:sz w:val="24"/>
          <w:szCs w:val="24"/>
          <w:lang w:val="en-US"/>
        </w:rPr>
        <w:t>4</w:t>
      </w:r>
      <w:r w:rsidR="00F67469" w:rsidRPr="00863A17">
        <w:rPr>
          <w:rFonts w:ascii="Tahoma" w:hAnsi="Tahoma" w:cs="Tahoma"/>
          <w:i/>
          <w:sz w:val="24"/>
          <w:szCs w:val="24"/>
          <w:lang w:val="en-US"/>
        </w:rPr>
        <w:t>)</w:t>
      </w:r>
      <w:r w:rsidRPr="00863A17">
        <w:rPr>
          <w:rFonts w:ascii="Tahoma" w:hAnsi="Tahoma" w:cs="Tahoma"/>
          <w:i/>
          <w:sz w:val="24"/>
          <w:szCs w:val="24"/>
          <w:lang w:val="en-US"/>
        </w:rPr>
        <w:t xml:space="preserve"> </w:t>
      </w:r>
    </w:p>
    <w:p w14:paraId="1D3B5266" w14:textId="77777777" w:rsidR="00EF3AD6" w:rsidRPr="00A64F64" w:rsidRDefault="00FC703F" w:rsidP="004B15EE">
      <w:pPr>
        <w:pStyle w:val="Heading1"/>
        <w:spacing w:before="0" w:after="240" w:line="240" w:lineRule="auto"/>
        <w:rPr>
          <w:rFonts w:cs="Tahoma"/>
          <w:bCs/>
          <w:color w:val="000000"/>
          <w:szCs w:val="24"/>
          <w:lang w:val="en-US"/>
        </w:rPr>
      </w:pPr>
      <w:bookmarkStart w:id="75" w:name="_Toc166607905"/>
      <w:bookmarkStart w:id="76" w:name="_Toc182566294"/>
      <w:r w:rsidRPr="00A64F64">
        <w:rPr>
          <w:rFonts w:cs="Tahoma"/>
          <w:bCs/>
          <w:color w:val="000000"/>
          <w:szCs w:val="24"/>
          <w:lang w:val="en-US"/>
        </w:rPr>
        <w:lastRenderedPageBreak/>
        <w:t>9.0</w:t>
      </w:r>
      <w:r w:rsidRPr="00A64F64">
        <w:rPr>
          <w:rFonts w:cs="Tahoma"/>
          <w:bCs/>
          <w:color w:val="000000"/>
          <w:szCs w:val="24"/>
          <w:lang w:val="en-US"/>
        </w:rPr>
        <w:tab/>
        <w:t>Recommendations</w:t>
      </w:r>
      <w:bookmarkEnd w:id="75"/>
      <w:bookmarkEnd w:id="76"/>
      <w:r w:rsidRPr="00A64F64">
        <w:rPr>
          <w:rFonts w:cs="Tahoma"/>
          <w:bCs/>
          <w:color w:val="000000"/>
          <w:szCs w:val="24"/>
          <w:lang w:val="en-US"/>
        </w:rPr>
        <w:t xml:space="preserve"> </w:t>
      </w:r>
    </w:p>
    <w:p w14:paraId="07D4E33B" w14:textId="77777777" w:rsidR="00790EF8" w:rsidRDefault="00EC6C43" w:rsidP="00E83A04">
      <w:pPr>
        <w:ind w:left="720" w:hanging="720"/>
        <w:rPr>
          <w:rFonts w:ascii="Tahoma" w:hAnsi="Tahoma" w:cs="Tahoma"/>
          <w:sz w:val="24"/>
          <w:szCs w:val="24"/>
          <w:lang w:val="en-US"/>
        </w:rPr>
      </w:pPr>
      <w:r w:rsidRPr="00863A17">
        <w:rPr>
          <w:rFonts w:ascii="Tahoma" w:hAnsi="Tahoma" w:cs="Tahoma"/>
          <w:sz w:val="24"/>
          <w:szCs w:val="24"/>
          <w:lang w:val="en-US"/>
        </w:rPr>
        <w:t>9.1</w:t>
      </w:r>
      <w:r w:rsidR="00FC703F" w:rsidRPr="00863A17">
        <w:rPr>
          <w:rFonts w:ascii="Tahoma" w:hAnsi="Tahoma" w:cs="Tahoma"/>
          <w:sz w:val="24"/>
          <w:szCs w:val="24"/>
          <w:lang w:val="en-US"/>
        </w:rPr>
        <w:tab/>
        <w:t>The following reco</w:t>
      </w:r>
      <w:r w:rsidR="00A43C6F">
        <w:rPr>
          <w:rFonts w:ascii="Tahoma" w:hAnsi="Tahoma" w:cs="Tahoma"/>
          <w:sz w:val="24"/>
          <w:szCs w:val="24"/>
          <w:lang w:val="en-US"/>
        </w:rPr>
        <w:t>mmendations are being proposed:</w:t>
      </w:r>
    </w:p>
    <w:p w14:paraId="0BEBC1EB" w14:textId="7153BD30" w:rsidR="000054C7" w:rsidRPr="000054C7" w:rsidRDefault="000054C7" w:rsidP="00E63964">
      <w:pPr>
        <w:ind w:left="720" w:hanging="720"/>
        <w:jc w:val="both"/>
        <w:rPr>
          <w:rFonts w:ascii="Tahoma" w:hAnsi="Tahoma" w:cs="Tahoma"/>
          <w:sz w:val="24"/>
          <w:szCs w:val="24"/>
          <w:lang w:val="en-GB"/>
        </w:rPr>
      </w:pPr>
      <w:r>
        <w:rPr>
          <w:rFonts w:ascii="Tahoma" w:hAnsi="Tahoma" w:cs="Tahoma"/>
          <w:b/>
          <w:bCs/>
          <w:sz w:val="24"/>
          <w:szCs w:val="24"/>
          <w:lang w:val="en-GB"/>
        </w:rPr>
        <w:t>9.1.1</w:t>
      </w:r>
      <w:r>
        <w:rPr>
          <w:rFonts w:ascii="Tahoma" w:hAnsi="Tahoma" w:cs="Tahoma"/>
          <w:b/>
          <w:bCs/>
          <w:sz w:val="24"/>
          <w:szCs w:val="24"/>
          <w:lang w:val="en-GB"/>
        </w:rPr>
        <w:tab/>
      </w:r>
      <w:r w:rsidRPr="000054C7">
        <w:rPr>
          <w:rFonts w:ascii="Tahoma" w:hAnsi="Tahoma" w:cs="Tahoma"/>
          <w:b/>
          <w:bCs/>
          <w:sz w:val="24"/>
          <w:szCs w:val="24"/>
          <w:lang w:val="en-GB"/>
        </w:rPr>
        <w:t>Enhancing Structural Reforms:</w:t>
      </w:r>
      <w:r w:rsidRPr="000054C7">
        <w:rPr>
          <w:rFonts w:ascii="Tahoma" w:hAnsi="Tahoma" w:cs="Tahoma"/>
          <w:sz w:val="24"/>
          <w:szCs w:val="24"/>
          <w:lang w:val="en-GB"/>
        </w:rPr>
        <w:t xml:space="preserve"> </w:t>
      </w:r>
      <w:r w:rsidR="00237F4C">
        <w:rPr>
          <w:rFonts w:ascii="Tahoma" w:hAnsi="Tahoma" w:cs="Tahoma"/>
          <w:sz w:val="24"/>
          <w:szCs w:val="24"/>
          <w:lang w:val="en-GB"/>
        </w:rPr>
        <w:t>The country</w:t>
      </w:r>
      <w:r w:rsidRPr="000054C7">
        <w:rPr>
          <w:rFonts w:ascii="Tahoma" w:hAnsi="Tahoma" w:cs="Tahoma"/>
          <w:sz w:val="24"/>
          <w:szCs w:val="24"/>
          <w:lang w:val="en-GB"/>
        </w:rPr>
        <w:t xml:space="preserve"> should prioritize structural reforms to boost productivity and resilience, particularly in agriculture and energy. This involves promoting investments in renewable energy and climate-smart agricultural practices to mitigate El Niño effects.</w:t>
      </w:r>
    </w:p>
    <w:p w14:paraId="6E7AFB8E" w14:textId="62768996" w:rsidR="000054C7" w:rsidRPr="00E63964" w:rsidRDefault="000054C7" w:rsidP="00E63964">
      <w:pPr>
        <w:pStyle w:val="ListParagraph"/>
        <w:numPr>
          <w:ilvl w:val="2"/>
          <w:numId w:val="15"/>
        </w:numPr>
        <w:jc w:val="both"/>
        <w:rPr>
          <w:rFonts w:ascii="Tahoma" w:hAnsi="Tahoma" w:cs="Tahoma"/>
          <w:sz w:val="24"/>
          <w:szCs w:val="24"/>
          <w:lang w:val="en-GB"/>
        </w:rPr>
      </w:pPr>
      <w:r w:rsidRPr="00E63964">
        <w:rPr>
          <w:rFonts w:ascii="Tahoma" w:hAnsi="Tahoma" w:cs="Tahoma"/>
          <w:b/>
          <w:bCs/>
          <w:sz w:val="24"/>
          <w:szCs w:val="24"/>
          <w:lang w:val="en-GB"/>
        </w:rPr>
        <w:t>Diversification of Export Markets:</w:t>
      </w:r>
      <w:r w:rsidRPr="00E63964">
        <w:rPr>
          <w:rFonts w:ascii="Tahoma" w:hAnsi="Tahoma" w:cs="Tahoma"/>
          <w:sz w:val="24"/>
          <w:szCs w:val="24"/>
          <w:lang w:val="en-GB"/>
        </w:rPr>
        <w:t xml:space="preserve"> To mitigate the impact of global economic slowdowns, </w:t>
      </w:r>
      <w:r w:rsidR="00237F4C">
        <w:rPr>
          <w:rFonts w:ascii="Tahoma" w:hAnsi="Tahoma" w:cs="Tahoma"/>
          <w:sz w:val="24"/>
          <w:szCs w:val="24"/>
          <w:lang w:val="en-GB"/>
        </w:rPr>
        <w:t>the country</w:t>
      </w:r>
      <w:r w:rsidRPr="00E63964">
        <w:rPr>
          <w:rFonts w:ascii="Tahoma" w:hAnsi="Tahoma" w:cs="Tahoma"/>
          <w:sz w:val="24"/>
          <w:szCs w:val="24"/>
          <w:lang w:val="en-GB"/>
        </w:rPr>
        <w:t xml:space="preserve"> should diversify its export markets and products, focusing on high-demand commodities like gold, which has shown significant gains.</w:t>
      </w:r>
    </w:p>
    <w:p w14:paraId="5C041555" w14:textId="28AD2758" w:rsidR="000054C7" w:rsidRPr="000054C7" w:rsidRDefault="000054C7" w:rsidP="00E63964">
      <w:pPr>
        <w:ind w:left="720" w:hanging="720"/>
        <w:jc w:val="both"/>
        <w:rPr>
          <w:rFonts w:ascii="Tahoma" w:hAnsi="Tahoma" w:cs="Tahoma"/>
          <w:sz w:val="24"/>
          <w:szCs w:val="24"/>
          <w:lang w:val="en-GB"/>
        </w:rPr>
      </w:pPr>
      <w:r>
        <w:rPr>
          <w:rFonts w:ascii="Tahoma" w:hAnsi="Tahoma" w:cs="Tahoma"/>
          <w:b/>
          <w:bCs/>
          <w:sz w:val="24"/>
          <w:szCs w:val="24"/>
          <w:lang w:val="en-GB"/>
        </w:rPr>
        <w:t>9.1.3</w:t>
      </w:r>
      <w:r>
        <w:rPr>
          <w:rFonts w:ascii="Tahoma" w:hAnsi="Tahoma" w:cs="Tahoma"/>
          <w:b/>
          <w:bCs/>
          <w:sz w:val="24"/>
          <w:szCs w:val="24"/>
          <w:lang w:val="en-GB"/>
        </w:rPr>
        <w:tab/>
      </w:r>
      <w:r w:rsidRPr="000054C7">
        <w:rPr>
          <w:rFonts w:ascii="Tahoma" w:hAnsi="Tahoma" w:cs="Tahoma"/>
          <w:b/>
          <w:bCs/>
          <w:sz w:val="24"/>
          <w:szCs w:val="24"/>
          <w:lang w:val="en-GB"/>
        </w:rPr>
        <w:t>Exchange Rate Stability:</w:t>
      </w:r>
      <w:r w:rsidRPr="000054C7">
        <w:rPr>
          <w:rFonts w:ascii="Tahoma" w:hAnsi="Tahoma" w:cs="Tahoma"/>
          <w:sz w:val="24"/>
          <w:szCs w:val="24"/>
          <w:lang w:val="en-GB"/>
        </w:rPr>
        <w:t xml:space="preserve"> Addressing the disparity between official and parallel market exchange rates is essential. This can be achieved by increasing market transparency, allowing for more flexible exchange rate policies, and boosting confidence in the local currency.</w:t>
      </w:r>
    </w:p>
    <w:p w14:paraId="23B34967" w14:textId="5AA599FF" w:rsidR="000054C7" w:rsidRPr="000054C7" w:rsidRDefault="000054C7" w:rsidP="00E63964">
      <w:pPr>
        <w:ind w:left="720" w:hanging="720"/>
        <w:jc w:val="both"/>
        <w:rPr>
          <w:rFonts w:ascii="Tahoma" w:hAnsi="Tahoma" w:cs="Tahoma"/>
          <w:sz w:val="24"/>
          <w:szCs w:val="24"/>
          <w:lang w:val="en-GB"/>
        </w:rPr>
      </w:pPr>
      <w:r>
        <w:rPr>
          <w:rFonts w:ascii="Tahoma" w:hAnsi="Tahoma" w:cs="Tahoma"/>
          <w:b/>
          <w:bCs/>
          <w:sz w:val="24"/>
          <w:szCs w:val="24"/>
          <w:lang w:val="en-GB"/>
        </w:rPr>
        <w:t>9.1.4</w:t>
      </w:r>
      <w:r>
        <w:rPr>
          <w:rFonts w:ascii="Tahoma" w:hAnsi="Tahoma" w:cs="Tahoma"/>
          <w:b/>
          <w:bCs/>
          <w:sz w:val="24"/>
          <w:szCs w:val="24"/>
          <w:lang w:val="en-GB"/>
        </w:rPr>
        <w:tab/>
      </w:r>
      <w:r w:rsidRPr="000054C7">
        <w:rPr>
          <w:rFonts w:ascii="Tahoma" w:hAnsi="Tahoma" w:cs="Tahoma"/>
          <w:b/>
          <w:bCs/>
          <w:sz w:val="24"/>
          <w:szCs w:val="24"/>
          <w:lang w:val="en-GB"/>
        </w:rPr>
        <w:t>Price Monitoring:</w:t>
      </w:r>
      <w:r w:rsidRPr="000054C7">
        <w:rPr>
          <w:rFonts w:ascii="Tahoma" w:hAnsi="Tahoma" w:cs="Tahoma"/>
          <w:sz w:val="24"/>
          <w:szCs w:val="24"/>
          <w:lang w:val="en-GB"/>
        </w:rPr>
        <w:t xml:space="preserve"> </w:t>
      </w:r>
      <w:r w:rsidR="00E61821">
        <w:rPr>
          <w:rFonts w:ascii="Tahoma" w:hAnsi="Tahoma" w:cs="Tahoma"/>
          <w:sz w:val="24"/>
          <w:szCs w:val="24"/>
          <w:lang w:val="en-GB"/>
        </w:rPr>
        <w:t>There is need to s</w:t>
      </w:r>
      <w:r w:rsidRPr="000054C7">
        <w:rPr>
          <w:rFonts w:ascii="Tahoma" w:hAnsi="Tahoma" w:cs="Tahoma"/>
          <w:sz w:val="24"/>
          <w:szCs w:val="24"/>
          <w:lang w:val="en-GB"/>
        </w:rPr>
        <w:t>trengthen mechanisms to monitor and control inflationary pressures, especially in critical sectors like food and housing. This includes timely interventions to address supply chain disruptions and import dependencies.</w:t>
      </w:r>
    </w:p>
    <w:p w14:paraId="00DFC28B" w14:textId="66AA0FFB" w:rsidR="000054C7" w:rsidRPr="00E63964" w:rsidRDefault="000054C7" w:rsidP="00E63964">
      <w:pPr>
        <w:pStyle w:val="ListParagraph"/>
        <w:numPr>
          <w:ilvl w:val="2"/>
          <w:numId w:val="16"/>
        </w:numPr>
        <w:jc w:val="both"/>
        <w:rPr>
          <w:rFonts w:ascii="Tahoma" w:hAnsi="Tahoma" w:cs="Tahoma"/>
          <w:sz w:val="24"/>
          <w:szCs w:val="24"/>
          <w:lang w:val="en-GB"/>
        </w:rPr>
      </w:pPr>
      <w:r w:rsidRPr="00E63964">
        <w:rPr>
          <w:rFonts w:ascii="Tahoma" w:hAnsi="Tahoma" w:cs="Tahoma"/>
          <w:b/>
          <w:bCs/>
          <w:sz w:val="24"/>
          <w:szCs w:val="24"/>
          <w:lang w:val="en-GB"/>
        </w:rPr>
        <w:t>Promote Savings in Local Currency:</w:t>
      </w:r>
      <w:r w:rsidRPr="00E63964">
        <w:rPr>
          <w:rFonts w:ascii="Tahoma" w:hAnsi="Tahoma" w:cs="Tahoma"/>
          <w:sz w:val="24"/>
          <w:szCs w:val="24"/>
          <w:lang w:val="en-GB"/>
        </w:rPr>
        <w:t xml:space="preserve"> To build confidence in the ZWG, the Reserve Bank should offer competitive interest rates for savings in local currency and strengthen financial literacy campaigns.</w:t>
      </w:r>
    </w:p>
    <w:p w14:paraId="2337020D" w14:textId="3730766D" w:rsidR="000054C7" w:rsidRPr="000054C7" w:rsidRDefault="000054C7" w:rsidP="00E63964">
      <w:pPr>
        <w:ind w:left="720" w:hanging="720"/>
        <w:jc w:val="both"/>
        <w:rPr>
          <w:rFonts w:ascii="Tahoma" w:hAnsi="Tahoma" w:cs="Tahoma"/>
          <w:sz w:val="24"/>
          <w:szCs w:val="24"/>
          <w:lang w:val="en-GB"/>
        </w:rPr>
      </w:pPr>
      <w:r>
        <w:rPr>
          <w:rFonts w:ascii="Tahoma" w:hAnsi="Tahoma" w:cs="Tahoma"/>
          <w:b/>
          <w:bCs/>
          <w:sz w:val="24"/>
          <w:szCs w:val="24"/>
          <w:lang w:val="en-GB"/>
        </w:rPr>
        <w:t>9.1.6</w:t>
      </w:r>
      <w:r>
        <w:rPr>
          <w:rFonts w:ascii="Tahoma" w:hAnsi="Tahoma" w:cs="Tahoma"/>
          <w:b/>
          <w:bCs/>
          <w:sz w:val="24"/>
          <w:szCs w:val="24"/>
          <w:lang w:val="en-GB"/>
        </w:rPr>
        <w:tab/>
      </w:r>
      <w:r w:rsidRPr="000054C7">
        <w:rPr>
          <w:rFonts w:ascii="Tahoma" w:hAnsi="Tahoma" w:cs="Tahoma"/>
          <w:b/>
          <w:bCs/>
          <w:sz w:val="24"/>
          <w:szCs w:val="24"/>
          <w:lang w:val="en-GB"/>
        </w:rPr>
        <w:t>Broad Money</w:t>
      </w:r>
      <w:r w:rsidR="00E61821">
        <w:rPr>
          <w:rFonts w:ascii="Tahoma" w:hAnsi="Tahoma" w:cs="Tahoma"/>
          <w:b/>
          <w:bCs/>
          <w:sz w:val="24"/>
          <w:szCs w:val="24"/>
          <w:lang w:val="en-GB"/>
        </w:rPr>
        <w:t xml:space="preserve"> Supply</w:t>
      </w:r>
      <w:r w:rsidRPr="000054C7">
        <w:rPr>
          <w:rFonts w:ascii="Tahoma" w:hAnsi="Tahoma" w:cs="Tahoma"/>
          <w:b/>
          <w:bCs/>
          <w:sz w:val="24"/>
          <w:szCs w:val="24"/>
          <w:lang w:val="en-GB"/>
        </w:rPr>
        <w:t xml:space="preserve"> Management:</w:t>
      </w:r>
      <w:r w:rsidRPr="000054C7">
        <w:rPr>
          <w:rFonts w:ascii="Tahoma" w:hAnsi="Tahoma" w:cs="Tahoma"/>
          <w:sz w:val="24"/>
          <w:szCs w:val="24"/>
          <w:lang w:val="en-GB"/>
        </w:rPr>
        <w:t xml:space="preserve"> </w:t>
      </w:r>
      <w:r w:rsidR="00E61821">
        <w:rPr>
          <w:rFonts w:ascii="Tahoma" w:hAnsi="Tahoma" w:cs="Tahoma"/>
          <w:sz w:val="24"/>
          <w:szCs w:val="24"/>
          <w:lang w:val="en-GB"/>
        </w:rPr>
        <w:t>The Reserve Bank should e</w:t>
      </w:r>
      <w:r w:rsidRPr="000054C7">
        <w:rPr>
          <w:rFonts w:ascii="Tahoma" w:hAnsi="Tahoma" w:cs="Tahoma"/>
          <w:sz w:val="24"/>
          <w:szCs w:val="24"/>
          <w:lang w:val="en-GB"/>
        </w:rPr>
        <w:t xml:space="preserve">nsure that growth in money supply aligns with productive sector needs to avoid </w:t>
      </w:r>
      <w:r w:rsidRPr="000054C7">
        <w:rPr>
          <w:rFonts w:ascii="Tahoma" w:hAnsi="Tahoma" w:cs="Tahoma"/>
          <w:sz w:val="24"/>
          <w:szCs w:val="24"/>
          <w:lang w:val="en-GB"/>
        </w:rPr>
        <w:t>fuelling</w:t>
      </w:r>
      <w:r w:rsidRPr="000054C7">
        <w:rPr>
          <w:rFonts w:ascii="Tahoma" w:hAnsi="Tahoma" w:cs="Tahoma"/>
          <w:sz w:val="24"/>
          <w:szCs w:val="24"/>
          <w:lang w:val="en-GB"/>
        </w:rPr>
        <w:t xml:space="preserve"> inflation.</w:t>
      </w:r>
    </w:p>
    <w:p w14:paraId="5C8763C5" w14:textId="45C1A75E" w:rsidR="000054C7" w:rsidRPr="000054C7" w:rsidRDefault="000054C7" w:rsidP="00E63964">
      <w:pPr>
        <w:ind w:left="720" w:hanging="720"/>
        <w:jc w:val="both"/>
        <w:rPr>
          <w:rFonts w:ascii="Tahoma" w:hAnsi="Tahoma" w:cs="Tahoma"/>
          <w:sz w:val="24"/>
          <w:szCs w:val="24"/>
          <w:lang w:val="en-GB"/>
        </w:rPr>
      </w:pPr>
      <w:r>
        <w:rPr>
          <w:rFonts w:ascii="Tahoma" w:hAnsi="Tahoma" w:cs="Tahoma"/>
          <w:b/>
          <w:bCs/>
          <w:sz w:val="24"/>
          <w:szCs w:val="24"/>
          <w:lang w:val="en-GB"/>
        </w:rPr>
        <w:t>9.1.7</w:t>
      </w:r>
      <w:r>
        <w:rPr>
          <w:rFonts w:ascii="Tahoma" w:hAnsi="Tahoma" w:cs="Tahoma"/>
          <w:b/>
          <w:bCs/>
          <w:sz w:val="24"/>
          <w:szCs w:val="24"/>
          <w:lang w:val="en-GB"/>
        </w:rPr>
        <w:tab/>
      </w:r>
      <w:r w:rsidRPr="000054C7">
        <w:rPr>
          <w:rFonts w:ascii="Tahoma" w:hAnsi="Tahoma" w:cs="Tahoma"/>
          <w:b/>
          <w:bCs/>
          <w:sz w:val="24"/>
          <w:szCs w:val="24"/>
          <w:lang w:val="en-GB"/>
        </w:rPr>
        <w:t>Boost Gold and PGM Production:</w:t>
      </w:r>
      <w:r w:rsidRPr="000054C7">
        <w:rPr>
          <w:rFonts w:ascii="Tahoma" w:hAnsi="Tahoma" w:cs="Tahoma"/>
          <w:sz w:val="24"/>
          <w:szCs w:val="24"/>
          <w:lang w:val="en-GB"/>
        </w:rPr>
        <w:t xml:space="preserve"> Given the </w:t>
      </w:r>
      <w:r w:rsidRPr="000054C7">
        <w:rPr>
          <w:rFonts w:ascii="Tahoma" w:hAnsi="Tahoma" w:cs="Tahoma"/>
          <w:sz w:val="24"/>
          <w:szCs w:val="24"/>
          <w:lang w:val="en-GB"/>
        </w:rPr>
        <w:t>favourable</w:t>
      </w:r>
      <w:r w:rsidRPr="000054C7">
        <w:rPr>
          <w:rFonts w:ascii="Tahoma" w:hAnsi="Tahoma" w:cs="Tahoma"/>
          <w:sz w:val="24"/>
          <w:szCs w:val="24"/>
          <w:lang w:val="en-GB"/>
        </w:rPr>
        <w:t xml:space="preserve"> price trends for gold and platinum group metals (PGMs), Zimbabwe should enhance mining capacity and explore new markets.</w:t>
      </w:r>
    </w:p>
    <w:p w14:paraId="510B59D0" w14:textId="06FC4EAF" w:rsidR="000054C7" w:rsidRPr="000054C7" w:rsidRDefault="000054C7" w:rsidP="00E63964">
      <w:pPr>
        <w:ind w:left="720" w:hanging="720"/>
        <w:jc w:val="both"/>
        <w:rPr>
          <w:rFonts w:ascii="Tahoma" w:hAnsi="Tahoma" w:cs="Tahoma"/>
          <w:sz w:val="24"/>
          <w:szCs w:val="24"/>
          <w:lang w:val="en-GB"/>
        </w:rPr>
      </w:pPr>
      <w:r>
        <w:rPr>
          <w:rFonts w:ascii="Tahoma" w:hAnsi="Tahoma" w:cs="Tahoma"/>
          <w:b/>
          <w:bCs/>
          <w:sz w:val="24"/>
          <w:szCs w:val="24"/>
          <w:lang w:val="en-GB"/>
        </w:rPr>
        <w:t>9.1.8</w:t>
      </w:r>
      <w:r>
        <w:rPr>
          <w:rFonts w:ascii="Tahoma" w:hAnsi="Tahoma" w:cs="Tahoma"/>
          <w:b/>
          <w:bCs/>
          <w:sz w:val="24"/>
          <w:szCs w:val="24"/>
          <w:lang w:val="en-GB"/>
        </w:rPr>
        <w:tab/>
      </w:r>
      <w:r w:rsidRPr="000054C7">
        <w:rPr>
          <w:rFonts w:ascii="Tahoma" w:hAnsi="Tahoma" w:cs="Tahoma"/>
          <w:b/>
          <w:bCs/>
          <w:sz w:val="24"/>
          <w:szCs w:val="24"/>
          <w:lang w:val="en-GB"/>
        </w:rPr>
        <w:t>Reduce Fuel Import Costs:</w:t>
      </w:r>
      <w:r w:rsidRPr="000054C7">
        <w:rPr>
          <w:rFonts w:ascii="Tahoma" w:hAnsi="Tahoma" w:cs="Tahoma"/>
          <w:sz w:val="24"/>
          <w:szCs w:val="24"/>
          <w:lang w:val="en-GB"/>
        </w:rPr>
        <w:t xml:space="preserve"> </w:t>
      </w:r>
      <w:r>
        <w:rPr>
          <w:rFonts w:ascii="Tahoma" w:hAnsi="Tahoma" w:cs="Tahoma"/>
          <w:sz w:val="24"/>
          <w:szCs w:val="24"/>
          <w:lang w:val="en-GB"/>
        </w:rPr>
        <w:t>There is need to t</w:t>
      </w:r>
      <w:r w:rsidRPr="000054C7">
        <w:rPr>
          <w:rFonts w:ascii="Tahoma" w:hAnsi="Tahoma" w:cs="Tahoma"/>
          <w:sz w:val="24"/>
          <w:szCs w:val="24"/>
          <w:lang w:val="en-GB"/>
        </w:rPr>
        <w:t>ake advantage of the declining global crude oil prices by negotiating long-term supply contracts to stabilize local fuel prices.</w:t>
      </w:r>
    </w:p>
    <w:p w14:paraId="6FA36E7D" w14:textId="5C089981" w:rsidR="000054C7" w:rsidRPr="000054C7" w:rsidRDefault="000054C7" w:rsidP="00E63964">
      <w:pPr>
        <w:ind w:left="720" w:hanging="720"/>
        <w:jc w:val="both"/>
        <w:rPr>
          <w:rFonts w:ascii="Tahoma" w:hAnsi="Tahoma" w:cs="Tahoma"/>
          <w:sz w:val="24"/>
          <w:szCs w:val="24"/>
          <w:lang w:val="en-GB"/>
        </w:rPr>
      </w:pPr>
      <w:r>
        <w:rPr>
          <w:rFonts w:ascii="Tahoma" w:hAnsi="Tahoma" w:cs="Tahoma"/>
          <w:b/>
          <w:bCs/>
          <w:sz w:val="24"/>
          <w:szCs w:val="24"/>
          <w:lang w:val="en-GB"/>
        </w:rPr>
        <w:t>9.1.9</w:t>
      </w:r>
      <w:r>
        <w:rPr>
          <w:rFonts w:ascii="Tahoma" w:hAnsi="Tahoma" w:cs="Tahoma"/>
          <w:b/>
          <w:bCs/>
          <w:sz w:val="24"/>
          <w:szCs w:val="24"/>
          <w:lang w:val="en-GB"/>
        </w:rPr>
        <w:tab/>
      </w:r>
      <w:r w:rsidRPr="000054C7">
        <w:rPr>
          <w:rFonts w:ascii="Tahoma" w:hAnsi="Tahoma" w:cs="Tahoma"/>
          <w:b/>
          <w:bCs/>
          <w:sz w:val="24"/>
          <w:szCs w:val="24"/>
          <w:lang w:val="en-GB"/>
        </w:rPr>
        <w:t>Promote Export-Oriented Sectors:</w:t>
      </w:r>
      <w:r w:rsidRPr="000054C7">
        <w:rPr>
          <w:rFonts w:ascii="Tahoma" w:hAnsi="Tahoma" w:cs="Tahoma"/>
          <w:sz w:val="24"/>
          <w:szCs w:val="24"/>
          <w:lang w:val="en-GB"/>
        </w:rPr>
        <w:t xml:space="preserve"> Increase support for sectors contributing significantly to exports, such as agriculture (tobacco) and mining, through targeted incentives and infrastructure development.</w:t>
      </w:r>
    </w:p>
    <w:p w14:paraId="6BD2A1CD" w14:textId="0D64D813" w:rsidR="000054C7" w:rsidRPr="000054C7" w:rsidRDefault="000054C7" w:rsidP="00E63964">
      <w:pPr>
        <w:ind w:left="1440" w:hanging="1440"/>
        <w:jc w:val="both"/>
        <w:rPr>
          <w:rFonts w:ascii="Tahoma" w:hAnsi="Tahoma" w:cs="Tahoma"/>
          <w:sz w:val="24"/>
          <w:szCs w:val="24"/>
          <w:lang w:val="en-GB"/>
        </w:rPr>
      </w:pPr>
      <w:r>
        <w:rPr>
          <w:rFonts w:ascii="Tahoma" w:hAnsi="Tahoma" w:cs="Tahoma"/>
          <w:b/>
          <w:bCs/>
          <w:sz w:val="24"/>
          <w:szCs w:val="24"/>
          <w:lang w:val="en-GB"/>
        </w:rPr>
        <w:t>9.1.10</w:t>
      </w:r>
      <w:r>
        <w:rPr>
          <w:rFonts w:ascii="Tahoma" w:hAnsi="Tahoma" w:cs="Tahoma"/>
          <w:b/>
          <w:bCs/>
          <w:sz w:val="24"/>
          <w:szCs w:val="24"/>
          <w:lang w:val="en-GB"/>
        </w:rPr>
        <w:tab/>
      </w:r>
      <w:r w:rsidRPr="000054C7">
        <w:rPr>
          <w:rFonts w:ascii="Tahoma" w:hAnsi="Tahoma" w:cs="Tahoma"/>
          <w:b/>
          <w:bCs/>
          <w:sz w:val="24"/>
          <w:szCs w:val="24"/>
          <w:lang w:val="en-GB"/>
        </w:rPr>
        <w:t>Import Substitution:</w:t>
      </w:r>
      <w:r w:rsidRPr="000054C7">
        <w:rPr>
          <w:rFonts w:ascii="Tahoma" w:hAnsi="Tahoma" w:cs="Tahoma"/>
          <w:sz w:val="24"/>
          <w:szCs w:val="24"/>
          <w:lang w:val="en-GB"/>
        </w:rPr>
        <w:t xml:space="preserve"> Invest in domestic production of major imports like maize and machinery to reduce the trade deficit and enhance local industries.</w:t>
      </w:r>
    </w:p>
    <w:p w14:paraId="5692DA4C" w14:textId="5FDD2E9F" w:rsidR="000054C7" w:rsidRPr="000054C7" w:rsidRDefault="000054C7" w:rsidP="00E63964">
      <w:pPr>
        <w:ind w:left="1440" w:hanging="1440"/>
        <w:jc w:val="both"/>
        <w:rPr>
          <w:rFonts w:ascii="Tahoma" w:hAnsi="Tahoma" w:cs="Tahoma"/>
          <w:sz w:val="24"/>
          <w:szCs w:val="24"/>
          <w:lang w:val="en-GB"/>
        </w:rPr>
      </w:pPr>
      <w:r>
        <w:rPr>
          <w:rFonts w:ascii="Tahoma" w:hAnsi="Tahoma" w:cs="Tahoma"/>
          <w:b/>
          <w:bCs/>
          <w:sz w:val="24"/>
          <w:szCs w:val="24"/>
          <w:lang w:val="en-GB"/>
        </w:rPr>
        <w:lastRenderedPageBreak/>
        <w:t>9</w:t>
      </w:r>
      <w:r w:rsidRPr="000054C7">
        <w:rPr>
          <w:rFonts w:ascii="Tahoma" w:hAnsi="Tahoma" w:cs="Tahoma"/>
          <w:b/>
          <w:bCs/>
          <w:sz w:val="24"/>
          <w:szCs w:val="24"/>
          <w:lang w:val="en-GB"/>
        </w:rPr>
        <w:t>.</w:t>
      </w:r>
      <w:r>
        <w:rPr>
          <w:rFonts w:ascii="Tahoma" w:hAnsi="Tahoma" w:cs="Tahoma"/>
          <w:b/>
          <w:bCs/>
          <w:sz w:val="24"/>
          <w:szCs w:val="24"/>
          <w:lang w:val="en-GB"/>
        </w:rPr>
        <w:t>1.11</w:t>
      </w:r>
      <w:r w:rsidRPr="000054C7">
        <w:rPr>
          <w:rFonts w:ascii="Tahoma" w:hAnsi="Tahoma" w:cs="Tahoma"/>
          <w:b/>
          <w:bCs/>
          <w:sz w:val="24"/>
          <w:szCs w:val="24"/>
          <w:lang w:val="en-GB"/>
        </w:rPr>
        <w:t xml:space="preserve"> </w:t>
      </w:r>
      <w:r>
        <w:rPr>
          <w:rFonts w:ascii="Tahoma" w:hAnsi="Tahoma" w:cs="Tahoma"/>
          <w:b/>
          <w:bCs/>
          <w:sz w:val="24"/>
          <w:szCs w:val="24"/>
          <w:lang w:val="en-GB"/>
        </w:rPr>
        <w:tab/>
      </w:r>
      <w:r w:rsidRPr="000054C7">
        <w:rPr>
          <w:rFonts w:ascii="Tahoma" w:hAnsi="Tahoma" w:cs="Tahoma"/>
          <w:b/>
          <w:bCs/>
          <w:sz w:val="24"/>
          <w:szCs w:val="24"/>
          <w:lang w:val="en-GB"/>
        </w:rPr>
        <w:t>Enhance Investor Confidence:</w:t>
      </w:r>
      <w:r w:rsidRPr="000054C7">
        <w:rPr>
          <w:rFonts w:ascii="Tahoma" w:hAnsi="Tahoma" w:cs="Tahoma"/>
          <w:sz w:val="24"/>
          <w:szCs w:val="24"/>
          <w:lang w:val="en-GB"/>
        </w:rPr>
        <w:t xml:space="preserve"> The</w:t>
      </w:r>
      <w:r>
        <w:rPr>
          <w:rFonts w:ascii="Tahoma" w:hAnsi="Tahoma" w:cs="Tahoma"/>
          <w:sz w:val="24"/>
          <w:szCs w:val="24"/>
          <w:lang w:val="en-GB"/>
        </w:rPr>
        <w:t xml:space="preserve">re is need to </w:t>
      </w:r>
      <w:r w:rsidRPr="000054C7">
        <w:rPr>
          <w:rFonts w:ascii="Tahoma" w:hAnsi="Tahoma" w:cs="Tahoma"/>
          <w:sz w:val="24"/>
          <w:szCs w:val="24"/>
          <w:lang w:val="en-GB"/>
        </w:rPr>
        <w:t>maintain a stable macroeconomic environment to attract both local and foreign investments into the ZSE and VFEX.</w:t>
      </w:r>
    </w:p>
    <w:p w14:paraId="5ACD675B" w14:textId="7A3469A8" w:rsidR="000054C7" w:rsidRPr="00E63964" w:rsidRDefault="000054C7" w:rsidP="00E63964">
      <w:pPr>
        <w:ind w:left="1440" w:hanging="1440"/>
        <w:jc w:val="both"/>
        <w:rPr>
          <w:rFonts w:ascii="Tahoma" w:hAnsi="Tahoma" w:cs="Tahoma"/>
          <w:sz w:val="24"/>
          <w:szCs w:val="24"/>
          <w:lang w:val="en-GB"/>
        </w:rPr>
      </w:pPr>
      <w:r>
        <w:rPr>
          <w:rFonts w:ascii="Tahoma" w:hAnsi="Tahoma" w:cs="Tahoma"/>
          <w:b/>
          <w:bCs/>
          <w:sz w:val="24"/>
          <w:szCs w:val="24"/>
          <w:lang w:val="en-GB"/>
        </w:rPr>
        <w:t>9.1.12</w:t>
      </w:r>
      <w:r>
        <w:rPr>
          <w:rFonts w:ascii="Tahoma" w:hAnsi="Tahoma" w:cs="Tahoma"/>
          <w:b/>
          <w:bCs/>
          <w:sz w:val="24"/>
          <w:szCs w:val="24"/>
          <w:lang w:val="en-GB"/>
        </w:rPr>
        <w:tab/>
      </w:r>
      <w:r w:rsidRPr="00E63964">
        <w:rPr>
          <w:rFonts w:ascii="Tahoma" w:hAnsi="Tahoma" w:cs="Tahoma"/>
          <w:b/>
          <w:bCs/>
          <w:sz w:val="24"/>
          <w:szCs w:val="24"/>
          <w:lang w:val="en-GB"/>
        </w:rPr>
        <w:t>Expand VFEX Listings:</w:t>
      </w:r>
      <w:r w:rsidRPr="00E63964">
        <w:rPr>
          <w:rFonts w:ascii="Tahoma" w:hAnsi="Tahoma" w:cs="Tahoma"/>
          <w:sz w:val="24"/>
          <w:szCs w:val="24"/>
          <w:lang w:val="en-GB"/>
        </w:rPr>
        <w:t xml:space="preserve"> </w:t>
      </w:r>
      <w:r>
        <w:rPr>
          <w:rFonts w:ascii="Tahoma" w:hAnsi="Tahoma" w:cs="Tahoma"/>
          <w:sz w:val="24"/>
          <w:szCs w:val="24"/>
          <w:lang w:val="en-GB"/>
        </w:rPr>
        <w:t>There is need to e</w:t>
      </w:r>
      <w:r w:rsidRPr="00E63964">
        <w:rPr>
          <w:rFonts w:ascii="Tahoma" w:hAnsi="Tahoma" w:cs="Tahoma"/>
          <w:sz w:val="24"/>
          <w:szCs w:val="24"/>
          <w:lang w:val="en-GB"/>
        </w:rPr>
        <w:t>ncourage more companies to list on the VFEX to increase activity and diversify investment options.</w:t>
      </w:r>
    </w:p>
    <w:p w14:paraId="2C8148FA" w14:textId="7D9D3A20" w:rsidR="000054C7" w:rsidRPr="000054C7" w:rsidRDefault="000054C7" w:rsidP="00E63964">
      <w:pPr>
        <w:ind w:left="1440" w:hanging="1440"/>
        <w:jc w:val="both"/>
        <w:rPr>
          <w:rFonts w:ascii="Tahoma" w:hAnsi="Tahoma" w:cs="Tahoma"/>
          <w:sz w:val="24"/>
          <w:szCs w:val="24"/>
          <w:lang w:val="en-GB"/>
        </w:rPr>
      </w:pPr>
      <w:r>
        <w:rPr>
          <w:rFonts w:ascii="Tahoma" w:hAnsi="Tahoma" w:cs="Tahoma"/>
          <w:b/>
          <w:bCs/>
          <w:sz w:val="24"/>
          <w:szCs w:val="24"/>
          <w:lang w:val="en-GB"/>
        </w:rPr>
        <w:t>9.1.13</w:t>
      </w:r>
      <w:r>
        <w:rPr>
          <w:rFonts w:ascii="Tahoma" w:hAnsi="Tahoma" w:cs="Tahoma"/>
          <w:b/>
          <w:bCs/>
          <w:sz w:val="24"/>
          <w:szCs w:val="24"/>
          <w:lang w:val="en-GB"/>
        </w:rPr>
        <w:tab/>
      </w:r>
      <w:r w:rsidRPr="000054C7">
        <w:rPr>
          <w:rFonts w:ascii="Tahoma" w:hAnsi="Tahoma" w:cs="Tahoma"/>
          <w:b/>
          <w:bCs/>
          <w:sz w:val="24"/>
          <w:szCs w:val="24"/>
          <w:lang w:val="en-GB"/>
        </w:rPr>
        <w:t>Climate-Resilient Policies:</w:t>
      </w:r>
      <w:r w:rsidRPr="000054C7">
        <w:rPr>
          <w:rFonts w:ascii="Tahoma" w:hAnsi="Tahoma" w:cs="Tahoma"/>
          <w:sz w:val="24"/>
          <w:szCs w:val="24"/>
          <w:lang w:val="en-GB"/>
        </w:rPr>
        <w:t xml:space="preserve"> </w:t>
      </w:r>
      <w:r w:rsidR="00E61821">
        <w:rPr>
          <w:rFonts w:ascii="Tahoma" w:hAnsi="Tahoma" w:cs="Tahoma"/>
          <w:sz w:val="24"/>
          <w:szCs w:val="24"/>
          <w:lang w:val="en-GB"/>
        </w:rPr>
        <w:t>The government should d</w:t>
      </w:r>
      <w:r w:rsidRPr="000054C7">
        <w:rPr>
          <w:rFonts w:ascii="Tahoma" w:hAnsi="Tahoma" w:cs="Tahoma"/>
          <w:sz w:val="24"/>
          <w:szCs w:val="24"/>
          <w:lang w:val="en-GB"/>
        </w:rPr>
        <w:t>evelop and implement comprehensive policies to mitigate climate change impacts, especially targeting the agriculture and energy sectors.</w:t>
      </w:r>
    </w:p>
    <w:p w14:paraId="3295CF0A" w14:textId="77777777" w:rsidR="0020788D" w:rsidRPr="0020788D" w:rsidRDefault="0020788D" w:rsidP="00F05BD5"/>
    <w:p w14:paraId="3834723F" w14:textId="77777777" w:rsidR="00790EF8" w:rsidRDefault="00790EF8" w:rsidP="00F05BD5">
      <w:pPr>
        <w:rPr>
          <w:lang w:val="en-US"/>
        </w:rPr>
      </w:pPr>
    </w:p>
    <w:p w14:paraId="4F0FBCE4" w14:textId="77777777" w:rsidR="00790EF8" w:rsidRDefault="00790EF8" w:rsidP="00F05BD5">
      <w:pPr>
        <w:rPr>
          <w:lang w:val="en-US"/>
        </w:rPr>
      </w:pPr>
    </w:p>
    <w:p w14:paraId="29CE6726" w14:textId="77777777" w:rsidR="00790EF8" w:rsidRDefault="00790EF8" w:rsidP="00F05BD5">
      <w:pPr>
        <w:rPr>
          <w:lang w:val="en-US"/>
        </w:rPr>
      </w:pPr>
    </w:p>
    <w:p w14:paraId="6E57DAFE" w14:textId="77777777" w:rsidR="00790EF8" w:rsidRDefault="00790EF8" w:rsidP="00F05BD5">
      <w:pPr>
        <w:rPr>
          <w:lang w:val="en-US"/>
        </w:rPr>
      </w:pPr>
    </w:p>
    <w:p w14:paraId="3B793956" w14:textId="77777777" w:rsidR="00790EF8" w:rsidRDefault="00790EF8" w:rsidP="00F05BD5">
      <w:pPr>
        <w:rPr>
          <w:lang w:val="en-US"/>
        </w:rPr>
      </w:pPr>
    </w:p>
    <w:p w14:paraId="349963D9" w14:textId="77777777" w:rsidR="0014428B" w:rsidRDefault="00790EF8" w:rsidP="0014428B">
      <w:pPr>
        <w:pStyle w:val="Heading1"/>
        <w:spacing w:before="0" w:after="240"/>
      </w:pPr>
      <w:r>
        <w:rPr>
          <w:rFonts w:cs="Tahoma"/>
          <w:szCs w:val="24"/>
          <w:lang w:val="en-US"/>
        </w:rPr>
        <w:br w:type="page"/>
      </w:r>
      <w:bookmarkStart w:id="77" w:name="_Toc182566295"/>
      <w:r w:rsidR="003C7C0E">
        <w:lastRenderedPageBreak/>
        <w:t>10.0 References</w:t>
      </w:r>
      <w:bookmarkEnd w:id="77"/>
    </w:p>
    <w:p w14:paraId="7B9839DF" w14:textId="77777777" w:rsidR="0014428B" w:rsidRPr="0014428B" w:rsidRDefault="0014428B" w:rsidP="00E63964">
      <w:pPr>
        <w:pStyle w:val="Bibliography"/>
        <w:ind w:left="720" w:hanging="720"/>
        <w:jc w:val="both"/>
        <w:rPr>
          <w:rFonts w:ascii="Tahoma" w:hAnsi="Tahoma" w:cs="Tahoma"/>
          <w:noProof/>
          <w:kern w:val="0"/>
          <w:sz w:val="24"/>
          <w:szCs w:val="24"/>
          <w:lang w:val="en-GB"/>
        </w:rPr>
      </w:pPr>
      <w:r w:rsidRPr="0014428B">
        <w:rPr>
          <w:rFonts w:ascii="Tahoma" w:hAnsi="Tahoma" w:cs="Tahoma"/>
          <w:noProof/>
          <w:sz w:val="24"/>
          <w:szCs w:val="24"/>
          <w:lang w:val="en-GB"/>
        </w:rPr>
        <w:t xml:space="preserve">ALJAZEERA. (2024, October 24). </w:t>
      </w:r>
      <w:r w:rsidRPr="0014428B">
        <w:rPr>
          <w:rFonts w:ascii="Tahoma" w:hAnsi="Tahoma" w:cs="Tahoma"/>
          <w:i/>
          <w:iCs/>
          <w:noProof/>
          <w:sz w:val="24"/>
          <w:szCs w:val="24"/>
          <w:lang w:val="en-GB"/>
        </w:rPr>
        <w:t>Business and Economy</w:t>
      </w:r>
      <w:r w:rsidRPr="0014428B">
        <w:rPr>
          <w:rFonts w:ascii="Tahoma" w:hAnsi="Tahoma" w:cs="Tahoma"/>
          <w:noProof/>
          <w:sz w:val="24"/>
          <w:szCs w:val="24"/>
          <w:lang w:val="en-GB"/>
        </w:rPr>
        <w:t>. Retrieved from Al Jazeera: https://www.aljazeera.com/news/2024/10/24/zimbabwes-gold-backed-currency-loses-half-its-value-why-and-whats-next</w:t>
      </w:r>
    </w:p>
    <w:p w14:paraId="19F10924" w14:textId="28634920" w:rsidR="0014428B" w:rsidRPr="0014428B" w:rsidRDefault="0014428B" w:rsidP="00E63964">
      <w:pPr>
        <w:pStyle w:val="Bibliography"/>
        <w:ind w:left="720" w:hanging="720"/>
        <w:jc w:val="both"/>
        <w:rPr>
          <w:rFonts w:ascii="Tahoma" w:hAnsi="Tahoma" w:cs="Tahoma"/>
          <w:noProof/>
          <w:sz w:val="24"/>
          <w:szCs w:val="24"/>
          <w:lang w:val="en-GB"/>
        </w:rPr>
      </w:pPr>
      <w:r w:rsidRPr="0014428B">
        <w:rPr>
          <w:rFonts w:ascii="Tahoma" w:hAnsi="Tahoma" w:cs="Tahoma"/>
          <w:noProof/>
          <w:sz w:val="24"/>
          <w:szCs w:val="24"/>
          <w:lang w:val="en-GB"/>
        </w:rPr>
        <w:t xml:space="preserve">IMF. (2024). </w:t>
      </w:r>
      <w:r w:rsidRPr="0014428B">
        <w:rPr>
          <w:rFonts w:ascii="Tahoma" w:hAnsi="Tahoma" w:cs="Tahoma"/>
          <w:i/>
          <w:iCs/>
          <w:noProof/>
          <w:sz w:val="24"/>
          <w:szCs w:val="24"/>
          <w:lang w:val="en-GB"/>
        </w:rPr>
        <w:t xml:space="preserve">World Economic Outlook, October 2024; Global </w:t>
      </w:r>
      <w:r w:rsidR="002E6211">
        <w:rPr>
          <w:rFonts w:ascii="Tahoma" w:hAnsi="Tahoma" w:cs="Tahoma"/>
          <w:i/>
          <w:iCs/>
          <w:noProof/>
          <w:sz w:val="24"/>
          <w:szCs w:val="24"/>
          <w:lang w:val="en-GB"/>
        </w:rPr>
        <w:t>P</w:t>
      </w:r>
      <w:r w:rsidRPr="0014428B">
        <w:rPr>
          <w:rFonts w:ascii="Tahoma" w:hAnsi="Tahoma" w:cs="Tahoma"/>
          <w:i/>
          <w:iCs/>
          <w:noProof/>
          <w:sz w:val="24"/>
          <w:szCs w:val="24"/>
          <w:lang w:val="en-GB"/>
        </w:rPr>
        <w:t>rospects and Policies.</w:t>
      </w:r>
      <w:r w:rsidRPr="0014428B">
        <w:rPr>
          <w:rFonts w:ascii="Tahoma" w:hAnsi="Tahoma" w:cs="Tahoma"/>
          <w:noProof/>
          <w:sz w:val="24"/>
          <w:szCs w:val="24"/>
          <w:lang w:val="en-GB"/>
        </w:rPr>
        <w:t xml:space="preserve"> International Monetary Fund.</w:t>
      </w:r>
    </w:p>
    <w:p w14:paraId="4EF8578F" w14:textId="77777777" w:rsidR="0014428B" w:rsidRPr="0014428B" w:rsidRDefault="0014428B" w:rsidP="00E63964">
      <w:pPr>
        <w:pStyle w:val="Bibliography"/>
        <w:ind w:left="720" w:hanging="720"/>
        <w:jc w:val="both"/>
        <w:rPr>
          <w:rFonts w:ascii="Tahoma" w:hAnsi="Tahoma" w:cs="Tahoma"/>
          <w:noProof/>
          <w:sz w:val="24"/>
          <w:szCs w:val="24"/>
          <w:lang w:val="en-GB"/>
        </w:rPr>
      </w:pPr>
      <w:r w:rsidRPr="0014428B">
        <w:rPr>
          <w:rFonts w:ascii="Tahoma" w:hAnsi="Tahoma" w:cs="Tahoma"/>
          <w:noProof/>
          <w:sz w:val="24"/>
          <w:szCs w:val="24"/>
          <w:lang w:val="en-GB"/>
        </w:rPr>
        <w:t xml:space="preserve">RBZ. (2024). </w:t>
      </w:r>
      <w:r w:rsidRPr="0014428B">
        <w:rPr>
          <w:rFonts w:ascii="Tahoma" w:hAnsi="Tahoma" w:cs="Tahoma"/>
          <w:i/>
          <w:iCs/>
          <w:noProof/>
          <w:sz w:val="24"/>
          <w:szCs w:val="24"/>
          <w:lang w:val="en-GB"/>
        </w:rPr>
        <w:t>Exchange Rates</w:t>
      </w:r>
      <w:r w:rsidRPr="0014428B">
        <w:rPr>
          <w:rFonts w:ascii="Tahoma" w:hAnsi="Tahoma" w:cs="Tahoma"/>
          <w:noProof/>
          <w:sz w:val="24"/>
          <w:szCs w:val="24"/>
          <w:lang w:val="en-GB"/>
        </w:rPr>
        <w:t>. Retrieved from Reserve Bank of Zimbabwe: https://www.rbz.co.zw/index.php/research/markets/exchange-rates</w:t>
      </w:r>
    </w:p>
    <w:p w14:paraId="2843EC9B" w14:textId="77777777" w:rsidR="0014428B" w:rsidRPr="0014428B" w:rsidRDefault="0014428B" w:rsidP="00E63964">
      <w:pPr>
        <w:pStyle w:val="Bibliography"/>
        <w:ind w:left="720" w:hanging="720"/>
        <w:jc w:val="both"/>
        <w:rPr>
          <w:rFonts w:ascii="Tahoma" w:hAnsi="Tahoma" w:cs="Tahoma"/>
          <w:noProof/>
          <w:sz w:val="24"/>
          <w:szCs w:val="24"/>
          <w:lang w:val="en-GB"/>
        </w:rPr>
      </w:pPr>
      <w:r w:rsidRPr="0014428B">
        <w:rPr>
          <w:rFonts w:ascii="Tahoma" w:hAnsi="Tahoma" w:cs="Tahoma"/>
          <w:noProof/>
          <w:sz w:val="24"/>
          <w:szCs w:val="24"/>
          <w:lang w:val="en-GB"/>
        </w:rPr>
        <w:t xml:space="preserve">Reserve Bank of Zimbabwe. (2024). </w:t>
      </w:r>
      <w:r w:rsidRPr="0014428B">
        <w:rPr>
          <w:rFonts w:ascii="Tahoma" w:hAnsi="Tahoma" w:cs="Tahoma"/>
          <w:i/>
          <w:iCs/>
          <w:noProof/>
          <w:sz w:val="24"/>
          <w:szCs w:val="24"/>
          <w:lang w:val="en-GB"/>
        </w:rPr>
        <w:t>Monthly Economic Review: August 2024.</w:t>
      </w:r>
      <w:r w:rsidRPr="0014428B">
        <w:rPr>
          <w:rFonts w:ascii="Tahoma" w:hAnsi="Tahoma" w:cs="Tahoma"/>
          <w:noProof/>
          <w:sz w:val="24"/>
          <w:szCs w:val="24"/>
          <w:lang w:val="en-GB"/>
        </w:rPr>
        <w:t xml:space="preserve"> RBZ.</w:t>
      </w:r>
    </w:p>
    <w:p w14:paraId="50D8C01D" w14:textId="77777777" w:rsidR="0014428B" w:rsidRPr="0014428B" w:rsidRDefault="0014428B" w:rsidP="00E63964">
      <w:pPr>
        <w:pStyle w:val="Bibliography"/>
        <w:ind w:left="720" w:hanging="720"/>
        <w:jc w:val="both"/>
        <w:rPr>
          <w:rFonts w:ascii="Tahoma" w:hAnsi="Tahoma" w:cs="Tahoma"/>
          <w:noProof/>
          <w:sz w:val="24"/>
          <w:szCs w:val="24"/>
          <w:lang w:val="en-GB"/>
        </w:rPr>
      </w:pPr>
      <w:r w:rsidRPr="0014428B">
        <w:rPr>
          <w:rFonts w:ascii="Tahoma" w:hAnsi="Tahoma" w:cs="Tahoma"/>
          <w:noProof/>
          <w:sz w:val="24"/>
          <w:szCs w:val="24"/>
          <w:lang w:val="en-GB"/>
        </w:rPr>
        <w:t xml:space="preserve">Reserve Bank of Zimbabwe. (2024). </w:t>
      </w:r>
      <w:r w:rsidRPr="0014428B">
        <w:rPr>
          <w:rFonts w:ascii="Tahoma" w:hAnsi="Tahoma" w:cs="Tahoma"/>
          <w:i/>
          <w:iCs/>
          <w:noProof/>
          <w:sz w:val="24"/>
          <w:szCs w:val="24"/>
          <w:lang w:val="en-GB"/>
        </w:rPr>
        <w:t>Weekely Economic Highlights, 11 October 2024, Vol 26 No 41.</w:t>
      </w:r>
      <w:r w:rsidRPr="0014428B">
        <w:rPr>
          <w:rFonts w:ascii="Tahoma" w:hAnsi="Tahoma" w:cs="Tahoma"/>
          <w:noProof/>
          <w:sz w:val="24"/>
          <w:szCs w:val="24"/>
          <w:lang w:val="en-GB"/>
        </w:rPr>
        <w:t xml:space="preserve"> Reserve Bank of Zimbabwe.</w:t>
      </w:r>
    </w:p>
    <w:p w14:paraId="264EEF27" w14:textId="77777777" w:rsidR="0014428B" w:rsidRPr="0014428B" w:rsidRDefault="0014428B" w:rsidP="00E63964">
      <w:pPr>
        <w:pStyle w:val="Bibliography"/>
        <w:ind w:left="720" w:hanging="720"/>
        <w:jc w:val="both"/>
        <w:rPr>
          <w:rFonts w:ascii="Tahoma" w:hAnsi="Tahoma" w:cs="Tahoma"/>
          <w:noProof/>
          <w:sz w:val="24"/>
          <w:szCs w:val="24"/>
          <w:lang w:val="en-GB"/>
        </w:rPr>
      </w:pPr>
      <w:r w:rsidRPr="0014428B">
        <w:rPr>
          <w:rFonts w:ascii="Tahoma" w:hAnsi="Tahoma" w:cs="Tahoma"/>
          <w:noProof/>
          <w:sz w:val="24"/>
          <w:szCs w:val="24"/>
          <w:lang w:val="en-GB"/>
        </w:rPr>
        <w:t xml:space="preserve">Trading Economics. (2024). </w:t>
      </w:r>
      <w:r w:rsidRPr="0014428B">
        <w:rPr>
          <w:rFonts w:ascii="Tahoma" w:hAnsi="Tahoma" w:cs="Tahoma"/>
          <w:i/>
          <w:iCs/>
          <w:noProof/>
          <w:sz w:val="24"/>
          <w:szCs w:val="24"/>
          <w:lang w:val="en-GB"/>
        </w:rPr>
        <w:t>Commodities</w:t>
      </w:r>
      <w:r w:rsidRPr="0014428B">
        <w:rPr>
          <w:rFonts w:ascii="Tahoma" w:hAnsi="Tahoma" w:cs="Tahoma"/>
          <w:noProof/>
          <w:sz w:val="24"/>
          <w:szCs w:val="24"/>
          <w:lang w:val="en-GB"/>
        </w:rPr>
        <w:t>. Retrieved from Trading Economics: https://tradingeconomics.com/commodity/crude-oil</w:t>
      </w:r>
    </w:p>
    <w:p w14:paraId="3D39841C" w14:textId="77777777" w:rsidR="0014428B" w:rsidRPr="0014428B" w:rsidRDefault="0014428B" w:rsidP="00E63964">
      <w:pPr>
        <w:pStyle w:val="Bibliography"/>
        <w:ind w:left="720" w:hanging="720"/>
        <w:jc w:val="both"/>
        <w:rPr>
          <w:rFonts w:ascii="Tahoma" w:hAnsi="Tahoma" w:cs="Tahoma"/>
          <w:noProof/>
          <w:sz w:val="24"/>
          <w:szCs w:val="24"/>
          <w:lang w:val="en-GB"/>
        </w:rPr>
      </w:pPr>
      <w:r w:rsidRPr="0014428B">
        <w:rPr>
          <w:rFonts w:ascii="Tahoma" w:hAnsi="Tahoma" w:cs="Tahoma"/>
          <w:noProof/>
          <w:sz w:val="24"/>
          <w:szCs w:val="24"/>
          <w:lang w:val="en-GB"/>
        </w:rPr>
        <w:t xml:space="preserve">VFEX. (2024). </w:t>
      </w:r>
      <w:r w:rsidRPr="0014428B">
        <w:rPr>
          <w:rFonts w:ascii="Tahoma" w:hAnsi="Tahoma" w:cs="Tahoma"/>
          <w:i/>
          <w:iCs/>
          <w:noProof/>
          <w:sz w:val="24"/>
          <w:szCs w:val="24"/>
          <w:lang w:val="en-GB"/>
        </w:rPr>
        <w:t>Main Dashboard</w:t>
      </w:r>
      <w:r w:rsidRPr="0014428B">
        <w:rPr>
          <w:rFonts w:ascii="Tahoma" w:hAnsi="Tahoma" w:cs="Tahoma"/>
          <w:noProof/>
          <w:sz w:val="24"/>
          <w:szCs w:val="24"/>
          <w:lang w:val="en-GB"/>
        </w:rPr>
        <w:t>. Retrieved from Victoria Falls Stock Exchange: https://www.vfex.exchange/</w:t>
      </w:r>
    </w:p>
    <w:p w14:paraId="628DF0F3" w14:textId="77777777" w:rsidR="0014428B" w:rsidRPr="0014428B" w:rsidRDefault="0014428B" w:rsidP="00E63964">
      <w:pPr>
        <w:pStyle w:val="Bibliography"/>
        <w:ind w:left="720" w:hanging="720"/>
        <w:jc w:val="both"/>
        <w:rPr>
          <w:rFonts w:ascii="Tahoma" w:hAnsi="Tahoma" w:cs="Tahoma"/>
          <w:noProof/>
          <w:sz w:val="24"/>
          <w:szCs w:val="24"/>
          <w:lang w:val="en-GB"/>
        </w:rPr>
      </w:pPr>
      <w:r w:rsidRPr="0014428B">
        <w:rPr>
          <w:rFonts w:ascii="Tahoma" w:hAnsi="Tahoma" w:cs="Tahoma"/>
          <w:noProof/>
          <w:sz w:val="24"/>
          <w:szCs w:val="24"/>
          <w:lang w:val="en-GB"/>
        </w:rPr>
        <w:t xml:space="preserve">World Bank. (2024). </w:t>
      </w:r>
      <w:r w:rsidRPr="0014428B">
        <w:rPr>
          <w:rFonts w:ascii="Tahoma" w:hAnsi="Tahoma" w:cs="Tahoma"/>
          <w:i/>
          <w:iCs/>
          <w:noProof/>
          <w:sz w:val="24"/>
          <w:szCs w:val="24"/>
          <w:lang w:val="en-GB"/>
        </w:rPr>
        <w:t>October 2024 Commodity Markets Outlook.</w:t>
      </w:r>
      <w:r w:rsidRPr="0014428B">
        <w:rPr>
          <w:rFonts w:ascii="Tahoma" w:hAnsi="Tahoma" w:cs="Tahoma"/>
          <w:noProof/>
          <w:sz w:val="24"/>
          <w:szCs w:val="24"/>
          <w:lang w:val="en-GB"/>
        </w:rPr>
        <w:t xml:space="preserve"> World Bank Group.</w:t>
      </w:r>
    </w:p>
    <w:p w14:paraId="7A617EC1" w14:textId="77777777" w:rsidR="0014428B" w:rsidRPr="0014428B" w:rsidRDefault="0014428B" w:rsidP="00E63964">
      <w:pPr>
        <w:pStyle w:val="Bibliography"/>
        <w:ind w:left="720" w:hanging="720"/>
        <w:jc w:val="both"/>
        <w:rPr>
          <w:rFonts w:ascii="Tahoma" w:hAnsi="Tahoma" w:cs="Tahoma"/>
          <w:noProof/>
          <w:sz w:val="24"/>
          <w:szCs w:val="24"/>
          <w:lang w:val="en-GB"/>
        </w:rPr>
      </w:pPr>
      <w:r w:rsidRPr="0014428B">
        <w:rPr>
          <w:rFonts w:ascii="Tahoma" w:hAnsi="Tahoma" w:cs="Tahoma"/>
          <w:noProof/>
          <w:sz w:val="24"/>
          <w:szCs w:val="24"/>
          <w:lang w:val="en-GB"/>
        </w:rPr>
        <w:t xml:space="preserve">ZimStat. (2024). </w:t>
      </w:r>
      <w:r w:rsidRPr="0014428B">
        <w:rPr>
          <w:rFonts w:ascii="Tahoma" w:hAnsi="Tahoma" w:cs="Tahoma"/>
          <w:i/>
          <w:iCs/>
          <w:noProof/>
          <w:sz w:val="24"/>
          <w:szCs w:val="24"/>
          <w:lang w:val="en-GB"/>
        </w:rPr>
        <w:t>Inflation Rates</w:t>
      </w:r>
      <w:r w:rsidRPr="0014428B">
        <w:rPr>
          <w:rFonts w:ascii="Tahoma" w:hAnsi="Tahoma" w:cs="Tahoma"/>
          <w:noProof/>
          <w:sz w:val="24"/>
          <w:szCs w:val="24"/>
          <w:lang w:val="en-GB"/>
        </w:rPr>
        <w:t>. Retrieved from Zimbabwe Statistics Agency: https://www.zimstat.co.zw/</w:t>
      </w:r>
    </w:p>
    <w:p w14:paraId="0948A236" w14:textId="77777777" w:rsidR="0014428B" w:rsidRDefault="0014428B" w:rsidP="00E63964">
      <w:pPr>
        <w:pStyle w:val="Bibliography"/>
        <w:ind w:left="720" w:hanging="720"/>
        <w:jc w:val="both"/>
        <w:rPr>
          <w:noProof/>
          <w:lang w:val="en-GB"/>
        </w:rPr>
      </w:pPr>
      <w:r w:rsidRPr="0014428B">
        <w:rPr>
          <w:rFonts w:ascii="Tahoma" w:hAnsi="Tahoma" w:cs="Tahoma"/>
          <w:noProof/>
          <w:sz w:val="24"/>
          <w:szCs w:val="24"/>
          <w:lang w:val="en-GB"/>
        </w:rPr>
        <w:t xml:space="preserve">ZSE. (2024). </w:t>
      </w:r>
      <w:r w:rsidRPr="0014428B">
        <w:rPr>
          <w:rFonts w:ascii="Tahoma" w:hAnsi="Tahoma" w:cs="Tahoma"/>
          <w:i/>
          <w:iCs/>
          <w:noProof/>
          <w:sz w:val="24"/>
          <w:szCs w:val="24"/>
          <w:lang w:val="en-GB"/>
        </w:rPr>
        <w:t>Main Dashboard</w:t>
      </w:r>
      <w:r w:rsidRPr="0014428B">
        <w:rPr>
          <w:rFonts w:ascii="Tahoma" w:hAnsi="Tahoma" w:cs="Tahoma"/>
          <w:noProof/>
          <w:sz w:val="24"/>
          <w:szCs w:val="24"/>
          <w:lang w:val="en-GB"/>
        </w:rPr>
        <w:t>. Retrieved from Zimbabwe Stock Exchange: https://www.zse.co.zw/</w:t>
      </w:r>
    </w:p>
    <w:p w14:paraId="42839AE7" w14:textId="77777777" w:rsidR="0014428B" w:rsidRDefault="0014428B" w:rsidP="0014428B"/>
    <w:p w14:paraId="4DDA6CFA" w14:textId="77777777" w:rsidR="009428C2" w:rsidRDefault="009428C2" w:rsidP="009428C2"/>
    <w:p w14:paraId="4F93A396" w14:textId="77777777" w:rsidR="009428C2" w:rsidRDefault="009428C2" w:rsidP="009428C2"/>
    <w:p w14:paraId="6DF7997D" w14:textId="77777777" w:rsidR="0017300E" w:rsidRPr="0017300E" w:rsidRDefault="0017300E" w:rsidP="0017300E">
      <w:pPr>
        <w:rPr>
          <w:rFonts w:ascii="Tahoma" w:hAnsi="Tahoma" w:cs="Tahoma"/>
          <w:sz w:val="24"/>
          <w:szCs w:val="24"/>
        </w:rPr>
      </w:pPr>
    </w:p>
    <w:p w14:paraId="4EC8551C" w14:textId="77777777" w:rsidR="009C724B" w:rsidRPr="0008009F" w:rsidRDefault="009C724B" w:rsidP="009C724B">
      <w:pPr>
        <w:pStyle w:val="ListParagraph"/>
        <w:ind w:left="0"/>
        <w:jc w:val="right"/>
        <w:rPr>
          <w:rFonts w:ascii="Tahoma" w:hAnsi="Tahoma" w:cs="Tahoma"/>
          <w:sz w:val="24"/>
          <w:szCs w:val="24"/>
          <w:lang w:val="en-US"/>
        </w:rPr>
      </w:pPr>
      <w:r w:rsidRPr="0008009F">
        <w:rPr>
          <w:rFonts w:ascii="Tahoma" w:hAnsi="Tahoma" w:cs="Tahoma"/>
          <w:b/>
          <w:iCs/>
          <w:sz w:val="24"/>
          <w:szCs w:val="24"/>
          <w:lang w:val="en-US"/>
        </w:rPr>
        <w:t>NECF Secretariat, 202</w:t>
      </w:r>
      <w:r>
        <w:rPr>
          <w:rFonts w:ascii="Tahoma" w:hAnsi="Tahoma" w:cs="Tahoma"/>
          <w:b/>
          <w:iCs/>
          <w:sz w:val="24"/>
          <w:szCs w:val="24"/>
          <w:lang w:val="en-US"/>
        </w:rPr>
        <w:t>4</w:t>
      </w:r>
    </w:p>
    <w:p w14:paraId="7675E105" w14:textId="77777777" w:rsidR="00EF3AD6" w:rsidRPr="0017300E" w:rsidRDefault="00EF3AD6" w:rsidP="0017300E">
      <w:pPr>
        <w:pStyle w:val="ListParagraph"/>
        <w:ind w:left="0"/>
        <w:rPr>
          <w:rFonts w:ascii="Tahoma" w:hAnsi="Tahoma" w:cs="Tahoma"/>
          <w:sz w:val="24"/>
          <w:szCs w:val="24"/>
          <w:lang w:val="en-US"/>
        </w:rPr>
      </w:pPr>
    </w:p>
    <w:sectPr w:rsidR="00EF3AD6" w:rsidRPr="0017300E" w:rsidSect="006D22C2">
      <w:headerReference w:type="default" r:id="rId2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B95AF5" w14:textId="77777777" w:rsidR="000D1AB4" w:rsidRDefault="000D1AB4" w:rsidP="00654F03">
      <w:pPr>
        <w:spacing w:after="0" w:line="240" w:lineRule="auto"/>
      </w:pPr>
      <w:r>
        <w:separator/>
      </w:r>
    </w:p>
    <w:p w14:paraId="34E36529" w14:textId="77777777" w:rsidR="000D1AB4" w:rsidRDefault="000D1AB4"/>
    <w:p w14:paraId="12ACAEFD" w14:textId="77777777" w:rsidR="000D1AB4" w:rsidRDefault="000D1AB4" w:rsidP="00D751E8"/>
  </w:endnote>
  <w:endnote w:type="continuationSeparator" w:id="0">
    <w:p w14:paraId="77AC3093" w14:textId="77777777" w:rsidR="000D1AB4" w:rsidRDefault="000D1AB4" w:rsidP="00654F03">
      <w:pPr>
        <w:spacing w:after="0" w:line="240" w:lineRule="auto"/>
      </w:pPr>
      <w:r>
        <w:continuationSeparator/>
      </w:r>
    </w:p>
    <w:p w14:paraId="23D0683F" w14:textId="77777777" w:rsidR="000D1AB4" w:rsidRDefault="000D1AB4"/>
    <w:p w14:paraId="0D3C01A5" w14:textId="77777777" w:rsidR="000D1AB4" w:rsidRDefault="000D1AB4" w:rsidP="00D751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1071772"/>
      <w:docPartObj>
        <w:docPartGallery w:val="Page Numbers (Bottom of Page)"/>
        <w:docPartUnique/>
      </w:docPartObj>
    </w:sdtPr>
    <w:sdtEndPr>
      <w:rPr>
        <w:color w:val="7F7F7F" w:themeColor="background1" w:themeShade="7F"/>
        <w:spacing w:val="60"/>
      </w:rPr>
    </w:sdtEndPr>
    <w:sdtContent>
      <w:p w14:paraId="7E5F8CF6" w14:textId="5D54C03B" w:rsidR="00237F4C" w:rsidRDefault="00237F4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NECF</w:t>
        </w:r>
      </w:p>
    </w:sdtContent>
  </w:sdt>
  <w:p w14:paraId="55377235" w14:textId="77777777" w:rsidR="006E77DB" w:rsidRDefault="006E7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709FA0" w14:textId="77777777" w:rsidR="000D1AB4" w:rsidRDefault="000D1AB4" w:rsidP="00654F03">
      <w:pPr>
        <w:spacing w:after="0" w:line="240" w:lineRule="auto"/>
      </w:pPr>
      <w:r>
        <w:separator/>
      </w:r>
    </w:p>
    <w:p w14:paraId="6BA89C6E" w14:textId="77777777" w:rsidR="000D1AB4" w:rsidRDefault="000D1AB4"/>
    <w:p w14:paraId="3E8629F6" w14:textId="77777777" w:rsidR="000D1AB4" w:rsidRDefault="000D1AB4" w:rsidP="00D751E8"/>
  </w:footnote>
  <w:footnote w:type="continuationSeparator" w:id="0">
    <w:p w14:paraId="18C3E51A" w14:textId="77777777" w:rsidR="000D1AB4" w:rsidRDefault="000D1AB4" w:rsidP="00654F03">
      <w:pPr>
        <w:spacing w:after="0" w:line="240" w:lineRule="auto"/>
      </w:pPr>
      <w:r>
        <w:continuationSeparator/>
      </w:r>
    </w:p>
    <w:p w14:paraId="2E38C32E" w14:textId="77777777" w:rsidR="000D1AB4" w:rsidRDefault="000D1AB4"/>
    <w:p w14:paraId="52A4800B" w14:textId="77777777" w:rsidR="000D1AB4" w:rsidRDefault="000D1AB4" w:rsidP="00D751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7882A" w14:textId="77777777" w:rsidR="006E77DB" w:rsidRDefault="006E77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A7B9E"/>
    <w:multiLevelType w:val="multilevel"/>
    <w:tmpl w:val="6454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12217"/>
    <w:multiLevelType w:val="multilevel"/>
    <w:tmpl w:val="2B46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B558A"/>
    <w:multiLevelType w:val="multilevel"/>
    <w:tmpl w:val="E7CCFA1C"/>
    <w:lvl w:ilvl="0">
      <w:start w:val="7"/>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1A3E6660"/>
    <w:multiLevelType w:val="multilevel"/>
    <w:tmpl w:val="8A265644"/>
    <w:lvl w:ilvl="0">
      <w:start w:val="9"/>
      <w:numFmt w:val="decimal"/>
      <w:lvlText w:val="%1"/>
      <w:lvlJc w:val="left"/>
      <w:pPr>
        <w:ind w:left="600" w:hanging="600"/>
      </w:pPr>
      <w:rPr>
        <w:rFonts w:hint="default"/>
        <w:b/>
      </w:rPr>
    </w:lvl>
    <w:lvl w:ilvl="1">
      <w:start w:val="1"/>
      <w:numFmt w:val="decimal"/>
      <w:lvlText w:val="%1.%2"/>
      <w:lvlJc w:val="left"/>
      <w:pPr>
        <w:ind w:left="720" w:hanging="72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4" w15:restartNumberingAfterBreak="0">
    <w:nsid w:val="205C2267"/>
    <w:multiLevelType w:val="multilevel"/>
    <w:tmpl w:val="1C10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D1541"/>
    <w:multiLevelType w:val="multilevel"/>
    <w:tmpl w:val="4208BFCE"/>
    <w:lvl w:ilvl="0">
      <w:start w:val="9"/>
      <w:numFmt w:val="decimal"/>
      <w:lvlText w:val="%1"/>
      <w:lvlJc w:val="left"/>
      <w:pPr>
        <w:ind w:left="600" w:hanging="600"/>
      </w:pPr>
      <w:rPr>
        <w:rFonts w:hint="default"/>
        <w:b/>
      </w:rPr>
    </w:lvl>
    <w:lvl w:ilvl="1">
      <w:start w:val="1"/>
      <w:numFmt w:val="decimal"/>
      <w:lvlText w:val="%1.%2"/>
      <w:lvlJc w:val="left"/>
      <w:pPr>
        <w:ind w:left="720" w:hanging="72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6" w15:restartNumberingAfterBreak="0">
    <w:nsid w:val="26AB1E4E"/>
    <w:multiLevelType w:val="hybridMultilevel"/>
    <w:tmpl w:val="A120BE0E"/>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2A4B3C36"/>
    <w:multiLevelType w:val="multilevel"/>
    <w:tmpl w:val="5BFEB694"/>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394137F8"/>
    <w:multiLevelType w:val="hybridMultilevel"/>
    <w:tmpl w:val="E1B8DD88"/>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420B6531"/>
    <w:multiLevelType w:val="multilevel"/>
    <w:tmpl w:val="C3B0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D07FA1"/>
    <w:multiLevelType w:val="multilevel"/>
    <w:tmpl w:val="0998752C"/>
    <w:lvl w:ilvl="0">
      <w:start w:val="9"/>
      <w:numFmt w:val="decimal"/>
      <w:lvlText w:val="%1"/>
      <w:lvlJc w:val="left"/>
      <w:pPr>
        <w:ind w:left="750" w:hanging="750"/>
      </w:pPr>
      <w:rPr>
        <w:rFonts w:hint="default"/>
        <w:b/>
      </w:rPr>
    </w:lvl>
    <w:lvl w:ilvl="1">
      <w:start w:val="1"/>
      <w:numFmt w:val="decimal"/>
      <w:lvlText w:val="%1.%2"/>
      <w:lvlJc w:val="left"/>
      <w:pPr>
        <w:ind w:left="750" w:hanging="750"/>
      </w:pPr>
      <w:rPr>
        <w:rFonts w:hint="default"/>
        <w:b/>
      </w:rPr>
    </w:lvl>
    <w:lvl w:ilvl="2">
      <w:start w:val="12"/>
      <w:numFmt w:val="decimal"/>
      <w:lvlText w:val="%1.%2.%3"/>
      <w:lvlJc w:val="left"/>
      <w:pPr>
        <w:ind w:left="750" w:hanging="75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4D8F35C4"/>
    <w:multiLevelType w:val="multilevel"/>
    <w:tmpl w:val="A210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16130F"/>
    <w:multiLevelType w:val="multilevel"/>
    <w:tmpl w:val="D4CA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960895"/>
    <w:multiLevelType w:val="hybridMultilevel"/>
    <w:tmpl w:val="D0AAC91E"/>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15:restartNumberingAfterBreak="0">
    <w:nsid w:val="68420762"/>
    <w:multiLevelType w:val="multilevel"/>
    <w:tmpl w:val="CB24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6A712E"/>
    <w:multiLevelType w:val="multilevel"/>
    <w:tmpl w:val="807A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D101F2"/>
    <w:multiLevelType w:val="hybridMultilevel"/>
    <w:tmpl w:val="9D2E818C"/>
    <w:lvl w:ilvl="0" w:tplc="3009000F">
      <w:start w:val="1"/>
      <w:numFmt w:val="decimal"/>
      <w:lvlText w:val="%1."/>
      <w:lvlJc w:val="left"/>
      <w:pPr>
        <w:ind w:left="720" w:hanging="360"/>
      </w:pPr>
    </w:lvl>
    <w:lvl w:ilvl="1" w:tplc="3009000F">
      <w:start w:val="1"/>
      <w:numFmt w:val="decimal"/>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16cid:durableId="1990935534">
    <w:abstractNumId w:val="13"/>
  </w:num>
  <w:num w:numId="2" w16cid:durableId="874923556">
    <w:abstractNumId w:val="16"/>
  </w:num>
  <w:num w:numId="3" w16cid:durableId="284166034">
    <w:abstractNumId w:val="6"/>
  </w:num>
  <w:num w:numId="4" w16cid:durableId="497965357">
    <w:abstractNumId w:val="7"/>
  </w:num>
  <w:num w:numId="5" w16cid:durableId="1683242485">
    <w:abstractNumId w:val="8"/>
  </w:num>
  <w:num w:numId="6" w16cid:durableId="228807139">
    <w:abstractNumId w:val="2"/>
  </w:num>
  <w:num w:numId="7" w16cid:durableId="807742019">
    <w:abstractNumId w:val="15"/>
  </w:num>
  <w:num w:numId="8" w16cid:durableId="217713302">
    <w:abstractNumId w:val="0"/>
  </w:num>
  <w:num w:numId="9" w16cid:durableId="777798105">
    <w:abstractNumId w:val="9"/>
  </w:num>
  <w:num w:numId="10" w16cid:durableId="845637487">
    <w:abstractNumId w:val="12"/>
  </w:num>
  <w:num w:numId="11" w16cid:durableId="1402485173">
    <w:abstractNumId w:val="14"/>
  </w:num>
  <w:num w:numId="12" w16cid:durableId="1922179601">
    <w:abstractNumId w:val="1"/>
  </w:num>
  <w:num w:numId="13" w16cid:durableId="2066027949">
    <w:abstractNumId w:val="4"/>
  </w:num>
  <w:num w:numId="14" w16cid:durableId="1202086439">
    <w:abstractNumId w:val="11"/>
  </w:num>
  <w:num w:numId="15" w16cid:durableId="2034727699">
    <w:abstractNumId w:val="5"/>
  </w:num>
  <w:num w:numId="16" w16cid:durableId="1999307851">
    <w:abstractNumId w:val="3"/>
  </w:num>
  <w:num w:numId="17" w16cid:durableId="15134968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48"/>
    <w:rsid w:val="0000057F"/>
    <w:rsid w:val="00000C72"/>
    <w:rsid w:val="00001AB7"/>
    <w:rsid w:val="00003AB2"/>
    <w:rsid w:val="00004DDD"/>
    <w:rsid w:val="000054C7"/>
    <w:rsid w:val="000063E5"/>
    <w:rsid w:val="00006C30"/>
    <w:rsid w:val="00010505"/>
    <w:rsid w:val="00010C2D"/>
    <w:rsid w:val="000123EE"/>
    <w:rsid w:val="000129B7"/>
    <w:rsid w:val="00013442"/>
    <w:rsid w:val="0001510C"/>
    <w:rsid w:val="00020012"/>
    <w:rsid w:val="00022BFE"/>
    <w:rsid w:val="00026A42"/>
    <w:rsid w:val="0003098D"/>
    <w:rsid w:val="00030CEE"/>
    <w:rsid w:val="00031044"/>
    <w:rsid w:val="0003115B"/>
    <w:rsid w:val="000312F5"/>
    <w:rsid w:val="000313AF"/>
    <w:rsid w:val="00031E9A"/>
    <w:rsid w:val="0003253B"/>
    <w:rsid w:val="000338D4"/>
    <w:rsid w:val="0003407B"/>
    <w:rsid w:val="000346FD"/>
    <w:rsid w:val="00036597"/>
    <w:rsid w:val="0003672E"/>
    <w:rsid w:val="000376E5"/>
    <w:rsid w:val="00041010"/>
    <w:rsid w:val="0004125F"/>
    <w:rsid w:val="00041EA2"/>
    <w:rsid w:val="00043173"/>
    <w:rsid w:val="000469C1"/>
    <w:rsid w:val="00046B8A"/>
    <w:rsid w:val="00047DEA"/>
    <w:rsid w:val="00050765"/>
    <w:rsid w:val="000534B5"/>
    <w:rsid w:val="00056BC8"/>
    <w:rsid w:val="00056C3C"/>
    <w:rsid w:val="00056CEF"/>
    <w:rsid w:val="00060BA3"/>
    <w:rsid w:val="0006371A"/>
    <w:rsid w:val="00064B59"/>
    <w:rsid w:val="00066B05"/>
    <w:rsid w:val="00070950"/>
    <w:rsid w:val="00071182"/>
    <w:rsid w:val="0007119B"/>
    <w:rsid w:val="00071565"/>
    <w:rsid w:val="000732CC"/>
    <w:rsid w:val="000735EE"/>
    <w:rsid w:val="00074C3E"/>
    <w:rsid w:val="0007507E"/>
    <w:rsid w:val="0007510B"/>
    <w:rsid w:val="0008009F"/>
    <w:rsid w:val="00081C1C"/>
    <w:rsid w:val="00083ABE"/>
    <w:rsid w:val="00083E6C"/>
    <w:rsid w:val="0008600D"/>
    <w:rsid w:val="00086539"/>
    <w:rsid w:val="00086A1B"/>
    <w:rsid w:val="00086F82"/>
    <w:rsid w:val="0008784D"/>
    <w:rsid w:val="00087AC2"/>
    <w:rsid w:val="00087E0F"/>
    <w:rsid w:val="00090D37"/>
    <w:rsid w:val="00093CAE"/>
    <w:rsid w:val="00096221"/>
    <w:rsid w:val="0009768B"/>
    <w:rsid w:val="000A2C99"/>
    <w:rsid w:val="000A50AA"/>
    <w:rsid w:val="000A5880"/>
    <w:rsid w:val="000B0224"/>
    <w:rsid w:val="000B0C38"/>
    <w:rsid w:val="000B183B"/>
    <w:rsid w:val="000B4023"/>
    <w:rsid w:val="000B622D"/>
    <w:rsid w:val="000B63CE"/>
    <w:rsid w:val="000B6AA5"/>
    <w:rsid w:val="000B6E25"/>
    <w:rsid w:val="000B790A"/>
    <w:rsid w:val="000C07CA"/>
    <w:rsid w:val="000C1657"/>
    <w:rsid w:val="000C29DA"/>
    <w:rsid w:val="000C2AA3"/>
    <w:rsid w:val="000C2D96"/>
    <w:rsid w:val="000C3268"/>
    <w:rsid w:val="000C412D"/>
    <w:rsid w:val="000C447C"/>
    <w:rsid w:val="000C5E77"/>
    <w:rsid w:val="000C78EC"/>
    <w:rsid w:val="000D1AB4"/>
    <w:rsid w:val="000D22EE"/>
    <w:rsid w:val="000D2543"/>
    <w:rsid w:val="000D4C34"/>
    <w:rsid w:val="000D5212"/>
    <w:rsid w:val="000E0195"/>
    <w:rsid w:val="000E3511"/>
    <w:rsid w:val="000E455D"/>
    <w:rsid w:val="000E6686"/>
    <w:rsid w:val="000F316D"/>
    <w:rsid w:val="000F32A6"/>
    <w:rsid w:val="000F38C3"/>
    <w:rsid w:val="000F392D"/>
    <w:rsid w:val="000F5180"/>
    <w:rsid w:val="000F54F6"/>
    <w:rsid w:val="000F7929"/>
    <w:rsid w:val="000F7BEA"/>
    <w:rsid w:val="001016F9"/>
    <w:rsid w:val="00101BC7"/>
    <w:rsid w:val="00101D9E"/>
    <w:rsid w:val="001029E1"/>
    <w:rsid w:val="00102E39"/>
    <w:rsid w:val="00103E4D"/>
    <w:rsid w:val="00104DFE"/>
    <w:rsid w:val="00105DA8"/>
    <w:rsid w:val="00106B15"/>
    <w:rsid w:val="00106B69"/>
    <w:rsid w:val="00106F16"/>
    <w:rsid w:val="0011131C"/>
    <w:rsid w:val="00111B0D"/>
    <w:rsid w:val="00113183"/>
    <w:rsid w:val="0011335B"/>
    <w:rsid w:val="00115C8C"/>
    <w:rsid w:val="00117473"/>
    <w:rsid w:val="0012148A"/>
    <w:rsid w:val="001217A1"/>
    <w:rsid w:val="00122C08"/>
    <w:rsid w:val="00123F0C"/>
    <w:rsid w:val="0012708C"/>
    <w:rsid w:val="00130CC2"/>
    <w:rsid w:val="00132EAF"/>
    <w:rsid w:val="00133028"/>
    <w:rsid w:val="00133F55"/>
    <w:rsid w:val="00134E84"/>
    <w:rsid w:val="001354A1"/>
    <w:rsid w:val="00136197"/>
    <w:rsid w:val="00137BB3"/>
    <w:rsid w:val="0014428B"/>
    <w:rsid w:val="00145C78"/>
    <w:rsid w:val="00146AB0"/>
    <w:rsid w:val="00146D0A"/>
    <w:rsid w:val="00146D2D"/>
    <w:rsid w:val="00150B6E"/>
    <w:rsid w:val="00152873"/>
    <w:rsid w:val="00160959"/>
    <w:rsid w:val="00161D6E"/>
    <w:rsid w:val="00165790"/>
    <w:rsid w:val="00165A7C"/>
    <w:rsid w:val="00170788"/>
    <w:rsid w:val="0017160E"/>
    <w:rsid w:val="00171A37"/>
    <w:rsid w:val="00172873"/>
    <w:rsid w:val="0017300E"/>
    <w:rsid w:val="0017376E"/>
    <w:rsid w:val="00174CBF"/>
    <w:rsid w:val="00181085"/>
    <w:rsid w:val="001810AD"/>
    <w:rsid w:val="001840D4"/>
    <w:rsid w:val="00184FA3"/>
    <w:rsid w:val="0018530E"/>
    <w:rsid w:val="0018664B"/>
    <w:rsid w:val="00187582"/>
    <w:rsid w:val="00190FD1"/>
    <w:rsid w:val="001910FB"/>
    <w:rsid w:val="00193B40"/>
    <w:rsid w:val="001946C3"/>
    <w:rsid w:val="00194CA9"/>
    <w:rsid w:val="00197CDC"/>
    <w:rsid w:val="001A0156"/>
    <w:rsid w:val="001A02C9"/>
    <w:rsid w:val="001A488A"/>
    <w:rsid w:val="001B17C0"/>
    <w:rsid w:val="001B195C"/>
    <w:rsid w:val="001B3048"/>
    <w:rsid w:val="001B3D5A"/>
    <w:rsid w:val="001B5559"/>
    <w:rsid w:val="001B5A7B"/>
    <w:rsid w:val="001B5C7B"/>
    <w:rsid w:val="001B624E"/>
    <w:rsid w:val="001C152E"/>
    <w:rsid w:val="001C160D"/>
    <w:rsid w:val="001C3F65"/>
    <w:rsid w:val="001C439F"/>
    <w:rsid w:val="001C46C6"/>
    <w:rsid w:val="001C6200"/>
    <w:rsid w:val="001C6748"/>
    <w:rsid w:val="001D0A18"/>
    <w:rsid w:val="001D2904"/>
    <w:rsid w:val="001D30EF"/>
    <w:rsid w:val="001D740D"/>
    <w:rsid w:val="001E6283"/>
    <w:rsid w:val="001E6E33"/>
    <w:rsid w:val="001F0303"/>
    <w:rsid w:val="001F1A94"/>
    <w:rsid w:val="001F2D81"/>
    <w:rsid w:val="001F4FFB"/>
    <w:rsid w:val="002019B5"/>
    <w:rsid w:val="00201F25"/>
    <w:rsid w:val="0020440A"/>
    <w:rsid w:val="00206550"/>
    <w:rsid w:val="0020788D"/>
    <w:rsid w:val="00210685"/>
    <w:rsid w:val="00211AC2"/>
    <w:rsid w:val="002120A6"/>
    <w:rsid w:val="0021269E"/>
    <w:rsid w:val="00222F0C"/>
    <w:rsid w:val="00223152"/>
    <w:rsid w:val="00223F21"/>
    <w:rsid w:val="00224681"/>
    <w:rsid w:val="0022734D"/>
    <w:rsid w:val="0023127A"/>
    <w:rsid w:val="00231396"/>
    <w:rsid w:val="00235667"/>
    <w:rsid w:val="0023673D"/>
    <w:rsid w:val="0023756F"/>
    <w:rsid w:val="00237F4C"/>
    <w:rsid w:val="0024058F"/>
    <w:rsid w:val="00241F4E"/>
    <w:rsid w:val="00242F69"/>
    <w:rsid w:val="00243665"/>
    <w:rsid w:val="00243C51"/>
    <w:rsid w:val="002448A6"/>
    <w:rsid w:val="00244E77"/>
    <w:rsid w:val="00245A55"/>
    <w:rsid w:val="00245AD4"/>
    <w:rsid w:val="002461D6"/>
    <w:rsid w:val="00246949"/>
    <w:rsid w:val="00247F83"/>
    <w:rsid w:val="00250A42"/>
    <w:rsid w:val="00250D1B"/>
    <w:rsid w:val="00251269"/>
    <w:rsid w:val="002525BF"/>
    <w:rsid w:val="00252C38"/>
    <w:rsid w:val="0025382A"/>
    <w:rsid w:val="00253E89"/>
    <w:rsid w:val="00253FAC"/>
    <w:rsid w:val="00254DF0"/>
    <w:rsid w:val="0025517A"/>
    <w:rsid w:val="002555BE"/>
    <w:rsid w:val="0025612B"/>
    <w:rsid w:val="002569B2"/>
    <w:rsid w:val="00261A5B"/>
    <w:rsid w:val="002653B7"/>
    <w:rsid w:val="00265AEC"/>
    <w:rsid w:val="002668B7"/>
    <w:rsid w:val="002739B4"/>
    <w:rsid w:val="00280519"/>
    <w:rsid w:val="00281635"/>
    <w:rsid w:val="00281EE3"/>
    <w:rsid w:val="00283000"/>
    <w:rsid w:val="00286562"/>
    <w:rsid w:val="00286DD4"/>
    <w:rsid w:val="00287F5F"/>
    <w:rsid w:val="002908F2"/>
    <w:rsid w:val="00291B44"/>
    <w:rsid w:val="002934CA"/>
    <w:rsid w:val="00293EBD"/>
    <w:rsid w:val="00293F04"/>
    <w:rsid w:val="0029429F"/>
    <w:rsid w:val="00296FDF"/>
    <w:rsid w:val="002A3CAC"/>
    <w:rsid w:val="002A7B6D"/>
    <w:rsid w:val="002B11BD"/>
    <w:rsid w:val="002B2341"/>
    <w:rsid w:val="002B2FE8"/>
    <w:rsid w:val="002B60E5"/>
    <w:rsid w:val="002B6209"/>
    <w:rsid w:val="002B637D"/>
    <w:rsid w:val="002B7529"/>
    <w:rsid w:val="002B7F4B"/>
    <w:rsid w:val="002C1E2D"/>
    <w:rsid w:val="002C46A0"/>
    <w:rsid w:val="002C6020"/>
    <w:rsid w:val="002D0E61"/>
    <w:rsid w:val="002D3344"/>
    <w:rsid w:val="002D3BAB"/>
    <w:rsid w:val="002D42BB"/>
    <w:rsid w:val="002D4758"/>
    <w:rsid w:val="002D478F"/>
    <w:rsid w:val="002D4973"/>
    <w:rsid w:val="002D7468"/>
    <w:rsid w:val="002D7D4E"/>
    <w:rsid w:val="002E1398"/>
    <w:rsid w:val="002E3ED2"/>
    <w:rsid w:val="002E6010"/>
    <w:rsid w:val="002E6211"/>
    <w:rsid w:val="002F1286"/>
    <w:rsid w:val="002F1AD6"/>
    <w:rsid w:val="002F3502"/>
    <w:rsid w:val="002F476B"/>
    <w:rsid w:val="002F6DA3"/>
    <w:rsid w:val="00300BB3"/>
    <w:rsid w:val="003015C7"/>
    <w:rsid w:val="003016BC"/>
    <w:rsid w:val="00303E26"/>
    <w:rsid w:val="00307F4A"/>
    <w:rsid w:val="0031015F"/>
    <w:rsid w:val="00310BED"/>
    <w:rsid w:val="003120EE"/>
    <w:rsid w:val="00313C3E"/>
    <w:rsid w:val="0031428C"/>
    <w:rsid w:val="00314D22"/>
    <w:rsid w:val="00320F64"/>
    <w:rsid w:val="00324047"/>
    <w:rsid w:val="00324070"/>
    <w:rsid w:val="00325ECA"/>
    <w:rsid w:val="003270C4"/>
    <w:rsid w:val="00331834"/>
    <w:rsid w:val="003318ED"/>
    <w:rsid w:val="00332F5E"/>
    <w:rsid w:val="00335FD6"/>
    <w:rsid w:val="00336354"/>
    <w:rsid w:val="00340BCF"/>
    <w:rsid w:val="00347439"/>
    <w:rsid w:val="00352C0D"/>
    <w:rsid w:val="00354CAD"/>
    <w:rsid w:val="00355310"/>
    <w:rsid w:val="00360073"/>
    <w:rsid w:val="00362187"/>
    <w:rsid w:val="003642DC"/>
    <w:rsid w:val="00364947"/>
    <w:rsid w:val="00370049"/>
    <w:rsid w:val="00374FDC"/>
    <w:rsid w:val="003756E7"/>
    <w:rsid w:val="00375F22"/>
    <w:rsid w:val="00377FEB"/>
    <w:rsid w:val="00380DDB"/>
    <w:rsid w:val="00382F7E"/>
    <w:rsid w:val="00385A53"/>
    <w:rsid w:val="00386A89"/>
    <w:rsid w:val="00392F38"/>
    <w:rsid w:val="003944CA"/>
    <w:rsid w:val="00395F28"/>
    <w:rsid w:val="003976F2"/>
    <w:rsid w:val="003A19AF"/>
    <w:rsid w:val="003A3074"/>
    <w:rsid w:val="003A52BC"/>
    <w:rsid w:val="003A5A87"/>
    <w:rsid w:val="003A5E3C"/>
    <w:rsid w:val="003B500E"/>
    <w:rsid w:val="003B6963"/>
    <w:rsid w:val="003C07C8"/>
    <w:rsid w:val="003C0D94"/>
    <w:rsid w:val="003C1D2F"/>
    <w:rsid w:val="003C31F7"/>
    <w:rsid w:val="003C3CA1"/>
    <w:rsid w:val="003C53A3"/>
    <w:rsid w:val="003C5DC8"/>
    <w:rsid w:val="003C7C0E"/>
    <w:rsid w:val="003D080C"/>
    <w:rsid w:val="003D0C8C"/>
    <w:rsid w:val="003D1B81"/>
    <w:rsid w:val="003D3E43"/>
    <w:rsid w:val="003D514B"/>
    <w:rsid w:val="003D7035"/>
    <w:rsid w:val="003D7E2A"/>
    <w:rsid w:val="003E051C"/>
    <w:rsid w:val="003E2138"/>
    <w:rsid w:val="003E301F"/>
    <w:rsid w:val="003E7C62"/>
    <w:rsid w:val="003E7EEF"/>
    <w:rsid w:val="003F123A"/>
    <w:rsid w:val="003F1F46"/>
    <w:rsid w:val="003F476D"/>
    <w:rsid w:val="003F481A"/>
    <w:rsid w:val="0040072A"/>
    <w:rsid w:val="0040272E"/>
    <w:rsid w:val="0040512D"/>
    <w:rsid w:val="004052E4"/>
    <w:rsid w:val="00405F3C"/>
    <w:rsid w:val="00407605"/>
    <w:rsid w:val="00410952"/>
    <w:rsid w:val="004149E4"/>
    <w:rsid w:val="0041518E"/>
    <w:rsid w:val="0041581E"/>
    <w:rsid w:val="00417DAD"/>
    <w:rsid w:val="00421D20"/>
    <w:rsid w:val="004246F6"/>
    <w:rsid w:val="00424868"/>
    <w:rsid w:val="00424F97"/>
    <w:rsid w:val="00427C53"/>
    <w:rsid w:val="00427CDA"/>
    <w:rsid w:val="00430808"/>
    <w:rsid w:val="00431F13"/>
    <w:rsid w:val="0043763F"/>
    <w:rsid w:val="00437A2F"/>
    <w:rsid w:val="00437E4E"/>
    <w:rsid w:val="004416F2"/>
    <w:rsid w:val="00442387"/>
    <w:rsid w:val="0044325B"/>
    <w:rsid w:val="00443D80"/>
    <w:rsid w:val="00445ADE"/>
    <w:rsid w:val="004477A2"/>
    <w:rsid w:val="004514A3"/>
    <w:rsid w:val="00453CD8"/>
    <w:rsid w:val="004542F6"/>
    <w:rsid w:val="00455958"/>
    <w:rsid w:val="00455BB9"/>
    <w:rsid w:val="004563C8"/>
    <w:rsid w:val="0045689A"/>
    <w:rsid w:val="004600C3"/>
    <w:rsid w:val="004602CD"/>
    <w:rsid w:val="00460D78"/>
    <w:rsid w:val="0046189B"/>
    <w:rsid w:val="004624DA"/>
    <w:rsid w:val="00466CF2"/>
    <w:rsid w:val="00467E7F"/>
    <w:rsid w:val="0047159F"/>
    <w:rsid w:val="00472DF5"/>
    <w:rsid w:val="00474E3B"/>
    <w:rsid w:val="004761DA"/>
    <w:rsid w:val="00476766"/>
    <w:rsid w:val="00477E68"/>
    <w:rsid w:val="0048248B"/>
    <w:rsid w:val="0048263C"/>
    <w:rsid w:val="0048370E"/>
    <w:rsid w:val="0048527C"/>
    <w:rsid w:val="004853CA"/>
    <w:rsid w:val="004874EA"/>
    <w:rsid w:val="00491236"/>
    <w:rsid w:val="004914BB"/>
    <w:rsid w:val="00491F1C"/>
    <w:rsid w:val="00492502"/>
    <w:rsid w:val="00494824"/>
    <w:rsid w:val="00495C20"/>
    <w:rsid w:val="00496A39"/>
    <w:rsid w:val="004A2699"/>
    <w:rsid w:val="004A269E"/>
    <w:rsid w:val="004A636E"/>
    <w:rsid w:val="004B15EE"/>
    <w:rsid w:val="004B2536"/>
    <w:rsid w:val="004B3B72"/>
    <w:rsid w:val="004B3C36"/>
    <w:rsid w:val="004B51EB"/>
    <w:rsid w:val="004C5BDE"/>
    <w:rsid w:val="004C5EBF"/>
    <w:rsid w:val="004C6210"/>
    <w:rsid w:val="004C6A79"/>
    <w:rsid w:val="004C7E36"/>
    <w:rsid w:val="004D0F9B"/>
    <w:rsid w:val="004D2836"/>
    <w:rsid w:val="004D32BD"/>
    <w:rsid w:val="004D35AC"/>
    <w:rsid w:val="004D4BEA"/>
    <w:rsid w:val="004D4E48"/>
    <w:rsid w:val="004D577F"/>
    <w:rsid w:val="004E37A1"/>
    <w:rsid w:val="004E5ABD"/>
    <w:rsid w:val="004E5DF5"/>
    <w:rsid w:val="004E71C0"/>
    <w:rsid w:val="004E7861"/>
    <w:rsid w:val="004F153F"/>
    <w:rsid w:val="004F4308"/>
    <w:rsid w:val="004F47ED"/>
    <w:rsid w:val="004F680D"/>
    <w:rsid w:val="00505299"/>
    <w:rsid w:val="00505644"/>
    <w:rsid w:val="00510A42"/>
    <w:rsid w:val="0051154E"/>
    <w:rsid w:val="00512965"/>
    <w:rsid w:val="005135DD"/>
    <w:rsid w:val="00514497"/>
    <w:rsid w:val="00515620"/>
    <w:rsid w:val="00516FE0"/>
    <w:rsid w:val="00520398"/>
    <w:rsid w:val="00525461"/>
    <w:rsid w:val="005306BE"/>
    <w:rsid w:val="00530EE9"/>
    <w:rsid w:val="00531A3E"/>
    <w:rsid w:val="00532CBC"/>
    <w:rsid w:val="00533363"/>
    <w:rsid w:val="00534F79"/>
    <w:rsid w:val="005358BF"/>
    <w:rsid w:val="00535D08"/>
    <w:rsid w:val="00535EF4"/>
    <w:rsid w:val="005360D6"/>
    <w:rsid w:val="00542DE9"/>
    <w:rsid w:val="00543B7F"/>
    <w:rsid w:val="00546CD8"/>
    <w:rsid w:val="00550A4C"/>
    <w:rsid w:val="00550C96"/>
    <w:rsid w:val="005527BF"/>
    <w:rsid w:val="00555C23"/>
    <w:rsid w:val="005621AD"/>
    <w:rsid w:val="00562318"/>
    <w:rsid w:val="005632D6"/>
    <w:rsid w:val="00563B95"/>
    <w:rsid w:val="005645F7"/>
    <w:rsid w:val="00564B53"/>
    <w:rsid w:val="005652FF"/>
    <w:rsid w:val="00567040"/>
    <w:rsid w:val="0056797E"/>
    <w:rsid w:val="005708CC"/>
    <w:rsid w:val="00572287"/>
    <w:rsid w:val="0057438A"/>
    <w:rsid w:val="00575C43"/>
    <w:rsid w:val="0057611D"/>
    <w:rsid w:val="00576A12"/>
    <w:rsid w:val="00577520"/>
    <w:rsid w:val="00582AA6"/>
    <w:rsid w:val="005833C4"/>
    <w:rsid w:val="00594BC4"/>
    <w:rsid w:val="00595E97"/>
    <w:rsid w:val="00596876"/>
    <w:rsid w:val="0059695C"/>
    <w:rsid w:val="00596D27"/>
    <w:rsid w:val="00597BF2"/>
    <w:rsid w:val="005A041F"/>
    <w:rsid w:val="005A05DE"/>
    <w:rsid w:val="005A1CCE"/>
    <w:rsid w:val="005A42D0"/>
    <w:rsid w:val="005A44FC"/>
    <w:rsid w:val="005A77BC"/>
    <w:rsid w:val="005A7E05"/>
    <w:rsid w:val="005B02E0"/>
    <w:rsid w:val="005B491C"/>
    <w:rsid w:val="005B5A9A"/>
    <w:rsid w:val="005B616A"/>
    <w:rsid w:val="005B67F0"/>
    <w:rsid w:val="005B7691"/>
    <w:rsid w:val="005C0350"/>
    <w:rsid w:val="005C05AB"/>
    <w:rsid w:val="005C07A4"/>
    <w:rsid w:val="005C14E0"/>
    <w:rsid w:val="005C2848"/>
    <w:rsid w:val="005C5497"/>
    <w:rsid w:val="005C6375"/>
    <w:rsid w:val="005D1A74"/>
    <w:rsid w:val="005D2E94"/>
    <w:rsid w:val="005D4799"/>
    <w:rsid w:val="005D76CA"/>
    <w:rsid w:val="005D7A0F"/>
    <w:rsid w:val="005E2242"/>
    <w:rsid w:val="005E3EC9"/>
    <w:rsid w:val="005E45D1"/>
    <w:rsid w:val="005E7FCC"/>
    <w:rsid w:val="005F0769"/>
    <w:rsid w:val="005F16B4"/>
    <w:rsid w:val="005F1D93"/>
    <w:rsid w:val="005F2050"/>
    <w:rsid w:val="005F29F5"/>
    <w:rsid w:val="005F30E0"/>
    <w:rsid w:val="005F45A5"/>
    <w:rsid w:val="005F4E8D"/>
    <w:rsid w:val="005F5AF8"/>
    <w:rsid w:val="005F76C6"/>
    <w:rsid w:val="00601473"/>
    <w:rsid w:val="00601F9E"/>
    <w:rsid w:val="006046B2"/>
    <w:rsid w:val="00605582"/>
    <w:rsid w:val="00606C6F"/>
    <w:rsid w:val="00606D9C"/>
    <w:rsid w:val="00610CF9"/>
    <w:rsid w:val="006147E3"/>
    <w:rsid w:val="0062024E"/>
    <w:rsid w:val="00621AD9"/>
    <w:rsid w:val="00623F3A"/>
    <w:rsid w:val="00624B94"/>
    <w:rsid w:val="006258C5"/>
    <w:rsid w:val="006271AB"/>
    <w:rsid w:val="006307F6"/>
    <w:rsid w:val="00630831"/>
    <w:rsid w:val="006315D8"/>
    <w:rsid w:val="00632011"/>
    <w:rsid w:val="00632EC8"/>
    <w:rsid w:val="0063529F"/>
    <w:rsid w:val="00636D7C"/>
    <w:rsid w:val="00637666"/>
    <w:rsid w:val="00637AE0"/>
    <w:rsid w:val="006421CB"/>
    <w:rsid w:val="00642C66"/>
    <w:rsid w:val="00642E80"/>
    <w:rsid w:val="00645ACC"/>
    <w:rsid w:val="0064604B"/>
    <w:rsid w:val="0064734D"/>
    <w:rsid w:val="00647E48"/>
    <w:rsid w:val="00647FF8"/>
    <w:rsid w:val="006503EF"/>
    <w:rsid w:val="006508CC"/>
    <w:rsid w:val="00652559"/>
    <w:rsid w:val="00653B58"/>
    <w:rsid w:val="00654F03"/>
    <w:rsid w:val="00656DC6"/>
    <w:rsid w:val="00656EBE"/>
    <w:rsid w:val="0065787E"/>
    <w:rsid w:val="00657D43"/>
    <w:rsid w:val="00660AE3"/>
    <w:rsid w:val="00662678"/>
    <w:rsid w:val="00664692"/>
    <w:rsid w:val="0066487F"/>
    <w:rsid w:val="00665449"/>
    <w:rsid w:val="0066679D"/>
    <w:rsid w:val="006671C9"/>
    <w:rsid w:val="00670A4D"/>
    <w:rsid w:val="00670F3B"/>
    <w:rsid w:val="00670FF1"/>
    <w:rsid w:val="00672D6D"/>
    <w:rsid w:val="00673D93"/>
    <w:rsid w:val="00675296"/>
    <w:rsid w:val="00676C2B"/>
    <w:rsid w:val="006809E5"/>
    <w:rsid w:val="00681642"/>
    <w:rsid w:val="00682520"/>
    <w:rsid w:val="00684D03"/>
    <w:rsid w:val="006878D3"/>
    <w:rsid w:val="0068792E"/>
    <w:rsid w:val="00694B57"/>
    <w:rsid w:val="00697921"/>
    <w:rsid w:val="006A126A"/>
    <w:rsid w:val="006A16E0"/>
    <w:rsid w:val="006A397F"/>
    <w:rsid w:val="006A3BF9"/>
    <w:rsid w:val="006A505B"/>
    <w:rsid w:val="006A628E"/>
    <w:rsid w:val="006A6773"/>
    <w:rsid w:val="006B3019"/>
    <w:rsid w:val="006B3D94"/>
    <w:rsid w:val="006B5677"/>
    <w:rsid w:val="006B5C5F"/>
    <w:rsid w:val="006B6F31"/>
    <w:rsid w:val="006C1DD6"/>
    <w:rsid w:val="006C744B"/>
    <w:rsid w:val="006D1B5C"/>
    <w:rsid w:val="006D22C2"/>
    <w:rsid w:val="006D36BE"/>
    <w:rsid w:val="006D4D2B"/>
    <w:rsid w:val="006D57D8"/>
    <w:rsid w:val="006D75CE"/>
    <w:rsid w:val="006D7B79"/>
    <w:rsid w:val="006E3327"/>
    <w:rsid w:val="006E4498"/>
    <w:rsid w:val="006E5CA8"/>
    <w:rsid w:val="006E5F38"/>
    <w:rsid w:val="006E77DB"/>
    <w:rsid w:val="006F1347"/>
    <w:rsid w:val="006F3264"/>
    <w:rsid w:val="006F52AC"/>
    <w:rsid w:val="006F6612"/>
    <w:rsid w:val="006F66BD"/>
    <w:rsid w:val="006F6A12"/>
    <w:rsid w:val="006F7725"/>
    <w:rsid w:val="00700AAA"/>
    <w:rsid w:val="00710140"/>
    <w:rsid w:val="00710494"/>
    <w:rsid w:val="00711F6D"/>
    <w:rsid w:val="0071392A"/>
    <w:rsid w:val="007141D0"/>
    <w:rsid w:val="00714516"/>
    <w:rsid w:val="00715890"/>
    <w:rsid w:val="007161E9"/>
    <w:rsid w:val="00716F4B"/>
    <w:rsid w:val="007209A1"/>
    <w:rsid w:val="00721162"/>
    <w:rsid w:val="00721CC2"/>
    <w:rsid w:val="00723630"/>
    <w:rsid w:val="007245DF"/>
    <w:rsid w:val="00730BB2"/>
    <w:rsid w:val="0073192D"/>
    <w:rsid w:val="00731D17"/>
    <w:rsid w:val="00732393"/>
    <w:rsid w:val="00732CDB"/>
    <w:rsid w:val="007330F5"/>
    <w:rsid w:val="00733755"/>
    <w:rsid w:val="0074450F"/>
    <w:rsid w:val="00744659"/>
    <w:rsid w:val="00744B31"/>
    <w:rsid w:val="0074576F"/>
    <w:rsid w:val="00745D87"/>
    <w:rsid w:val="00746F8E"/>
    <w:rsid w:val="00747DDF"/>
    <w:rsid w:val="00750E65"/>
    <w:rsid w:val="0075234A"/>
    <w:rsid w:val="0075270F"/>
    <w:rsid w:val="0075339B"/>
    <w:rsid w:val="00761C54"/>
    <w:rsid w:val="007625FE"/>
    <w:rsid w:val="0076325F"/>
    <w:rsid w:val="00763655"/>
    <w:rsid w:val="00763A9E"/>
    <w:rsid w:val="00764844"/>
    <w:rsid w:val="0076540F"/>
    <w:rsid w:val="007663A2"/>
    <w:rsid w:val="0077058D"/>
    <w:rsid w:val="00770EBD"/>
    <w:rsid w:val="007723FC"/>
    <w:rsid w:val="00773D98"/>
    <w:rsid w:val="007746E2"/>
    <w:rsid w:val="0077695D"/>
    <w:rsid w:val="007778EE"/>
    <w:rsid w:val="00780641"/>
    <w:rsid w:val="00781066"/>
    <w:rsid w:val="007829BA"/>
    <w:rsid w:val="007841AD"/>
    <w:rsid w:val="00790899"/>
    <w:rsid w:val="00790EF8"/>
    <w:rsid w:val="00792B1A"/>
    <w:rsid w:val="00793F8C"/>
    <w:rsid w:val="00794057"/>
    <w:rsid w:val="00796FAC"/>
    <w:rsid w:val="007A0D34"/>
    <w:rsid w:val="007A33C0"/>
    <w:rsid w:val="007A3D03"/>
    <w:rsid w:val="007A3E1D"/>
    <w:rsid w:val="007A7031"/>
    <w:rsid w:val="007A7388"/>
    <w:rsid w:val="007B1E38"/>
    <w:rsid w:val="007B3539"/>
    <w:rsid w:val="007B3908"/>
    <w:rsid w:val="007B3F1B"/>
    <w:rsid w:val="007B43A5"/>
    <w:rsid w:val="007B4687"/>
    <w:rsid w:val="007B4DB8"/>
    <w:rsid w:val="007C0100"/>
    <w:rsid w:val="007C099C"/>
    <w:rsid w:val="007C0EE4"/>
    <w:rsid w:val="007C3AF3"/>
    <w:rsid w:val="007C3F2A"/>
    <w:rsid w:val="007C558F"/>
    <w:rsid w:val="007C67A7"/>
    <w:rsid w:val="007C6C40"/>
    <w:rsid w:val="007C738E"/>
    <w:rsid w:val="007D2866"/>
    <w:rsid w:val="007D2FF3"/>
    <w:rsid w:val="007D5EB6"/>
    <w:rsid w:val="007D7062"/>
    <w:rsid w:val="007E1E9C"/>
    <w:rsid w:val="007E26B5"/>
    <w:rsid w:val="007E39CC"/>
    <w:rsid w:val="007E5259"/>
    <w:rsid w:val="007E5DEF"/>
    <w:rsid w:val="007F0AE8"/>
    <w:rsid w:val="007F2795"/>
    <w:rsid w:val="007F2AD2"/>
    <w:rsid w:val="007F4864"/>
    <w:rsid w:val="007F731D"/>
    <w:rsid w:val="007F7CE4"/>
    <w:rsid w:val="008012AA"/>
    <w:rsid w:val="008026AB"/>
    <w:rsid w:val="00804E08"/>
    <w:rsid w:val="00807514"/>
    <w:rsid w:val="0081139C"/>
    <w:rsid w:val="00811E5E"/>
    <w:rsid w:val="00812D86"/>
    <w:rsid w:val="00815F2D"/>
    <w:rsid w:val="008162BA"/>
    <w:rsid w:val="008174D1"/>
    <w:rsid w:val="00817BA6"/>
    <w:rsid w:val="008237EF"/>
    <w:rsid w:val="00823AEF"/>
    <w:rsid w:val="00824F12"/>
    <w:rsid w:val="00825361"/>
    <w:rsid w:val="008256D2"/>
    <w:rsid w:val="00825B6E"/>
    <w:rsid w:val="00826D84"/>
    <w:rsid w:val="008274AE"/>
    <w:rsid w:val="00830FD6"/>
    <w:rsid w:val="00833C46"/>
    <w:rsid w:val="00835057"/>
    <w:rsid w:val="00835B9A"/>
    <w:rsid w:val="008372AF"/>
    <w:rsid w:val="00840D04"/>
    <w:rsid w:val="00842AA1"/>
    <w:rsid w:val="00843009"/>
    <w:rsid w:val="00846A2F"/>
    <w:rsid w:val="008471C2"/>
    <w:rsid w:val="008474B3"/>
    <w:rsid w:val="00850A2A"/>
    <w:rsid w:val="00851D39"/>
    <w:rsid w:val="008522A9"/>
    <w:rsid w:val="00853E84"/>
    <w:rsid w:val="008541A6"/>
    <w:rsid w:val="0085444B"/>
    <w:rsid w:val="00857FD6"/>
    <w:rsid w:val="00860F23"/>
    <w:rsid w:val="0086152C"/>
    <w:rsid w:val="00863A17"/>
    <w:rsid w:val="00866209"/>
    <w:rsid w:val="008663C5"/>
    <w:rsid w:val="00867523"/>
    <w:rsid w:val="00872EF1"/>
    <w:rsid w:val="008767BC"/>
    <w:rsid w:val="00880BE0"/>
    <w:rsid w:val="0088180C"/>
    <w:rsid w:val="008865D2"/>
    <w:rsid w:val="008904B8"/>
    <w:rsid w:val="00891F8B"/>
    <w:rsid w:val="00894694"/>
    <w:rsid w:val="0089508C"/>
    <w:rsid w:val="00897CB3"/>
    <w:rsid w:val="008A0F87"/>
    <w:rsid w:val="008A3AD2"/>
    <w:rsid w:val="008A6BBF"/>
    <w:rsid w:val="008A7422"/>
    <w:rsid w:val="008B04E7"/>
    <w:rsid w:val="008B12BC"/>
    <w:rsid w:val="008B17C7"/>
    <w:rsid w:val="008B1AC1"/>
    <w:rsid w:val="008B2E08"/>
    <w:rsid w:val="008B450A"/>
    <w:rsid w:val="008B578C"/>
    <w:rsid w:val="008B582A"/>
    <w:rsid w:val="008B5A07"/>
    <w:rsid w:val="008C11EB"/>
    <w:rsid w:val="008C157D"/>
    <w:rsid w:val="008C1656"/>
    <w:rsid w:val="008C29B4"/>
    <w:rsid w:val="008C5898"/>
    <w:rsid w:val="008C7178"/>
    <w:rsid w:val="008C7B6C"/>
    <w:rsid w:val="008D0614"/>
    <w:rsid w:val="008D50BD"/>
    <w:rsid w:val="008D6D88"/>
    <w:rsid w:val="008E06E7"/>
    <w:rsid w:val="008E1069"/>
    <w:rsid w:val="008E12C7"/>
    <w:rsid w:val="008E4B72"/>
    <w:rsid w:val="008E4FF1"/>
    <w:rsid w:val="008E7F02"/>
    <w:rsid w:val="008F1C4F"/>
    <w:rsid w:val="008F4843"/>
    <w:rsid w:val="008F4EA1"/>
    <w:rsid w:val="008F5908"/>
    <w:rsid w:val="0090162B"/>
    <w:rsid w:val="009029E7"/>
    <w:rsid w:val="00902C42"/>
    <w:rsid w:val="00902FBD"/>
    <w:rsid w:val="009034D4"/>
    <w:rsid w:val="0090418A"/>
    <w:rsid w:val="00905B1B"/>
    <w:rsid w:val="00906D64"/>
    <w:rsid w:val="00910D86"/>
    <w:rsid w:val="00913A1B"/>
    <w:rsid w:val="00916161"/>
    <w:rsid w:val="00917258"/>
    <w:rsid w:val="0091755A"/>
    <w:rsid w:val="009176AF"/>
    <w:rsid w:val="00917862"/>
    <w:rsid w:val="00920BA3"/>
    <w:rsid w:val="00923EB1"/>
    <w:rsid w:val="009241BD"/>
    <w:rsid w:val="009271BB"/>
    <w:rsid w:val="00930242"/>
    <w:rsid w:val="0093090F"/>
    <w:rsid w:val="009319C9"/>
    <w:rsid w:val="00932A16"/>
    <w:rsid w:val="0093372C"/>
    <w:rsid w:val="00934D46"/>
    <w:rsid w:val="009379B9"/>
    <w:rsid w:val="009428C2"/>
    <w:rsid w:val="00943A82"/>
    <w:rsid w:val="0094561A"/>
    <w:rsid w:val="00945E19"/>
    <w:rsid w:val="00946E24"/>
    <w:rsid w:val="00952886"/>
    <w:rsid w:val="0095350E"/>
    <w:rsid w:val="00953C1E"/>
    <w:rsid w:val="009555CB"/>
    <w:rsid w:val="009610A0"/>
    <w:rsid w:val="00961E32"/>
    <w:rsid w:val="00963BCE"/>
    <w:rsid w:val="00965A1C"/>
    <w:rsid w:val="009705F8"/>
    <w:rsid w:val="00972E0C"/>
    <w:rsid w:val="009744EB"/>
    <w:rsid w:val="00974680"/>
    <w:rsid w:val="00975533"/>
    <w:rsid w:val="009760E3"/>
    <w:rsid w:val="009766D1"/>
    <w:rsid w:val="00976EA8"/>
    <w:rsid w:val="00977371"/>
    <w:rsid w:val="00980031"/>
    <w:rsid w:val="0098200F"/>
    <w:rsid w:val="00982A75"/>
    <w:rsid w:val="00982CFF"/>
    <w:rsid w:val="00984949"/>
    <w:rsid w:val="00985D76"/>
    <w:rsid w:val="009871D5"/>
    <w:rsid w:val="00990B3E"/>
    <w:rsid w:val="0099115D"/>
    <w:rsid w:val="009916D5"/>
    <w:rsid w:val="00991FA8"/>
    <w:rsid w:val="00992519"/>
    <w:rsid w:val="009950A4"/>
    <w:rsid w:val="00997574"/>
    <w:rsid w:val="00997E78"/>
    <w:rsid w:val="009A1C8E"/>
    <w:rsid w:val="009A23A4"/>
    <w:rsid w:val="009A28B6"/>
    <w:rsid w:val="009B03F6"/>
    <w:rsid w:val="009B052B"/>
    <w:rsid w:val="009B2E51"/>
    <w:rsid w:val="009B650C"/>
    <w:rsid w:val="009B75D9"/>
    <w:rsid w:val="009C0034"/>
    <w:rsid w:val="009C1166"/>
    <w:rsid w:val="009C3F8A"/>
    <w:rsid w:val="009C5B15"/>
    <w:rsid w:val="009C724B"/>
    <w:rsid w:val="009D2297"/>
    <w:rsid w:val="009D2B26"/>
    <w:rsid w:val="009D3EE9"/>
    <w:rsid w:val="009D4508"/>
    <w:rsid w:val="009D473A"/>
    <w:rsid w:val="009D4D20"/>
    <w:rsid w:val="009D7A60"/>
    <w:rsid w:val="009E0AFC"/>
    <w:rsid w:val="009E0D68"/>
    <w:rsid w:val="009E1523"/>
    <w:rsid w:val="009E206D"/>
    <w:rsid w:val="009E324E"/>
    <w:rsid w:val="009E4A5D"/>
    <w:rsid w:val="009E5E72"/>
    <w:rsid w:val="009E62AF"/>
    <w:rsid w:val="009F03CB"/>
    <w:rsid w:val="009F0698"/>
    <w:rsid w:val="009F1FF3"/>
    <w:rsid w:val="009F4C6F"/>
    <w:rsid w:val="009F5CE5"/>
    <w:rsid w:val="009F6949"/>
    <w:rsid w:val="009F69E5"/>
    <w:rsid w:val="009F6F2D"/>
    <w:rsid w:val="009F795E"/>
    <w:rsid w:val="009F7A4B"/>
    <w:rsid w:val="00A02DA1"/>
    <w:rsid w:val="00A03033"/>
    <w:rsid w:val="00A0364A"/>
    <w:rsid w:val="00A054C3"/>
    <w:rsid w:val="00A05A61"/>
    <w:rsid w:val="00A1045C"/>
    <w:rsid w:val="00A12048"/>
    <w:rsid w:val="00A123CC"/>
    <w:rsid w:val="00A13732"/>
    <w:rsid w:val="00A1478A"/>
    <w:rsid w:val="00A15789"/>
    <w:rsid w:val="00A16BE8"/>
    <w:rsid w:val="00A21CB5"/>
    <w:rsid w:val="00A2259D"/>
    <w:rsid w:val="00A23DC9"/>
    <w:rsid w:val="00A254A1"/>
    <w:rsid w:val="00A26B7B"/>
    <w:rsid w:val="00A30D6D"/>
    <w:rsid w:val="00A31AE0"/>
    <w:rsid w:val="00A31AEF"/>
    <w:rsid w:val="00A3277F"/>
    <w:rsid w:val="00A41D77"/>
    <w:rsid w:val="00A43157"/>
    <w:rsid w:val="00A43C6F"/>
    <w:rsid w:val="00A4420E"/>
    <w:rsid w:val="00A445AE"/>
    <w:rsid w:val="00A44AC7"/>
    <w:rsid w:val="00A4641E"/>
    <w:rsid w:val="00A501EF"/>
    <w:rsid w:val="00A51547"/>
    <w:rsid w:val="00A521E9"/>
    <w:rsid w:val="00A54384"/>
    <w:rsid w:val="00A55EE7"/>
    <w:rsid w:val="00A571B2"/>
    <w:rsid w:val="00A5720C"/>
    <w:rsid w:val="00A5731E"/>
    <w:rsid w:val="00A57724"/>
    <w:rsid w:val="00A60CE8"/>
    <w:rsid w:val="00A61A16"/>
    <w:rsid w:val="00A63272"/>
    <w:rsid w:val="00A64F64"/>
    <w:rsid w:val="00A6586D"/>
    <w:rsid w:val="00A65D00"/>
    <w:rsid w:val="00A669AD"/>
    <w:rsid w:val="00A72F1B"/>
    <w:rsid w:val="00A741D6"/>
    <w:rsid w:val="00A7445A"/>
    <w:rsid w:val="00A74A5F"/>
    <w:rsid w:val="00A74E0C"/>
    <w:rsid w:val="00A758E2"/>
    <w:rsid w:val="00A761D1"/>
    <w:rsid w:val="00A76401"/>
    <w:rsid w:val="00A76C61"/>
    <w:rsid w:val="00A7764C"/>
    <w:rsid w:val="00A77B48"/>
    <w:rsid w:val="00A820F1"/>
    <w:rsid w:val="00A82135"/>
    <w:rsid w:val="00A8286A"/>
    <w:rsid w:val="00A82F07"/>
    <w:rsid w:val="00A84BD0"/>
    <w:rsid w:val="00A86549"/>
    <w:rsid w:val="00A866F0"/>
    <w:rsid w:val="00A90DAA"/>
    <w:rsid w:val="00A913CF"/>
    <w:rsid w:val="00A92BE1"/>
    <w:rsid w:val="00A92C33"/>
    <w:rsid w:val="00A92D2C"/>
    <w:rsid w:val="00A92D41"/>
    <w:rsid w:val="00A937B8"/>
    <w:rsid w:val="00AA0759"/>
    <w:rsid w:val="00AA284A"/>
    <w:rsid w:val="00AA3A3B"/>
    <w:rsid w:val="00AA4A6E"/>
    <w:rsid w:val="00AB0841"/>
    <w:rsid w:val="00AB0BD6"/>
    <w:rsid w:val="00AB120F"/>
    <w:rsid w:val="00AB4D3A"/>
    <w:rsid w:val="00AB665D"/>
    <w:rsid w:val="00AB70DE"/>
    <w:rsid w:val="00AB7531"/>
    <w:rsid w:val="00AB7F32"/>
    <w:rsid w:val="00AC0D70"/>
    <w:rsid w:val="00AC2CDA"/>
    <w:rsid w:val="00AC3249"/>
    <w:rsid w:val="00AC3BAD"/>
    <w:rsid w:val="00AC4BB6"/>
    <w:rsid w:val="00AC62CB"/>
    <w:rsid w:val="00AC77F7"/>
    <w:rsid w:val="00AD05AA"/>
    <w:rsid w:val="00AD55C5"/>
    <w:rsid w:val="00AD7826"/>
    <w:rsid w:val="00AE068D"/>
    <w:rsid w:val="00AE4A62"/>
    <w:rsid w:val="00AE4C1F"/>
    <w:rsid w:val="00AE4C4E"/>
    <w:rsid w:val="00AE68CA"/>
    <w:rsid w:val="00AF19B8"/>
    <w:rsid w:val="00AF211E"/>
    <w:rsid w:val="00AF44CA"/>
    <w:rsid w:val="00AF57FE"/>
    <w:rsid w:val="00AF6FB2"/>
    <w:rsid w:val="00B00382"/>
    <w:rsid w:val="00B02A7C"/>
    <w:rsid w:val="00B0635A"/>
    <w:rsid w:val="00B10BB2"/>
    <w:rsid w:val="00B1273E"/>
    <w:rsid w:val="00B13388"/>
    <w:rsid w:val="00B14F38"/>
    <w:rsid w:val="00B15352"/>
    <w:rsid w:val="00B1678A"/>
    <w:rsid w:val="00B16DBC"/>
    <w:rsid w:val="00B17B93"/>
    <w:rsid w:val="00B20D8D"/>
    <w:rsid w:val="00B20E1F"/>
    <w:rsid w:val="00B2171F"/>
    <w:rsid w:val="00B21A1F"/>
    <w:rsid w:val="00B22E03"/>
    <w:rsid w:val="00B25DF2"/>
    <w:rsid w:val="00B268D1"/>
    <w:rsid w:val="00B30DA8"/>
    <w:rsid w:val="00B32FF3"/>
    <w:rsid w:val="00B353E8"/>
    <w:rsid w:val="00B357AC"/>
    <w:rsid w:val="00B36D27"/>
    <w:rsid w:val="00B36FB5"/>
    <w:rsid w:val="00B37BF8"/>
    <w:rsid w:val="00B37DC1"/>
    <w:rsid w:val="00B42282"/>
    <w:rsid w:val="00B42926"/>
    <w:rsid w:val="00B42E80"/>
    <w:rsid w:val="00B459DB"/>
    <w:rsid w:val="00B45B57"/>
    <w:rsid w:val="00B500DB"/>
    <w:rsid w:val="00B501A2"/>
    <w:rsid w:val="00B52354"/>
    <w:rsid w:val="00B52B54"/>
    <w:rsid w:val="00B533D2"/>
    <w:rsid w:val="00B54741"/>
    <w:rsid w:val="00B57B19"/>
    <w:rsid w:val="00B646B4"/>
    <w:rsid w:val="00B64D24"/>
    <w:rsid w:val="00B65977"/>
    <w:rsid w:val="00B66407"/>
    <w:rsid w:val="00B66820"/>
    <w:rsid w:val="00B673FB"/>
    <w:rsid w:val="00B741A1"/>
    <w:rsid w:val="00B74727"/>
    <w:rsid w:val="00B80293"/>
    <w:rsid w:val="00B80637"/>
    <w:rsid w:val="00B80EA7"/>
    <w:rsid w:val="00B83700"/>
    <w:rsid w:val="00B853F6"/>
    <w:rsid w:val="00B860C5"/>
    <w:rsid w:val="00B86E0B"/>
    <w:rsid w:val="00B90E60"/>
    <w:rsid w:val="00B90F27"/>
    <w:rsid w:val="00B91522"/>
    <w:rsid w:val="00B934DF"/>
    <w:rsid w:val="00B93EEE"/>
    <w:rsid w:val="00B968F0"/>
    <w:rsid w:val="00B97DEF"/>
    <w:rsid w:val="00BA01CB"/>
    <w:rsid w:val="00BA281B"/>
    <w:rsid w:val="00BA3693"/>
    <w:rsid w:val="00BA495A"/>
    <w:rsid w:val="00BA580D"/>
    <w:rsid w:val="00BA6525"/>
    <w:rsid w:val="00BA6671"/>
    <w:rsid w:val="00BA6BB3"/>
    <w:rsid w:val="00BB097C"/>
    <w:rsid w:val="00BB518F"/>
    <w:rsid w:val="00BB6E27"/>
    <w:rsid w:val="00BC1A8E"/>
    <w:rsid w:val="00BC1F33"/>
    <w:rsid w:val="00BC4213"/>
    <w:rsid w:val="00BC5636"/>
    <w:rsid w:val="00BC5A90"/>
    <w:rsid w:val="00BC5E57"/>
    <w:rsid w:val="00BC6C25"/>
    <w:rsid w:val="00BC7AAF"/>
    <w:rsid w:val="00BD09BA"/>
    <w:rsid w:val="00BD45F4"/>
    <w:rsid w:val="00BD710B"/>
    <w:rsid w:val="00BD72A6"/>
    <w:rsid w:val="00BD7421"/>
    <w:rsid w:val="00BE1203"/>
    <w:rsid w:val="00BE12FE"/>
    <w:rsid w:val="00BE1F73"/>
    <w:rsid w:val="00BE25EC"/>
    <w:rsid w:val="00BE4E14"/>
    <w:rsid w:val="00BE5948"/>
    <w:rsid w:val="00BE64E8"/>
    <w:rsid w:val="00BF02CC"/>
    <w:rsid w:val="00BF0451"/>
    <w:rsid w:val="00BF058F"/>
    <w:rsid w:val="00BF3E47"/>
    <w:rsid w:val="00BF7149"/>
    <w:rsid w:val="00C00CE3"/>
    <w:rsid w:val="00C017BF"/>
    <w:rsid w:val="00C01CAA"/>
    <w:rsid w:val="00C03AF8"/>
    <w:rsid w:val="00C06295"/>
    <w:rsid w:val="00C075DB"/>
    <w:rsid w:val="00C07FC0"/>
    <w:rsid w:val="00C10419"/>
    <w:rsid w:val="00C13C50"/>
    <w:rsid w:val="00C15011"/>
    <w:rsid w:val="00C1543E"/>
    <w:rsid w:val="00C15442"/>
    <w:rsid w:val="00C15AC0"/>
    <w:rsid w:val="00C15C2B"/>
    <w:rsid w:val="00C22794"/>
    <w:rsid w:val="00C22B1B"/>
    <w:rsid w:val="00C25C31"/>
    <w:rsid w:val="00C262AF"/>
    <w:rsid w:val="00C26C2E"/>
    <w:rsid w:val="00C26D0C"/>
    <w:rsid w:val="00C27B1C"/>
    <w:rsid w:val="00C3348F"/>
    <w:rsid w:val="00C3466F"/>
    <w:rsid w:val="00C35A81"/>
    <w:rsid w:val="00C35B21"/>
    <w:rsid w:val="00C36C70"/>
    <w:rsid w:val="00C37681"/>
    <w:rsid w:val="00C3794E"/>
    <w:rsid w:val="00C40B41"/>
    <w:rsid w:val="00C43994"/>
    <w:rsid w:val="00C4486D"/>
    <w:rsid w:val="00C456DD"/>
    <w:rsid w:val="00C473FA"/>
    <w:rsid w:val="00C50076"/>
    <w:rsid w:val="00C505A0"/>
    <w:rsid w:val="00C52811"/>
    <w:rsid w:val="00C52828"/>
    <w:rsid w:val="00C52C3C"/>
    <w:rsid w:val="00C52D80"/>
    <w:rsid w:val="00C5355A"/>
    <w:rsid w:val="00C539D8"/>
    <w:rsid w:val="00C53DD7"/>
    <w:rsid w:val="00C54991"/>
    <w:rsid w:val="00C54DA2"/>
    <w:rsid w:val="00C56F60"/>
    <w:rsid w:val="00C629A1"/>
    <w:rsid w:val="00C6411B"/>
    <w:rsid w:val="00C65CC6"/>
    <w:rsid w:val="00C66097"/>
    <w:rsid w:val="00C67132"/>
    <w:rsid w:val="00C67198"/>
    <w:rsid w:val="00C675CD"/>
    <w:rsid w:val="00C70688"/>
    <w:rsid w:val="00C708EB"/>
    <w:rsid w:val="00C71CF1"/>
    <w:rsid w:val="00C73B5B"/>
    <w:rsid w:val="00C73F3A"/>
    <w:rsid w:val="00C74887"/>
    <w:rsid w:val="00C75970"/>
    <w:rsid w:val="00C766D0"/>
    <w:rsid w:val="00C817CC"/>
    <w:rsid w:val="00C82267"/>
    <w:rsid w:val="00C82689"/>
    <w:rsid w:val="00C840CA"/>
    <w:rsid w:val="00C846A6"/>
    <w:rsid w:val="00C8553D"/>
    <w:rsid w:val="00C87EA9"/>
    <w:rsid w:val="00C928AA"/>
    <w:rsid w:val="00C928EA"/>
    <w:rsid w:val="00C93843"/>
    <w:rsid w:val="00C94F65"/>
    <w:rsid w:val="00C95D38"/>
    <w:rsid w:val="00CA0358"/>
    <w:rsid w:val="00CA19E2"/>
    <w:rsid w:val="00CB0647"/>
    <w:rsid w:val="00CB2650"/>
    <w:rsid w:val="00CB6A80"/>
    <w:rsid w:val="00CB73B4"/>
    <w:rsid w:val="00CB78E8"/>
    <w:rsid w:val="00CC0A83"/>
    <w:rsid w:val="00CC1429"/>
    <w:rsid w:val="00CC16ED"/>
    <w:rsid w:val="00CC34C5"/>
    <w:rsid w:val="00CC5796"/>
    <w:rsid w:val="00CC5C99"/>
    <w:rsid w:val="00CD06BB"/>
    <w:rsid w:val="00CD41A9"/>
    <w:rsid w:val="00CD54F7"/>
    <w:rsid w:val="00CD7410"/>
    <w:rsid w:val="00CE3603"/>
    <w:rsid w:val="00CE55D3"/>
    <w:rsid w:val="00CE5F58"/>
    <w:rsid w:val="00CE68CE"/>
    <w:rsid w:val="00CF05A5"/>
    <w:rsid w:val="00CF1F80"/>
    <w:rsid w:val="00CF366C"/>
    <w:rsid w:val="00CF510F"/>
    <w:rsid w:val="00CF53E2"/>
    <w:rsid w:val="00CF642B"/>
    <w:rsid w:val="00CF7A33"/>
    <w:rsid w:val="00D0095B"/>
    <w:rsid w:val="00D016AA"/>
    <w:rsid w:val="00D02F71"/>
    <w:rsid w:val="00D04600"/>
    <w:rsid w:val="00D054EE"/>
    <w:rsid w:val="00D075FF"/>
    <w:rsid w:val="00D10063"/>
    <w:rsid w:val="00D10CF7"/>
    <w:rsid w:val="00D11597"/>
    <w:rsid w:val="00D13A69"/>
    <w:rsid w:val="00D20E30"/>
    <w:rsid w:val="00D23E29"/>
    <w:rsid w:val="00D24E19"/>
    <w:rsid w:val="00D250BF"/>
    <w:rsid w:val="00D2512D"/>
    <w:rsid w:val="00D2737C"/>
    <w:rsid w:val="00D275B9"/>
    <w:rsid w:val="00D30418"/>
    <w:rsid w:val="00D31BED"/>
    <w:rsid w:val="00D350EC"/>
    <w:rsid w:val="00D36E5D"/>
    <w:rsid w:val="00D37A58"/>
    <w:rsid w:val="00D37B9E"/>
    <w:rsid w:val="00D4107C"/>
    <w:rsid w:val="00D41EFE"/>
    <w:rsid w:val="00D42BC4"/>
    <w:rsid w:val="00D42FB8"/>
    <w:rsid w:val="00D439AB"/>
    <w:rsid w:val="00D4512C"/>
    <w:rsid w:val="00D46304"/>
    <w:rsid w:val="00D46F37"/>
    <w:rsid w:val="00D471E4"/>
    <w:rsid w:val="00D478BF"/>
    <w:rsid w:val="00D50A5E"/>
    <w:rsid w:val="00D51501"/>
    <w:rsid w:val="00D51BD2"/>
    <w:rsid w:val="00D5379F"/>
    <w:rsid w:val="00D5422A"/>
    <w:rsid w:val="00D5747C"/>
    <w:rsid w:val="00D60E8F"/>
    <w:rsid w:val="00D6287E"/>
    <w:rsid w:val="00D63077"/>
    <w:rsid w:val="00D64D53"/>
    <w:rsid w:val="00D66089"/>
    <w:rsid w:val="00D66735"/>
    <w:rsid w:val="00D67263"/>
    <w:rsid w:val="00D70A94"/>
    <w:rsid w:val="00D724A7"/>
    <w:rsid w:val="00D73153"/>
    <w:rsid w:val="00D746AA"/>
    <w:rsid w:val="00D74B46"/>
    <w:rsid w:val="00D7503A"/>
    <w:rsid w:val="00D751E8"/>
    <w:rsid w:val="00D75883"/>
    <w:rsid w:val="00D761E3"/>
    <w:rsid w:val="00D767B8"/>
    <w:rsid w:val="00D811C9"/>
    <w:rsid w:val="00D81672"/>
    <w:rsid w:val="00D8200D"/>
    <w:rsid w:val="00D849E0"/>
    <w:rsid w:val="00D84A1F"/>
    <w:rsid w:val="00D861FB"/>
    <w:rsid w:val="00D87988"/>
    <w:rsid w:val="00D87BD3"/>
    <w:rsid w:val="00D90198"/>
    <w:rsid w:val="00D9193B"/>
    <w:rsid w:val="00D91A7C"/>
    <w:rsid w:val="00D93647"/>
    <w:rsid w:val="00D93B0D"/>
    <w:rsid w:val="00D93E18"/>
    <w:rsid w:val="00D95FE1"/>
    <w:rsid w:val="00D9640B"/>
    <w:rsid w:val="00D97A60"/>
    <w:rsid w:val="00DA1E9E"/>
    <w:rsid w:val="00DA29D2"/>
    <w:rsid w:val="00DA2C89"/>
    <w:rsid w:val="00DA33E4"/>
    <w:rsid w:val="00DA458A"/>
    <w:rsid w:val="00DA4812"/>
    <w:rsid w:val="00DA5ADC"/>
    <w:rsid w:val="00DA6063"/>
    <w:rsid w:val="00DB2373"/>
    <w:rsid w:val="00DB2E6D"/>
    <w:rsid w:val="00DB2E84"/>
    <w:rsid w:val="00DB3190"/>
    <w:rsid w:val="00DB3C2A"/>
    <w:rsid w:val="00DB40B1"/>
    <w:rsid w:val="00DB437E"/>
    <w:rsid w:val="00DB4775"/>
    <w:rsid w:val="00DB4BB9"/>
    <w:rsid w:val="00DB67ED"/>
    <w:rsid w:val="00DB7120"/>
    <w:rsid w:val="00DC04A4"/>
    <w:rsid w:val="00DC4765"/>
    <w:rsid w:val="00DC5CBE"/>
    <w:rsid w:val="00DC6D5C"/>
    <w:rsid w:val="00DC7AC6"/>
    <w:rsid w:val="00DC7E5C"/>
    <w:rsid w:val="00DC7FB3"/>
    <w:rsid w:val="00DD3406"/>
    <w:rsid w:val="00DE15B4"/>
    <w:rsid w:val="00DE49CE"/>
    <w:rsid w:val="00DE5B29"/>
    <w:rsid w:val="00DE61F7"/>
    <w:rsid w:val="00DF01A6"/>
    <w:rsid w:val="00DF0399"/>
    <w:rsid w:val="00DF0401"/>
    <w:rsid w:val="00DF0F77"/>
    <w:rsid w:val="00DF45B9"/>
    <w:rsid w:val="00DF46D7"/>
    <w:rsid w:val="00DF4D1B"/>
    <w:rsid w:val="00E0023D"/>
    <w:rsid w:val="00E00EB5"/>
    <w:rsid w:val="00E01071"/>
    <w:rsid w:val="00E01DCE"/>
    <w:rsid w:val="00E05277"/>
    <w:rsid w:val="00E05443"/>
    <w:rsid w:val="00E05AFB"/>
    <w:rsid w:val="00E100AD"/>
    <w:rsid w:val="00E103FD"/>
    <w:rsid w:val="00E12824"/>
    <w:rsid w:val="00E12C8C"/>
    <w:rsid w:val="00E12D13"/>
    <w:rsid w:val="00E148D0"/>
    <w:rsid w:val="00E1754A"/>
    <w:rsid w:val="00E176F5"/>
    <w:rsid w:val="00E1788E"/>
    <w:rsid w:val="00E17B28"/>
    <w:rsid w:val="00E21FB8"/>
    <w:rsid w:val="00E220C4"/>
    <w:rsid w:val="00E22B52"/>
    <w:rsid w:val="00E24D4D"/>
    <w:rsid w:val="00E24E7D"/>
    <w:rsid w:val="00E25542"/>
    <w:rsid w:val="00E25CB0"/>
    <w:rsid w:val="00E25E5A"/>
    <w:rsid w:val="00E31148"/>
    <w:rsid w:val="00E31210"/>
    <w:rsid w:val="00E32789"/>
    <w:rsid w:val="00E32B87"/>
    <w:rsid w:val="00E35C9E"/>
    <w:rsid w:val="00E36073"/>
    <w:rsid w:val="00E36299"/>
    <w:rsid w:val="00E367E0"/>
    <w:rsid w:val="00E36CF6"/>
    <w:rsid w:val="00E4218B"/>
    <w:rsid w:val="00E42653"/>
    <w:rsid w:val="00E43FD7"/>
    <w:rsid w:val="00E44341"/>
    <w:rsid w:val="00E44B27"/>
    <w:rsid w:val="00E454DC"/>
    <w:rsid w:val="00E46909"/>
    <w:rsid w:val="00E53413"/>
    <w:rsid w:val="00E5407F"/>
    <w:rsid w:val="00E54A43"/>
    <w:rsid w:val="00E54C7E"/>
    <w:rsid w:val="00E55353"/>
    <w:rsid w:val="00E563ED"/>
    <w:rsid w:val="00E5681C"/>
    <w:rsid w:val="00E57953"/>
    <w:rsid w:val="00E57C56"/>
    <w:rsid w:val="00E61821"/>
    <w:rsid w:val="00E62FD6"/>
    <w:rsid w:val="00E63964"/>
    <w:rsid w:val="00E63C0D"/>
    <w:rsid w:val="00E645F0"/>
    <w:rsid w:val="00E65332"/>
    <w:rsid w:val="00E65B67"/>
    <w:rsid w:val="00E65FAE"/>
    <w:rsid w:val="00E65FDE"/>
    <w:rsid w:val="00E664AA"/>
    <w:rsid w:val="00E70553"/>
    <w:rsid w:val="00E709C2"/>
    <w:rsid w:val="00E71AD8"/>
    <w:rsid w:val="00E71E67"/>
    <w:rsid w:val="00E724A6"/>
    <w:rsid w:val="00E7419F"/>
    <w:rsid w:val="00E76009"/>
    <w:rsid w:val="00E76745"/>
    <w:rsid w:val="00E76846"/>
    <w:rsid w:val="00E80DFA"/>
    <w:rsid w:val="00E821BC"/>
    <w:rsid w:val="00E83A04"/>
    <w:rsid w:val="00E83BE5"/>
    <w:rsid w:val="00E861B5"/>
    <w:rsid w:val="00E90960"/>
    <w:rsid w:val="00E90A43"/>
    <w:rsid w:val="00E90F26"/>
    <w:rsid w:val="00E923FE"/>
    <w:rsid w:val="00E93420"/>
    <w:rsid w:val="00E934C0"/>
    <w:rsid w:val="00E93DB0"/>
    <w:rsid w:val="00E943B5"/>
    <w:rsid w:val="00EA13CB"/>
    <w:rsid w:val="00EA59EC"/>
    <w:rsid w:val="00EA7D21"/>
    <w:rsid w:val="00EB0818"/>
    <w:rsid w:val="00EB0D9F"/>
    <w:rsid w:val="00EB11EA"/>
    <w:rsid w:val="00EB16D2"/>
    <w:rsid w:val="00EB1B60"/>
    <w:rsid w:val="00EB1E82"/>
    <w:rsid w:val="00EB381C"/>
    <w:rsid w:val="00EB3B35"/>
    <w:rsid w:val="00EC05CD"/>
    <w:rsid w:val="00EC0618"/>
    <w:rsid w:val="00EC074A"/>
    <w:rsid w:val="00EC35B9"/>
    <w:rsid w:val="00EC512C"/>
    <w:rsid w:val="00EC62B2"/>
    <w:rsid w:val="00EC6C43"/>
    <w:rsid w:val="00EC7280"/>
    <w:rsid w:val="00EC7B62"/>
    <w:rsid w:val="00ED0A35"/>
    <w:rsid w:val="00ED18BB"/>
    <w:rsid w:val="00ED3991"/>
    <w:rsid w:val="00ED6A04"/>
    <w:rsid w:val="00EE1EEF"/>
    <w:rsid w:val="00EE2480"/>
    <w:rsid w:val="00EE339B"/>
    <w:rsid w:val="00EE5E37"/>
    <w:rsid w:val="00EE6387"/>
    <w:rsid w:val="00EE71C0"/>
    <w:rsid w:val="00EF0A5F"/>
    <w:rsid w:val="00EF0F8C"/>
    <w:rsid w:val="00EF15A0"/>
    <w:rsid w:val="00EF25BB"/>
    <w:rsid w:val="00EF3588"/>
    <w:rsid w:val="00EF37FE"/>
    <w:rsid w:val="00EF38D0"/>
    <w:rsid w:val="00EF3AD6"/>
    <w:rsid w:val="00EF48FE"/>
    <w:rsid w:val="00F008A4"/>
    <w:rsid w:val="00F00CB6"/>
    <w:rsid w:val="00F022D2"/>
    <w:rsid w:val="00F03170"/>
    <w:rsid w:val="00F038FB"/>
    <w:rsid w:val="00F03F6C"/>
    <w:rsid w:val="00F04170"/>
    <w:rsid w:val="00F05BD5"/>
    <w:rsid w:val="00F0619B"/>
    <w:rsid w:val="00F06BF0"/>
    <w:rsid w:val="00F1031C"/>
    <w:rsid w:val="00F16CEF"/>
    <w:rsid w:val="00F16F6C"/>
    <w:rsid w:val="00F226F3"/>
    <w:rsid w:val="00F22A6E"/>
    <w:rsid w:val="00F233ED"/>
    <w:rsid w:val="00F24206"/>
    <w:rsid w:val="00F24D1D"/>
    <w:rsid w:val="00F27F0F"/>
    <w:rsid w:val="00F335FD"/>
    <w:rsid w:val="00F340C5"/>
    <w:rsid w:val="00F342E3"/>
    <w:rsid w:val="00F44EFC"/>
    <w:rsid w:val="00F45CD9"/>
    <w:rsid w:val="00F46929"/>
    <w:rsid w:val="00F4708E"/>
    <w:rsid w:val="00F471BC"/>
    <w:rsid w:val="00F50599"/>
    <w:rsid w:val="00F50A35"/>
    <w:rsid w:val="00F5173C"/>
    <w:rsid w:val="00F51CA1"/>
    <w:rsid w:val="00F51F34"/>
    <w:rsid w:val="00F5266F"/>
    <w:rsid w:val="00F53DB2"/>
    <w:rsid w:val="00F5598A"/>
    <w:rsid w:val="00F570D8"/>
    <w:rsid w:val="00F5751C"/>
    <w:rsid w:val="00F57AA6"/>
    <w:rsid w:val="00F57D6B"/>
    <w:rsid w:val="00F6081E"/>
    <w:rsid w:val="00F6183C"/>
    <w:rsid w:val="00F63304"/>
    <w:rsid w:val="00F6371C"/>
    <w:rsid w:val="00F64E19"/>
    <w:rsid w:val="00F65CAE"/>
    <w:rsid w:val="00F67469"/>
    <w:rsid w:val="00F71110"/>
    <w:rsid w:val="00F71C25"/>
    <w:rsid w:val="00F740B6"/>
    <w:rsid w:val="00F7468F"/>
    <w:rsid w:val="00F80F39"/>
    <w:rsid w:val="00F80F54"/>
    <w:rsid w:val="00F83B1B"/>
    <w:rsid w:val="00F84DF8"/>
    <w:rsid w:val="00F84FC8"/>
    <w:rsid w:val="00F863CE"/>
    <w:rsid w:val="00F875D5"/>
    <w:rsid w:val="00F8761B"/>
    <w:rsid w:val="00F905F1"/>
    <w:rsid w:val="00F9212A"/>
    <w:rsid w:val="00F94586"/>
    <w:rsid w:val="00F94945"/>
    <w:rsid w:val="00F94CB3"/>
    <w:rsid w:val="00F95202"/>
    <w:rsid w:val="00FA064F"/>
    <w:rsid w:val="00FA2E40"/>
    <w:rsid w:val="00FA366A"/>
    <w:rsid w:val="00FA3C4E"/>
    <w:rsid w:val="00FA61F1"/>
    <w:rsid w:val="00FA7297"/>
    <w:rsid w:val="00FA7739"/>
    <w:rsid w:val="00FB01B7"/>
    <w:rsid w:val="00FB01E1"/>
    <w:rsid w:val="00FB0E59"/>
    <w:rsid w:val="00FB6E90"/>
    <w:rsid w:val="00FC08D7"/>
    <w:rsid w:val="00FC1C6C"/>
    <w:rsid w:val="00FC4690"/>
    <w:rsid w:val="00FC703F"/>
    <w:rsid w:val="00FC71BF"/>
    <w:rsid w:val="00FC73A2"/>
    <w:rsid w:val="00FC73FE"/>
    <w:rsid w:val="00FC7C5C"/>
    <w:rsid w:val="00FD0116"/>
    <w:rsid w:val="00FD11C4"/>
    <w:rsid w:val="00FD537C"/>
    <w:rsid w:val="00FD5EE2"/>
    <w:rsid w:val="00FD7F0C"/>
    <w:rsid w:val="00FE055F"/>
    <w:rsid w:val="00FE31EE"/>
    <w:rsid w:val="00FE4782"/>
    <w:rsid w:val="00FE4A95"/>
    <w:rsid w:val="00FE6C9F"/>
    <w:rsid w:val="00FF0FB8"/>
    <w:rsid w:val="00FF16B2"/>
    <w:rsid w:val="00FF2011"/>
    <w:rsid w:val="00FF25A3"/>
    <w:rsid w:val="00FF51C6"/>
    <w:rsid w:val="00FF7839"/>
    <w:rsid w:val="00FF7E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CB377"/>
  <w15:chartTrackingRefBased/>
  <w15:docId w15:val="{170BA443-B887-428F-824F-E0D25A106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659"/>
    <w:pPr>
      <w:spacing w:after="160" w:line="259" w:lineRule="auto"/>
    </w:pPr>
    <w:rPr>
      <w:kern w:val="2"/>
      <w:sz w:val="22"/>
      <w:szCs w:val="22"/>
      <w:lang w:val="en-ZW" w:eastAsia="en-US"/>
    </w:rPr>
  </w:style>
  <w:style w:type="paragraph" w:styleId="Heading1">
    <w:name w:val="heading 1"/>
    <w:basedOn w:val="Normal"/>
    <w:next w:val="Normal"/>
    <w:link w:val="Heading1Char"/>
    <w:uiPriority w:val="9"/>
    <w:qFormat/>
    <w:rsid w:val="004542F6"/>
    <w:pPr>
      <w:keepNext/>
      <w:keepLines/>
      <w:spacing w:before="240" w:after="0"/>
      <w:outlineLvl w:val="0"/>
    </w:pPr>
    <w:rPr>
      <w:rFonts w:ascii="Tahoma" w:eastAsia="Times New Roman" w:hAnsi="Tahoma"/>
      <w:b/>
      <w:sz w:val="24"/>
      <w:szCs w:val="32"/>
    </w:rPr>
  </w:style>
  <w:style w:type="paragraph" w:styleId="Heading2">
    <w:name w:val="heading 2"/>
    <w:basedOn w:val="Normal"/>
    <w:next w:val="Normal"/>
    <w:link w:val="Heading2Char"/>
    <w:uiPriority w:val="9"/>
    <w:unhideWhenUsed/>
    <w:qFormat/>
    <w:rsid w:val="00EE6387"/>
    <w:pPr>
      <w:keepNext/>
      <w:keepLines/>
      <w:spacing w:before="40" w:after="0"/>
      <w:outlineLvl w:val="1"/>
    </w:pPr>
    <w:rPr>
      <w:rFonts w:ascii="Tahoma" w:eastAsia="Times New Roman" w:hAnsi="Tahoma"/>
      <w:sz w:val="24"/>
      <w:szCs w:val="26"/>
    </w:rPr>
  </w:style>
  <w:style w:type="paragraph" w:styleId="Heading3">
    <w:name w:val="heading 3"/>
    <w:basedOn w:val="Normal"/>
    <w:next w:val="Normal"/>
    <w:link w:val="Heading3Char"/>
    <w:uiPriority w:val="9"/>
    <w:unhideWhenUsed/>
    <w:qFormat/>
    <w:rsid w:val="00721CC2"/>
    <w:pPr>
      <w:keepNext/>
      <w:spacing w:before="240" w:after="60"/>
      <w:outlineLvl w:val="2"/>
    </w:pPr>
    <w:rPr>
      <w:rFonts w:ascii="Tahoma" w:eastAsia="Times New Roman" w:hAnsi="Tahoma"/>
      <w:b/>
      <w:bCs/>
      <w:sz w:val="24"/>
      <w:szCs w:val="26"/>
    </w:rPr>
  </w:style>
  <w:style w:type="paragraph" w:styleId="Heading4">
    <w:name w:val="heading 4"/>
    <w:basedOn w:val="Normal"/>
    <w:next w:val="Normal"/>
    <w:link w:val="Heading4Char"/>
    <w:uiPriority w:val="9"/>
    <w:semiHidden/>
    <w:unhideWhenUsed/>
    <w:qFormat/>
    <w:rsid w:val="000054C7"/>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11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3114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Header">
    <w:name w:val="header"/>
    <w:basedOn w:val="Normal"/>
    <w:link w:val="HeaderChar"/>
    <w:uiPriority w:val="99"/>
    <w:unhideWhenUsed/>
    <w:rsid w:val="00654F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F03"/>
  </w:style>
  <w:style w:type="paragraph" w:styleId="Footer">
    <w:name w:val="footer"/>
    <w:basedOn w:val="Normal"/>
    <w:link w:val="FooterChar"/>
    <w:uiPriority w:val="99"/>
    <w:unhideWhenUsed/>
    <w:rsid w:val="00654F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F03"/>
  </w:style>
  <w:style w:type="character" w:customStyle="1" w:styleId="Heading1Char">
    <w:name w:val="Heading 1 Char"/>
    <w:link w:val="Heading1"/>
    <w:uiPriority w:val="9"/>
    <w:rsid w:val="004542F6"/>
    <w:rPr>
      <w:rFonts w:ascii="Tahoma" w:eastAsia="Times New Roman" w:hAnsi="Tahoma"/>
      <w:b/>
      <w:kern w:val="2"/>
      <w:sz w:val="24"/>
      <w:szCs w:val="32"/>
      <w:lang w:eastAsia="en-US"/>
    </w:rPr>
  </w:style>
  <w:style w:type="character" w:customStyle="1" w:styleId="Heading2Char">
    <w:name w:val="Heading 2 Char"/>
    <w:link w:val="Heading2"/>
    <w:uiPriority w:val="9"/>
    <w:rsid w:val="00EE6387"/>
    <w:rPr>
      <w:rFonts w:ascii="Tahoma" w:eastAsia="Times New Roman" w:hAnsi="Tahoma"/>
      <w:kern w:val="2"/>
      <w:sz w:val="24"/>
      <w:szCs w:val="26"/>
      <w:lang w:eastAsia="en-US"/>
    </w:rPr>
  </w:style>
  <w:style w:type="paragraph" w:styleId="Caption">
    <w:name w:val="caption"/>
    <w:basedOn w:val="Normal"/>
    <w:next w:val="Normal"/>
    <w:uiPriority w:val="35"/>
    <w:unhideWhenUsed/>
    <w:qFormat/>
    <w:rsid w:val="00BC5A90"/>
    <w:pPr>
      <w:spacing w:after="200" w:line="240" w:lineRule="auto"/>
    </w:pPr>
    <w:rPr>
      <w:i/>
      <w:iCs/>
      <w:color w:val="44546A"/>
      <w:sz w:val="18"/>
      <w:szCs w:val="18"/>
    </w:rPr>
  </w:style>
  <w:style w:type="paragraph" w:styleId="TableofFigures">
    <w:name w:val="table of figures"/>
    <w:basedOn w:val="Normal"/>
    <w:next w:val="Normal"/>
    <w:uiPriority w:val="99"/>
    <w:unhideWhenUsed/>
    <w:rsid w:val="003C1D2F"/>
    <w:pPr>
      <w:spacing w:after="0"/>
    </w:pPr>
  </w:style>
  <w:style w:type="character" w:styleId="Hyperlink">
    <w:name w:val="Hyperlink"/>
    <w:uiPriority w:val="99"/>
    <w:unhideWhenUsed/>
    <w:rsid w:val="003C1D2F"/>
    <w:rPr>
      <w:color w:val="0563C1"/>
      <w:u w:val="single"/>
    </w:rPr>
  </w:style>
  <w:style w:type="paragraph" w:styleId="TOCHeading">
    <w:name w:val="TOC Heading"/>
    <w:basedOn w:val="Heading1"/>
    <w:next w:val="Normal"/>
    <w:uiPriority w:val="39"/>
    <w:unhideWhenUsed/>
    <w:qFormat/>
    <w:rsid w:val="00DA458A"/>
    <w:pPr>
      <w:outlineLvl w:val="9"/>
    </w:pPr>
    <w:rPr>
      <w:kern w:val="0"/>
      <w:lang w:val="en-US"/>
    </w:rPr>
  </w:style>
  <w:style w:type="paragraph" w:styleId="TOC1">
    <w:name w:val="toc 1"/>
    <w:basedOn w:val="Normal"/>
    <w:next w:val="Normal"/>
    <w:autoRedefine/>
    <w:uiPriority w:val="39"/>
    <w:unhideWhenUsed/>
    <w:rsid w:val="00C07FC0"/>
    <w:pPr>
      <w:spacing w:after="100"/>
    </w:pPr>
  </w:style>
  <w:style w:type="paragraph" w:styleId="TOC2">
    <w:name w:val="toc 2"/>
    <w:basedOn w:val="Normal"/>
    <w:next w:val="Normal"/>
    <w:autoRedefine/>
    <w:uiPriority w:val="39"/>
    <w:unhideWhenUsed/>
    <w:rsid w:val="00D46F37"/>
    <w:pPr>
      <w:tabs>
        <w:tab w:val="left" w:pos="880"/>
        <w:tab w:val="right" w:leader="dot" w:pos="9016"/>
      </w:tabs>
      <w:spacing w:after="100"/>
      <w:ind w:left="220"/>
    </w:pPr>
    <w:rPr>
      <w:rFonts w:ascii="Tahoma" w:hAnsi="Tahoma" w:cs="Tahoma"/>
      <w:b/>
      <w:noProof/>
      <w:sz w:val="24"/>
      <w:szCs w:val="24"/>
      <w:lang w:val="en-US"/>
    </w:rPr>
  </w:style>
  <w:style w:type="paragraph" w:styleId="ListParagraph">
    <w:name w:val="List Paragraph"/>
    <w:basedOn w:val="Normal"/>
    <w:uiPriority w:val="34"/>
    <w:qFormat/>
    <w:rsid w:val="00FC703F"/>
    <w:pPr>
      <w:ind w:left="720"/>
      <w:contextualSpacing/>
    </w:pPr>
  </w:style>
  <w:style w:type="paragraph" w:styleId="Revision">
    <w:name w:val="Revision"/>
    <w:hidden/>
    <w:uiPriority w:val="99"/>
    <w:semiHidden/>
    <w:rsid w:val="00300BB3"/>
    <w:rPr>
      <w:kern w:val="2"/>
      <w:sz w:val="22"/>
      <w:szCs w:val="22"/>
      <w:lang w:val="en-ZW" w:eastAsia="en-US"/>
    </w:rPr>
  </w:style>
  <w:style w:type="character" w:styleId="CommentReference">
    <w:name w:val="annotation reference"/>
    <w:uiPriority w:val="99"/>
    <w:semiHidden/>
    <w:unhideWhenUsed/>
    <w:rsid w:val="00300BB3"/>
    <w:rPr>
      <w:sz w:val="16"/>
      <w:szCs w:val="16"/>
    </w:rPr>
  </w:style>
  <w:style w:type="paragraph" w:styleId="CommentText">
    <w:name w:val="annotation text"/>
    <w:basedOn w:val="Normal"/>
    <w:link w:val="CommentTextChar"/>
    <w:uiPriority w:val="99"/>
    <w:unhideWhenUsed/>
    <w:rsid w:val="00300BB3"/>
    <w:pPr>
      <w:spacing w:line="240" w:lineRule="auto"/>
    </w:pPr>
    <w:rPr>
      <w:sz w:val="20"/>
      <w:szCs w:val="20"/>
    </w:rPr>
  </w:style>
  <w:style w:type="character" w:customStyle="1" w:styleId="CommentTextChar">
    <w:name w:val="Comment Text Char"/>
    <w:link w:val="CommentText"/>
    <w:uiPriority w:val="99"/>
    <w:rsid w:val="00300BB3"/>
    <w:rPr>
      <w:sz w:val="20"/>
      <w:szCs w:val="20"/>
    </w:rPr>
  </w:style>
  <w:style w:type="paragraph" w:styleId="CommentSubject">
    <w:name w:val="annotation subject"/>
    <w:basedOn w:val="CommentText"/>
    <w:next w:val="CommentText"/>
    <w:link w:val="CommentSubjectChar"/>
    <w:uiPriority w:val="99"/>
    <w:semiHidden/>
    <w:unhideWhenUsed/>
    <w:rsid w:val="00300BB3"/>
    <w:rPr>
      <w:b/>
      <w:bCs/>
    </w:rPr>
  </w:style>
  <w:style w:type="character" w:customStyle="1" w:styleId="CommentSubjectChar">
    <w:name w:val="Comment Subject Char"/>
    <w:link w:val="CommentSubject"/>
    <w:uiPriority w:val="99"/>
    <w:semiHidden/>
    <w:rsid w:val="00300BB3"/>
    <w:rPr>
      <w:b/>
      <w:bCs/>
      <w:sz w:val="20"/>
      <w:szCs w:val="20"/>
    </w:rPr>
  </w:style>
  <w:style w:type="paragraph" w:styleId="BalloonText">
    <w:name w:val="Balloon Text"/>
    <w:basedOn w:val="Normal"/>
    <w:link w:val="BalloonTextChar"/>
    <w:uiPriority w:val="99"/>
    <w:semiHidden/>
    <w:unhideWhenUsed/>
    <w:rsid w:val="0069792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697921"/>
    <w:rPr>
      <w:rFonts w:ascii="Segoe UI" w:hAnsi="Segoe UI" w:cs="Segoe UI"/>
      <w:kern w:val="2"/>
      <w:sz w:val="18"/>
      <w:szCs w:val="18"/>
      <w:lang w:eastAsia="en-US"/>
    </w:rPr>
  </w:style>
  <w:style w:type="paragraph" w:styleId="NoSpacing">
    <w:name w:val="No Spacing"/>
    <w:uiPriority w:val="1"/>
    <w:qFormat/>
    <w:rsid w:val="00721CC2"/>
    <w:rPr>
      <w:rFonts w:ascii="Tahoma" w:hAnsi="Tahoma"/>
      <w:b/>
      <w:kern w:val="2"/>
      <w:sz w:val="24"/>
      <w:szCs w:val="22"/>
      <w:lang w:val="en-ZW" w:eastAsia="en-US"/>
    </w:rPr>
  </w:style>
  <w:style w:type="table" w:styleId="PlainTable1">
    <w:name w:val="Plain Table 1"/>
    <w:basedOn w:val="TableNormal"/>
    <w:uiPriority w:val="41"/>
    <w:rsid w:val="00DC5CBE"/>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Heading3Char">
    <w:name w:val="Heading 3 Char"/>
    <w:link w:val="Heading3"/>
    <w:uiPriority w:val="9"/>
    <w:rsid w:val="00721CC2"/>
    <w:rPr>
      <w:rFonts w:ascii="Tahoma" w:eastAsia="Times New Roman" w:hAnsi="Tahoma" w:cs="Times New Roman"/>
      <w:b/>
      <w:bCs/>
      <w:kern w:val="2"/>
      <w:sz w:val="24"/>
      <w:szCs w:val="26"/>
      <w:lang w:eastAsia="en-US"/>
    </w:rPr>
  </w:style>
  <w:style w:type="paragraph" w:customStyle="1" w:styleId="ListofFigures">
    <w:name w:val="List of Figures"/>
    <w:basedOn w:val="Caption"/>
    <w:next w:val="Caption"/>
    <w:qFormat/>
    <w:rsid w:val="00750E65"/>
    <w:pPr>
      <w:tabs>
        <w:tab w:val="right" w:leader="dot" w:pos="9016"/>
      </w:tabs>
    </w:pPr>
    <w:rPr>
      <w:rFonts w:ascii="Tahoma" w:hAnsi="Tahoma" w:cs="Tahoma"/>
      <w:b/>
      <w:i w:val="0"/>
      <w:noProof/>
      <w:color w:val="auto"/>
      <w:sz w:val="24"/>
    </w:rPr>
  </w:style>
  <w:style w:type="paragraph" w:customStyle="1" w:styleId="ListofTables">
    <w:name w:val="List of Tables"/>
    <w:basedOn w:val="Caption"/>
    <w:next w:val="Caption"/>
    <w:qFormat/>
    <w:rsid w:val="0001510C"/>
    <w:pPr>
      <w:keepNext/>
      <w:spacing w:after="0"/>
    </w:pPr>
    <w:rPr>
      <w:rFonts w:ascii="Tahoma" w:hAnsi="Tahoma" w:cs="Tahoma"/>
      <w:b/>
      <w:i w:val="0"/>
      <w:color w:val="auto"/>
      <w:sz w:val="24"/>
      <w:szCs w:val="24"/>
    </w:rPr>
  </w:style>
  <w:style w:type="paragraph" w:styleId="Bibliography">
    <w:name w:val="Bibliography"/>
    <w:basedOn w:val="Normal"/>
    <w:next w:val="Normal"/>
    <w:uiPriority w:val="37"/>
    <w:unhideWhenUsed/>
    <w:rsid w:val="003C7C0E"/>
  </w:style>
  <w:style w:type="paragraph" w:styleId="NormalWeb">
    <w:name w:val="Normal (Web)"/>
    <w:basedOn w:val="Normal"/>
    <w:uiPriority w:val="99"/>
    <w:semiHidden/>
    <w:unhideWhenUsed/>
    <w:rsid w:val="0020788D"/>
    <w:rPr>
      <w:rFonts w:ascii="Times New Roman" w:hAnsi="Times New Roman"/>
      <w:sz w:val="24"/>
      <w:szCs w:val="24"/>
    </w:rPr>
  </w:style>
  <w:style w:type="character" w:customStyle="1" w:styleId="Heading4Char">
    <w:name w:val="Heading 4 Char"/>
    <w:basedOn w:val="DefaultParagraphFont"/>
    <w:link w:val="Heading4"/>
    <w:uiPriority w:val="9"/>
    <w:semiHidden/>
    <w:rsid w:val="000054C7"/>
    <w:rPr>
      <w:rFonts w:asciiTheme="majorHAnsi" w:eastAsiaTheme="majorEastAsia" w:hAnsiTheme="majorHAnsi" w:cstheme="majorBidi"/>
      <w:i/>
      <w:iCs/>
      <w:color w:val="0F4761" w:themeColor="accent1" w:themeShade="BF"/>
      <w:kern w:val="2"/>
      <w:sz w:val="22"/>
      <w:szCs w:val="22"/>
      <w:lang w:val="en-ZW"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45601">
      <w:bodyDiv w:val="1"/>
      <w:marLeft w:val="0"/>
      <w:marRight w:val="0"/>
      <w:marTop w:val="0"/>
      <w:marBottom w:val="0"/>
      <w:divBdr>
        <w:top w:val="none" w:sz="0" w:space="0" w:color="auto"/>
        <w:left w:val="none" w:sz="0" w:space="0" w:color="auto"/>
        <w:bottom w:val="none" w:sz="0" w:space="0" w:color="auto"/>
        <w:right w:val="none" w:sz="0" w:space="0" w:color="auto"/>
      </w:divBdr>
    </w:div>
    <w:div w:id="168833991">
      <w:bodyDiv w:val="1"/>
      <w:marLeft w:val="0"/>
      <w:marRight w:val="0"/>
      <w:marTop w:val="0"/>
      <w:marBottom w:val="0"/>
      <w:divBdr>
        <w:top w:val="none" w:sz="0" w:space="0" w:color="auto"/>
        <w:left w:val="none" w:sz="0" w:space="0" w:color="auto"/>
        <w:bottom w:val="none" w:sz="0" w:space="0" w:color="auto"/>
        <w:right w:val="none" w:sz="0" w:space="0" w:color="auto"/>
      </w:divBdr>
    </w:div>
    <w:div w:id="276839923">
      <w:bodyDiv w:val="1"/>
      <w:marLeft w:val="0"/>
      <w:marRight w:val="0"/>
      <w:marTop w:val="0"/>
      <w:marBottom w:val="0"/>
      <w:divBdr>
        <w:top w:val="none" w:sz="0" w:space="0" w:color="auto"/>
        <w:left w:val="none" w:sz="0" w:space="0" w:color="auto"/>
        <w:bottom w:val="none" w:sz="0" w:space="0" w:color="auto"/>
        <w:right w:val="none" w:sz="0" w:space="0" w:color="auto"/>
      </w:divBdr>
    </w:div>
    <w:div w:id="302542723">
      <w:bodyDiv w:val="1"/>
      <w:marLeft w:val="0"/>
      <w:marRight w:val="0"/>
      <w:marTop w:val="0"/>
      <w:marBottom w:val="0"/>
      <w:divBdr>
        <w:top w:val="none" w:sz="0" w:space="0" w:color="auto"/>
        <w:left w:val="none" w:sz="0" w:space="0" w:color="auto"/>
        <w:bottom w:val="none" w:sz="0" w:space="0" w:color="auto"/>
        <w:right w:val="none" w:sz="0" w:space="0" w:color="auto"/>
      </w:divBdr>
    </w:div>
    <w:div w:id="340671189">
      <w:bodyDiv w:val="1"/>
      <w:marLeft w:val="0"/>
      <w:marRight w:val="0"/>
      <w:marTop w:val="0"/>
      <w:marBottom w:val="0"/>
      <w:divBdr>
        <w:top w:val="none" w:sz="0" w:space="0" w:color="auto"/>
        <w:left w:val="none" w:sz="0" w:space="0" w:color="auto"/>
        <w:bottom w:val="none" w:sz="0" w:space="0" w:color="auto"/>
        <w:right w:val="none" w:sz="0" w:space="0" w:color="auto"/>
      </w:divBdr>
    </w:div>
    <w:div w:id="352079526">
      <w:bodyDiv w:val="1"/>
      <w:marLeft w:val="0"/>
      <w:marRight w:val="0"/>
      <w:marTop w:val="0"/>
      <w:marBottom w:val="0"/>
      <w:divBdr>
        <w:top w:val="none" w:sz="0" w:space="0" w:color="auto"/>
        <w:left w:val="none" w:sz="0" w:space="0" w:color="auto"/>
        <w:bottom w:val="none" w:sz="0" w:space="0" w:color="auto"/>
        <w:right w:val="none" w:sz="0" w:space="0" w:color="auto"/>
      </w:divBdr>
    </w:div>
    <w:div w:id="370351089">
      <w:bodyDiv w:val="1"/>
      <w:marLeft w:val="0"/>
      <w:marRight w:val="0"/>
      <w:marTop w:val="0"/>
      <w:marBottom w:val="0"/>
      <w:divBdr>
        <w:top w:val="none" w:sz="0" w:space="0" w:color="auto"/>
        <w:left w:val="none" w:sz="0" w:space="0" w:color="auto"/>
        <w:bottom w:val="none" w:sz="0" w:space="0" w:color="auto"/>
        <w:right w:val="none" w:sz="0" w:space="0" w:color="auto"/>
      </w:divBdr>
    </w:div>
    <w:div w:id="404883050">
      <w:bodyDiv w:val="1"/>
      <w:marLeft w:val="0"/>
      <w:marRight w:val="0"/>
      <w:marTop w:val="0"/>
      <w:marBottom w:val="0"/>
      <w:divBdr>
        <w:top w:val="none" w:sz="0" w:space="0" w:color="auto"/>
        <w:left w:val="none" w:sz="0" w:space="0" w:color="auto"/>
        <w:bottom w:val="none" w:sz="0" w:space="0" w:color="auto"/>
        <w:right w:val="none" w:sz="0" w:space="0" w:color="auto"/>
      </w:divBdr>
    </w:div>
    <w:div w:id="420298280">
      <w:bodyDiv w:val="1"/>
      <w:marLeft w:val="0"/>
      <w:marRight w:val="0"/>
      <w:marTop w:val="0"/>
      <w:marBottom w:val="0"/>
      <w:divBdr>
        <w:top w:val="none" w:sz="0" w:space="0" w:color="auto"/>
        <w:left w:val="none" w:sz="0" w:space="0" w:color="auto"/>
        <w:bottom w:val="none" w:sz="0" w:space="0" w:color="auto"/>
        <w:right w:val="none" w:sz="0" w:space="0" w:color="auto"/>
      </w:divBdr>
    </w:div>
    <w:div w:id="498892672">
      <w:bodyDiv w:val="1"/>
      <w:marLeft w:val="0"/>
      <w:marRight w:val="0"/>
      <w:marTop w:val="0"/>
      <w:marBottom w:val="0"/>
      <w:divBdr>
        <w:top w:val="none" w:sz="0" w:space="0" w:color="auto"/>
        <w:left w:val="none" w:sz="0" w:space="0" w:color="auto"/>
        <w:bottom w:val="none" w:sz="0" w:space="0" w:color="auto"/>
        <w:right w:val="none" w:sz="0" w:space="0" w:color="auto"/>
      </w:divBdr>
    </w:div>
    <w:div w:id="509834341">
      <w:bodyDiv w:val="1"/>
      <w:marLeft w:val="0"/>
      <w:marRight w:val="0"/>
      <w:marTop w:val="0"/>
      <w:marBottom w:val="0"/>
      <w:divBdr>
        <w:top w:val="none" w:sz="0" w:space="0" w:color="auto"/>
        <w:left w:val="none" w:sz="0" w:space="0" w:color="auto"/>
        <w:bottom w:val="none" w:sz="0" w:space="0" w:color="auto"/>
        <w:right w:val="none" w:sz="0" w:space="0" w:color="auto"/>
      </w:divBdr>
    </w:div>
    <w:div w:id="517933771">
      <w:bodyDiv w:val="1"/>
      <w:marLeft w:val="0"/>
      <w:marRight w:val="0"/>
      <w:marTop w:val="0"/>
      <w:marBottom w:val="0"/>
      <w:divBdr>
        <w:top w:val="none" w:sz="0" w:space="0" w:color="auto"/>
        <w:left w:val="none" w:sz="0" w:space="0" w:color="auto"/>
        <w:bottom w:val="none" w:sz="0" w:space="0" w:color="auto"/>
        <w:right w:val="none" w:sz="0" w:space="0" w:color="auto"/>
      </w:divBdr>
    </w:div>
    <w:div w:id="525943812">
      <w:bodyDiv w:val="1"/>
      <w:marLeft w:val="0"/>
      <w:marRight w:val="0"/>
      <w:marTop w:val="0"/>
      <w:marBottom w:val="0"/>
      <w:divBdr>
        <w:top w:val="none" w:sz="0" w:space="0" w:color="auto"/>
        <w:left w:val="none" w:sz="0" w:space="0" w:color="auto"/>
        <w:bottom w:val="none" w:sz="0" w:space="0" w:color="auto"/>
        <w:right w:val="none" w:sz="0" w:space="0" w:color="auto"/>
      </w:divBdr>
    </w:div>
    <w:div w:id="540635561">
      <w:bodyDiv w:val="1"/>
      <w:marLeft w:val="0"/>
      <w:marRight w:val="0"/>
      <w:marTop w:val="0"/>
      <w:marBottom w:val="0"/>
      <w:divBdr>
        <w:top w:val="none" w:sz="0" w:space="0" w:color="auto"/>
        <w:left w:val="none" w:sz="0" w:space="0" w:color="auto"/>
        <w:bottom w:val="none" w:sz="0" w:space="0" w:color="auto"/>
        <w:right w:val="none" w:sz="0" w:space="0" w:color="auto"/>
      </w:divBdr>
    </w:div>
    <w:div w:id="562762955">
      <w:bodyDiv w:val="1"/>
      <w:marLeft w:val="0"/>
      <w:marRight w:val="0"/>
      <w:marTop w:val="0"/>
      <w:marBottom w:val="0"/>
      <w:divBdr>
        <w:top w:val="none" w:sz="0" w:space="0" w:color="auto"/>
        <w:left w:val="none" w:sz="0" w:space="0" w:color="auto"/>
        <w:bottom w:val="none" w:sz="0" w:space="0" w:color="auto"/>
        <w:right w:val="none" w:sz="0" w:space="0" w:color="auto"/>
      </w:divBdr>
    </w:div>
    <w:div w:id="636909022">
      <w:bodyDiv w:val="1"/>
      <w:marLeft w:val="0"/>
      <w:marRight w:val="0"/>
      <w:marTop w:val="0"/>
      <w:marBottom w:val="0"/>
      <w:divBdr>
        <w:top w:val="none" w:sz="0" w:space="0" w:color="auto"/>
        <w:left w:val="none" w:sz="0" w:space="0" w:color="auto"/>
        <w:bottom w:val="none" w:sz="0" w:space="0" w:color="auto"/>
        <w:right w:val="none" w:sz="0" w:space="0" w:color="auto"/>
      </w:divBdr>
    </w:div>
    <w:div w:id="662320033">
      <w:bodyDiv w:val="1"/>
      <w:marLeft w:val="0"/>
      <w:marRight w:val="0"/>
      <w:marTop w:val="0"/>
      <w:marBottom w:val="0"/>
      <w:divBdr>
        <w:top w:val="none" w:sz="0" w:space="0" w:color="auto"/>
        <w:left w:val="none" w:sz="0" w:space="0" w:color="auto"/>
        <w:bottom w:val="none" w:sz="0" w:space="0" w:color="auto"/>
        <w:right w:val="none" w:sz="0" w:space="0" w:color="auto"/>
      </w:divBdr>
    </w:div>
    <w:div w:id="666250830">
      <w:bodyDiv w:val="1"/>
      <w:marLeft w:val="0"/>
      <w:marRight w:val="0"/>
      <w:marTop w:val="0"/>
      <w:marBottom w:val="0"/>
      <w:divBdr>
        <w:top w:val="none" w:sz="0" w:space="0" w:color="auto"/>
        <w:left w:val="none" w:sz="0" w:space="0" w:color="auto"/>
        <w:bottom w:val="none" w:sz="0" w:space="0" w:color="auto"/>
        <w:right w:val="none" w:sz="0" w:space="0" w:color="auto"/>
      </w:divBdr>
    </w:div>
    <w:div w:id="699284679">
      <w:bodyDiv w:val="1"/>
      <w:marLeft w:val="0"/>
      <w:marRight w:val="0"/>
      <w:marTop w:val="0"/>
      <w:marBottom w:val="0"/>
      <w:divBdr>
        <w:top w:val="none" w:sz="0" w:space="0" w:color="auto"/>
        <w:left w:val="none" w:sz="0" w:space="0" w:color="auto"/>
        <w:bottom w:val="none" w:sz="0" w:space="0" w:color="auto"/>
        <w:right w:val="none" w:sz="0" w:space="0" w:color="auto"/>
      </w:divBdr>
    </w:div>
    <w:div w:id="749349085">
      <w:bodyDiv w:val="1"/>
      <w:marLeft w:val="0"/>
      <w:marRight w:val="0"/>
      <w:marTop w:val="0"/>
      <w:marBottom w:val="0"/>
      <w:divBdr>
        <w:top w:val="none" w:sz="0" w:space="0" w:color="auto"/>
        <w:left w:val="none" w:sz="0" w:space="0" w:color="auto"/>
        <w:bottom w:val="none" w:sz="0" w:space="0" w:color="auto"/>
        <w:right w:val="none" w:sz="0" w:space="0" w:color="auto"/>
      </w:divBdr>
    </w:div>
    <w:div w:id="766267803">
      <w:bodyDiv w:val="1"/>
      <w:marLeft w:val="0"/>
      <w:marRight w:val="0"/>
      <w:marTop w:val="0"/>
      <w:marBottom w:val="0"/>
      <w:divBdr>
        <w:top w:val="none" w:sz="0" w:space="0" w:color="auto"/>
        <w:left w:val="none" w:sz="0" w:space="0" w:color="auto"/>
        <w:bottom w:val="none" w:sz="0" w:space="0" w:color="auto"/>
        <w:right w:val="none" w:sz="0" w:space="0" w:color="auto"/>
      </w:divBdr>
    </w:div>
    <w:div w:id="778526624">
      <w:bodyDiv w:val="1"/>
      <w:marLeft w:val="0"/>
      <w:marRight w:val="0"/>
      <w:marTop w:val="0"/>
      <w:marBottom w:val="0"/>
      <w:divBdr>
        <w:top w:val="none" w:sz="0" w:space="0" w:color="auto"/>
        <w:left w:val="none" w:sz="0" w:space="0" w:color="auto"/>
        <w:bottom w:val="none" w:sz="0" w:space="0" w:color="auto"/>
        <w:right w:val="none" w:sz="0" w:space="0" w:color="auto"/>
      </w:divBdr>
    </w:div>
    <w:div w:id="857887673">
      <w:bodyDiv w:val="1"/>
      <w:marLeft w:val="0"/>
      <w:marRight w:val="0"/>
      <w:marTop w:val="0"/>
      <w:marBottom w:val="0"/>
      <w:divBdr>
        <w:top w:val="none" w:sz="0" w:space="0" w:color="auto"/>
        <w:left w:val="none" w:sz="0" w:space="0" w:color="auto"/>
        <w:bottom w:val="none" w:sz="0" w:space="0" w:color="auto"/>
        <w:right w:val="none" w:sz="0" w:space="0" w:color="auto"/>
      </w:divBdr>
    </w:div>
    <w:div w:id="898830225">
      <w:bodyDiv w:val="1"/>
      <w:marLeft w:val="0"/>
      <w:marRight w:val="0"/>
      <w:marTop w:val="0"/>
      <w:marBottom w:val="0"/>
      <w:divBdr>
        <w:top w:val="none" w:sz="0" w:space="0" w:color="auto"/>
        <w:left w:val="none" w:sz="0" w:space="0" w:color="auto"/>
        <w:bottom w:val="none" w:sz="0" w:space="0" w:color="auto"/>
        <w:right w:val="none" w:sz="0" w:space="0" w:color="auto"/>
      </w:divBdr>
    </w:div>
    <w:div w:id="947389224">
      <w:bodyDiv w:val="1"/>
      <w:marLeft w:val="0"/>
      <w:marRight w:val="0"/>
      <w:marTop w:val="0"/>
      <w:marBottom w:val="0"/>
      <w:divBdr>
        <w:top w:val="none" w:sz="0" w:space="0" w:color="auto"/>
        <w:left w:val="none" w:sz="0" w:space="0" w:color="auto"/>
        <w:bottom w:val="none" w:sz="0" w:space="0" w:color="auto"/>
        <w:right w:val="none" w:sz="0" w:space="0" w:color="auto"/>
      </w:divBdr>
    </w:div>
    <w:div w:id="966933962">
      <w:bodyDiv w:val="1"/>
      <w:marLeft w:val="0"/>
      <w:marRight w:val="0"/>
      <w:marTop w:val="0"/>
      <w:marBottom w:val="0"/>
      <w:divBdr>
        <w:top w:val="none" w:sz="0" w:space="0" w:color="auto"/>
        <w:left w:val="none" w:sz="0" w:space="0" w:color="auto"/>
        <w:bottom w:val="none" w:sz="0" w:space="0" w:color="auto"/>
        <w:right w:val="none" w:sz="0" w:space="0" w:color="auto"/>
      </w:divBdr>
    </w:div>
    <w:div w:id="989095941">
      <w:bodyDiv w:val="1"/>
      <w:marLeft w:val="0"/>
      <w:marRight w:val="0"/>
      <w:marTop w:val="0"/>
      <w:marBottom w:val="0"/>
      <w:divBdr>
        <w:top w:val="none" w:sz="0" w:space="0" w:color="auto"/>
        <w:left w:val="none" w:sz="0" w:space="0" w:color="auto"/>
        <w:bottom w:val="none" w:sz="0" w:space="0" w:color="auto"/>
        <w:right w:val="none" w:sz="0" w:space="0" w:color="auto"/>
      </w:divBdr>
    </w:div>
    <w:div w:id="1068575386">
      <w:bodyDiv w:val="1"/>
      <w:marLeft w:val="0"/>
      <w:marRight w:val="0"/>
      <w:marTop w:val="0"/>
      <w:marBottom w:val="0"/>
      <w:divBdr>
        <w:top w:val="none" w:sz="0" w:space="0" w:color="auto"/>
        <w:left w:val="none" w:sz="0" w:space="0" w:color="auto"/>
        <w:bottom w:val="none" w:sz="0" w:space="0" w:color="auto"/>
        <w:right w:val="none" w:sz="0" w:space="0" w:color="auto"/>
      </w:divBdr>
    </w:div>
    <w:div w:id="1159080764">
      <w:bodyDiv w:val="1"/>
      <w:marLeft w:val="0"/>
      <w:marRight w:val="0"/>
      <w:marTop w:val="0"/>
      <w:marBottom w:val="0"/>
      <w:divBdr>
        <w:top w:val="none" w:sz="0" w:space="0" w:color="auto"/>
        <w:left w:val="none" w:sz="0" w:space="0" w:color="auto"/>
        <w:bottom w:val="none" w:sz="0" w:space="0" w:color="auto"/>
        <w:right w:val="none" w:sz="0" w:space="0" w:color="auto"/>
      </w:divBdr>
    </w:div>
    <w:div w:id="1163012317">
      <w:bodyDiv w:val="1"/>
      <w:marLeft w:val="0"/>
      <w:marRight w:val="0"/>
      <w:marTop w:val="0"/>
      <w:marBottom w:val="0"/>
      <w:divBdr>
        <w:top w:val="none" w:sz="0" w:space="0" w:color="auto"/>
        <w:left w:val="none" w:sz="0" w:space="0" w:color="auto"/>
        <w:bottom w:val="none" w:sz="0" w:space="0" w:color="auto"/>
        <w:right w:val="none" w:sz="0" w:space="0" w:color="auto"/>
      </w:divBdr>
    </w:div>
    <w:div w:id="1214466061">
      <w:bodyDiv w:val="1"/>
      <w:marLeft w:val="0"/>
      <w:marRight w:val="0"/>
      <w:marTop w:val="0"/>
      <w:marBottom w:val="0"/>
      <w:divBdr>
        <w:top w:val="none" w:sz="0" w:space="0" w:color="auto"/>
        <w:left w:val="none" w:sz="0" w:space="0" w:color="auto"/>
        <w:bottom w:val="none" w:sz="0" w:space="0" w:color="auto"/>
        <w:right w:val="none" w:sz="0" w:space="0" w:color="auto"/>
      </w:divBdr>
    </w:div>
    <w:div w:id="1253125103">
      <w:bodyDiv w:val="1"/>
      <w:marLeft w:val="0"/>
      <w:marRight w:val="0"/>
      <w:marTop w:val="0"/>
      <w:marBottom w:val="0"/>
      <w:divBdr>
        <w:top w:val="none" w:sz="0" w:space="0" w:color="auto"/>
        <w:left w:val="none" w:sz="0" w:space="0" w:color="auto"/>
        <w:bottom w:val="none" w:sz="0" w:space="0" w:color="auto"/>
        <w:right w:val="none" w:sz="0" w:space="0" w:color="auto"/>
      </w:divBdr>
    </w:div>
    <w:div w:id="1302659754">
      <w:bodyDiv w:val="1"/>
      <w:marLeft w:val="0"/>
      <w:marRight w:val="0"/>
      <w:marTop w:val="0"/>
      <w:marBottom w:val="0"/>
      <w:divBdr>
        <w:top w:val="none" w:sz="0" w:space="0" w:color="auto"/>
        <w:left w:val="none" w:sz="0" w:space="0" w:color="auto"/>
        <w:bottom w:val="none" w:sz="0" w:space="0" w:color="auto"/>
        <w:right w:val="none" w:sz="0" w:space="0" w:color="auto"/>
      </w:divBdr>
    </w:div>
    <w:div w:id="1356347157">
      <w:bodyDiv w:val="1"/>
      <w:marLeft w:val="0"/>
      <w:marRight w:val="0"/>
      <w:marTop w:val="0"/>
      <w:marBottom w:val="0"/>
      <w:divBdr>
        <w:top w:val="none" w:sz="0" w:space="0" w:color="auto"/>
        <w:left w:val="none" w:sz="0" w:space="0" w:color="auto"/>
        <w:bottom w:val="none" w:sz="0" w:space="0" w:color="auto"/>
        <w:right w:val="none" w:sz="0" w:space="0" w:color="auto"/>
      </w:divBdr>
    </w:div>
    <w:div w:id="1385564205">
      <w:bodyDiv w:val="1"/>
      <w:marLeft w:val="0"/>
      <w:marRight w:val="0"/>
      <w:marTop w:val="0"/>
      <w:marBottom w:val="0"/>
      <w:divBdr>
        <w:top w:val="none" w:sz="0" w:space="0" w:color="auto"/>
        <w:left w:val="none" w:sz="0" w:space="0" w:color="auto"/>
        <w:bottom w:val="none" w:sz="0" w:space="0" w:color="auto"/>
        <w:right w:val="none" w:sz="0" w:space="0" w:color="auto"/>
      </w:divBdr>
    </w:div>
    <w:div w:id="1386291095">
      <w:bodyDiv w:val="1"/>
      <w:marLeft w:val="0"/>
      <w:marRight w:val="0"/>
      <w:marTop w:val="0"/>
      <w:marBottom w:val="0"/>
      <w:divBdr>
        <w:top w:val="none" w:sz="0" w:space="0" w:color="auto"/>
        <w:left w:val="none" w:sz="0" w:space="0" w:color="auto"/>
        <w:bottom w:val="none" w:sz="0" w:space="0" w:color="auto"/>
        <w:right w:val="none" w:sz="0" w:space="0" w:color="auto"/>
      </w:divBdr>
    </w:div>
    <w:div w:id="1387488587">
      <w:bodyDiv w:val="1"/>
      <w:marLeft w:val="0"/>
      <w:marRight w:val="0"/>
      <w:marTop w:val="0"/>
      <w:marBottom w:val="0"/>
      <w:divBdr>
        <w:top w:val="none" w:sz="0" w:space="0" w:color="auto"/>
        <w:left w:val="none" w:sz="0" w:space="0" w:color="auto"/>
        <w:bottom w:val="none" w:sz="0" w:space="0" w:color="auto"/>
        <w:right w:val="none" w:sz="0" w:space="0" w:color="auto"/>
      </w:divBdr>
    </w:div>
    <w:div w:id="1392459328">
      <w:bodyDiv w:val="1"/>
      <w:marLeft w:val="0"/>
      <w:marRight w:val="0"/>
      <w:marTop w:val="0"/>
      <w:marBottom w:val="0"/>
      <w:divBdr>
        <w:top w:val="none" w:sz="0" w:space="0" w:color="auto"/>
        <w:left w:val="none" w:sz="0" w:space="0" w:color="auto"/>
        <w:bottom w:val="none" w:sz="0" w:space="0" w:color="auto"/>
        <w:right w:val="none" w:sz="0" w:space="0" w:color="auto"/>
      </w:divBdr>
    </w:div>
    <w:div w:id="1411003019">
      <w:bodyDiv w:val="1"/>
      <w:marLeft w:val="0"/>
      <w:marRight w:val="0"/>
      <w:marTop w:val="0"/>
      <w:marBottom w:val="0"/>
      <w:divBdr>
        <w:top w:val="none" w:sz="0" w:space="0" w:color="auto"/>
        <w:left w:val="none" w:sz="0" w:space="0" w:color="auto"/>
        <w:bottom w:val="none" w:sz="0" w:space="0" w:color="auto"/>
        <w:right w:val="none" w:sz="0" w:space="0" w:color="auto"/>
      </w:divBdr>
    </w:div>
    <w:div w:id="1435977873">
      <w:bodyDiv w:val="1"/>
      <w:marLeft w:val="0"/>
      <w:marRight w:val="0"/>
      <w:marTop w:val="0"/>
      <w:marBottom w:val="0"/>
      <w:divBdr>
        <w:top w:val="none" w:sz="0" w:space="0" w:color="auto"/>
        <w:left w:val="none" w:sz="0" w:space="0" w:color="auto"/>
        <w:bottom w:val="none" w:sz="0" w:space="0" w:color="auto"/>
        <w:right w:val="none" w:sz="0" w:space="0" w:color="auto"/>
      </w:divBdr>
    </w:div>
    <w:div w:id="1523319756">
      <w:bodyDiv w:val="1"/>
      <w:marLeft w:val="0"/>
      <w:marRight w:val="0"/>
      <w:marTop w:val="0"/>
      <w:marBottom w:val="0"/>
      <w:divBdr>
        <w:top w:val="none" w:sz="0" w:space="0" w:color="auto"/>
        <w:left w:val="none" w:sz="0" w:space="0" w:color="auto"/>
        <w:bottom w:val="none" w:sz="0" w:space="0" w:color="auto"/>
        <w:right w:val="none" w:sz="0" w:space="0" w:color="auto"/>
      </w:divBdr>
    </w:div>
    <w:div w:id="1527214596">
      <w:bodyDiv w:val="1"/>
      <w:marLeft w:val="0"/>
      <w:marRight w:val="0"/>
      <w:marTop w:val="0"/>
      <w:marBottom w:val="0"/>
      <w:divBdr>
        <w:top w:val="none" w:sz="0" w:space="0" w:color="auto"/>
        <w:left w:val="none" w:sz="0" w:space="0" w:color="auto"/>
        <w:bottom w:val="none" w:sz="0" w:space="0" w:color="auto"/>
        <w:right w:val="none" w:sz="0" w:space="0" w:color="auto"/>
      </w:divBdr>
    </w:div>
    <w:div w:id="1538086052">
      <w:bodyDiv w:val="1"/>
      <w:marLeft w:val="0"/>
      <w:marRight w:val="0"/>
      <w:marTop w:val="0"/>
      <w:marBottom w:val="0"/>
      <w:divBdr>
        <w:top w:val="none" w:sz="0" w:space="0" w:color="auto"/>
        <w:left w:val="none" w:sz="0" w:space="0" w:color="auto"/>
        <w:bottom w:val="none" w:sz="0" w:space="0" w:color="auto"/>
        <w:right w:val="none" w:sz="0" w:space="0" w:color="auto"/>
      </w:divBdr>
    </w:div>
    <w:div w:id="1565408065">
      <w:bodyDiv w:val="1"/>
      <w:marLeft w:val="0"/>
      <w:marRight w:val="0"/>
      <w:marTop w:val="0"/>
      <w:marBottom w:val="0"/>
      <w:divBdr>
        <w:top w:val="none" w:sz="0" w:space="0" w:color="auto"/>
        <w:left w:val="none" w:sz="0" w:space="0" w:color="auto"/>
        <w:bottom w:val="none" w:sz="0" w:space="0" w:color="auto"/>
        <w:right w:val="none" w:sz="0" w:space="0" w:color="auto"/>
      </w:divBdr>
    </w:div>
    <w:div w:id="1565918106">
      <w:bodyDiv w:val="1"/>
      <w:marLeft w:val="0"/>
      <w:marRight w:val="0"/>
      <w:marTop w:val="0"/>
      <w:marBottom w:val="0"/>
      <w:divBdr>
        <w:top w:val="none" w:sz="0" w:space="0" w:color="auto"/>
        <w:left w:val="none" w:sz="0" w:space="0" w:color="auto"/>
        <w:bottom w:val="none" w:sz="0" w:space="0" w:color="auto"/>
        <w:right w:val="none" w:sz="0" w:space="0" w:color="auto"/>
      </w:divBdr>
    </w:div>
    <w:div w:id="1580823591">
      <w:bodyDiv w:val="1"/>
      <w:marLeft w:val="0"/>
      <w:marRight w:val="0"/>
      <w:marTop w:val="0"/>
      <w:marBottom w:val="0"/>
      <w:divBdr>
        <w:top w:val="none" w:sz="0" w:space="0" w:color="auto"/>
        <w:left w:val="none" w:sz="0" w:space="0" w:color="auto"/>
        <w:bottom w:val="none" w:sz="0" w:space="0" w:color="auto"/>
        <w:right w:val="none" w:sz="0" w:space="0" w:color="auto"/>
      </w:divBdr>
    </w:div>
    <w:div w:id="1638756874">
      <w:bodyDiv w:val="1"/>
      <w:marLeft w:val="0"/>
      <w:marRight w:val="0"/>
      <w:marTop w:val="0"/>
      <w:marBottom w:val="0"/>
      <w:divBdr>
        <w:top w:val="none" w:sz="0" w:space="0" w:color="auto"/>
        <w:left w:val="none" w:sz="0" w:space="0" w:color="auto"/>
        <w:bottom w:val="none" w:sz="0" w:space="0" w:color="auto"/>
        <w:right w:val="none" w:sz="0" w:space="0" w:color="auto"/>
      </w:divBdr>
    </w:div>
    <w:div w:id="1647052246">
      <w:bodyDiv w:val="1"/>
      <w:marLeft w:val="0"/>
      <w:marRight w:val="0"/>
      <w:marTop w:val="0"/>
      <w:marBottom w:val="0"/>
      <w:divBdr>
        <w:top w:val="none" w:sz="0" w:space="0" w:color="auto"/>
        <w:left w:val="none" w:sz="0" w:space="0" w:color="auto"/>
        <w:bottom w:val="none" w:sz="0" w:space="0" w:color="auto"/>
        <w:right w:val="none" w:sz="0" w:space="0" w:color="auto"/>
      </w:divBdr>
    </w:div>
    <w:div w:id="1663386267">
      <w:bodyDiv w:val="1"/>
      <w:marLeft w:val="0"/>
      <w:marRight w:val="0"/>
      <w:marTop w:val="0"/>
      <w:marBottom w:val="0"/>
      <w:divBdr>
        <w:top w:val="none" w:sz="0" w:space="0" w:color="auto"/>
        <w:left w:val="none" w:sz="0" w:space="0" w:color="auto"/>
        <w:bottom w:val="none" w:sz="0" w:space="0" w:color="auto"/>
        <w:right w:val="none" w:sz="0" w:space="0" w:color="auto"/>
      </w:divBdr>
    </w:div>
    <w:div w:id="1682270363">
      <w:bodyDiv w:val="1"/>
      <w:marLeft w:val="0"/>
      <w:marRight w:val="0"/>
      <w:marTop w:val="0"/>
      <w:marBottom w:val="0"/>
      <w:divBdr>
        <w:top w:val="none" w:sz="0" w:space="0" w:color="auto"/>
        <w:left w:val="none" w:sz="0" w:space="0" w:color="auto"/>
        <w:bottom w:val="none" w:sz="0" w:space="0" w:color="auto"/>
        <w:right w:val="none" w:sz="0" w:space="0" w:color="auto"/>
      </w:divBdr>
    </w:div>
    <w:div w:id="1699500445">
      <w:bodyDiv w:val="1"/>
      <w:marLeft w:val="0"/>
      <w:marRight w:val="0"/>
      <w:marTop w:val="0"/>
      <w:marBottom w:val="0"/>
      <w:divBdr>
        <w:top w:val="none" w:sz="0" w:space="0" w:color="auto"/>
        <w:left w:val="none" w:sz="0" w:space="0" w:color="auto"/>
        <w:bottom w:val="none" w:sz="0" w:space="0" w:color="auto"/>
        <w:right w:val="none" w:sz="0" w:space="0" w:color="auto"/>
      </w:divBdr>
    </w:div>
    <w:div w:id="1713534031">
      <w:bodyDiv w:val="1"/>
      <w:marLeft w:val="0"/>
      <w:marRight w:val="0"/>
      <w:marTop w:val="0"/>
      <w:marBottom w:val="0"/>
      <w:divBdr>
        <w:top w:val="none" w:sz="0" w:space="0" w:color="auto"/>
        <w:left w:val="none" w:sz="0" w:space="0" w:color="auto"/>
        <w:bottom w:val="none" w:sz="0" w:space="0" w:color="auto"/>
        <w:right w:val="none" w:sz="0" w:space="0" w:color="auto"/>
      </w:divBdr>
    </w:div>
    <w:div w:id="1724594113">
      <w:bodyDiv w:val="1"/>
      <w:marLeft w:val="0"/>
      <w:marRight w:val="0"/>
      <w:marTop w:val="0"/>
      <w:marBottom w:val="0"/>
      <w:divBdr>
        <w:top w:val="none" w:sz="0" w:space="0" w:color="auto"/>
        <w:left w:val="none" w:sz="0" w:space="0" w:color="auto"/>
        <w:bottom w:val="none" w:sz="0" w:space="0" w:color="auto"/>
        <w:right w:val="none" w:sz="0" w:space="0" w:color="auto"/>
      </w:divBdr>
    </w:div>
    <w:div w:id="1727609123">
      <w:bodyDiv w:val="1"/>
      <w:marLeft w:val="0"/>
      <w:marRight w:val="0"/>
      <w:marTop w:val="0"/>
      <w:marBottom w:val="0"/>
      <w:divBdr>
        <w:top w:val="none" w:sz="0" w:space="0" w:color="auto"/>
        <w:left w:val="none" w:sz="0" w:space="0" w:color="auto"/>
        <w:bottom w:val="none" w:sz="0" w:space="0" w:color="auto"/>
        <w:right w:val="none" w:sz="0" w:space="0" w:color="auto"/>
      </w:divBdr>
    </w:div>
    <w:div w:id="1727685012">
      <w:bodyDiv w:val="1"/>
      <w:marLeft w:val="0"/>
      <w:marRight w:val="0"/>
      <w:marTop w:val="0"/>
      <w:marBottom w:val="0"/>
      <w:divBdr>
        <w:top w:val="none" w:sz="0" w:space="0" w:color="auto"/>
        <w:left w:val="none" w:sz="0" w:space="0" w:color="auto"/>
        <w:bottom w:val="none" w:sz="0" w:space="0" w:color="auto"/>
        <w:right w:val="none" w:sz="0" w:space="0" w:color="auto"/>
      </w:divBdr>
    </w:div>
    <w:div w:id="1938171479">
      <w:bodyDiv w:val="1"/>
      <w:marLeft w:val="0"/>
      <w:marRight w:val="0"/>
      <w:marTop w:val="0"/>
      <w:marBottom w:val="0"/>
      <w:divBdr>
        <w:top w:val="none" w:sz="0" w:space="0" w:color="auto"/>
        <w:left w:val="none" w:sz="0" w:space="0" w:color="auto"/>
        <w:bottom w:val="none" w:sz="0" w:space="0" w:color="auto"/>
        <w:right w:val="none" w:sz="0" w:space="0" w:color="auto"/>
      </w:divBdr>
    </w:div>
    <w:div w:id="1941915993">
      <w:bodyDiv w:val="1"/>
      <w:marLeft w:val="0"/>
      <w:marRight w:val="0"/>
      <w:marTop w:val="0"/>
      <w:marBottom w:val="0"/>
      <w:divBdr>
        <w:top w:val="none" w:sz="0" w:space="0" w:color="auto"/>
        <w:left w:val="none" w:sz="0" w:space="0" w:color="auto"/>
        <w:bottom w:val="none" w:sz="0" w:space="0" w:color="auto"/>
        <w:right w:val="none" w:sz="0" w:space="0" w:color="auto"/>
      </w:divBdr>
    </w:div>
    <w:div w:id="1994287108">
      <w:bodyDiv w:val="1"/>
      <w:marLeft w:val="0"/>
      <w:marRight w:val="0"/>
      <w:marTop w:val="0"/>
      <w:marBottom w:val="0"/>
      <w:divBdr>
        <w:top w:val="none" w:sz="0" w:space="0" w:color="auto"/>
        <w:left w:val="none" w:sz="0" w:space="0" w:color="auto"/>
        <w:bottom w:val="none" w:sz="0" w:space="0" w:color="auto"/>
        <w:right w:val="none" w:sz="0" w:space="0" w:color="auto"/>
      </w:divBdr>
    </w:div>
    <w:div w:id="1997416376">
      <w:bodyDiv w:val="1"/>
      <w:marLeft w:val="0"/>
      <w:marRight w:val="0"/>
      <w:marTop w:val="0"/>
      <w:marBottom w:val="0"/>
      <w:divBdr>
        <w:top w:val="none" w:sz="0" w:space="0" w:color="auto"/>
        <w:left w:val="none" w:sz="0" w:space="0" w:color="auto"/>
        <w:bottom w:val="none" w:sz="0" w:space="0" w:color="auto"/>
        <w:right w:val="none" w:sz="0" w:space="0" w:color="auto"/>
      </w:divBdr>
    </w:div>
    <w:div w:id="2032146891">
      <w:bodyDiv w:val="1"/>
      <w:marLeft w:val="0"/>
      <w:marRight w:val="0"/>
      <w:marTop w:val="0"/>
      <w:marBottom w:val="0"/>
      <w:divBdr>
        <w:top w:val="none" w:sz="0" w:space="0" w:color="auto"/>
        <w:left w:val="none" w:sz="0" w:space="0" w:color="auto"/>
        <w:bottom w:val="none" w:sz="0" w:space="0" w:color="auto"/>
        <w:right w:val="none" w:sz="0" w:space="0" w:color="auto"/>
      </w:divBdr>
    </w:div>
    <w:div w:id="2076393656">
      <w:bodyDiv w:val="1"/>
      <w:marLeft w:val="0"/>
      <w:marRight w:val="0"/>
      <w:marTop w:val="0"/>
      <w:marBottom w:val="0"/>
      <w:divBdr>
        <w:top w:val="none" w:sz="0" w:space="0" w:color="auto"/>
        <w:left w:val="none" w:sz="0" w:space="0" w:color="auto"/>
        <w:bottom w:val="none" w:sz="0" w:space="0" w:color="auto"/>
        <w:right w:val="none" w:sz="0" w:space="0" w:color="auto"/>
      </w:divBdr>
    </w:div>
    <w:div w:id="210877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Economics\Documents\Monthly%20Economic%20Bulletin\MEB%20Database.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Economics\Documents\Monthly%20Economic%20Bulletin\MEB%20Database.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Economics\Documents\Monthly%20Economic%20Bulletin\MEB%20Databas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Economics\Documents\Monthly%20Economic%20Bulletin\MEB%20Databas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'[MEB Database.xlsx]Global Inflation'!$A$105</c:f>
              <c:strCache>
                <c:ptCount val="1"/>
                <c:pt idx="0">
                  <c:v>World Consumer Prices (IMF, October 2024)</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trendline>
            <c:spPr>
              <a:ln w="28575" cap="rnd">
                <a:solidFill>
                  <a:schemeClr val="accent6">
                    <a:lumMod val="75000"/>
                  </a:schemeClr>
                </a:solidFill>
                <a:prstDash val="sysDot"/>
              </a:ln>
              <a:effectLst/>
            </c:spPr>
            <c:trendlineType val="linear"/>
            <c:dispRSqr val="0"/>
            <c:dispEq val="0"/>
          </c:trendline>
          <c:cat>
            <c:strRef>
              <c:f>'[MEB Database.xlsx]Global Inflation'!$B$104:$D$104</c:f>
              <c:strCache>
                <c:ptCount val="3"/>
                <c:pt idx="0">
                  <c:v>2023 ( Actual)</c:v>
                </c:pt>
                <c:pt idx="1">
                  <c:v>2024 (Projection)</c:v>
                </c:pt>
                <c:pt idx="2">
                  <c:v>2025 (Projection)</c:v>
                </c:pt>
              </c:strCache>
            </c:strRef>
          </c:cat>
          <c:val>
            <c:numRef>
              <c:f>'[MEB Database.xlsx]Global Inflation'!$B$105:$D$105</c:f>
              <c:numCache>
                <c:formatCode>General</c:formatCode>
                <c:ptCount val="3"/>
                <c:pt idx="0">
                  <c:v>6.7</c:v>
                </c:pt>
                <c:pt idx="1">
                  <c:v>5.8</c:v>
                </c:pt>
                <c:pt idx="2">
                  <c:v>4.3</c:v>
                </c:pt>
              </c:numCache>
            </c:numRef>
          </c:val>
          <c:extLst>
            <c:ext xmlns:c16="http://schemas.microsoft.com/office/drawing/2014/chart" uri="{C3380CC4-5D6E-409C-BE32-E72D297353CC}">
              <c16:uniqueId val="{00000001-CB9A-4805-AE57-D90CDA5BFF2E}"/>
            </c:ext>
          </c:extLst>
        </c:ser>
        <c:ser>
          <c:idx val="1"/>
          <c:order val="1"/>
          <c:tx>
            <c:strRef>
              <c:f>'[MEB Database.xlsx]Global Inflation'!$A$106</c:f>
              <c:strCache>
                <c:ptCount val="1"/>
                <c:pt idx="0">
                  <c:v>Global Inflation (IMF, July 2024)</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'[MEB Database.xlsx]Global Inflation'!$B$104:$D$104</c:f>
              <c:strCache>
                <c:ptCount val="3"/>
                <c:pt idx="0">
                  <c:v>2023 ( Actual)</c:v>
                </c:pt>
                <c:pt idx="1">
                  <c:v>2024 (Projection)</c:v>
                </c:pt>
                <c:pt idx="2">
                  <c:v>2025 (Projection)</c:v>
                </c:pt>
              </c:strCache>
            </c:strRef>
          </c:cat>
          <c:val>
            <c:numRef>
              <c:f>'[MEB Database.xlsx]Global Inflation'!$B$106:$D$106</c:f>
              <c:numCache>
                <c:formatCode>General</c:formatCode>
                <c:ptCount val="3"/>
                <c:pt idx="1">
                  <c:v>5.8</c:v>
                </c:pt>
                <c:pt idx="2">
                  <c:v>4.5</c:v>
                </c:pt>
              </c:numCache>
            </c:numRef>
          </c:val>
          <c:extLst>
            <c:ext xmlns:c16="http://schemas.microsoft.com/office/drawing/2014/chart" uri="{C3380CC4-5D6E-409C-BE32-E72D297353CC}">
              <c16:uniqueId val="{00000002-CB9A-4805-AE57-D90CDA5BFF2E}"/>
            </c:ext>
          </c:extLst>
        </c:ser>
        <c:dLbls>
          <c:dLblPos val="outEnd"/>
          <c:showLegendKey val="0"/>
          <c:showVal val="1"/>
          <c:showCatName val="0"/>
          <c:showSerName val="0"/>
          <c:showPercent val="0"/>
          <c:showBubbleSize val="0"/>
        </c:dLbls>
        <c:gapWidth val="444"/>
        <c:overlap val="-90"/>
        <c:axId val="30540063"/>
        <c:axId val="30540543"/>
      </c:barChart>
      <c:catAx>
        <c:axId val="3054006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0540543"/>
        <c:crosses val="autoZero"/>
        <c:auto val="1"/>
        <c:lblAlgn val="ctr"/>
        <c:lblOffset val="100"/>
        <c:noMultiLvlLbl val="0"/>
      </c:catAx>
      <c:valAx>
        <c:axId val="30540543"/>
        <c:scaling>
          <c:orientation val="minMax"/>
        </c:scaling>
        <c:delete val="1"/>
        <c:axPos val="l"/>
        <c:numFmt formatCode="General" sourceLinked="1"/>
        <c:majorTickMark val="none"/>
        <c:minorTickMark val="none"/>
        <c:tickLblPos val="nextTo"/>
        <c:crossAx val="3054006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'[MEB Database.xlsx]Merchandise Trade'!$B$59</c:f>
              <c:strCache>
                <c:ptCount val="1"/>
                <c:pt idx="0">
                  <c:v>Exports(USD Million)</c:v>
                </c:pt>
              </c:strCache>
            </c:strRef>
          </c:tx>
          <c:spPr>
            <a:noFill/>
            <a:ln w="25400" cap="flat" cmpd="sng" algn="ctr">
              <a:solidFill>
                <a:schemeClr val="accent1"/>
              </a:solidFill>
              <a:miter lim="800000"/>
            </a:ln>
            <a:effectLst/>
          </c:spPr>
          <c:invertIfNegative val="0"/>
          <c:dLbls>
            <c:delete val="1"/>
          </c:dLbls>
          <c:cat>
            <c:numRef>
              <c:f>'[MEB Database.xlsx]Merchandise Trade'!$A$63:$A$75</c:f>
              <c:numCache>
                <c:formatCode>mmm\-yy</c:formatCode>
                <c:ptCount val="13"/>
                <c:pt idx="0">
                  <c:v>45139</c:v>
                </c:pt>
                <c:pt idx="1">
                  <c:v>45170</c:v>
                </c:pt>
                <c:pt idx="2">
                  <c:v>45200</c:v>
                </c:pt>
                <c:pt idx="3">
                  <c:v>45231</c:v>
                </c:pt>
                <c:pt idx="4">
                  <c:v>45261</c:v>
                </c:pt>
                <c:pt idx="5">
                  <c:v>45292</c:v>
                </c:pt>
                <c:pt idx="6">
                  <c:v>45323</c:v>
                </c:pt>
                <c:pt idx="7">
                  <c:v>45352</c:v>
                </c:pt>
                <c:pt idx="8">
                  <c:v>45383</c:v>
                </c:pt>
                <c:pt idx="9">
                  <c:v>45413</c:v>
                </c:pt>
                <c:pt idx="10">
                  <c:v>45444</c:v>
                </c:pt>
                <c:pt idx="11">
                  <c:v>45474</c:v>
                </c:pt>
                <c:pt idx="12">
                  <c:v>45505</c:v>
                </c:pt>
              </c:numCache>
            </c:numRef>
          </c:cat>
          <c:val>
            <c:numRef>
              <c:f>'[MEB Database.xlsx]Merchandise Trade'!$B$63:$B$75</c:f>
              <c:numCache>
                <c:formatCode>#,##0.00</c:formatCode>
                <c:ptCount val="13"/>
                <c:pt idx="0">
                  <c:v>649.78790100000003</c:v>
                </c:pt>
                <c:pt idx="1">
                  <c:v>678.10324900000001</c:v>
                </c:pt>
                <c:pt idx="2">
                  <c:v>831.86684200000002</c:v>
                </c:pt>
                <c:pt idx="3">
                  <c:v>681.28519700000004</c:v>
                </c:pt>
                <c:pt idx="4">
                  <c:v>550.63546699999995</c:v>
                </c:pt>
                <c:pt idx="5">
                  <c:v>540.89453400000002</c:v>
                </c:pt>
                <c:pt idx="6">
                  <c:v>645.01450299999999</c:v>
                </c:pt>
                <c:pt idx="7">
                  <c:v>534.69318499999997</c:v>
                </c:pt>
                <c:pt idx="8">
                  <c:v>513.5</c:v>
                </c:pt>
                <c:pt idx="9">
                  <c:v>583</c:v>
                </c:pt>
                <c:pt idx="10">
                  <c:v>524.70000000000005</c:v>
                </c:pt>
                <c:pt idx="11">
                  <c:v>548.29999999999995</c:v>
                </c:pt>
                <c:pt idx="12">
                  <c:v>674</c:v>
                </c:pt>
              </c:numCache>
            </c:numRef>
          </c:val>
          <c:extLst>
            <c:ext xmlns:c16="http://schemas.microsoft.com/office/drawing/2014/chart" uri="{C3380CC4-5D6E-409C-BE32-E72D297353CC}">
              <c16:uniqueId val="{0000000D-BF7A-4934-9F6A-64A002F8493D}"/>
            </c:ext>
          </c:extLst>
        </c:ser>
        <c:ser>
          <c:idx val="1"/>
          <c:order val="1"/>
          <c:tx>
            <c:strRef>
              <c:f>'[MEB Database.xlsx]Merchandise Trade'!$C$59</c:f>
              <c:strCache>
                <c:ptCount val="1"/>
                <c:pt idx="0">
                  <c:v>Imports(USD Million)</c:v>
                </c:pt>
              </c:strCache>
            </c:strRef>
          </c:tx>
          <c:spPr>
            <a:noFill/>
            <a:ln w="25400" cap="flat" cmpd="sng" algn="ctr">
              <a:solidFill>
                <a:schemeClr val="accent2"/>
              </a:solidFill>
              <a:miter lim="800000"/>
            </a:ln>
            <a:effectLst/>
          </c:spPr>
          <c:invertIfNegative val="0"/>
          <c:dLbls>
            <c:delete val="1"/>
          </c:dLbls>
          <c:cat>
            <c:numRef>
              <c:f>'[MEB Database.xlsx]Merchandise Trade'!$A$63:$A$75</c:f>
              <c:numCache>
                <c:formatCode>mmm\-yy</c:formatCode>
                <c:ptCount val="13"/>
                <c:pt idx="0">
                  <c:v>45139</c:v>
                </c:pt>
                <c:pt idx="1">
                  <c:v>45170</c:v>
                </c:pt>
                <c:pt idx="2">
                  <c:v>45200</c:v>
                </c:pt>
                <c:pt idx="3">
                  <c:v>45231</c:v>
                </c:pt>
                <c:pt idx="4">
                  <c:v>45261</c:v>
                </c:pt>
                <c:pt idx="5">
                  <c:v>45292</c:v>
                </c:pt>
                <c:pt idx="6">
                  <c:v>45323</c:v>
                </c:pt>
                <c:pt idx="7">
                  <c:v>45352</c:v>
                </c:pt>
                <c:pt idx="8">
                  <c:v>45383</c:v>
                </c:pt>
                <c:pt idx="9">
                  <c:v>45413</c:v>
                </c:pt>
                <c:pt idx="10">
                  <c:v>45444</c:v>
                </c:pt>
                <c:pt idx="11">
                  <c:v>45474</c:v>
                </c:pt>
                <c:pt idx="12">
                  <c:v>45505</c:v>
                </c:pt>
              </c:numCache>
            </c:numRef>
          </c:cat>
          <c:val>
            <c:numRef>
              <c:f>'[MEB Database.xlsx]Merchandise Trade'!$C$63:$C$75</c:f>
              <c:numCache>
                <c:formatCode>#,##0.00</c:formatCode>
                <c:ptCount val="13"/>
                <c:pt idx="0">
                  <c:v>813.66221900000005</c:v>
                </c:pt>
                <c:pt idx="1">
                  <c:v>770.82245799999998</c:v>
                </c:pt>
                <c:pt idx="2">
                  <c:v>901.21399899999994</c:v>
                </c:pt>
                <c:pt idx="3">
                  <c:v>824.85674800000004</c:v>
                </c:pt>
                <c:pt idx="4">
                  <c:v>814.64909899999998</c:v>
                </c:pt>
                <c:pt idx="5">
                  <c:v>691.53958</c:v>
                </c:pt>
                <c:pt idx="6">
                  <c:v>729.62664400000006</c:v>
                </c:pt>
                <c:pt idx="7">
                  <c:v>718.95693600000004</c:v>
                </c:pt>
                <c:pt idx="8">
                  <c:v>711.7</c:v>
                </c:pt>
                <c:pt idx="9">
                  <c:v>734.1</c:v>
                </c:pt>
                <c:pt idx="10">
                  <c:v>743.6</c:v>
                </c:pt>
                <c:pt idx="11">
                  <c:v>823.1</c:v>
                </c:pt>
                <c:pt idx="12">
                  <c:v>872.8</c:v>
                </c:pt>
              </c:numCache>
            </c:numRef>
          </c:val>
          <c:extLst>
            <c:ext xmlns:c16="http://schemas.microsoft.com/office/drawing/2014/chart" uri="{C3380CC4-5D6E-409C-BE32-E72D297353CC}">
              <c16:uniqueId val="{0000000F-BF7A-4934-9F6A-64A002F8493D}"/>
            </c:ext>
          </c:extLst>
        </c:ser>
        <c:ser>
          <c:idx val="2"/>
          <c:order val="2"/>
          <c:tx>
            <c:strRef>
              <c:f>'[MEB Database.xlsx]Merchandise Trade'!$D$59</c:f>
              <c:strCache>
                <c:ptCount val="1"/>
                <c:pt idx="0">
                  <c:v>Trade Balance (USD Million)</c:v>
                </c:pt>
              </c:strCache>
            </c:strRef>
          </c:tx>
          <c:spPr>
            <a:noFill/>
            <a:ln w="25400" cap="flat" cmpd="sng" algn="ctr">
              <a:solidFill>
                <a:schemeClr val="accent3"/>
              </a:solidFill>
              <a:miter lim="800000"/>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'[MEB Database.xlsx]Merchandise Trade'!$A$63:$A$75</c:f>
              <c:numCache>
                <c:formatCode>mmm\-yy</c:formatCode>
                <c:ptCount val="13"/>
                <c:pt idx="0">
                  <c:v>45139</c:v>
                </c:pt>
                <c:pt idx="1">
                  <c:v>45170</c:v>
                </c:pt>
                <c:pt idx="2">
                  <c:v>45200</c:v>
                </c:pt>
                <c:pt idx="3">
                  <c:v>45231</c:v>
                </c:pt>
                <c:pt idx="4">
                  <c:v>45261</c:v>
                </c:pt>
                <c:pt idx="5">
                  <c:v>45292</c:v>
                </c:pt>
                <c:pt idx="6">
                  <c:v>45323</c:v>
                </c:pt>
                <c:pt idx="7">
                  <c:v>45352</c:v>
                </c:pt>
                <c:pt idx="8">
                  <c:v>45383</c:v>
                </c:pt>
                <c:pt idx="9">
                  <c:v>45413</c:v>
                </c:pt>
                <c:pt idx="10">
                  <c:v>45444</c:v>
                </c:pt>
                <c:pt idx="11">
                  <c:v>45474</c:v>
                </c:pt>
                <c:pt idx="12">
                  <c:v>45505</c:v>
                </c:pt>
              </c:numCache>
            </c:numRef>
          </c:cat>
          <c:val>
            <c:numRef>
              <c:f>'[MEB Database.xlsx]Merchandise Trade'!$D$63:$D$75</c:f>
              <c:numCache>
                <c:formatCode>#,##0.00</c:formatCode>
                <c:ptCount val="13"/>
                <c:pt idx="0">
                  <c:v>-163.87431800000002</c:v>
                </c:pt>
                <c:pt idx="1">
                  <c:v>-92.719208999999978</c:v>
                </c:pt>
                <c:pt idx="2">
                  <c:v>-69.347156999999925</c:v>
                </c:pt>
                <c:pt idx="3">
                  <c:v>-143.571551</c:v>
                </c:pt>
                <c:pt idx="4">
                  <c:v>-264.01363200000003</c:v>
                </c:pt>
                <c:pt idx="5">
                  <c:v>-150.64504599999998</c:v>
                </c:pt>
                <c:pt idx="6">
                  <c:v>-84.612141000000065</c:v>
                </c:pt>
                <c:pt idx="7">
                  <c:v>-184.26375100000007</c:v>
                </c:pt>
                <c:pt idx="8">
                  <c:v>-198.20000000000005</c:v>
                </c:pt>
                <c:pt idx="9">
                  <c:v>-151.10000000000002</c:v>
                </c:pt>
                <c:pt idx="10">
                  <c:v>-218.89999999999998</c:v>
                </c:pt>
                <c:pt idx="11">
                  <c:v>-274.80000000000007</c:v>
                </c:pt>
                <c:pt idx="12">
                  <c:v>-198.79999999999995</c:v>
                </c:pt>
              </c:numCache>
            </c:numRef>
          </c:val>
          <c:extLst>
            <c:ext xmlns:c16="http://schemas.microsoft.com/office/drawing/2014/chart" uri="{C3380CC4-5D6E-409C-BE32-E72D297353CC}">
              <c16:uniqueId val="{00000010-BF7A-4934-9F6A-64A002F8493D}"/>
            </c:ext>
          </c:extLst>
        </c:ser>
        <c:dLbls>
          <c:dLblPos val="outEnd"/>
          <c:showLegendKey val="0"/>
          <c:showVal val="1"/>
          <c:showCatName val="0"/>
          <c:showSerName val="0"/>
          <c:showPercent val="0"/>
          <c:showBubbleSize val="0"/>
        </c:dLbls>
        <c:gapWidth val="164"/>
        <c:overlap val="-35"/>
        <c:axId val="1460376464"/>
        <c:axId val="1460359664"/>
      </c:barChart>
      <c:dateAx>
        <c:axId val="1460376464"/>
        <c:scaling>
          <c:orientation val="minMax"/>
        </c:scaling>
        <c:delete val="0"/>
        <c:axPos val="b"/>
        <c:numFmt formatCode="mmm\-yy" sourceLinked="1"/>
        <c:majorTickMark val="out"/>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460359664"/>
        <c:crosses val="autoZero"/>
        <c:auto val="1"/>
        <c:lblOffset val="100"/>
        <c:baseTimeUnit val="months"/>
      </c:dateAx>
      <c:valAx>
        <c:axId val="1460359664"/>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4603764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'[MEB Database.xlsx]ZWG USD Exch Rates'!$B$86</c:f>
              <c:strCache>
                <c:ptCount val="1"/>
                <c:pt idx="0">
                  <c:v>Official Rate</c:v>
                </c:pt>
              </c:strCache>
            </c:strRef>
          </c:tx>
          <c:spPr>
            <a:ln w="22225" cap="rnd">
              <a:solidFill>
                <a:schemeClr val="accent1"/>
              </a:solidFill>
              <a:round/>
            </a:ln>
            <a:effectLst/>
          </c:spPr>
          <c:marker>
            <c:symbol val="circle"/>
            <c:size val="6"/>
            <c:spPr>
              <a:solidFill>
                <a:schemeClr val="lt1"/>
              </a:solidFill>
              <a:ln w="15875">
                <a:solidFill>
                  <a:schemeClr val="accent1"/>
                </a:solidFill>
                <a:round/>
              </a:ln>
              <a:effectLst/>
            </c:spPr>
          </c:marker>
          <c:cat>
            <c:numRef>
              <c:f>'[MEB Database.xlsx]ZWG USD Exch Rates'!$A$87:$A$109</c:f>
              <c:numCache>
                <c:formatCode>[$-3009]dd\-mmm\-yy;@</c:formatCode>
                <c:ptCount val="23"/>
                <c:pt idx="0">
                  <c:v>45566</c:v>
                </c:pt>
                <c:pt idx="1">
                  <c:v>45567</c:v>
                </c:pt>
                <c:pt idx="2">
                  <c:v>45568</c:v>
                </c:pt>
                <c:pt idx="3">
                  <c:v>45569</c:v>
                </c:pt>
                <c:pt idx="4">
                  <c:v>45572</c:v>
                </c:pt>
                <c:pt idx="5">
                  <c:v>45573</c:v>
                </c:pt>
                <c:pt idx="6">
                  <c:v>45574</c:v>
                </c:pt>
                <c:pt idx="7">
                  <c:v>45575</c:v>
                </c:pt>
                <c:pt idx="8">
                  <c:v>45576</c:v>
                </c:pt>
                <c:pt idx="9">
                  <c:v>45579</c:v>
                </c:pt>
                <c:pt idx="10">
                  <c:v>45580</c:v>
                </c:pt>
                <c:pt idx="11">
                  <c:v>45581</c:v>
                </c:pt>
                <c:pt idx="12">
                  <c:v>45582</c:v>
                </c:pt>
                <c:pt idx="13">
                  <c:v>45583</c:v>
                </c:pt>
                <c:pt idx="14">
                  <c:v>45586</c:v>
                </c:pt>
                <c:pt idx="15">
                  <c:v>45587</c:v>
                </c:pt>
                <c:pt idx="16">
                  <c:v>45588</c:v>
                </c:pt>
                <c:pt idx="17">
                  <c:v>45589</c:v>
                </c:pt>
                <c:pt idx="18">
                  <c:v>45590</c:v>
                </c:pt>
                <c:pt idx="19">
                  <c:v>45593</c:v>
                </c:pt>
                <c:pt idx="20">
                  <c:v>45594</c:v>
                </c:pt>
                <c:pt idx="21">
                  <c:v>45595</c:v>
                </c:pt>
                <c:pt idx="22">
                  <c:v>45596</c:v>
                </c:pt>
              </c:numCache>
            </c:numRef>
          </c:cat>
          <c:val>
            <c:numRef>
              <c:f>'[MEB Database.xlsx]ZWG USD Exch Rates'!$B$87:$B$109</c:f>
              <c:numCache>
                <c:formatCode>0.00</c:formatCode>
                <c:ptCount val="23"/>
                <c:pt idx="0">
                  <c:v>25.130500000000001</c:v>
                </c:pt>
                <c:pt idx="1">
                  <c:v>25.282399999999999</c:v>
                </c:pt>
                <c:pt idx="2">
                  <c:v>25.281300000000002</c:v>
                </c:pt>
                <c:pt idx="3">
                  <c:v>25.357800000000001</c:v>
                </c:pt>
                <c:pt idx="4">
                  <c:v>25.706</c:v>
                </c:pt>
                <c:pt idx="5">
                  <c:v>25.868300000000001</c:v>
                </c:pt>
                <c:pt idx="6">
                  <c:v>25.970300000000002</c:v>
                </c:pt>
                <c:pt idx="7">
                  <c:v>26.069199999999999</c:v>
                </c:pt>
                <c:pt idx="8">
                  <c:v>26.3309</c:v>
                </c:pt>
                <c:pt idx="9">
                  <c:v>26.3672</c:v>
                </c:pt>
                <c:pt idx="10">
                  <c:v>26.49</c:v>
                </c:pt>
                <c:pt idx="11">
                  <c:v>26.671800000000001</c:v>
                </c:pt>
                <c:pt idx="12">
                  <c:v>26.653500000000001</c:v>
                </c:pt>
                <c:pt idx="13">
                  <c:v>26.8596</c:v>
                </c:pt>
                <c:pt idx="14">
                  <c:v>27.011600000000001</c:v>
                </c:pt>
                <c:pt idx="15">
                  <c:v>27.064499999999999</c:v>
                </c:pt>
                <c:pt idx="16">
                  <c:v>27.2821</c:v>
                </c:pt>
                <c:pt idx="17">
                  <c:v>27.4436</c:v>
                </c:pt>
                <c:pt idx="18">
                  <c:v>27.687999999999999</c:v>
                </c:pt>
                <c:pt idx="19">
                  <c:v>28.367599999999999</c:v>
                </c:pt>
                <c:pt idx="20">
                  <c:v>28.593299999999999</c:v>
                </c:pt>
                <c:pt idx="21">
                  <c:v>28.659099999999999</c:v>
                </c:pt>
                <c:pt idx="22">
                  <c:v>28.680199999999999</c:v>
                </c:pt>
              </c:numCache>
            </c:numRef>
          </c:val>
          <c:smooth val="0"/>
          <c:extLst>
            <c:ext xmlns:c16="http://schemas.microsoft.com/office/drawing/2014/chart" uri="{C3380CC4-5D6E-409C-BE32-E72D297353CC}">
              <c16:uniqueId val="{00000000-2445-4143-B337-7188498B7FD9}"/>
            </c:ext>
          </c:extLst>
        </c:ser>
        <c:ser>
          <c:idx val="1"/>
          <c:order val="1"/>
          <c:tx>
            <c:strRef>
              <c:f>'[MEB Database.xlsx]ZWG USD Exch Rates'!$C$86</c:f>
              <c:strCache>
                <c:ptCount val="1"/>
                <c:pt idx="0">
                  <c:v>Parallel Market Rate</c:v>
                </c:pt>
              </c:strCache>
            </c:strRef>
          </c:tx>
          <c:spPr>
            <a:ln w="22225" cap="rnd">
              <a:solidFill>
                <a:schemeClr val="accent2"/>
              </a:solidFill>
              <a:round/>
            </a:ln>
            <a:effectLst/>
          </c:spPr>
          <c:marker>
            <c:symbol val="circle"/>
            <c:size val="6"/>
            <c:spPr>
              <a:solidFill>
                <a:schemeClr val="lt1"/>
              </a:solidFill>
              <a:ln w="15875">
                <a:solidFill>
                  <a:schemeClr val="accent2"/>
                </a:solidFill>
                <a:round/>
              </a:ln>
              <a:effectLst/>
            </c:spPr>
          </c:marker>
          <c:cat>
            <c:numRef>
              <c:f>'[MEB Database.xlsx]ZWG USD Exch Rates'!$A$87:$A$109</c:f>
              <c:numCache>
                <c:formatCode>[$-3009]dd\-mmm\-yy;@</c:formatCode>
                <c:ptCount val="23"/>
                <c:pt idx="0">
                  <c:v>45566</c:v>
                </c:pt>
                <c:pt idx="1">
                  <c:v>45567</c:v>
                </c:pt>
                <c:pt idx="2">
                  <c:v>45568</c:v>
                </c:pt>
                <c:pt idx="3">
                  <c:v>45569</c:v>
                </c:pt>
                <c:pt idx="4">
                  <c:v>45572</c:v>
                </c:pt>
                <c:pt idx="5">
                  <c:v>45573</c:v>
                </c:pt>
                <c:pt idx="6">
                  <c:v>45574</c:v>
                </c:pt>
                <c:pt idx="7">
                  <c:v>45575</c:v>
                </c:pt>
                <c:pt idx="8">
                  <c:v>45576</c:v>
                </c:pt>
                <c:pt idx="9">
                  <c:v>45579</c:v>
                </c:pt>
                <c:pt idx="10">
                  <c:v>45580</c:v>
                </c:pt>
                <c:pt idx="11">
                  <c:v>45581</c:v>
                </c:pt>
                <c:pt idx="12">
                  <c:v>45582</c:v>
                </c:pt>
                <c:pt idx="13">
                  <c:v>45583</c:v>
                </c:pt>
                <c:pt idx="14">
                  <c:v>45586</c:v>
                </c:pt>
                <c:pt idx="15">
                  <c:v>45587</c:v>
                </c:pt>
                <c:pt idx="16">
                  <c:v>45588</c:v>
                </c:pt>
                <c:pt idx="17">
                  <c:v>45589</c:v>
                </c:pt>
                <c:pt idx="18">
                  <c:v>45590</c:v>
                </c:pt>
                <c:pt idx="19">
                  <c:v>45593</c:v>
                </c:pt>
                <c:pt idx="20">
                  <c:v>45594</c:v>
                </c:pt>
                <c:pt idx="21">
                  <c:v>45595</c:v>
                </c:pt>
                <c:pt idx="22">
                  <c:v>45596</c:v>
                </c:pt>
              </c:numCache>
            </c:numRef>
          </c:cat>
          <c:val>
            <c:numRef>
              <c:f>'[MEB Database.xlsx]ZWG USD Exch Rates'!$C$87:$C$109</c:f>
              <c:numCache>
                <c:formatCode>0.00</c:formatCode>
                <c:ptCount val="23"/>
                <c:pt idx="0">
                  <c:v>40</c:v>
                </c:pt>
                <c:pt idx="1">
                  <c:v>40</c:v>
                </c:pt>
                <c:pt idx="2">
                  <c:v>40</c:v>
                </c:pt>
                <c:pt idx="3">
                  <c:v>40</c:v>
                </c:pt>
                <c:pt idx="4">
                  <c:v>40</c:v>
                </c:pt>
                <c:pt idx="5">
                  <c:v>40</c:v>
                </c:pt>
                <c:pt idx="6">
                  <c:v>40</c:v>
                </c:pt>
                <c:pt idx="7">
                  <c:v>40</c:v>
                </c:pt>
                <c:pt idx="8">
                  <c:v>40</c:v>
                </c:pt>
                <c:pt idx="9">
                  <c:v>40</c:v>
                </c:pt>
                <c:pt idx="10">
                  <c:v>40</c:v>
                </c:pt>
                <c:pt idx="11">
                  <c:v>40</c:v>
                </c:pt>
                <c:pt idx="12">
                  <c:v>40</c:v>
                </c:pt>
                <c:pt idx="13">
                  <c:v>40</c:v>
                </c:pt>
                <c:pt idx="14">
                  <c:v>40</c:v>
                </c:pt>
                <c:pt idx="15">
                  <c:v>40</c:v>
                </c:pt>
                <c:pt idx="16">
                  <c:v>42</c:v>
                </c:pt>
                <c:pt idx="17">
                  <c:v>42</c:v>
                </c:pt>
                <c:pt idx="18">
                  <c:v>42</c:v>
                </c:pt>
                <c:pt idx="19">
                  <c:v>42</c:v>
                </c:pt>
                <c:pt idx="20">
                  <c:v>42</c:v>
                </c:pt>
                <c:pt idx="21">
                  <c:v>45</c:v>
                </c:pt>
                <c:pt idx="22">
                  <c:v>45</c:v>
                </c:pt>
              </c:numCache>
            </c:numRef>
          </c:val>
          <c:smooth val="0"/>
          <c:extLst>
            <c:ext xmlns:c16="http://schemas.microsoft.com/office/drawing/2014/chart" uri="{C3380CC4-5D6E-409C-BE32-E72D297353CC}">
              <c16:uniqueId val="{00000001-2445-4143-B337-7188498B7FD9}"/>
            </c:ext>
          </c:extLst>
        </c:ser>
        <c:dLbls>
          <c:showLegendKey val="0"/>
          <c:showVal val="0"/>
          <c:showCatName val="0"/>
          <c:showSerName val="0"/>
          <c:showPercent val="0"/>
          <c:showBubbleSize val="0"/>
        </c:dLbls>
        <c:marker val="1"/>
        <c:smooth val="0"/>
        <c:axId val="28689855"/>
        <c:axId val="28670655"/>
      </c:lineChart>
      <c:lineChart>
        <c:grouping val="stacked"/>
        <c:varyColors val="0"/>
        <c:ser>
          <c:idx val="2"/>
          <c:order val="2"/>
          <c:tx>
            <c:strRef>
              <c:f>'[MEB Database.xlsx]ZWG USD Exch Rates'!$D$86</c:f>
              <c:strCache>
                <c:ptCount val="1"/>
                <c:pt idx="0">
                  <c:v>Exchange Rate Premium</c:v>
                </c:pt>
              </c:strCache>
            </c:strRef>
          </c:tx>
          <c:spPr>
            <a:ln w="22225" cap="rnd">
              <a:solidFill>
                <a:schemeClr val="accent3"/>
              </a:solidFill>
              <a:round/>
            </a:ln>
            <a:effectLst/>
          </c:spPr>
          <c:marker>
            <c:symbol val="none"/>
          </c:marker>
          <c:cat>
            <c:numRef>
              <c:f>'[MEB Database.xlsx]ZWG USD Exch Rates'!$A$87:$A$109</c:f>
              <c:numCache>
                <c:formatCode>[$-3009]dd\-mmm\-yy;@</c:formatCode>
                <c:ptCount val="23"/>
                <c:pt idx="0">
                  <c:v>45566</c:v>
                </c:pt>
                <c:pt idx="1">
                  <c:v>45567</c:v>
                </c:pt>
                <c:pt idx="2">
                  <c:v>45568</c:v>
                </c:pt>
                <c:pt idx="3">
                  <c:v>45569</c:v>
                </c:pt>
                <c:pt idx="4">
                  <c:v>45572</c:v>
                </c:pt>
                <c:pt idx="5">
                  <c:v>45573</c:v>
                </c:pt>
                <c:pt idx="6">
                  <c:v>45574</c:v>
                </c:pt>
                <c:pt idx="7">
                  <c:v>45575</c:v>
                </c:pt>
                <c:pt idx="8">
                  <c:v>45576</c:v>
                </c:pt>
                <c:pt idx="9">
                  <c:v>45579</c:v>
                </c:pt>
                <c:pt idx="10">
                  <c:v>45580</c:v>
                </c:pt>
                <c:pt idx="11">
                  <c:v>45581</c:v>
                </c:pt>
                <c:pt idx="12">
                  <c:v>45582</c:v>
                </c:pt>
                <c:pt idx="13">
                  <c:v>45583</c:v>
                </c:pt>
                <c:pt idx="14">
                  <c:v>45586</c:v>
                </c:pt>
                <c:pt idx="15">
                  <c:v>45587</c:v>
                </c:pt>
                <c:pt idx="16">
                  <c:v>45588</c:v>
                </c:pt>
                <c:pt idx="17">
                  <c:v>45589</c:v>
                </c:pt>
                <c:pt idx="18">
                  <c:v>45590</c:v>
                </c:pt>
                <c:pt idx="19">
                  <c:v>45593</c:v>
                </c:pt>
                <c:pt idx="20">
                  <c:v>45594</c:v>
                </c:pt>
                <c:pt idx="21">
                  <c:v>45595</c:v>
                </c:pt>
                <c:pt idx="22">
                  <c:v>45596</c:v>
                </c:pt>
              </c:numCache>
            </c:numRef>
          </c:cat>
          <c:val>
            <c:numRef>
              <c:f>'[MEB Database.xlsx]ZWG USD Exch Rates'!$D$87:$D$109</c:f>
              <c:numCache>
                <c:formatCode>0.00</c:formatCode>
                <c:ptCount val="23"/>
                <c:pt idx="0">
                  <c:v>59.16913710431546</c:v>
                </c:pt>
                <c:pt idx="1">
                  <c:v>58.21282789608582</c:v>
                </c:pt>
                <c:pt idx="2">
                  <c:v>58.21971180279494</c:v>
                </c:pt>
                <c:pt idx="3">
                  <c:v>57.742390901418887</c:v>
                </c:pt>
                <c:pt idx="4">
                  <c:v>55.60569516844317</c:v>
                </c:pt>
                <c:pt idx="5">
                  <c:v>54.629411287173866</c:v>
                </c:pt>
                <c:pt idx="6">
                  <c:v>54.022094469451631</c:v>
                </c:pt>
                <c:pt idx="7">
                  <c:v>53.437773311033723</c:v>
                </c:pt>
                <c:pt idx="8">
                  <c:v>51.912771686497614</c:v>
                </c:pt>
                <c:pt idx="9">
                  <c:v>51.703631784944925</c:v>
                </c:pt>
                <c:pt idx="10">
                  <c:v>51.000377500943763</c:v>
                </c:pt>
                <c:pt idx="11">
                  <c:v>49.971130557367701</c:v>
                </c:pt>
                <c:pt idx="12">
                  <c:v>50.074099086423921</c:v>
                </c:pt>
                <c:pt idx="13">
                  <c:v>48.922545384145707</c:v>
                </c:pt>
                <c:pt idx="14">
                  <c:v>48.084526647810563</c:v>
                </c:pt>
                <c:pt idx="15">
                  <c:v>47.795082118642505</c:v>
                </c:pt>
                <c:pt idx="16">
                  <c:v>53.947093515528501</c:v>
                </c:pt>
                <c:pt idx="17">
                  <c:v>53.041146205308344</c:v>
                </c:pt>
                <c:pt idx="18">
                  <c:v>51.690262929789085</c:v>
                </c:pt>
                <c:pt idx="19">
                  <c:v>48.056233167416352</c:v>
                </c:pt>
                <c:pt idx="20">
                  <c:v>46.887557574676592</c:v>
                </c:pt>
                <c:pt idx="21">
                  <c:v>57.018189684951736</c:v>
                </c:pt>
                <c:pt idx="22">
                  <c:v>56.90267152948725</c:v>
                </c:pt>
              </c:numCache>
            </c:numRef>
          </c:val>
          <c:smooth val="0"/>
          <c:extLst>
            <c:ext xmlns:c16="http://schemas.microsoft.com/office/drawing/2014/chart" uri="{C3380CC4-5D6E-409C-BE32-E72D297353CC}">
              <c16:uniqueId val="{00000002-2445-4143-B337-7188498B7FD9}"/>
            </c:ext>
          </c:extLst>
        </c:ser>
        <c:dLbls>
          <c:showLegendKey val="0"/>
          <c:showVal val="0"/>
          <c:showCatName val="0"/>
          <c:showSerName val="0"/>
          <c:showPercent val="0"/>
          <c:showBubbleSize val="0"/>
        </c:dLbls>
        <c:marker val="1"/>
        <c:smooth val="0"/>
        <c:axId val="1096622560"/>
        <c:axId val="1096628800"/>
      </c:lineChart>
      <c:dateAx>
        <c:axId val="28689855"/>
        <c:scaling>
          <c:orientation val="minMax"/>
        </c:scaling>
        <c:delete val="0"/>
        <c:axPos val="b"/>
        <c:numFmt formatCode="[$-3009]dd\-mmm\-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8670655"/>
        <c:crosses val="autoZero"/>
        <c:auto val="1"/>
        <c:lblOffset val="100"/>
        <c:baseTimeUnit val="days"/>
      </c:dateAx>
      <c:valAx>
        <c:axId val="28670655"/>
        <c:scaling>
          <c:orientation val="minMax"/>
        </c:scaling>
        <c:delete val="0"/>
        <c:axPos val="l"/>
        <c:majorGridlines>
          <c:spPr>
            <a:ln w="9525" cap="flat" cmpd="sng" algn="ctr">
              <a:solidFill>
                <a:schemeClr val="dk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8689855"/>
        <c:crosses val="autoZero"/>
        <c:crossBetween val="between"/>
      </c:valAx>
      <c:valAx>
        <c:axId val="1096628800"/>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096622560"/>
        <c:crosses val="max"/>
        <c:crossBetween val="between"/>
      </c:valAx>
      <c:dateAx>
        <c:axId val="1096622560"/>
        <c:scaling>
          <c:orientation val="minMax"/>
        </c:scaling>
        <c:delete val="1"/>
        <c:axPos val="b"/>
        <c:numFmt formatCode="[$-3009]dd\-mmm\-yy;@" sourceLinked="1"/>
        <c:majorTickMark val="out"/>
        <c:minorTickMark val="none"/>
        <c:tickLblPos val="nextTo"/>
        <c:crossAx val="1096628800"/>
        <c:crosses val="autoZero"/>
        <c:auto val="1"/>
        <c:lblOffset val="100"/>
        <c:baseTimeUnit val="days"/>
      </c:date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'[MEB Database.xlsx]Zim Inflation'!$B$236</c:f>
              <c:strCache>
                <c:ptCount val="1"/>
                <c:pt idx="0">
                  <c:v>Inflation rate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5.1504712479121931E-2"/>
                  <c:y val="-4.673595093542599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329-4821-8160-C3484F75395A}"/>
                </c:ext>
              </c:extLst>
            </c:dLbl>
            <c:dLbl>
              <c:idx val="2"/>
              <c:layout>
                <c:manualLayout>
                  <c:x val="-4.308720406161351E-2"/>
                  <c:y val="-6.918264004878178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329-4821-8160-C3484F75395A}"/>
                </c:ext>
              </c:extLst>
            </c:dLbl>
            <c:dLbl>
              <c:idx val="6"/>
              <c:layout>
                <c:manualLayout>
                  <c:x val="-2.2043433017842468E-2"/>
                  <c:y val="-4.673595093542599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329-4821-8160-C3484F75395A}"/>
                </c:ext>
              </c:extLst>
            </c:dLbl>
            <c:dLbl>
              <c:idx val="7"/>
              <c:layout>
                <c:manualLayout>
                  <c:x val="-3.7568433680638405E-2"/>
                  <c:y val="3.556857581354519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329-4821-8160-C3484F75395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'[MEB Database.xlsx]Zim Inflation'!$A$239:$A$251</c:f>
              <c:numCache>
                <c:formatCode>mmm\-yy</c:formatCode>
                <c:ptCount val="13"/>
                <c:pt idx="0">
                  <c:v>45200</c:v>
                </c:pt>
                <c:pt idx="1">
                  <c:v>45231</c:v>
                </c:pt>
                <c:pt idx="2">
                  <c:v>45261</c:v>
                </c:pt>
                <c:pt idx="3">
                  <c:v>45292</c:v>
                </c:pt>
                <c:pt idx="4">
                  <c:v>45323</c:v>
                </c:pt>
                <c:pt idx="5">
                  <c:v>45352</c:v>
                </c:pt>
                <c:pt idx="6">
                  <c:v>45383</c:v>
                </c:pt>
                <c:pt idx="7">
                  <c:v>45413</c:v>
                </c:pt>
                <c:pt idx="8">
                  <c:v>45471</c:v>
                </c:pt>
                <c:pt idx="9">
                  <c:v>45501</c:v>
                </c:pt>
                <c:pt idx="10">
                  <c:v>45532</c:v>
                </c:pt>
                <c:pt idx="11">
                  <c:v>45563</c:v>
                </c:pt>
                <c:pt idx="12">
                  <c:v>45593</c:v>
                </c:pt>
              </c:numCache>
            </c:numRef>
          </c:cat>
          <c:val>
            <c:numRef>
              <c:f>'[MEB Database.xlsx]Zim Inflation'!$B$239:$B$251</c:f>
              <c:numCache>
                <c:formatCode>#,##0.00</c:formatCode>
                <c:ptCount val="13"/>
                <c:pt idx="0">
                  <c:v>2.4574345383066714</c:v>
                </c:pt>
                <c:pt idx="1">
                  <c:v>4.5416295575921168</c:v>
                </c:pt>
                <c:pt idx="2">
                  <c:v>4.7022767338570759</c:v>
                </c:pt>
                <c:pt idx="3">
                  <c:v>6.5816182040896223</c:v>
                </c:pt>
                <c:pt idx="4">
                  <c:v>5.3893275634551543</c:v>
                </c:pt>
                <c:pt idx="5">
                  <c:v>4.887508641983402</c:v>
                </c:pt>
                <c:pt idx="6">
                  <c:v>2.9389895786218005</c:v>
                </c:pt>
                <c:pt idx="7">
                  <c:v>-0.6</c:v>
                </c:pt>
                <c:pt idx="8">
                  <c:v>-0.2</c:v>
                </c:pt>
                <c:pt idx="9">
                  <c:v>-0.1</c:v>
                </c:pt>
                <c:pt idx="10">
                  <c:v>0.4</c:v>
                </c:pt>
                <c:pt idx="11" formatCode="0.00">
                  <c:v>1.9009629950185576</c:v>
                </c:pt>
                <c:pt idx="12">
                  <c:v>7.3</c:v>
                </c:pt>
              </c:numCache>
            </c:numRef>
          </c:val>
          <c:smooth val="0"/>
          <c:extLst>
            <c:ext xmlns:c16="http://schemas.microsoft.com/office/drawing/2014/chart" uri="{C3380CC4-5D6E-409C-BE32-E72D297353CC}">
              <c16:uniqueId val="{00000004-3329-4821-8160-C3484F75395A}"/>
            </c:ext>
          </c:extLst>
        </c:ser>
        <c:dLbls>
          <c:dLblPos val="t"/>
          <c:showLegendKey val="0"/>
          <c:showVal val="1"/>
          <c:showCatName val="0"/>
          <c:showSerName val="0"/>
          <c:showPercent val="0"/>
          <c:showBubbleSize val="0"/>
        </c:dLbls>
        <c:marker val="1"/>
        <c:smooth val="0"/>
        <c:axId val="1347433839"/>
        <c:axId val="1347447983"/>
      </c:lineChart>
      <c:dateAx>
        <c:axId val="1347433839"/>
        <c:scaling>
          <c:orientation val="minMax"/>
        </c:scaling>
        <c:delete val="0"/>
        <c:axPos val="b"/>
        <c:numFmt formatCode="mmm\-yy"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7447983"/>
        <c:crosses val="autoZero"/>
        <c:auto val="1"/>
        <c:lblOffset val="100"/>
        <c:baseTimeUnit val="months"/>
      </c:dateAx>
      <c:valAx>
        <c:axId val="134744798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74338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1">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bg1"/>
    </cs:fontRef>
    <cs:spPr>
      <a:solidFill>
        <a:schemeClr val="tx1">
          <a:lumMod val="35000"/>
          <a:lumOff val="6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25400" cap="flat" cmpd="sng" algn="ctr">
        <a:solidFill>
          <a:schemeClr val="phClr"/>
        </a:solidFill>
        <a:miter lim="800000"/>
      </a:ln>
    </cs:spPr>
  </cs:dataPoint>
  <cs:dataPoint3D>
    <cs:lnRef idx="0">
      <cs:styleClr val="auto"/>
    </cs:lnRef>
    <cs:fillRef idx="0">
      <cs:styleClr val="auto"/>
    </cs:fillRef>
    <cs:effectRef idx="0"/>
    <cs:fontRef idx="minor">
      <a:schemeClr val="dk1"/>
    </cs:fontRef>
    <cs:spPr>
      <a:ln w="19050" cap="flat" cmpd="sng" algn="ctr">
        <a:solidFill>
          <a:schemeClr val="phClr"/>
        </a:solidFill>
        <a:miter lim="800000"/>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00" b="0" kern="1200" cap="none" spc="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RBZ24</b:Tag>
    <b:SourceType>InternetSite</b:SourceType>
    <b:Guid>{131591B7-3098-4E06-B9DB-40C9AD93D63A}</b:Guid>
    <b:Title>Exchange Rates</b:Title>
    <b:Year>2024</b:Year>
    <b:Author>
      <b:Author>
        <b:Corporate>RBZ</b:Corporate>
      </b:Author>
    </b:Author>
    <b:InternetSiteTitle>Reserve Bank of Zimbabwe</b:InternetSiteTitle>
    <b:URL>https://www.rbz.co.zw/index.php/research/markets/exchange-rates</b:URL>
    <b:RefOrder>1</b:RefOrder>
  </b:Source>
  <b:Source>
    <b:Tag>Tra24</b:Tag>
    <b:SourceType>InternetSite</b:SourceType>
    <b:Guid>{8F5E9987-C62C-47B0-8A36-1187F2EFE3CE}</b:Guid>
    <b:Author>
      <b:Author>
        <b:Corporate>Trading Economics</b:Corporate>
      </b:Author>
    </b:Author>
    <b:Title>Commodities</b:Title>
    <b:InternetSiteTitle>Trading  Economics</b:InternetSiteTitle>
    <b:Year>2024</b:Year>
    <b:URL>https://tradingeconomics.com/commodity/crude-oil</b:URL>
    <b:RefOrder>2</b:RefOrder>
  </b:Source>
  <b:Source>
    <b:Tag>VFE24</b:Tag>
    <b:SourceType>InternetSite</b:SourceType>
    <b:Guid>{1E964840-8E12-4650-8E6C-64330FB07471}</b:Guid>
    <b:Author>
      <b:Author>
        <b:Corporate>VFEX</b:Corporate>
      </b:Author>
    </b:Author>
    <b:Title>Main Dashboard</b:Title>
    <b:InternetSiteTitle>Victoria Falls Stock Exchange</b:InternetSiteTitle>
    <b:Year>2024</b:Year>
    <b:URL>https://www.vfex.exchange/</b:URL>
    <b:RefOrder>3</b:RefOrder>
  </b:Source>
  <b:Source>
    <b:Tag>ZSE24</b:Tag>
    <b:SourceType>InternetSite</b:SourceType>
    <b:Guid>{40B098F4-EC97-445A-813A-899416F4B52B}</b:Guid>
    <b:Author>
      <b:Author>
        <b:Corporate>ZSE</b:Corporate>
      </b:Author>
    </b:Author>
    <b:Title>Main Dashboard</b:Title>
    <b:InternetSiteTitle>Zimbabwe Stock Exchange</b:InternetSiteTitle>
    <b:Year>2024</b:Year>
    <b:URL>https://www.zse.co.zw/</b:URL>
    <b:RefOrder>4</b:RefOrder>
  </b:Source>
  <b:Source>
    <b:Tag>Zim24</b:Tag>
    <b:SourceType>InternetSite</b:SourceType>
    <b:Guid>{4C57281A-E62E-4D20-922B-C504FA489846}</b:Guid>
    <b:Author>
      <b:Author>
        <b:Corporate>ZimStat</b:Corporate>
      </b:Author>
    </b:Author>
    <b:Title>Inflation Rates</b:Title>
    <b:InternetSiteTitle>Zimbabwe Statistics Agency</b:InternetSiteTitle>
    <b:Year>2024</b:Year>
    <b:URL>https://www.zimstat.co.zw/</b:URL>
    <b:RefOrder>5</b:RefOrder>
  </b:Source>
  <b:Source>
    <b:Tag>IMF24</b:Tag>
    <b:SourceType>Book</b:SourceType>
    <b:Guid>{8A8C0E7B-BE26-47E6-9B86-F7A3732992D2}</b:Guid>
    <b:Author>
      <b:Author>
        <b:Corporate>IMF</b:Corporate>
      </b:Author>
    </b:Author>
    <b:Title>World Economic Outlook, October 2024; Global prospects and Policies: Chapter 1</b:Title>
    <b:Year>2024</b:Year>
    <b:Publisher>International Monetary Fund</b:Publisher>
    <b:RefOrder>6</b:RefOrder>
  </b:Source>
  <b:Source>
    <b:Tag>Res24</b:Tag>
    <b:SourceType>Report</b:SourceType>
    <b:Guid>{C88F87DE-8864-4D55-BCB6-51F2103EAB8F}</b:Guid>
    <b:Author>
      <b:Author>
        <b:Corporate>Reserve Bank of Zimbabwe</b:Corporate>
      </b:Author>
    </b:Author>
    <b:Title>Monthly Economic Review: August 2024</b:Title>
    <b:Year>2024</b:Year>
    <b:Publisher>RBZ</b:Publisher>
    <b:RefOrder>7</b:RefOrder>
  </b:Source>
  <b:Source>
    <b:Tag>Res241</b:Tag>
    <b:SourceType>Report</b:SourceType>
    <b:Guid>{E72113C7-3494-42CE-8300-74BBAAB5CC35}</b:Guid>
    <b:Author>
      <b:Author>
        <b:Corporate>Reserve Bank of Zimbabwe</b:Corporate>
      </b:Author>
    </b:Author>
    <b:Title>Weekely Economic Highlights, 11 October 2024, Vol 26 No 41</b:Title>
    <b:Year>2024</b:Year>
    <b:Publisher>Reserve Bank of Zimbabwe</b:Publisher>
    <b:RefOrder>8</b:RefOrder>
  </b:Source>
  <b:Source>
    <b:Tag>Wor24</b:Tag>
    <b:SourceType>Report</b:SourceType>
    <b:Guid>{6BA3B418-1F28-4507-A5A2-1B58F053BBC4}</b:Guid>
    <b:Author>
      <b:Author>
        <b:Corporate>World Bank</b:Corporate>
      </b:Author>
    </b:Author>
    <b:Title>October 2024 Commodity Markets Outlook</b:Title>
    <b:Year>2024</b:Year>
    <b:Publisher>World Bank Group</b:Publisher>
    <b:RefOrder>9</b:RefOrder>
  </b:Source>
  <b:Source>
    <b:Tag>ALJ24</b:Tag>
    <b:SourceType>InternetSite</b:SourceType>
    <b:Guid>{9B9F493D-3D9D-4905-813D-AB1F5F014C29}</b:Guid>
    <b:Title>Business and Economy</b:Title>
    <b:Year>2024</b:Year>
    <b:Author>
      <b:Author>
        <b:Corporate>ALJAZEERA</b:Corporate>
      </b:Author>
    </b:Author>
    <b:Month>October</b:Month>
    <b:Day>24</b:Day>
    <b:InternetSiteTitle>Al Jazeera</b:InternetSiteTitle>
    <b:URL>https://www.aljazeera.com/news/2024/10/24/zimbabwes-gold-backed-currency-loses-half-its-value-why-and-whats-next</b:URL>
    <b:RefOrder>10</b:RefOrder>
  </b:Source>
</b:Sources>
</file>

<file path=customXml/itemProps1.xml><?xml version="1.0" encoding="utf-8"?>
<ds:datastoreItem xmlns:ds="http://schemas.openxmlformats.org/officeDocument/2006/customXml" ds:itemID="{3B45F74E-CC8E-4C39-B4D4-6F09FA148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17</Pages>
  <Words>3057</Words>
  <Characters>17426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20443</CharactersWithSpaces>
  <SharedDoc>false</SharedDoc>
  <HLinks>
    <vt:vector size="198" baseType="variant">
      <vt:variant>
        <vt:i4>1310782</vt:i4>
      </vt:variant>
      <vt:variant>
        <vt:i4>200</vt:i4>
      </vt:variant>
      <vt:variant>
        <vt:i4>0</vt:i4>
      </vt:variant>
      <vt:variant>
        <vt:i4>5</vt:i4>
      </vt:variant>
      <vt:variant>
        <vt:lpwstr/>
      </vt:variant>
      <vt:variant>
        <vt:lpwstr>_Toc181785691</vt:lpwstr>
      </vt:variant>
      <vt:variant>
        <vt:i4>1310782</vt:i4>
      </vt:variant>
      <vt:variant>
        <vt:i4>194</vt:i4>
      </vt:variant>
      <vt:variant>
        <vt:i4>0</vt:i4>
      </vt:variant>
      <vt:variant>
        <vt:i4>5</vt:i4>
      </vt:variant>
      <vt:variant>
        <vt:lpwstr/>
      </vt:variant>
      <vt:variant>
        <vt:lpwstr>_Toc181785690</vt:lpwstr>
      </vt:variant>
      <vt:variant>
        <vt:i4>1376318</vt:i4>
      </vt:variant>
      <vt:variant>
        <vt:i4>188</vt:i4>
      </vt:variant>
      <vt:variant>
        <vt:i4>0</vt:i4>
      </vt:variant>
      <vt:variant>
        <vt:i4>5</vt:i4>
      </vt:variant>
      <vt:variant>
        <vt:lpwstr/>
      </vt:variant>
      <vt:variant>
        <vt:lpwstr>_Toc181785689</vt:lpwstr>
      </vt:variant>
      <vt:variant>
        <vt:i4>1376318</vt:i4>
      </vt:variant>
      <vt:variant>
        <vt:i4>182</vt:i4>
      </vt:variant>
      <vt:variant>
        <vt:i4>0</vt:i4>
      </vt:variant>
      <vt:variant>
        <vt:i4>5</vt:i4>
      </vt:variant>
      <vt:variant>
        <vt:lpwstr/>
      </vt:variant>
      <vt:variant>
        <vt:lpwstr>_Toc181785688</vt:lpwstr>
      </vt:variant>
      <vt:variant>
        <vt:i4>1376318</vt:i4>
      </vt:variant>
      <vt:variant>
        <vt:i4>176</vt:i4>
      </vt:variant>
      <vt:variant>
        <vt:i4>0</vt:i4>
      </vt:variant>
      <vt:variant>
        <vt:i4>5</vt:i4>
      </vt:variant>
      <vt:variant>
        <vt:lpwstr/>
      </vt:variant>
      <vt:variant>
        <vt:lpwstr>_Toc181785687</vt:lpwstr>
      </vt:variant>
      <vt:variant>
        <vt:i4>1376318</vt:i4>
      </vt:variant>
      <vt:variant>
        <vt:i4>170</vt:i4>
      </vt:variant>
      <vt:variant>
        <vt:i4>0</vt:i4>
      </vt:variant>
      <vt:variant>
        <vt:i4>5</vt:i4>
      </vt:variant>
      <vt:variant>
        <vt:lpwstr/>
      </vt:variant>
      <vt:variant>
        <vt:lpwstr>_Toc181785686</vt:lpwstr>
      </vt:variant>
      <vt:variant>
        <vt:i4>1376319</vt:i4>
      </vt:variant>
      <vt:variant>
        <vt:i4>161</vt:i4>
      </vt:variant>
      <vt:variant>
        <vt:i4>0</vt:i4>
      </vt:variant>
      <vt:variant>
        <vt:i4>5</vt:i4>
      </vt:variant>
      <vt:variant>
        <vt:lpwstr/>
      </vt:variant>
      <vt:variant>
        <vt:lpwstr>_Toc181785785</vt:lpwstr>
      </vt:variant>
      <vt:variant>
        <vt:i4>1376319</vt:i4>
      </vt:variant>
      <vt:variant>
        <vt:i4>155</vt:i4>
      </vt:variant>
      <vt:variant>
        <vt:i4>0</vt:i4>
      </vt:variant>
      <vt:variant>
        <vt:i4>5</vt:i4>
      </vt:variant>
      <vt:variant>
        <vt:lpwstr/>
      </vt:variant>
      <vt:variant>
        <vt:lpwstr>_Toc181785784</vt:lpwstr>
      </vt:variant>
      <vt:variant>
        <vt:i4>1376319</vt:i4>
      </vt:variant>
      <vt:variant>
        <vt:i4>149</vt:i4>
      </vt:variant>
      <vt:variant>
        <vt:i4>0</vt:i4>
      </vt:variant>
      <vt:variant>
        <vt:i4>5</vt:i4>
      </vt:variant>
      <vt:variant>
        <vt:lpwstr/>
      </vt:variant>
      <vt:variant>
        <vt:lpwstr>_Toc181785783</vt:lpwstr>
      </vt:variant>
      <vt:variant>
        <vt:i4>1376319</vt:i4>
      </vt:variant>
      <vt:variant>
        <vt:i4>143</vt:i4>
      </vt:variant>
      <vt:variant>
        <vt:i4>0</vt:i4>
      </vt:variant>
      <vt:variant>
        <vt:i4>5</vt:i4>
      </vt:variant>
      <vt:variant>
        <vt:lpwstr/>
      </vt:variant>
      <vt:variant>
        <vt:lpwstr>_Toc181785782</vt:lpwstr>
      </vt:variant>
      <vt:variant>
        <vt:i4>1376319</vt:i4>
      </vt:variant>
      <vt:variant>
        <vt:i4>137</vt:i4>
      </vt:variant>
      <vt:variant>
        <vt:i4>0</vt:i4>
      </vt:variant>
      <vt:variant>
        <vt:i4>5</vt:i4>
      </vt:variant>
      <vt:variant>
        <vt:lpwstr/>
      </vt:variant>
      <vt:variant>
        <vt:lpwstr>_Toc181785781</vt:lpwstr>
      </vt:variant>
      <vt:variant>
        <vt:i4>1376319</vt:i4>
      </vt:variant>
      <vt:variant>
        <vt:i4>131</vt:i4>
      </vt:variant>
      <vt:variant>
        <vt:i4>0</vt:i4>
      </vt:variant>
      <vt:variant>
        <vt:i4>5</vt:i4>
      </vt:variant>
      <vt:variant>
        <vt:lpwstr/>
      </vt:variant>
      <vt:variant>
        <vt:lpwstr>_Toc181785780</vt:lpwstr>
      </vt:variant>
      <vt:variant>
        <vt:i4>1703999</vt:i4>
      </vt:variant>
      <vt:variant>
        <vt:i4>125</vt:i4>
      </vt:variant>
      <vt:variant>
        <vt:i4>0</vt:i4>
      </vt:variant>
      <vt:variant>
        <vt:i4>5</vt:i4>
      </vt:variant>
      <vt:variant>
        <vt:lpwstr/>
      </vt:variant>
      <vt:variant>
        <vt:lpwstr>_Toc181785779</vt:lpwstr>
      </vt:variant>
      <vt:variant>
        <vt:i4>1703997</vt:i4>
      </vt:variant>
      <vt:variant>
        <vt:i4>116</vt:i4>
      </vt:variant>
      <vt:variant>
        <vt:i4>0</vt:i4>
      </vt:variant>
      <vt:variant>
        <vt:i4>5</vt:i4>
      </vt:variant>
      <vt:variant>
        <vt:lpwstr/>
      </vt:variant>
      <vt:variant>
        <vt:lpwstr>_Toc181785577</vt:lpwstr>
      </vt:variant>
      <vt:variant>
        <vt:i4>1703997</vt:i4>
      </vt:variant>
      <vt:variant>
        <vt:i4>110</vt:i4>
      </vt:variant>
      <vt:variant>
        <vt:i4>0</vt:i4>
      </vt:variant>
      <vt:variant>
        <vt:i4>5</vt:i4>
      </vt:variant>
      <vt:variant>
        <vt:lpwstr/>
      </vt:variant>
      <vt:variant>
        <vt:lpwstr>_Toc181785576</vt:lpwstr>
      </vt:variant>
      <vt:variant>
        <vt:i4>1703997</vt:i4>
      </vt:variant>
      <vt:variant>
        <vt:i4>104</vt:i4>
      </vt:variant>
      <vt:variant>
        <vt:i4>0</vt:i4>
      </vt:variant>
      <vt:variant>
        <vt:i4>5</vt:i4>
      </vt:variant>
      <vt:variant>
        <vt:lpwstr/>
      </vt:variant>
      <vt:variant>
        <vt:lpwstr>_Toc181785575</vt:lpwstr>
      </vt:variant>
      <vt:variant>
        <vt:i4>1703997</vt:i4>
      </vt:variant>
      <vt:variant>
        <vt:i4>98</vt:i4>
      </vt:variant>
      <vt:variant>
        <vt:i4>0</vt:i4>
      </vt:variant>
      <vt:variant>
        <vt:i4>5</vt:i4>
      </vt:variant>
      <vt:variant>
        <vt:lpwstr/>
      </vt:variant>
      <vt:variant>
        <vt:lpwstr>_Toc181785574</vt:lpwstr>
      </vt:variant>
      <vt:variant>
        <vt:i4>1703997</vt:i4>
      </vt:variant>
      <vt:variant>
        <vt:i4>92</vt:i4>
      </vt:variant>
      <vt:variant>
        <vt:i4>0</vt:i4>
      </vt:variant>
      <vt:variant>
        <vt:i4>5</vt:i4>
      </vt:variant>
      <vt:variant>
        <vt:lpwstr/>
      </vt:variant>
      <vt:variant>
        <vt:lpwstr>_Toc181785573</vt:lpwstr>
      </vt:variant>
      <vt:variant>
        <vt:i4>1703997</vt:i4>
      </vt:variant>
      <vt:variant>
        <vt:i4>86</vt:i4>
      </vt:variant>
      <vt:variant>
        <vt:i4>0</vt:i4>
      </vt:variant>
      <vt:variant>
        <vt:i4>5</vt:i4>
      </vt:variant>
      <vt:variant>
        <vt:lpwstr/>
      </vt:variant>
      <vt:variant>
        <vt:lpwstr>_Toc181785572</vt:lpwstr>
      </vt:variant>
      <vt:variant>
        <vt:i4>1703997</vt:i4>
      </vt:variant>
      <vt:variant>
        <vt:i4>80</vt:i4>
      </vt:variant>
      <vt:variant>
        <vt:i4>0</vt:i4>
      </vt:variant>
      <vt:variant>
        <vt:i4>5</vt:i4>
      </vt:variant>
      <vt:variant>
        <vt:lpwstr/>
      </vt:variant>
      <vt:variant>
        <vt:lpwstr>_Toc181785571</vt:lpwstr>
      </vt:variant>
      <vt:variant>
        <vt:i4>1703997</vt:i4>
      </vt:variant>
      <vt:variant>
        <vt:i4>74</vt:i4>
      </vt:variant>
      <vt:variant>
        <vt:i4>0</vt:i4>
      </vt:variant>
      <vt:variant>
        <vt:i4>5</vt:i4>
      </vt:variant>
      <vt:variant>
        <vt:lpwstr/>
      </vt:variant>
      <vt:variant>
        <vt:lpwstr>_Toc181785570</vt:lpwstr>
      </vt:variant>
      <vt:variant>
        <vt:i4>1769533</vt:i4>
      </vt:variant>
      <vt:variant>
        <vt:i4>68</vt:i4>
      </vt:variant>
      <vt:variant>
        <vt:i4>0</vt:i4>
      </vt:variant>
      <vt:variant>
        <vt:i4>5</vt:i4>
      </vt:variant>
      <vt:variant>
        <vt:lpwstr/>
      </vt:variant>
      <vt:variant>
        <vt:lpwstr>_Toc181785569</vt:lpwstr>
      </vt:variant>
      <vt:variant>
        <vt:i4>1769533</vt:i4>
      </vt:variant>
      <vt:variant>
        <vt:i4>62</vt:i4>
      </vt:variant>
      <vt:variant>
        <vt:i4>0</vt:i4>
      </vt:variant>
      <vt:variant>
        <vt:i4>5</vt:i4>
      </vt:variant>
      <vt:variant>
        <vt:lpwstr/>
      </vt:variant>
      <vt:variant>
        <vt:lpwstr>_Toc181785568</vt:lpwstr>
      </vt:variant>
      <vt:variant>
        <vt:i4>1769533</vt:i4>
      </vt:variant>
      <vt:variant>
        <vt:i4>56</vt:i4>
      </vt:variant>
      <vt:variant>
        <vt:i4>0</vt:i4>
      </vt:variant>
      <vt:variant>
        <vt:i4>5</vt:i4>
      </vt:variant>
      <vt:variant>
        <vt:lpwstr/>
      </vt:variant>
      <vt:variant>
        <vt:lpwstr>_Toc181785567</vt:lpwstr>
      </vt:variant>
      <vt:variant>
        <vt:i4>1769533</vt:i4>
      </vt:variant>
      <vt:variant>
        <vt:i4>50</vt:i4>
      </vt:variant>
      <vt:variant>
        <vt:i4>0</vt:i4>
      </vt:variant>
      <vt:variant>
        <vt:i4>5</vt:i4>
      </vt:variant>
      <vt:variant>
        <vt:lpwstr/>
      </vt:variant>
      <vt:variant>
        <vt:lpwstr>_Toc181785566</vt:lpwstr>
      </vt:variant>
      <vt:variant>
        <vt:i4>1769533</vt:i4>
      </vt:variant>
      <vt:variant>
        <vt:i4>44</vt:i4>
      </vt:variant>
      <vt:variant>
        <vt:i4>0</vt:i4>
      </vt:variant>
      <vt:variant>
        <vt:i4>5</vt:i4>
      </vt:variant>
      <vt:variant>
        <vt:lpwstr/>
      </vt:variant>
      <vt:variant>
        <vt:lpwstr>_Toc181785565</vt:lpwstr>
      </vt:variant>
      <vt:variant>
        <vt:i4>1769533</vt:i4>
      </vt:variant>
      <vt:variant>
        <vt:i4>38</vt:i4>
      </vt:variant>
      <vt:variant>
        <vt:i4>0</vt:i4>
      </vt:variant>
      <vt:variant>
        <vt:i4>5</vt:i4>
      </vt:variant>
      <vt:variant>
        <vt:lpwstr/>
      </vt:variant>
      <vt:variant>
        <vt:lpwstr>_Toc181785564</vt:lpwstr>
      </vt:variant>
      <vt:variant>
        <vt:i4>1769533</vt:i4>
      </vt:variant>
      <vt:variant>
        <vt:i4>32</vt:i4>
      </vt:variant>
      <vt:variant>
        <vt:i4>0</vt:i4>
      </vt:variant>
      <vt:variant>
        <vt:i4>5</vt:i4>
      </vt:variant>
      <vt:variant>
        <vt:lpwstr/>
      </vt:variant>
      <vt:variant>
        <vt:lpwstr>_Toc181785563</vt:lpwstr>
      </vt:variant>
      <vt:variant>
        <vt:i4>1769533</vt:i4>
      </vt:variant>
      <vt:variant>
        <vt:i4>26</vt:i4>
      </vt:variant>
      <vt:variant>
        <vt:i4>0</vt:i4>
      </vt:variant>
      <vt:variant>
        <vt:i4>5</vt:i4>
      </vt:variant>
      <vt:variant>
        <vt:lpwstr/>
      </vt:variant>
      <vt:variant>
        <vt:lpwstr>_Toc181785562</vt:lpwstr>
      </vt:variant>
      <vt:variant>
        <vt:i4>1769533</vt:i4>
      </vt:variant>
      <vt:variant>
        <vt:i4>20</vt:i4>
      </vt:variant>
      <vt:variant>
        <vt:i4>0</vt:i4>
      </vt:variant>
      <vt:variant>
        <vt:i4>5</vt:i4>
      </vt:variant>
      <vt:variant>
        <vt:lpwstr/>
      </vt:variant>
      <vt:variant>
        <vt:lpwstr>_Toc181785561</vt:lpwstr>
      </vt:variant>
      <vt:variant>
        <vt:i4>1769533</vt:i4>
      </vt:variant>
      <vt:variant>
        <vt:i4>14</vt:i4>
      </vt:variant>
      <vt:variant>
        <vt:i4>0</vt:i4>
      </vt:variant>
      <vt:variant>
        <vt:i4>5</vt:i4>
      </vt:variant>
      <vt:variant>
        <vt:lpwstr/>
      </vt:variant>
      <vt:variant>
        <vt:lpwstr>_Toc181785560</vt:lpwstr>
      </vt:variant>
      <vt:variant>
        <vt:i4>1572925</vt:i4>
      </vt:variant>
      <vt:variant>
        <vt:i4>8</vt:i4>
      </vt:variant>
      <vt:variant>
        <vt:i4>0</vt:i4>
      </vt:variant>
      <vt:variant>
        <vt:i4>5</vt:i4>
      </vt:variant>
      <vt:variant>
        <vt:lpwstr/>
      </vt:variant>
      <vt:variant>
        <vt:lpwstr>_Toc181785559</vt:lpwstr>
      </vt:variant>
      <vt:variant>
        <vt:i4>1572925</vt:i4>
      </vt:variant>
      <vt:variant>
        <vt:i4>2</vt:i4>
      </vt:variant>
      <vt:variant>
        <vt:i4>0</vt:i4>
      </vt:variant>
      <vt:variant>
        <vt:i4>5</vt:i4>
      </vt:variant>
      <vt:variant>
        <vt:lpwstr/>
      </vt:variant>
      <vt:variant>
        <vt:lpwstr>_Toc181785558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Gowere</dc:creator>
  <cp:keywords/>
  <dc:description/>
  <cp:lastModifiedBy>Gabriel Gowere</cp:lastModifiedBy>
  <cp:revision>14</cp:revision>
  <dcterms:created xsi:type="dcterms:W3CDTF">2024-11-11T07:23:00Z</dcterms:created>
  <dcterms:modified xsi:type="dcterms:W3CDTF">2024-11-15T10:31:00Z</dcterms:modified>
</cp:coreProperties>
</file>