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D616A"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0B0F1320"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5C5D7084" w14:textId="78C1E719" w:rsidR="00B357AC" w:rsidRPr="00863A17" w:rsidRDefault="00F02064"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lang w:val="en-US"/>
        </w:rPr>
      </w:pPr>
      <w:r w:rsidRPr="00863A17">
        <w:rPr>
          <w:rFonts w:ascii="Tahoma" w:hAnsi="Tahoma" w:cs="Tahoma"/>
          <w:noProof/>
          <w:sz w:val="24"/>
          <w:szCs w:val="24"/>
          <w:lang w:eastAsia="en-ZW"/>
        </w:rPr>
        <w:drawing>
          <wp:inline distT="0" distB="0" distL="0" distR="0" wp14:anchorId="32CFC136" wp14:editId="492A59C0">
            <wp:extent cx="3133725" cy="1895475"/>
            <wp:effectExtent l="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895475"/>
                    </a:xfrm>
                    <a:prstGeom prst="rect">
                      <a:avLst/>
                    </a:prstGeom>
                    <a:noFill/>
                    <a:ln>
                      <a:noFill/>
                    </a:ln>
                  </pic:spPr>
                </pic:pic>
              </a:graphicData>
            </a:graphic>
          </wp:inline>
        </w:drawing>
      </w:r>
    </w:p>
    <w:p w14:paraId="07B25325"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lang w:val="en-US"/>
        </w:rPr>
      </w:pPr>
    </w:p>
    <w:p w14:paraId="5F2C6817"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sidRPr="007E39CC">
        <w:rPr>
          <w:rFonts w:ascii="Tahoma" w:hAnsi="Tahoma" w:cs="Tahoma"/>
          <w:b/>
          <w:sz w:val="32"/>
          <w:szCs w:val="32"/>
          <w:lang w:val="en-US"/>
        </w:rPr>
        <w:t>NATIONAL ECONOMIC CONSULTATIVE FORUM</w:t>
      </w:r>
    </w:p>
    <w:p w14:paraId="45A2164B"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763E1036"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4600E712" w14:textId="77777777" w:rsidR="00B357AC" w:rsidRPr="007E39CC" w:rsidRDefault="00DB67ED"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sidRPr="007E39CC">
        <w:rPr>
          <w:rFonts w:ascii="Tahoma" w:hAnsi="Tahoma" w:cs="Tahoma"/>
          <w:b/>
          <w:sz w:val="32"/>
          <w:szCs w:val="32"/>
          <w:lang w:val="en-US"/>
        </w:rPr>
        <w:t>MONTHLY</w:t>
      </w:r>
      <w:r w:rsidR="00B357AC" w:rsidRPr="007E39CC">
        <w:rPr>
          <w:rFonts w:ascii="Tahoma" w:hAnsi="Tahoma" w:cs="Tahoma"/>
          <w:b/>
          <w:sz w:val="32"/>
          <w:szCs w:val="32"/>
          <w:lang w:val="en-US"/>
        </w:rPr>
        <w:t xml:space="preserve"> ECONOMIC BULLETIN </w:t>
      </w:r>
    </w:p>
    <w:p w14:paraId="2BAD7655"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38A157B9"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p>
    <w:p w14:paraId="20AF1A91" w14:textId="4AB781E1" w:rsidR="00B357AC" w:rsidRPr="007E39CC" w:rsidRDefault="00126920"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32"/>
          <w:lang w:val="en-US"/>
        </w:rPr>
      </w:pPr>
      <w:r>
        <w:rPr>
          <w:rFonts w:ascii="Tahoma" w:hAnsi="Tahoma" w:cs="Tahoma"/>
          <w:b/>
          <w:sz w:val="32"/>
          <w:szCs w:val="32"/>
          <w:lang w:val="en-US"/>
        </w:rPr>
        <w:t xml:space="preserve">30 </w:t>
      </w:r>
      <w:r w:rsidR="00201F25">
        <w:rPr>
          <w:rFonts w:ascii="Tahoma" w:hAnsi="Tahoma" w:cs="Tahoma"/>
          <w:b/>
          <w:sz w:val="32"/>
          <w:szCs w:val="32"/>
          <w:lang w:val="en-US"/>
        </w:rPr>
        <w:t>SEPTEMBER</w:t>
      </w:r>
      <w:r w:rsidR="00B357AC" w:rsidRPr="007E39CC">
        <w:rPr>
          <w:rFonts w:ascii="Tahoma" w:hAnsi="Tahoma" w:cs="Tahoma"/>
          <w:b/>
          <w:sz w:val="32"/>
          <w:szCs w:val="32"/>
          <w:lang w:val="en-US"/>
        </w:rPr>
        <w:t xml:space="preserve"> 202</w:t>
      </w:r>
      <w:r w:rsidR="00DB67ED" w:rsidRPr="007E39CC">
        <w:rPr>
          <w:rFonts w:ascii="Tahoma" w:hAnsi="Tahoma" w:cs="Tahoma"/>
          <w:b/>
          <w:sz w:val="32"/>
          <w:szCs w:val="32"/>
          <w:lang w:val="en-US"/>
        </w:rPr>
        <w:t>4</w:t>
      </w:r>
    </w:p>
    <w:p w14:paraId="789AF5A7" w14:textId="77777777" w:rsidR="00B357AC" w:rsidRPr="007E39CC"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32"/>
          <w:szCs w:val="32"/>
          <w:lang w:val="en-US"/>
        </w:rPr>
      </w:pPr>
    </w:p>
    <w:p w14:paraId="6BCF04B9"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7FF50D30"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7707DE80" w14:textId="77777777" w:rsidR="00B357AC" w:rsidRPr="00863A17"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lang w:val="en-US"/>
        </w:rPr>
      </w:pPr>
    </w:p>
    <w:p w14:paraId="03EFBC48" w14:textId="77777777" w:rsidR="00B357AC" w:rsidRPr="00863A17" w:rsidRDefault="00B357AC" w:rsidP="00B357AC">
      <w:pPr>
        <w:rPr>
          <w:rFonts w:ascii="Tahoma" w:hAnsi="Tahoma" w:cs="Tahoma"/>
          <w:sz w:val="24"/>
          <w:szCs w:val="24"/>
          <w:lang w:val="en-US"/>
        </w:rPr>
        <w:sectPr w:rsidR="00B357AC" w:rsidRPr="00863A17" w:rsidSect="006D22C2">
          <w:footerReference w:type="default" r:id="rId9"/>
          <w:pgSz w:w="11906" w:h="16838"/>
          <w:pgMar w:top="1440" w:right="1440" w:bottom="1440" w:left="1440" w:header="708" w:footer="708" w:gutter="0"/>
          <w:cols w:space="708"/>
          <w:titlePg/>
          <w:docGrid w:linePitch="360"/>
        </w:sectPr>
      </w:pPr>
    </w:p>
    <w:p w14:paraId="1F16B94D" w14:textId="77777777" w:rsidR="007E39CC" w:rsidRPr="00A92D41" w:rsidRDefault="007E39CC" w:rsidP="007E39CC">
      <w:pPr>
        <w:pStyle w:val="Heading1"/>
        <w:spacing w:before="0" w:after="240"/>
        <w:rPr>
          <w:rFonts w:cs="Tahoma"/>
          <w:bCs/>
          <w:color w:val="000000"/>
          <w:szCs w:val="24"/>
          <w:lang w:val="en-US"/>
        </w:rPr>
      </w:pPr>
      <w:bookmarkStart w:id="0" w:name="_Toc166607888"/>
      <w:bookmarkStart w:id="1" w:name="_Toc181022174"/>
      <w:r w:rsidRPr="00A92D41">
        <w:rPr>
          <w:rFonts w:cs="Tahoma"/>
          <w:bCs/>
          <w:color w:val="000000"/>
          <w:szCs w:val="24"/>
          <w:lang w:val="en-US"/>
        </w:rPr>
        <w:lastRenderedPageBreak/>
        <w:t>Executive Summary</w:t>
      </w:r>
      <w:bookmarkEnd w:id="0"/>
      <w:bookmarkEnd w:id="1"/>
      <w:r w:rsidRPr="00A92D41">
        <w:rPr>
          <w:rFonts w:cs="Tahoma"/>
          <w:bCs/>
          <w:color w:val="000000"/>
          <w:szCs w:val="24"/>
          <w:lang w:val="en-US"/>
        </w:rPr>
        <w:t xml:space="preserve"> </w:t>
      </w:r>
    </w:p>
    <w:p w14:paraId="45CF79B7" w14:textId="77777777" w:rsidR="00193B40" w:rsidRDefault="007E39CC" w:rsidP="007E39CC">
      <w:pPr>
        <w:jc w:val="both"/>
        <w:rPr>
          <w:rFonts w:ascii="Tahoma" w:hAnsi="Tahoma" w:cs="Tahoma"/>
          <w:sz w:val="24"/>
          <w:szCs w:val="24"/>
          <w:lang w:val="en-US"/>
        </w:rPr>
      </w:pPr>
      <w:r w:rsidRPr="00DC5CBE">
        <w:rPr>
          <w:rFonts w:ascii="Tahoma" w:hAnsi="Tahoma" w:cs="Tahoma"/>
          <w:sz w:val="24"/>
          <w:szCs w:val="24"/>
          <w:lang w:val="en-US"/>
        </w:rPr>
        <w:t xml:space="preserve">This bulletin focuses on economic developments for the </w:t>
      </w:r>
      <w:r>
        <w:rPr>
          <w:rFonts w:ascii="Tahoma" w:hAnsi="Tahoma" w:cs="Tahoma"/>
          <w:sz w:val="24"/>
          <w:szCs w:val="24"/>
          <w:lang w:val="en-US"/>
        </w:rPr>
        <w:t>month</w:t>
      </w:r>
      <w:r w:rsidRPr="00DC5CBE">
        <w:rPr>
          <w:rFonts w:ascii="Tahoma" w:hAnsi="Tahoma" w:cs="Tahoma"/>
          <w:sz w:val="24"/>
          <w:szCs w:val="24"/>
          <w:lang w:val="en-US"/>
        </w:rPr>
        <w:t xml:space="preserve"> ending </w:t>
      </w:r>
      <w:r w:rsidR="005C14E0">
        <w:rPr>
          <w:rFonts w:ascii="Tahoma" w:hAnsi="Tahoma" w:cs="Tahoma"/>
          <w:sz w:val="24"/>
          <w:szCs w:val="24"/>
          <w:lang w:val="en-US"/>
        </w:rPr>
        <w:t>3</w:t>
      </w:r>
      <w:r w:rsidR="00A0364A">
        <w:rPr>
          <w:rFonts w:ascii="Tahoma" w:hAnsi="Tahoma" w:cs="Tahoma"/>
          <w:sz w:val="24"/>
          <w:szCs w:val="24"/>
          <w:lang w:val="en-US"/>
        </w:rPr>
        <w:t>0</w:t>
      </w:r>
      <w:r w:rsidRPr="00DC5CBE">
        <w:rPr>
          <w:rFonts w:ascii="Tahoma" w:hAnsi="Tahoma" w:cs="Tahoma"/>
          <w:sz w:val="24"/>
          <w:szCs w:val="24"/>
          <w:lang w:val="en-US"/>
        </w:rPr>
        <w:t xml:space="preserve"> </w:t>
      </w:r>
      <w:r w:rsidR="00A0364A">
        <w:rPr>
          <w:rFonts w:ascii="Tahoma" w:hAnsi="Tahoma" w:cs="Tahoma"/>
          <w:sz w:val="24"/>
          <w:szCs w:val="24"/>
          <w:lang w:val="en-US"/>
        </w:rPr>
        <w:t>September</w:t>
      </w:r>
      <w:r w:rsidR="00CB78E8">
        <w:rPr>
          <w:rFonts w:ascii="Tahoma" w:hAnsi="Tahoma" w:cs="Tahoma"/>
          <w:sz w:val="24"/>
          <w:szCs w:val="24"/>
          <w:lang w:val="en-US"/>
        </w:rPr>
        <w:t xml:space="preserve"> </w:t>
      </w:r>
      <w:r w:rsidRPr="00DC5CBE">
        <w:rPr>
          <w:rFonts w:ascii="Tahoma" w:hAnsi="Tahoma" w:cs="Tahoma"/>
          <w:sz w:val="24"/>
          <w:szCs w:val="24"/>
          <w:lang w:val="en-US"/>
        </w:rPr>
        <w:t>202</w:t>
      </w:r>
      <w:r>
        <w:rPr>
          <w:rFonts w:ascii="Tahoma" w:hAnsi="Tahoma" w:cs="Tahoma"/>
          <w:sz w:val="24"/>
          <w:szCs w:val="24"/>
          <w:lang w:val="en-US"/>
        </w:rPr>
        <w:t>4</w:t>
      </w:r>
      <w:r w:rsidRPr="00DC5CBE">
        <w:rPr>
          <w:rFonts w:ascii="Tahoma" w:hAnsi="Tahoma" w:cs="Tahoma"/>
          <w:sz w:val="24"/>
          <w:szCs w:val="24"/>
          <w:lang w:val="en-US"/>
        </w:rPr>
        <w:t xml:space="preserve"> that </w:t>
      </w:r>
      <w:r w:rsidR="004E37A1" w:rsidRPr="00DC5CBE">
        <w:rPr>
          <w:rFonts w:ascii="Tahoma" w:hAnsi="Tahoma" w:cs="Tahoma"/>
          <w:sz w:val="24"/>
          <w:szCs w:val="24"/>
          <w:lang w:val="en-US"/>
        </w:rPr>
        <w:t>include</w:t>
      </w:r>
      <w:r w:rsidR="004E37A1">
        <w:rPr>
          <w:rFonts w:ascii="Tahoma" w:hAnsi="Tahoma" w:cs="Tahoma"/>
          <w:sz w:val="24"/>
          <w:szCs w:val="24"/>
          <w:lang w:val="en-US"/>
        </w:rPr>
        <w:t>,</w:t>
      </w:r>
      <w:r w:rsidR="00193B40">
        <w:rPr>
          <w:rFonts w:ascii="Tahoma" w:hAnsi="Tahoma" w:cs="Tahoma"/>
          <w:sz w:val="24"/>
          <w:szCs w:val="24"/>
          <w:lang w:val="en-US"/>
        </w:rPr>
        <w:t xml:space="preserve"> World economic developments, international commodity prices,</w:t>
      </w:r>
      <w:r w:rsidRPr="00DC5CBE">
        <w:rPr>
          <w:rFonts w:ascii="Tahoma" w:hAnsi="Tahoma" w:cs="Tahoma"/>
          <w:sz w:val="24"/>
          <w:szCs w:val="24"/>
          <w:lang w:val="en-US"/>
        </w:rPr>
        <w:t xml:space="preserve"> Zimbabwe Gross Domestic Product (GDP) growth updates, merchandise trade developments, exchange rate developments, inflation developments, monetary development</w:t>
      </w:r>
      <w:r w:rsidR="00193B40">
        <w:rPr>
          <w:rFonts w:ascii="Tahoma" w:hAnsi="Tahoma" w:cs="Tahoma"/>
          <w:sz w:val="24"/>
          <w:szCs w:val="24"/>
          <w:lang w:val="en-US"/>
        </w:rPr>
        <w:t>s and stock market developments.</w:t>
      </w:r>
    </w:p>
    <w:p w14:paraId="31FB6AB7" w14:textId="77777777" w:rsidR="008F1CA6" w:rsidRPr="008F1CA6" w:rsidRDefault="008F1CA6" w:rsidP="008F1CA6">
      <w:pPr>
        <w:jc w:val="both"/>
        <w:rPr>
          <w:rFonts w:ascii="Tahoma" w:hAnsi="Tahoma" w:cs="Tahoma"/>
          <w:sz w:val="24"/>
          <w:szCs w:val="24"/>
          <w:lang w:val="en-US"/>
        </w:rPr>
      </w:pPr>
      <w:r w:rsidRPr="008F1CA6">
        <w:rPr>
          <w:rFonts w:ascii="Tahoma" w:hAnsi="Tahoma" w:cs="Tahoma"/>
          <w:sz w:val="24"/>
          <w:szCs w:val="24"/>
          <w:lang w:val="en-US"/>
        </w:rPr>
        <w:t>Global economic growth is projected to stabilize at a subdued 2.7% in both 2024 and 2025, according to the United Nations, constrained by high interest rates, limited fiscal resources, and geopolitical tensions, particularly in the United States and the Middle East. Low-income countries, especially in Africa, face added challenges from tightening financial conditions, rising debt servicing costs, and climate change impacts. Southern Africa is expected to grow modestly at 1.8% in 2024, improving to 2.5% in 2025.</w:t>
      </w:r>
    </w:p>
    <w:p w14:paraId="1539B511" w14:textId="77777777" w:rsidR="008F1CA6" w:rsidRPr="008F1CA6" w:rsidRDefault="008F1CA6" w:rsidP="008F1CA6">
      <w:pPr>
        <w:jc w:val="both"/>
        <w:rPr>
          <w:rFonts w:ascii="Tahoma" w:hAnsi="Tahoma" w:cs="Tahoma"/>
          <w:sz w:val="24"/>
          <w:szCs w:val="24"/>
          <w:lang w:val="en-US"/>
        </w:rPr>
      </w:pPr>
      <w:r w:rsidRPr="008F1CA6">
        <w:rPr>
          <w:rFonts w:ascii="Tahoma" w:hAnsi="Tahoma" w:cs="Tahoma"/>
          <w:sz w:val="24"/>
          <w:szCs w:val="24"/>
          <w:lang w:val="en-US"/>
        </w:rPr>
        <w:t>Global inflation trends indicate moderation, especially in developed economies where inflation approaches central bank targets. While inflation remains higher in developing economies, overall projections suggest gradual reduction in 2025, potentially easing imported inflation pressures on Zimbabwe’s economy.</w:t>
      </w:r>
    </w:p>
    <w:p w14:paraId="61E404B2" w14:textId="6D4A715D" w:rsidR="008F1CA6" w:rsidRPr="008F1CA6" w:rsidRDefault="008F1CA6" w:rsidP="008F1CA6">
      <w:pPr>
        <w:jc w:val="both"/>
        <w:rPr>
          <w:rFonts w:ascii="Tahoma" w:hAnsi="Tahoma" w:cs="Tahoma"/>
          <w:sz w:val="24"/>
          <w:szCs w:val="24"/>
          <w:lang w:val="en-US"/>
        </w:rPr>
      </w:pPr>
      <w:r w:rsidRPr="008F1CA6">
        <w:rPr>
          <w:rFonts w:ascii="Tahoma" w:hAnsi="Tahoma" w:cs="Tahoma"/>
          <w:sz w:val="24"/>
          <w:szCs w:val="24"/>
          <w:lang w:val="en-US"/>
        </w:rPr>
        <w:t>Commodity prices exhibited mixed trends, with year-to-date increases in natural gas, al</w:t>
      </w:r>
      <w:r>
        <w:rPr>
          <w:rFonts w:ascii="Tahoma" w:hAnsi="Tahoma" w:cs="Tahoma"/>
          <w:sz w:val="24"/>
          <w:szCs w:val="24"/>
          <w:lang w:val="en-US"/>
        </w:rPr>
        <w:t>u</w:t>
      </w:r>
      <w:r w:rsidRPr="008F1CA6">
        <w:rPr>
          <w:rFonts w:ascii="Tahoma" w:hAnsi="Tahoma" w:cs="Tahoma"/>
          <w:sz w:val="24"/>
          <w:szCs w:val="24"/>
          <w:lang w:val="en-US"/>
        </w:rPr>
        <w:t xml:space="preserve">minum, copper, nickel, and </w:t>
      </w:r>
      <w:r w:rsidRPr="008F1CA6">
        <w:rPr>
          <w:rFonts w:ascii="Tahoma" w:hAnsi="Tahoma" w:cs="Tahoma"/>
          <w:sz w:val="24"/>
          <w:szCs w:val="24"/>
          <w:lang w:val="en-US"/>
        </w:rPr>
        <w:t>gold</w:t>
      </w:r>
      <w:r w:rsidRPr="008F1CA6">
        <w:rPr>
          <w:rFonts w:ascii="Tahoma" w:hAnsi="Tahoma" w:cs="Tahoma"/>
          <w:sz w:val="24"/>
          <w:szCs w:val="24"/>
          <w:lang w:val="en-US"/>
        </w:rPr>
        <w:t>, while agricultural commodities like soybeans and wheat showed declines. Strong performance in metals, particularly gold, supports Zimbabwe's mining sector, but lower agricultural commodity prices challenge the agricultural sector.</w:t>
      </w:r>
    </w:p>
    <w:p w14:paraId="0395115C" w14:textId="77777777" w:rsidR="008F1CA6" w:rsidRPr="008F1CA6" w:rsidRDefault="008F1CA6" w:rsidP="008F1CA6">
      <w:pPr>
        <w:jc w:val="both"/>
        <w:rPr>
          <w:rFonts w:ascii="Tahoma" w:hAnsi="Tahoma" w:cs="Tahoma"/>
          <w:sz w:val="24"/>
          <w:szCs w:val="24"/>
          <w:lang w:val="en-US"/>
        </w:rPr>
      </w:pPr>
      <w:r w:rsidRPr="008F1CA6">
        <w:rPr>
          <w:rFonts w:ascii="Tahoma" w:hAnsi="Tahoma" w:cs="Tahoma"/>
          <w:sz w:val="24"/>
          <w:szCs w:val="24"/>
          <w:lang w:val="en-US"/>
        </w:rPr>
        <w:t>Zimbabwe’s GDP growth is expected to stagnate at 2% in 2024, impacted by El Niño-induced drought, low mining prices, and macroeconomic instability, including power shortages and currency depreciation. Growth is anticipated to recover to 6.2% in 2025 as climate effects ease and investments enhance mining and manufacturing output.</w:t>
      </w:r>
    </w:p>
    <w:p w14:paraId="08C7B118" w14:textId="77777777" w:rsidR="008F1CA6" w:rsidRPr="008F1CA6" w:rsidRDefault="008F1CA6" w:rsidP="008F1CA6">
      <w:pPr>
        <w:jc w:val="both"/>
        <w:rPr>
          <w:rFonts w:ascii="Tahoma" w:hAnsi="Tahoma" w:cs="Tahoma"/>
          <w:sz w:val="24"/>
          <w:szCs w:val="24"/>
          <w:lang w:val="en-US"/>
        </w:rPr>
      </w:pPr>
      <w:r w:rsidRPr="008F1CA6">
        <w:rPr>
          <w:rFonts w:ascii="Tahoma" w:hAnsi="Tahoma" w:cs="Tahoma"/>
          <w:sz w:val="24"/>
          <w:szCs w:val="24"/>
          <w:lang w:val="en-US"/>
        </w:rPr>
        <w:t>Trade data shows a 7.9% increase in merchandise trade from June to July 2024, primarily driven by rising gold exports. However, the trade deficit widened due to increased maize imports addressing drought impacts.</w:t>
      </w:r>
    </w:p>
    <w:p w14:paraId="0BFF50A3" w14:textId="0CFF1306" w:rsidR="008F1CA6" w:rsidRPr="008F1CA6" w:rsidRDefault="008F1CA6" w:rsidP="008F1CA6">
      <w:pPr>
        <w:jc w:val="both"/>
        <w:rPr>
          <w:rFonts w:ascii="Tahoma" w:hAnsi="Tahoma" w:cs="Tahoma"/>
          <w:sz w:val="24"/>
          <w:szCs w:val="24"/>
          <w:lang w:val="en-US"/>
        </w:rPr>
      </w:pPr>
      <w:r w:rsidRPr="008F1CA6">
        <w:rPr>
          <w:rFonts w:ascii="Tahoma" w:hAnsi="Tahoma" w:cs="Tahoma"/>
          <w:sz w:val="24"/>
          <w:szCs w:val="24"/>
          <w:lang w:val="en-US"/>
        </w:rPr>
        <w:t>In the parallel market, the USD/Z</w:t>
      </w:r>
      <w:r>
        <w:rPr>
          <w:rFonts w:ascii="Tahoma" w:hAnsi="Tahoma" w:cs="Tahoma"/>
          <w:sz w:val="24"/>
          <w:szCs w:val="24"/>
          <w:lang w:val="en-US"/>
        </w:rPr>
        <w:t>WG</w:t>
      </w:r>
      <w:r w:rsidRPr="008F1CA6">
        <w:rPr>
          <w:rFonts w:ascii="Tahoma" w:hAnsi="Tahoma" w:cs="Tahoma"/>
          <w:sz w:val="24"/>
          <w:szCs w:val="24"/>
          <w:lang w:val="en-US"/>
        </w:rPr>
        <w:t xml:space="preserve"> rate fluctuated from 23 to 40 in September 2024. The ZWG devaluation by the Reserve Bank on </w:t>
      </w:r>
      <w:r w:rsidR="00DD11EB">
        <w:rPr>
          <w:rFonts w:ascii="Tahoma" w:hAnsi="Tahoma" w:cs="Tahoma"/>
          <w:sz w:val="24"/>
          <w:szCs w:val="24"/>
          <w:lang w:val="en-US"/>
        </w:rPr>
        <w:t xml:space="preserve">27 </w:t>
      </w:r>
      <w:r w:rsidRPr="008F1CA6">
        <w:rPr>
          <w:rFonts w:ascii="Tahoma" w:hAnsi="Tahoma" w:cs="Tahoma"/>
          <w:sz w:val="24"/>
          <w:szCs w:val="24"/>
          <w:lang w:val="en-US"/>
        </w:rPr>
        <w:t>September 2024, narrowed the premium between the official and parallel exchange rates, reducing the premium from 136% to 60% by the end of the month. This move helped stabilize the ZWG in the short term but underscored persistent currency instability within the economy.</w:t>
      </w:r>
    </w:p>
    <w:p w14:paraId="5CC530C4" w14:textId="0B6DE5C3" w:rsidR="008F1CA6" w:rsidRPr="008F1CA6" w:rsidRDefault="008F1CA6" w:rsidP="008F1CA6">
      <w:pPr>
        <w:jc w:val="both"/>
        <w:rPr>
          <w:rFonts w:ascii="Tahoma" w:hAnsi="Tahoma" w:cs="Tahoma"/>
          <w:sz w:val="24"/>
          <w:szCs w:val="24"/>
          <w:lang w:val="en-US"/>
        </w:rPr>
      </w:pPr>
      <w:r w:rsidRPr="008F1CA6">
        <w:rPr>
          <w:rFonts w:ascii="Tahoma" w:hAnsi="Tahoma" w:cs="Tahoma"/>
          <w:sz w:val="24"/>
          <w:szCs w:val="24"/>
          <w:lang w:val="en-US"/>
        </w:rPr>
        <w:t xml:space="preserve">In cross-rate developments, the USD weakened against key global currencies, including the GBP, EUR, and ZAR, by 1.69%, 0.82%, and 3.82%, respectively, </w:t>
      </w:r>
      <w:proofErr w:type="gramStart"/>
      <w:r w:rsidRPr="008F1CA6">
        <w:rPr>
          <w:rFonts w:ascii="Tahoma" w:hAnsi="Tahoma" w:cs="Tahoma"/>
          <w:sz w:val="24"/>
          <w:szCs w:val="24"/>
          <w:lang w:val="en-US"/>
        </w:rPr>
        <w:t>on a monthly basis</w:t>
      </w:r>
      <w:proofErr w:type="gramEnd"/>
      <w:r w:rsidRPr="008F1CA6">
        <w:rPr>
          <w:rFonts w:ascii="Tahoma" w:hAnsi="Tahoma" w:cs="Tahoma"/>
          <w:sz w:val="24"/>
          <w:szCs w:val="24"/>
          <w:lang w:val="en-US"/>
        </w:rPr>
        <w:t xml:space="preserve">. This USD depreciation supports Zimbabwe’s export potential to South Africa, its largest trading partner in the region, providing a </w:t>
      </w:r>
      <w:r w:rsidR="00DD11EB" w:rsidRPr="008F1CA6">
        <w:rPr>
          <w:rFonts w:ascii="Tahoma" w:hAnsi="Tahoma" w:cs="Tahoma"/>
          <w:sz w:val="24"/>
          <w:szCs w:val="24"/>
          <w:lang w:val="en-US"/>
        </w:rPr>
        <w:t>favo</w:t>
      </w:r>
      <w:r w:rsidR="00DD11EB">
        <w:rPr>
          <w:rFonts w:ascii="Tahoma" w:hAnsi="Tahoma" w:cs="Tahoma"/>
          <w:sz w:val="24"/>
          <w:szCs w:val="24"/>
          <w:lang w:val="en-US"/>
        </w:rPr>
        <w:t>r</w:t>
      </w:r>
      <w:r w:rsidR="00DD11EB" w:rsidRPr="008F1CA6">
        <w:rPr>
          <w:rFonts w:ascii="Tahoma" w:hAnsi="Tahoma" w:cs="Tahoma"/>
          <w:sz w:val="24"/>
          <w:szCs w:val="24"/>
          <w:lang w:val="en-US"/>
        </w:rPr>
        <w:t>able</w:t>
      </w:r>
      <w:r w:rsidRPr="008F1CA6">
        <w:rPr>
          <w:rFonts w:ascii="Tahoma" w:hAnsi="Tahoma" w:cs="Tahoma"/>
          <w:sz w:val="24"/>
          <w:szCs w:val="24"/>
          <w:lang w:val="en-US"/>
        </w:rPr>
        <w:t xml:space="preserve"> outlook for exports to the South African market.</w:t>
      </w:r>
    </w:p>
    <w:p w14:paraId="78EFDEBC" w14:textId="77777777" w:rsidR="008F1CA6" w:rsidRPr="008F1CA6" w:rsidRDefault="008F1CA6" w:rsidP="008F1CA6">
      <w:pPr>
        <w:jc w:val="both"/>
        <w:rPr>
          <w:rFonts w:ascii="Tahoma" w:hAnsi="Tahoma" w:cs="Tahoma"/>
          <w:sz w:val="24"/>
          <w:szCs w:val="24"/>
          <w:lang w:val="en-US"/>
        </w:rPr>
      </w:pPr>
      <w:r w:rsidRPr="008F1CA6">
        <w:rPr>
          <w:rFonts w:ascii="Tahoma" w:hAnsi="Tahoma" w:cs="Tahoma"/>
          <w:sz w:val="24"/>
          <w:szCs w:val="24"/>
          <w:lang w:val="en-US"/>
        </w:rPr>
        <w:lastRenderedPageBreak/>
        <w:t>Inflation in Zimbabwe surged in September 2024, driven largely by ZWG devaluation, with food and utilities being primary inflation drivers. Monetary developments reveal a broad money increase in July 2024, yet low deposit rates dampen savings incentives, while high lending rates restrict borrowing. This environment fuels informal market activities and limits economic growth potential.</w:t>
      </w:r>
    </w:p>
    <w:p w14:paraId="41291DA5" w14:textId="77777777" w:rsidR="008F1CA6" w:rsidRPr="008F1CA6" w:rsidRDefault="008F1CA6" w:rsidP="008F1CA6">
      <w:pPr>
        <w:jc w:val="both"/>
        <w:rPr>
          <w:rFonts w:ascii="Tahoma" w:hAnsi="Tahoma" w:cs="Tahoma"/>
          <w:sz w:val="24"/>
          <w:szCs w:val="24"/>
          <w:lang w:val="en-US"/>
        </w:rPr>
      </w:pPr>
      <w:r w:rsidRPr="008F1CA6">
        <w:rPr>
          <w:rFonts w:ascii="Tahoma" w:hAnsi="Tahoma" w:cs="Tahoma"/>
          <w:sz w:val="24"/>
          <w:szCs w:val="24"/>
          <w:lang w:val="en-US"/>
        </w:rPr>
        <w:t>Zimbabwe’s stock exchanges reflected positive sentiment in September 2024, with gains across indices on both the Zimbabwe Stock Exchange (ZSE) and Victoria Falls Stock Exchange (VFEX). Despite these gains, value traded on both exchanges showed notable year-to-date declines, indicating cautious trading volumes amid ongoing economic challenges.</w:t>
      </w:r>
    </w:p>
    <w:p w14:paraId="6C191E99" w14:textId="77777777" w:rsidR="00D46F37" w:rsidRPr="00F05BD5" w:rsidRDefault="00790EF8" w:rsidP="00F05BD5">
      <w:pPr>
        <w:spacing w:line="360" w:lineRule="auto"/>
        <w:rPr>
          <w:rFonts w:ascii="Tahoma" w:hAnsi="Tahoma" w:cs="Tahoma"/>
          <w:b/>
          <w:bCs/>
          <w:sz w:val="24"/>
          <w:szCs w:val="24"/>
        </w:rPr>
      </w:pPr>
      <w:r>
        <w:rPr>
          <w:rFonts w:ascii="Tahoma" w:eastAsia="Times New Roman" w:hAnsi="Tahoma" w:cs="Tahoma"/>
          <w:bCs/>
          <w:kern w:val="0"/>
          <w:sz w:val="24"/>
          <w:szCs w:val="24"/>
        </w:rPr>
        <w:br w:type="page"/>
      </w:r>
      <w:r w:rsidR="00D46F37" w:rsidRPr="00F05BD5">
        <w:rPr>
          <w:rFonts w:ascii="Tahoma" w:hAnsi="Tahoma" w:cs="Tahoma"/>
          <w:b/>
          <w:bCs/>
          <w:sz w:val="24"/>
          <w:szCs w:val="24"/>
        </w:rPr>
        <w:lastRenderedPageBreak/>
        <w:t>Table of Contents</w:t>
      </w:r>
    </w:p>
    <w:p w14:paraId="119DB198" w14:textId="2B8A8A43" w:rsidR="00DD11EB" w:rsidRPr="00DD11EB" w:rsidRDefault="00D46F37">
      <w:pPr>
        <w:pStyle w:val="TOC1"/>
        <w:tabs>
          <w:tab w:val="right" w:leader="dot" w:pos="9016"/>
        </w:tabs>
        <w:rPr>
          <w:rFonts w:ascii="Tahoma" w:eastAsiaTheme="minorEastAsia" w:hAnsi="Tahoma" w:cs="Tahoma"/>
          <w:noProof/>
          <w:sz w:val="24"/>
          <w:szCs w:val="24"/>
          <w:lang w:val="en-GB" w:eastAsia="en-GB"/>
          <w14:ligatures w14:val="standardContextual"/>
        </w:rPr>
      </w:pPr>
      <w:r w:rsidRPr="00DD11EB">
        <w:rPr>
          <w:rFonts w:ascii="Tahoma" w:hAnsi="Tahoma" w:cs="Tahoma"/>
          <w:sz w:val="24"/>
          <w:szCs w:val="24"/>
        </w:rPr>
        <w:fldChar w:fldCharType="begin"/>
      </w:r>
      <w:r w:rsidRPr="00DD11EB">
        <w:rPr>
          <w:rFonts w:ascii="Tahoma" w:hAnsi="Tahoma" w:cs="Tahoma"/>
          <w:sz w:val="24"/>
          <w:szCs w:val="24"/>
        </w:rPr>
        <w:instrText xml:space="preserve"> TOC \o "1-3" \h \z \u </w:instrText>
      </w:r>
      <w:r w:rsidRPr="00DD11EB">
        <w:rPr>
          <w:rFonts w:ascii="Tahoma" w:hAnsi="Tahoma" w:cs="Tahoma"/>
          <w:sz w:val="24"/>
          <w:szCs w:val="24"/>
        </w:rPr>
        <w:fldChar w:fldCharType="separate"/>
      </w:r>
      <w:hyperlink w:anchor="_Toc181022174" w:history="1">
        <w:r w:rsidR="00DD11EB" w:rsidRPr="00DD11EB">
          <w:rPr>
            <w:rStyle w:val="Hyperlink"/>
            <w:rFonts w:ascii="Tahoma" w:hAnsi="Tahoma" w:cs="Tahoma"/>
            <w:noProof/>
            <w:sz w:val="24"/>
            <w:szCs w:val="24"/>
            <w:lang w:val="en-US"/>
          </w:rPr>
          <w:t>Executive Summary</w:t>
        </w:r>
        <w:r w:rsidR="00DD11EB" w:rsidRPr="00DD11EB">
          <w:rPr>
            <w:rFonts w:ascii="Tahoma" w:hAnsi="Tahoma" w:cs="Tahoma"/>
            <w:noProof/>
            <w:webHidden/>
            <w:sz w:val="24"/>
            <w:szCs w:val="24"/>
          </w:rPr>
          <w:tab/>
        </w:r>
        <w:r w:rsidR="00DD11EB" w:rsidRPr="00DD11EB">
          <w:rPr>
            <w:rFonts w:ascii="Tahoma" w:hAnsi="Tahoma" w:cs="Tahoma"/>
            <w:noProof/>
            <w:webHidden/>
            <w:sz w:val="24"/>
            <w:szCs w:val="24"/>
          </w:rPr>
          <w:fldChar w:fldCharType="begin"/>
        </w:r>
        <w:r w:rsidR="00DD11EB" w:rsidRPr="00DD11EB">
          <w:rPr>
            <w:rFonts w:ascii="Tahoma" w:hAnsi="Tahoma" w:cs="Tahoma"/>
            <w:noProof/>
            <w:webHidden/>
            <w:sz w:val="24"/>
            <w:szCs w:val="24"/>
          </w:rPr>
          <w:instrText xml:space="preserve"> PAGEREF _Toc181022174 \h </w:instrText>
        </w:r>
        <w:r w:rsidR="00DD11EB" w:rsidRPr="00DD11EB">
          <w:rPr>
            <w:rFonts w:ascii="Tahoma" w:hAnsi="Tahoma" w:cs="Tahoma"/>
            <w:noProof/>
            <w:webHidden/>
            <w:sz w:val="24"/>
            <w:szCs w:val="24"/>
          </w:rPr>
        </w:r>
        <w:r w:rsidR="00DD11EB" w:rsidRPr="00DD11EB">
          <w:rPr>
            <w:rFonts w:ascii="Tahoma" w:hAnsi="Tahoma" w:cs="Tahoma"/>
            <w:noProof/>
            <w:webHidden/>
            <w:sz w:val="24"/>
            <w:szCs w:val="24"/>
          </w:rPr>
          <w:fldChar w:fldCharType="separate"/>
        </w:r>
        <w:r w:rsidR="00DD11EB" w:rsidRPr="00DD11EB">
          <w:rPr>
            <w:rFonts w:ascii="Tahoma" w:hAnsi="Tahoma" w:cs="Tahoma"/>
            <w:noProof/>
            <w:webHidden/>
            <w:sz w:val="24"/>
            <w:szCs w:val="24"/>
          </w:rPr>
          <w:t>i</w:t>
        </w:r>
        <w:r w:rsidR="00DD11EB" w:rsidRPr="00DD11EB">
          <w:rPr>
            <w:rFonts w:ascii="Tahoma" w:hAnsi="Tahoma" w:cs="Tahoma"/>
            <w:noProof/>
            <w:webHidden/>
            <w:sz w:val="24"/>
            <w:szCs w:val="24"/>
          </w:rPr>
          <w:fldChar w:fldCharType="end"/>
        </w:r>
      </w:hyperlink>
    </w:p>
    <w:p w14:paraId="69B2C9CA" w14:textId="2EA476A4" w:rsidR="00DD11EB" w:rsidRPr="00DD11EB" w:rsidRDefault="00DD11EB">
      <w:pPr>
        <w:pStyle w:val="TOC1"/>
        <w:tabs>
          <w:tab w:val="right" w:leader="dot" w:pos="9016"/>
        </w:tabs>
        <w:rPr>
          <w:rFonts w:ascii="Tahoma" w:eastAsiaTheme="minorEastAsia" w:hAnsi="Tahoma" w:cs="Tahoma"/>
          <w:noProof/>
          <w:sz w:val="24"/>
          <w:szCs w:val="24"/>
          <w:lang w:val="en-GB" w:eastAsia="en-GB"/>
          <w14:ligatures w14:val="standardContextual"/>
        </w:rPr>
      </w:pPr>
      <w:hyperlink w:anchor="_Toc181022175" w:history="1">
        <w:r w:rsidRPr="00DD11EB">
          <w:rPr>
            <w:rStyle w:val="Hyperlink"/>
            <w:rFonts w:ascii="Tahoma" w:hAnsi="Tahoma" w:cs="Tahoma"/>
            <w:noProof/>
            <w:sz w:val="24"/>
            <w:szCs w:val="24"/>
            <w:lang w:val="en-US"/>
          </w:rPr>
          <w:t>List of Tables</w:t>
        </w:r>
        <w:r w:rsidRPr="00DD11EB">
          <w:rPr>
            <w:rFonts w:ascii="Tahoma" w:hAnsi="Tahoma" w:cs="Tahoma"/>
            <w:noProof/>
            <w:webHidden/>
            <w:sz w:val="24"/>
            <w:szCs w:val="24"/>
          </w:rPr>
          <w:tab/>
        </w:r>
        <w:r w:rsidRPr="00DD11EB">
          <w:rPr>
            <w:rFonts w:ascii="Tahoma" w:hAnsi="Tahoma" w:cs="Tahoma"/>
            <w:noProof/>
            <w:webHidden/>
            <w:sz w:val="24"/>
            <w:szCs w:val="24"/>
          </w:rPr>
          <w:fldChar w:fldCharType="begin"/>
        </w:r>
        <w:r w:rsidRPr="00DD11EB">
          <w:rPr>
            <w:rFonts w:ascii="Tahoma" w:hAnsi="Tahoma" w:cs="Tahoma"/>
            <w:noProof/>
            <w:webHidden/>
            <w:sz w:val="24"/>
            <w:szCs w:val="24"/>
          </w:rPr>
          <w:instrText xml:space="preserve"> PAGEREF _Toc181022175 \h </w:instrText>
        </w:r>
        <w:r w:rsidRPr="00DD11EB">
          <w:rPr>
            <w:rFonts w:ascii="Tahoma" w:hAnsi="Tahoma" w:cs="Tahoma"/>
            <w:noProof/>
            <w:webHidden/>
            <w:sz w:val="24"/>
            <w:szCs w:val="24"/>
          </w:rPr>
        </w:r>
        <w:r w:rsidRPr="00DD11EB">
          <w:rPr>
            <w:rFonts w:ascii="Tahoma" w:hAnsi="Tahoma" w:cs="Tahoma"/>
            <w:noProof/>
            <w:webHidden/>
            <w:sz w:val="24"/>
            <w:szCs w:val="24"/>
          </w:rPr>
          <w:fldChar w:fldCharType="separate"/>
        </w:r>
        <w:r w:rsidRPr="00DD11EB">
          <w:rPr>
            <w:rFonts w:ascii="Tahoma" w:hAnsi="Tahoma" w:cs="Tahoma"/>
            <w:noProof/>
            <w:webHidden/>
            <w:sz w:val="24"/>
            <w:szCs w:val="24"/>
          </w:rPr>
          <w:t>iv</w:t>
        </w:r>
        <w:r w:rsidRPr="00DD11EB">
          <w:rPr>
            <w:rFonts w:ascii="Tahoma" w:hAnsi="Tahoma" w:cs="Tahoma"/>
            <w:noProof/>
            <w:webHidden/>
            <w:sz w:val="24"/>
            <w:szCs w:val="24"/>
          </w:rPr>
          <w:fldChar w:fldCharType="end"/>
        </w:r>
      </w:hyperlink>
    </w:p>
    <w:p w14:paraId="0AF445B8" w14:textId="09F2B632" w:rsidR="00DD11EB" w:rsidRPr="00DD11EB" w:rsidRDefault="00DD11EB">
      <w:pPr>
        <w:pStyle w:val="TOC1"/>
        <w:tabs>
          <w:tab w:val="right" w:leader="dot" w:pos="9016"/>
        </w:tabs>
        <w:rPr>
          <w:rFonts w:ascii="Tahoma" w:eastAsiaTheme="minorEastAsia" w:hAnsi="Tahoma" w:cs="Tahoma"/>
          <w:noProof/>
          <w:sz w:val="24"/>
          <w:szCs w:val="24"/>
          <w:lang w:val="en-GB" w:eastAsia="en-GB"/>
          <w14:ligatures w14:val="standardContextual"/>
        </w:rPr>
      </w:pPr>
      <w:hyperlink w:anchor="_Toc181022176" w:history="1">
        <w:r w:rsidRPr="00DD11EB">
          <w:rPr>
            <w:rStyle w:val="Hyperlink"/>
            <w:rFonts w:ascii="Tahoma" w:hAnsi="Tahoma" w:cs="Tahoma"/>
            <w:noProof/>
            <w:sz w:val="24"/>
            <w:szCs w:val="24"/>
            <w:lang w:val="en-US"/>
          </w:rPr>
          <w:t>List of Figures</w:t>
        </w:r>
        <w:r w:rsidRPr="00DD11EB">
          <w:rPr>
            <w:rFonts w:ascii="Tahoma" w:hAnsi="Tahoma" w:cs="Tahoma"/>
            <w:noProof/>
            <w:webHidden/>
            <w:sz w:val="24"/>
            <w:szCs w:val="24"/>
          </w:rPr>
          <w:tab/>
        </w:r>
        <w:r w:rsidRPr="00DD11EB">
          <w:rPr>
            <w:rFonts w:ascii="Tahoma" w:hAnsi="Tahoma" w:cs="Tahoma"/>
            <w:noProof/>
            <w:webHidden/>
            <w:sz w:val="24"/>
            <w:szCs w:val="24"/>
          </w:rPr>
          <w:fldChar w:fldCharType="begin"/>
        </w:r>
        <w:r w:rsidRPr="00DD11EB">
          <w:rPr>
            <w:rFonts w:ascii="Tahoma" w:hAnsi="Tahoma" w:cs="Tahoma"/>
            <w:noProof/>
            <w:webHidden/>
            <w:sz w:val="24"/>
            <w:szCs w:val="24"/>
          </w:rPr>
          <w:instrText xml:space="preserve"> PAGEREF _Toc181022176 \h </w:instrText>
        </w:r>
        <w:r w:rsidRPr="00DD11EB">
          <w:rPr>
            <w:rFonts w:ascii="Tahoma" w:hAnsi="Tahoma" w:cs="Tahoma"/>
            <w:noProof/>
            <w:webHidden/>
            <w:sz w:val="24"/>
            <w:szCs w:val="24"/>
          </w:rPr>
        </w:r>
        <w:r w:rsidRPr="00DD11EB">
          <w:rPr>
            <w:rFonts w:ascii="Tahoma" w:hAnsi="Tahoma" w:cs="Tahoma"/>
            <w:noProof/>
            <w:webHidden/>
            <w:sz w:val="24"/>
            <w:szCs w:val="24"/>
          </w:rPr>
          <w:fldChar w:fldCharType="separate"/>
        </w:r>
        <w:r w:rsidRPr="00DD11EB">
          <w:rPr>
            <w:rFonts w:ascii="Tahoma" w:hAnsi="Tahoma" w:cs="Tahoma"/>
            <w:noProof/>
            <w:webHidden/>
            <w:sz w:val="24"/>
            <w:szCs w:val="24"/>
          </w:rPr>
          <w:t>v</w:t>
        </w:r>
        <w:r w:rsidRPr="00DD11EB">
          <w:rPr>
            <w:rFonts w:ascii="Tahoma" w:hAnsi="Tahoma" w:cs="Tahoma"/>
            <w:noProof/>
            <w:webHidden/>
            <w:sz w:val="24"/>
            <w:szCs w:val="24"/>
          </w:rPr>
          <w:fldChar w:fldCharType="end"/>
        </w:r>
      </w:hyperlink>
    </w:p>
    <w:p w14:paraId="58235692" w14:textId="4BFD0B96" w:rsidR="00DD11EB" w:rsidRPr="00DD11EB" w:rsidRDefault="00DD11EB">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1022177" w:history="1">
        <w:r w:rsidRPr="00DD11EB">
          <w:rPr>
            <w:rStyle w:val="Hyperlink"/>
            <w:rFonts w:ascii="Tahoma" w:hAnsi="Tahoma" w:cs="Tahoma"/>
            <w:noProof/>
            <w:sz w:val="24"/>
            <w:szCs w:val="24"/>
            <w:lang w:val="en-US"/>
          </w:rPr>
          <w:t>1.0</w:t>
        </w:r>
        <w:r w:rsidRPr="00DD11EB">
          <w:rPr>
            <w:rFonts w:ascii="Tahoma" w:eastAsiaTheme="minorEastAsia" w:hAnsi="Tahoma" w:cs="Tahoma"/>
            <w:noProof/>
            <w:sz w:val="24"/>
            <w:szCs w:val="24"/>
            <w:lang w:val="en-GB" w:eastAsia="en-GB"/>
            <w14:ligatures w14:val="standardContextual"/>
          </w:rPr>
          <w:tab/>
        </w:r>
        <w:r w:rsidRPr="00DD11EB">
          <w:rPr>
            <w:rStyle w:val="Hyperlink"/>
            <w:rFonts w:ascii="Tahoma" w:hAnsi="Tahoma" w:cs="Tahoma"/>
            <w:noProof/>
            <w:sz w:val="24"/>
            <w:szCs w:val="24"/>
            <w:lang w:val="en-US"/>
          </w:rPr>
          <w:t>World Economic Developments</w:t>
        </w:r>
        <w:r w:rsidRPr="00DD11EB">
          <w:rPr>
            <w:rFonts w:ascii="Tahoma" w:hAnsi="Tahoma" w:cs="Tahoma"/>
            <w:noProof/>
            <w:webHidden/>
            <w:sz w:val="24"/>
            <w:szCs w:val="24"/>
          </w:rPr>
          <w:tab/>
        </w:r>
        <w:r w:rsidRPr="00DD11EB">
          <w:rPr>
            <w:rFonts w:ascii="Tahoma" w:hAnsi="Tahoma" w:cs="Tahoma"/>
            <w:noProof/>
            <w:webHidden/>
            <w:sz w:val="24"/>
            <w:szCs w:val="24"/>
          </w:rPr>
          <w:fldChar w:fldCharType="begin"/>
        </w:r>
        <w:r w:rsidRPr="00DD11EB">
          <w:rPr>
            <w:rFonts w:ascii="Tahoma" w:hAnsi="Tahoma" w:cs="Tahoma"/>
            <w:noProof/>
            <w:webHidden/>
            <w:sz w:val="24"/>
            <w:szCs w:val="24"/>
          </w:rPr>
          <w:instrText xml:space="preserve"> PAGEREF _Toc181022177 \h </w:instrText>
        </w:r>
        <w:r w:rsidRPr="00DD11EB">
          <w:rPr>
            <w:rFonts w:ascii="Tahoma" w:hAnsi="Tahoma" w:cs="Tahoma"/>
            <w:noProof/>
            <w:webHidden/>
            <w:sz w:val="24"/>
            <w:szCs w:val="24"/>
          </w:rPr>
        </w:r>
        <w:r w:rsidRPr="00DD11EB">
          <w:rPr>
            <w:rFonts w:ascii="Tahoma" w:hAnsi="Tahoma" w:cs="Tahoma"/>
            <w:noProof/>
            <w:webHidden/>
            <w:sz w:val="24"/>
            <w:szCs w:val="24"/>
          </w:rPr>
          <w:fldChar w:fldCharType="separate"/>
        </w:r>
        <w:r w:rsidRPr="00DD11EB">
          <w:rPr>
            <w:rFonts w:ascii="Tahoma" w:hAnsi="Tahoma" w:cs="Tahoma"/>
            <w:noProof/>
            <w:webHidden/>
            <w:sz w:val="24"/>
            <w:szCs w:val="24"/>
          </w:rPr>
          <w:t>1</w:t>
        </w:r>
        <w:r w:rsidRPr="00DD11EB">
          <w:rPr>
            <w:rFonts w:ascii="Tahoma" w:hAnsi="Tahoma" w:cs="Tahoma"/>
            <w:noProof/>
            <w:webHidden/>
            <w:sz w:val="24"/>
            <w:szCs w:val="24"/>
          </w:rPr>
          <w:fldChar w:fldCharType="end"/>
        </w:r>
      </w:hyperlink>
    </w:p>
    <w:p w14:paraId="5EBCF7C1" w14:textId="09A39D57" w:rsidR="00DD11EB" w:rsidRPr="00DD11EB" w:rsidRDefault="00DD11EB">
      <w:pPr>
        <w:pStyle w:val="TOC2"/>
        <w:rPr>
          <w:rFonts w:eastAsiaTheme="minorEastAsia"/>
          <w:b w:val="0"/>
          <w:lang w:val="en-GB" w:eastAsia="en-GB"/>
          <w14:ligatures w14:val="standardContextual"/>
        </w:rPr>
      </w:pPr>
      <w:hyperlink w:anchor="_Toc181022178" w:history="1">
        <w:r w:rsidRPr="00DD11EB">
          <w:rPr>
            <w:rStyle w:val="Hyperlink"/>
            <w:b w:val="0"/>
          </w:rPr>
          <w:t xml:space="preserve">1.1 </w:t>
        </w:r>
        <w:r w:rsidRPr="00DD11EB">
          <w:rPr>
            <w:rFonts w:eastAsiaTheme="minorEastAsia"/>
            <w:b w:val="0"/>
            <w:lang w:val="en-GB" w:eastAsia="en-GB"/>
            <w14:ligatures w14:val="standardContextual"/>
          </w:rPr>
          <w:tab/>
        </w:r>
        <w:r w:rsidRPr="00DD11EB">
          <w:rPr>
            <w:rStyle w:val="Hyperlink"/>
            <w:b w:val="0"/>
          </w:rPr>
          <w:t>World Output</w:t>
        </w:r>
        <w:r w:rsidRPr="00DD11EB">
          <w:rPr>
            <w:b w:val="0"/>
            <w:webHidden/>
          </w:rPr>
          <w:tab/>
        </w:r>
        <w:r w:rsidRPr="00DD11EB">
          <w:rPr>
            <w:b w:val="0"/>
            <w:webHidden/>
          </w:rPr>
          <w:fldChar w:fldCharType="begin"/>
        </w:r>
        <w:r w:rsidRPr="00DD11EB">
          <w:rPr>
            <w:b w:val="0"/>
            <w:webHidden/>
          </w:rPr>
          <w:instrText xml:space="preserve"> PAGEREF _Toc181022178 \h </w:instrText>
        </w:r>
        <w:r w:rsidRPr="00DD11EB">
          <w:rPr>
            <w:b w:val="0"/>
            <w:webHidden/>
          </w:rPr>
        </w:r>
        <w:r w:rsidRPr="00DD11EB">
          <w:rPr>
            <w:b w:val="0"/>
            <w:webHidden/>
          </w:rPr>
          <w:fldChar w:fldCharType="separate"/>
        </w:r>
        <w:r w:rsidRPr="00DD11EB">
          <w:rPr>
            <w:b w:val="0"/>
            <w:webHidden/>
          </w:rPr>
          <w:t>1</w:t>
        </w:r>
        <w:r w:rsidRPr="00DD11EB">
          <w:rPr>
            <w:b w:val="0"/>
            <w:webHidden/>
          </w:rPr>
          <w:fldChar w:fldCharType="end"/>
        </w:r>
      </w:hyperlink>
    </w:p>
    <w:p w14:paraId="1279835A" w14:textId="26F817E7" w:rsidR="00DD11EB" w:rsidRPr="00DD11EB" w:rsidRDefault="00DD11EB">
      <w:pPr>
        <w:pStyle w:val="TOC2"/>
        <w:rPr>
          <w:rFonts w:eastAsiaTheme="minorEastAsia"/>
          <w:b w:val="0"/>
          <w:lang w:val="en-GB" w:eastAsia="en-GB"/>
          <w14:ligatures w14:val="standardContextual"/>
        </w:rPr>
      </w:pPr>
      <w:hyperlink w:anchor="_Toc181022179" w:history="1">
        <w:r w:rsidRPr="00DD11EB">
          <w:rPr>
            <w:rStyle w:val="Hyperlink"/>
            <w:b w:val="0"/>
          </w:rPr>
          <w:t>1.2</w:t>
        </w:r>
        <w:r w:rsidRPr="00DD11EB">
          <w:rPr>
            <w:rFonts w:eastAsiaTheme="minorEastAsia"/>
            <w:b w:val="0"/>
            <w:lang w:val="en-GB" w:eastAsia="en-GB"/>
            <w14:ligatures w14:val="standardContextual"/>
          </w:rPr>
          <w:tab/>
        </w:r>
        <w:r w:rsidRPr="00DD11EB">
          <w:rPr>
            <w:rStyle w:val="Hyperlink"/>
            <w:b w:val="0"/>
          </w:rPr>
          <w:t>Global Inflation Developments</w:t>
        </w:r>
        <w:r w:rsidRPr="00DD11EB">
          <w:rPr>
            <w:b w:val="0"/>
            <w:webHidden/>
          </w:rPr>
          <w:tab/>
        </w:r>
        <w:r w:rsidRPr="00DD11EB">
          <w:rPr>
            <w:b w:val="0"/>
            <w:webHidden/>
          </w:rPr>
          <w:fldChar w:fldCharType="begin"/>
        </w:r>
        <w:r w:rsidRPr="00DD11EB">
          <w:rPr>
            <w:b w:val="0"/>
            <w:webHidden/>
          </w:rPr>
          <w:instrText xml:space="preserve"> PAGEREF _Toc181022179 \h </w:instrText>
        </w:r>
        <w:r w:rsidRPr="00DD11EB">
          <w:rPr>
            <w:b w:val="0"/>
            <w:webHidden/>
          </w:rPr>
        </w:r>
        <w:r w:rsidRPr="00DD11EB">
          <w:rPr>
            <w:b w:val="0"/>
            <w:webHidden/>
          </w:rPr>
          <w:fldChar w:fldCharType="separate"/>
        </w:r>
        <w:r w:rsidRPr="00DD11EB">
          <w:rPr>
            <w:b w:val="0"/>
            <w:webHidden/>
          </w:rPr>
          <w:t>1</w:t>
        </w:r>
        <w:r w:rsidRPr="00DD11EB">
          <w:rPr>
            <w:b w:val="0"/>
            <w:webHidden/>
          </w:rPr>
          <w:fldChar w:fldCharType="end"/>
        </w:r>
      </w:hyperlink>
    </w:p>
    <w:p w14:paraId="5AB0DE2C" w14:textId="6F2A45E0" w:rsidR="00DD11EB" w:rsidRPr="00DD11EB" w:rsidRDefault="00DD11EB">
      <w:pPr>
        <w:pStyle w:val="TOC2"/>
        <w:rPr>
          <w:rFonts w:eastAsiaTheme="minorEastAsia"/>
          <w:b w:val="0"/>
          <w:lang w:val="en-GB" w:eastAsia="en-GB"/>
          <w14:ligatures w14:val="standardContextual"/>
        </w:rPr>
      </w:pPr>
      <w:hyperlink w:anchor="_Toc181022180" w:history="1">
        <w:r w:rsidRPr="00DD11EB">
          <w:rPr>
            <w:rStyle w:val="Hyperlink"/>
            <w:b w:val="0"/>
          </w:rPr>
          <w:t>2.0</w:t>
        </w:r>
        <w:r w:rsidRPr="00DD11EB">
          <w:rPr>
            <w:rFonts w:eastAsiaTheme="minorEastAsia"/>
            <w:b w:val="0"/>
            <w:lang w:val="en-GB" w:eastAsia="en-GB"/>
            <w14:ligatures w14:val="standardContextual"/>
          </w:rPr>
          <w:tab/>
        </w:r>
        <w:r w:rsidRPr="00DD11EB">
          <w:rPr>
            <w:rStyle w:val="Hyperlink"/>
            <w:b w:val="0"/>
          </w:rPr>
          <w:t>International Commodity Prices</w:t>
        </w:r>
        <w:r w:rsidRPr="00DD11EB">
          <w:rPr>
            <w:b w:val="0"/>
            <w:webHidden/>
          </w:rPr>
          <w:tab/>
        </w:r>
        <w:r w:rsidRPr="00DD11EB">
          <w:rPr>
            <w:b w:val="0"/>
            <w:webHidden/>
          </w:rPr>
          <w:fldChar w:fldCharType="begin"/>
        </w:r>
        <w:r w:rsidRPr="00DD11EB">
          <w:rPr>
            <w:b w:val="0"/>
            <w:webHidden/>
          </w:rPr>
          <w:instrText xml:space="preserve"> PAGEREF _Toc181022180 \h </w:instrText>
        </w:r>
        <w:r w:rsidRPr="00DD11EB">
          <w:rPr>
            <w:b w:val="0"/>
            <w:webHidden/>
          </w:rPr>
        </w:r>
        <w:r w:rsidRPr="00DD11EB">
          <w:rPr>
            <w:b w:val="0"/>
            <w:webHidden/>
          </w:rPr>
          <w:fldChar w:fldCharType="separate"/>
        </w:r>
        <w:r w:rsidRPr="00DD11EB">
          <w:rPr>
            <w:b w:val="0"/>
            <w:webHidden/>
          </w:rPr>
          <w:t>2</w:t>
        </w:r>
        <w:r w:rsidRPr="00DD11EB">
          <w:rPr>
            <w:b w:val="0"/>
            <w:webHidden/>
          </w:rPr>
          <w:fldChar w:fldCharType="end"/>
        </w:r>
      </w:hyperlink>
    </w:p>
    <w:p w14:paraId="4E482CF4" w14:textId="7FF98338" w:rsidR="00DD11EB" w:rsidRPr="00DD11EB" w:rsidRDefault="00DD11EB">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1022181" w:history="1">
        <w:r w:rsidRPr="00DD11EB">
          <w:rPr>
            <w:rStyle w:val="Hyperlink"/>
            <w:rFonts w:ascii="Tahoma" w:hAnsi="Tahoma" w:cs="Tahoma"/>
            <w:noProof/>
            <w:sz w:val="24"/>
            <w:szCs w:val="24"/>
            <w:lang w:val="en-US"/>
          </w:rPr>
          <w:t>3.0</w:t>
        </w:r>
        <w:r w:rsidRPr="00DD11EB">
          <w:rPr>
            <w:rFonts w:ascii="Tahoma" w:eastAsiaTheme="minorEastAsia" w:hAnsi="Tahoma" w:cs="Tahoma"/>
            <w:noProof/>
            <w:sz w:val="24"/>
            <w:szCs w:val="24"/>
            <w:lang w:val="en-GB" w:eastAsia="en-GB"/>
            <w14:ligatures w14:val="standardContextual"/>
          </w:rPr>
          <w:tab/>
        </w:r>
        <w:r w:rsidRPr="00DD11EB">
          <w:rPr>
            <w:rStyle w:val="Hyperlink"/>
            <w:rFonts w:ascii="Tahoma" w:hAnsi="Tahoma" w:cs="Tahoma"/>
            <w:noProof/>
            <w:sz w:val="24"/>
            <w:szCs w:val="24"/>
            <w:lang w:val="en-US"/>
          </w:rPr>
          <w:t>Zimbabwe GDP Growth Update</w:t>
        </w:r>
        <w:r w:rsidRPr="00DD11EB">
          <w:rPr>
            <w:rFonts w:ascii="Tahoma" w:hAnsi="Tahoma" w:cs="Tahoma"/>
            <w:noProof/>
            <w:webHidden/>
            <w:sz w:val="24"/>
            <w:szCs w:val="24"/>
          </w:rPr>
          <w:tab/>
        </w:r>
        <w:r w:rsidRPr="00DD11EB">
          <w:rPr>
            <w:rFonts w:ascii="Tahoma" w:hAnsi="Tahoma" w:cs="Tahoma"/>
            <w:noProof/>
            <w:webHidden/>
            <w:sz w:val="24"/>
            <w:szCs w:val="24"/>
          </w:rPr>
          <w:fldChar w:fldCharType="begin"/>
        </w:r>
        <w:r w:rsidRPr="00DD11EB">
          <w:rPr>
            <w:rFonts w:ascii="Tahoma" w:hAnsi="Tahoma" w:cs="Tahoma"/>
            <w:noProof/>
            <w:webHidden/>
            <w:sz w:val="24"/>
            <w:szCs w:val="24"/>
          </w:rPr>
          <w:instrText xml:space="preserve"> PAGEREF _Toc181022181 \h </w:instrText>
        </w:r>
        <w:r w:rsidRPr="00DD11EB">
          <w:rPr>
            <w:rFonts w:ascii="Tahoma" w:hAnsi="Tahoma" w:cs="Tahoma"/>
            <w:noProof/>
            <w:webHidden/>
            <w:sz w:val="24"/>
            <w:szCs w:val="24"/>
          </w:rPr>
        </w:r>
        <w:r w:rsidRPr="00DD11EB">
          <w:rPr>
            <w:rFonts w:ascii="Tahoma" w:hAnsi="Tahoma" w:cs="Tahoma"/>
            <w:noProof/>
            <w:webHidden/>
            <w:sz w:val="24"/>
            <w:szCs w:val="24"/>
          </w:rPr>
          <w:fldChar w:fldCharType="separate"/>
        </w:r>
        <w:r w:rsidRPr="00DD11EB">
          <w:rPr>
            <w:rFonts w:ascii="Tahoma" w:hAnsi="Tahoma" w:cs="Tahoma"/>
            <w:noProof/>
            <w:webHidden/>
            <w:sz w:val="24"/>
            <w:szCs w:val="24"/>
          </w:rPr>
          <w:t>2</w:t>
        </w:r>
        <w:r w:rsidRPr="00DD11EB">
          <w:rPr>
            <w:rFonts w:ascii="Tahoma" w:hAnsi="Tahoma" w:cs="Tahoma"/>
            <w:noProof/>
            <w:webHidden/>
            <w:sz w:val="24"/>
            <w:szCs w:val="24"/>
          </w:rPr>
          <w:fldChar w:fldCharType="end"/>
        </w:r>
      </w:hyperlink>
    </w:p>
    <w:p w14:paraId="41F166DB" w14:textId="0B1FDA09" w:rsidR="00DD11EB" w:rsidRPr="00DD11EB" w:rsidRDefault="00DD11EB">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1022182" w:history="1">
        <w:r w:rsidRPr="00DD11EB">
          <w:rPr>
            <w:rStyle w:val="Hyperlink"/>
            <w:rFonts w:ascii="Tahoma" w:hAnsi="Tahoma" w:cs="Tahoma"/>
            <w:noProof/>
            <w:sz w:val="24"/>
            <w:szCs w:val="24"/>
            <w:lang w:val="en-US"/>
          </w:rPr>
          <w:t>4.0</w:t>
        </w:r>
        <w:r w:rsidRPr="00DD11EB">
          <w:rPr>
            <w:rFonts w:ascii="Tahoma" w:eastAsiaTheme="minorEastAsia" w:hAnsi="Tahoma" w:cs="Tahoma"/>
            <w:noProof/>
            <w:sz w:val="24"/>
            <w:szCs w:val="24"/>
            <w:lang w:val="en-GB" w:eastAsia="en-GB"/>
            <w14:ligatures w14:val="standardContextual"/>
          </w:rPr>
          <w:tab/>
        </w:r>
        <w:r w:rsidRPr="00DD11EB">
          <w:rPr>
            <w:rStyle w:val="Hyperlink"/>
            <w:rFonts w:ascii="Tahoma" w:hAnsi="Tahoma" w:cs="Tahoma"/>
            <w:noProof/>
            <w:sz w:val="24"/>
            <w:szCs w:val="24"/>
            <w:lang w:val="en-US"/>
          </w:rPr>
          <w:t>Merchandise Trade Developments</w:t>
        </w:r>
        <w:r w:rsidRPr="00DD11EB">
          <w:rPr>
            <w:rFonts w:ascii="Tahoma" w:hAnsi="Tahoma" w:cs="Tahoma"/>
            <w:noProof/>
            <w:webHidden/>
            <w:sz w:val="24"/>
            <w:szCs w:val="24"/>
          </w:rPr>
          <w:tab/>
        </w:r>
        <w:r w:rsidRPr="00DD11EB">
          <w:rPr>
            <w:rFonts w:ascii="Tahoma" w:hAnsi="Tahoma" w:cs="Tahoma"/>
            <w:noProof/>
            <w:webHidden/>
            <w:sz w:val="24"/>
            <w:szCs w:val="24"/>
          </w:rPr>
          <w:fldChar w:fldCharType="begin"/>
        </w:r>
        <w:r w:rsidRPr="00DD11EB">
          <w:rPr>
            <w:rFonts w:ascii="Tahoma" w:hAnsi="Tahoma" w:cs="Tahoma"/>
            <w:noProof/>
            <w:webHidden/>
            <w:sz w:val="24"/>
            <w:szCs w:val="24"/>
          </w:rPr>
          <w:instrText xml:space="preserve"> PAGEREF _Toc181022182 \h </w:instrText>
        </w:r>
        <w:r w:rsidRPr="00DD11EB">
          <w:rPr>
            <w:rFonts w:ascii="Tahoma" w:hAnsi="Tahoma" w:cs="Tahoma"/>
            <w:noProof/>
            <w:webHidden/>
            <w:sz w:val="24"/>
            <w:szCs w:val="24"/>
          </w:rPr>
        </w:r>
        <w:r w:rsidRPr="00DD11EB">
          <w:rPr>
            <w:rFonts w:ascii="Tahoma" w:hAnsi="Tahoma" w:cs="Tahoma"/>
            <w:noProof/>
            <w:webHidden/>
            <w:sz w:val="24"/>
            <w:szCs w:val="24"/>
          </w:rPr>
          <w:fldChar w:fldCharType="separate"/>
        </w:r>
        <w:r w:rsidRPr="00DD11EB">
          <w:rPr>
            <w:rFonts w:ascii="Tahoma" w:hAnsi="Tahoma" w:cs="Tahoma"/>
            <w:noProof/>
            <w:webHidden/>
            <w:sz w:val="24"/>
            <w:szCs w:val="24"/>
          </w:rPr>
          <w:t>3</w:t>
        </w:r>
        <w:r w:rsidRPr="00DD11EB">
          <w:rPr>
            <w:rFonts w:ascii="Tahoma" w:hAnsi="Tahoma" w:cs="Tahoma"/>
            <w:noProof/>
            <w:webHidden/>
            <w:sz w:val="24"/>
            <w:szCs w:val="24"/>
          </w:rPr>
          <w:fldChar w:fldCharType="end"/>
        </w:r>
      </w:hyperlink>
    </w:p>
    <w:p w14:paraId="6503ADB5" w14:textId="225A20AE" w:rsidR="00DD11EB" w:rsidRPr="00DD11EB" w:rsidRDefault="00DD11EB">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1022183" w:history="1">
        <w:r w:rsidRPr="00DD11EB">
          <w:rPr>
            <w:rStyle w:val="Hyperlink"/>
            <w:rFonts w:ascii="Tahoma" w:hAnsi="Tahoma" w:cs="Tahoma"/>
            <w:noProof/>
            <w:sz w:val="24"/>
            <w:szCs w:val="24"/>
            <w:lang w:val="en-US"/>
          </w:rPr>
          <w:t>5.0</w:t>
        </w:r>
        <w:r w:rsidRPr="00DD11EB">
          <w:rPr>
            <w:rFonts w:ascii="Tahoma" w:eastAsiaTheme="minorEastAsia" w:hAnsi="Tahoma" w:cs="Tahoma"/>
            <w:noProof/>
            <w:sz w:val="24"/>
            <w:szCs w:val="24"/>
            <w:lang w:val="en-GB" w:eastAsia="en-GB"/>
            <w14:ligatures w14:val="standardContextual"/>
          </w:rPr>
          <w:tab/>
        </w:r>
        <w:r w:rsidRPr="00DD11EB">
          <w:rPr>
            <w:rStyle w:val="Hyperlink"/>
            <w:rFonts w:ascii="Tahoma" w:hAnsi="Tahoma" w:cs="Tahoma"/>
            <w:noProof/>
            <w:sz w:val="24"/>
            <w:szCs w:val="24"/>
            <w:lang w:val="en-US"/>
          </w:rPr>
          <w:t>Exchange Rate Developments</w:t>
        </w:r>
        <w:r w:rsidRPr="00DD11EB">
          <w:rPr>
            <w:rFonts w:ascii="Tahoma" w:hAnsi="Tahoma" w:cs="Tahoma"/>
            <w:noProof/>
            <w:webHidden/>
            <w:sz w:val="24"/>
            <w:szCs w:val="24"/>
          </w:rPr>
          <w:tab/>
        </w:r>
        <w:r w:rsidRPr="00DD11EB">
          <w:rPr>
            <w:rFonts w:ascii="Tahoma" w:hAnsi="Tahoma" w:cs="Tahoma"/>
            <w:noProof/>
            <w:webHidden/>
            <w:sz w:val="24"/>
            <w:szCs w:val="24"/>
          </w:rPr>
          <w:fldChar w:fldCharType="begin"/>
        </w:r>
        <w:r w:rsidRPr="00DD11EB">
          <w:rPr>
            <w:rFonts w:ascii="Tahoma" w:hAnsi="Tahoma" w:cs="Tahoma"/>
            <w:noProof/>
            <w:webHidden/>
            <w:sz w:val="24"/>
            <w:szCs w:val="24"/>
          </w:rPr>
          <w:instrText xml:space="preserve"> PAGEREF _Toc181022183 \h </w:instrText>
        </w:r>
        <w:r w:rsidRPr="00DD11EB">
          <w:rPr>
            <w:rFonts w:ascii="Tahoma" w:hAnsi="Tahoma" w:cs="Tahoma"/>
            <w:noProof/>
            <w:webHidden/>
            <w:sz w:val="24"/>
            <w:szCs w:val="24"/>
          </w:rPr>
        </w:r>
        <w:r w:rsidRPr="00DD11EB">
          <w:rPr>
            <w:rFonts w:ascii="Tahoma" w:hAnsi="Tahoma" w:cs="Tahoma"/>
            <w:noProof/>
            <w:webHidden/>
            <w:sz w:val="24"/>
            <w:szCs w:val="24"/>
          </w:rPr>
          <w:fldChar w:fldCharType="separate"/>
        </w:r>
        <w:r w:rsidRPr="00DD11EB">
          <w:rPr>
            <w:rFonts w:ascii="Tahoma" w:hAnsi="Tahoma" w:cs="Tahoma"/>
            <w:noProof/>
            <w:webHidden/>
            <w:sz w:val="24"/>
            <w:szCs w:val="24"/>
          </w:rPr>
          <w:t>3</w:t>
        </w:r>
        <w:r w:rsidRPr="00DD11EB">
          <w:rPr>
            <w:rFonts w:ascii="Tahoma" w:hAnsi="Tahoma" w:cs="Tahoma"/>
            <w:noProof/>
            <w:webHidden/>
            <w:sz w:val="24"/>
            <w:szCs w:val="24"/>
          </w:rPr>
          <w:fldChar w:fldCharType="end"/>
        </w:r>
      </w:hyperlink>
    </w:p>
    <w:p w14:paraId="592BE3E6" w14:textId="0F441051" w:rsidR="00DD11EB" w:rsidRPr="00DD11EB" w:rsidRDefault="00DD11EB">
      <w:pPr>
        <w:pStyle w:val="TOC2"/>
        <w:rPr>
          <w:rFonts w:eastAsiaTheme="minorEastAsia"/>
          <w:b w:val="0"/>
          <w:lang w:val="en-GB" w:eastAsia="en-GB"/>
          <w14:ligatures w14:val="standardContextual"/>
        </w:rPr>
      </w:pPr>
      <w:hyperlink w:anchor="_Toc181022184" w:history="1">
        <w:r w:rsidRPr="00DD11EB">
          <w:rPr>
            <w:rStyle w:val="Hyperlink"/>
            <w:b w:val="0"/>
          </w:rPr>
          <w:t>5.1</w:t>
        </w:r>
        <w:r w:rsidRPr="00DD11EB">
          <w:rPr>
            <w:rFonts w:eastAsiaTheme="minorEastAsia"/>
            <w:b w:val="0"/>
            <w:lang w:val="en-GB" w:eastAsia="en-GB"/>
            <w14:ligatures w14:val="standardContextual"/>
          </w:rPr>
          <w:tab/>
        </w:r>
        <w:r w:rsidRPr="00DD11EB">
          <w:rPr>
            <w:rStyle w:val="Hyperlink"/>
            <w:b w:val="0"/>
          </w:rPr>
          <w:t>ZWG Exchange Rate Developments</w:t>
        </w:r>
        <w:r w:rsidRPr="00DD11EB">
          <w:rPr>
            <w:b w:val="0"/>
            <w:webHidden/>
          </w:rPr>
          <w:tab/>
        </w:r>
        <w:r w:rsidRPr="00DD11EB">
          <w:rPr>
            <w:b w:val="0"/>
            <w:webHidden/>
          </w:rPr>
          <w:fldChar w:fldCharType="begin"/>
        </w:r>
        <w:r w:rsidRPr="00DD11EB">
          <w:rPr>
            <w:b w:val="0"/>
            <w:webHidden/>
          </w:rPr>
          <w:instrText xml:space="preserve"> PAGEREF _Toc181022184 \h </w:instrText>
        </w:r>
        <w:r w:rsidRPr="00DD11EB">
          <w:rPr>
            <w:b w:val="0"/>
            <w:webHidden/>
          </w:rPr>
        </w:r>
        <w:r w:rsidRPr="00DD11EB">
          <w:rPr>
            <w:b w:val="0"/>
            <w:webHidden/>
          </w:rPr>
          <w:fldChar w:fldCharType="separate"/>
        </w:r>
        <w:r w:rsidRPr="00DD11EB">
          <w:rPr>
            <w:b w:val="0"/>
            <w:webHidden/>
          </w:rPr>
          <w:t>3</w:t>
        </w:r>
        <w:r w:rsidRPr="00DD11EB">
          <w:rPr>
            <w:b w:val="0"/>
            <w:webHidden/>
          </w:rPr>
          <w:fldChar w:fldCharType="end"/>
        </w:r>
      </w:hyperlink>
    </w:p>
    <w:p w14:paraId="03D2E505" w14:textId="6D7075E1" w:rsidR="00DD11EB" w:rsidRPr="00DD11EB" w:rsidRDefault="00DD11EB">
      <w:pPr>
        <w:pStyle w:val="TOC2"/>
        <w:rPr>
          <w:rFonts w:eastAsiaTheme="minorEastAsia"/>
          <w:b w:val="0"/>
          <w:lang w:val="en-GB" w:eastAsia="en-GB"/>
          <w14:ligatures w14:val="standardContextual"/>
        </w:rPr>
      </w:pPr>
      <w:hyperlink w:anchor="_Toc181022185" w:history="1">
        <w:r w:rsidRPr="00DD11EB">
          <w:rPr>
            <w:rStyle w:val="Hyperlink"/>
            <w:b w:val="0"/>
          </w:rPr>
          <w:t>5.2</w:t>
        </w:r>
        <w:r w:rsidRPr="00DD11EB">
          <w:rPr>
            <w:rFonts w:eastAsiaTheme="minorEastAsia"/>
            <w:b w:val="0"/>
            <w:lang w:val="en-GB" w:eastAsia="en-GB"/>
            <w14:ligatures w14:val="standardContextual"/>
          </w:rPr>
          <w:tab/>
        </w:r>
        <w:r w:rsidRPr="00DD11EB">
          <w:rPr>
            <w:rStyle w:val="Hyperlink"/>
            <w:b w:val="0"/>
          </w:rPr>
          <w:t>Parallel Market Developments</w:t>
        </w:r>
        <w:r w:rsidRPr="00DD11EB">
          <w:rPr>
            <w:b w:val="0"/>
            <w:webHidden/>
          </w:rPr>
          <w:tab/>
        </w:r>
        <w:r w:rsidRPr="00DD11EB">
          <w:rPr>
            <w:b w:val="0"/>
            <w:webHidden/>
          </w:rPr>
          <w:fldChar w:fldCharType="begin"/>
        </w:r>
        <w:r w:rsidRPr="00DD11EB">
          <w:rPr>
            <w:b w:val="0"/>
            <w:webHidden/>
          </w:rPr>
          <w:instrText xml:space="preserve"> PAGEREF _Toc181022185 \h </w:instrText>
        </w:r>
        <w:r w:rsidRPr="00DD11EB">
          <w:rPr>
            <w:b w:val="0"/>
            <w:webHidden/>
          </w:rPr>
        </w:r>
        <w:r w:rsidRPr="00DD11EB">
          <w:rPr>
            <w:b w:val="0"/>
            <w:webHidden/>
          </w:rPr>
          <w:fldChar w:fldCharType="separate"/>
        </w:r>
        <w:r w:rsidRPr="00DD11EB">
          <w:rPr>
            <w:b w:val="0"/>
            <w:webHidden/>
          </w:rPr>
          <w:t>4</w:t>
        </w:r>
        <w:r w:rsidRPr="00DD11EB">
          <w:rPr>
            <w:b w:val="0"/>
            <w:webHidden/>
          </w:rPr>
          <w:fldChar w:fldCharType="end"/>
        </w:r>
      </w:hyperlink>
    </w:p>
    <w:p w14:paraId="4CA8AAF6" w14:textId="2C485720" w:rsidR="00DD11EB" w:rsidRPr="00DD11EB" w:rsidRDefault="00DD11EB">
      <w:pPr>
        <w:pStyle w:val="TOC2"/>
        <w:rPr>
          <w:rFonts w:eastAsiaTheme="minorEastAsia"/>
          <w:b w:val="0"/>
          <w:lang w:val="en-GB" w:eastAsia="en-GB"/>
          <w14:ligatures w14:val="standardContextual"/>
        </w:rPr>
      </w:pPr>
      <w:hyperlink w:anchor="_Toc181022186" w:history="1">
        <w:r w:rsidRPr="00DD11EB">
          <w:rPr>
            <w:rStyle w:val="Hyperlink"/>
            <w:b w:val="0"/>
          </w:rPr>
          <w:t>5.3</w:t>
        </w:r>
        <w:r w:rsidRPr="00DD11EB">
          <w:rPr>
            <w:rFonts w:eastAsiaTheme="minorEastAsia"/>
            <w:b w:val="0"/>
            <w:lang w:val="en-GB" w:eastAsia="en-GB"/>
            <w14:ligatures w14:val="standardContextual"/>
          </w:rPr>
          <w:tab/>
        </w:r>
        <w:r w:rsidRPr="00DD11EB">
          <w:rPr>
            <w:rStyle w:val="Hyperlink"/>
            <w:b w:val="0"/>
          </w:rPr>
          <w:t>Cross Rate Developments</w:t>
        </w:r>
        <w:r w:rsidRPr="00DD11EB">
          <w:rPr>
            <w:b w:val="0"/>
            <w:webHidden/>
          </w:rPr>
          <w:tab/>
        </w:r>
        <w:r w:rsidRPr="00DD11EB">
          <w:rPr>
            <w:b w:val="0"/>
            <w:webHidden/>
          </w:rPr>
          <w:fldChar w:fldCharType="begin"/>
        </w:r>
        <w:r w:rsidRPr="00DD11EB">
          <w:rPr>
            <w:b w:val="0"/>
            <w:webHidden/>
          </w:rPr>
          <w:instrText xml:space="preserve"> PAGEREF _Toc181022186 \h </w:instrText>
        </w:r>
        <w:r w:rsidRPr="00DD11EB">
          <w:rPr>
            <w:b w:val="0"/>
            <w:webHidden/>
          </w:rPr>
        </w:r>
        <w:r w:rsidRPr="00DD11EB">
          <w:rPr>
            <w:b w:val="0"/>
            <w:webHidden/>
          </w:rPr>
          <w:fldChar w:fldCharType="separate"/>
        </w:r>
        <w:r w:rsidRPr="00DD11EB">
          <w:rPr>
            <w:b w:val="0"/>
            <w:webHidden/>
          </w:rPr>
          <w:t>4</w:t>
        </w:r>
        <w:r w:rsidRPr="00DD11EB">
          <w:rPr>
            <w:b w:val="0"/>
            <w:webHidden/>
          </w:rPr>
          <w:fldChar w:fldCharType="end"/>
        </w:r>
      </w:hyperlink>
    </w:p>
    <w:p w14:paraId="7DB37768" w14:textId="2CFD9132" w:rsidR="00DD11EB" w:rsidRPr="00DD11EB" w:rsidRDefault="00DD11EB">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1022187" w:history="1">
        <w:r w:rsidRPr="00DD11EB">
          <w:rPr>
            <w:rStyle w:val="Hyperlink"/>
            <w:rFonts w:ascii="Tahoma" w:hAnsi="Tahoma" w:cs="Tahoma"/>
            <w:noProof/>
            <w:sz w:val="24"/>
            <w:szCs w:val="24"/>
            <w:lang w:val="en-US"/>
          </w:rPr>
          <w:t>6.0</w:t>
        </w:r>
        <w:r w:rsidRPr="00DD11EB">
          <w:rPr>
            <w:rFonts w:ascii="Tahoma" w:eastAsiaTheme="minorEastAsia" w:hAnsi="Tahoma" w:cs="Tahoma"/>
            <w:noProof/>
            <w:sz w:val="24"/>
            <w:szCs w:val="24"/>
            <w:lang w:val="en-GB" w:eastAsia="en-GB"/>
            <w14:ligatures w14:val="standardContextual"/>
          </w:rPr>
          <w:tab/>
        </w:r>
        <w:r w:rsidRPr="00DD11EB">
          <w:rPr>
            <w:rStyle w:val="Hyperlink"/>
            <w:rFonts w:ascii="Tahoma" w:hAnsi="Tahoma" w:cs="Tahoma"/>
            <w:noProof/>
            <w:sz w:val="24"/>
            <w:szCs w:val="24"/>
            <w:lang w:val="en-US"/>
          </w:rPr>
          <w:t>Inflation Developments</w:t>
        </w:r>
        <w:r w:rsidRPr="00DD11EB">
          <w:rPr>
            <w:rFonts w:ascii="Tahoma" w:hAnsi="Tahoma" w:cs="Tahoma"/>
            <w:noProof/>
            <w:webHidden/>
            <w:sz w:val="24"/>
            <w:szCs w:val="24"/>
          </w:rPr>
          <w:tab/>
        </w:r>
        <w:r w:rsidRPr="00DD11EB">
          <w:rPr>
            <w:rFonts w:ascii="Tahoma" w:hAnsi="Tahoma" w:cs="Tahoma"/>
            <w:noProof/>
            <w:webHidden/>
            <w:sz w:val="24"/>
            <w:szCs w:val="24"/>
          </w:rPr>
          <w:fldChar w:fldCharType="begin"/>
        </w:r>
        <w:r w:rsidRPr="00DD11EB">
          <w:rPr>
            <w:rFonts w:ascii="Tahoma" w:hAnsi="Tahoma" w:cs="Tahoma"/>
            <w:noProof/>
            <w:webHidden/>
            <w:sz w:val="24"/>
            <w:szCs w:val="24"/>
          </w:rPr>
          <w:instrText xml:space="preserve"> PAGEREF _Toc181022187 \h </w:instrText>
        </w:r>
        <w:r w:rsidRPr="00DD11EB">
          <w:rPr>
            <w:rFonts w:ascii="Tahoma" w:hAnsi="Tahoma" w:cs="Tahoma"/>
            <w:noProof/>
            <w:webHidden/>
            <w:sz w:val="24"/>
            <w:szCs w:val="24"/>
          </w:rPr>
        </w:r>
        <w:r w:rsidRPr="00DD11EB">
          <w:rPr>
            <w:rFonts w:ascii="Tahoma" w:hAnsi="Tahoma" w:cs="Tahoma"/>
            <w:noProof/>
            <w:webHidden/>
            <w:sz w:val="24"/>
            <w:szCs w:val="24"/>
          </w:rPr>
          <w:fldChar w:fldCharType="separate"/>
        </w:r>
        <w:r w:rsidRPr="00DD11EB">
          <w:rPr>
            <w:rFonts w:ascii="Tahoma" w:hAnsi="Tahoma" w:cs="Tahoma"/>
            <w:noProof/>
            <w:webHidden/>
            <w:sz w:val="24"/>
            <w:szCs w:val="24"/>
          </w:rPr>
          <w:t>5</w:t>
        </w:r>
        <w:r w:rsidRPr="00DD11EB">
          <w:rPr>
            <w:rFonts w:ascii="Tahoma" w:hAnsi="Tahoma" w:cs="Tahoma"/>
            <w:noProof/>
            <w:webHidden/>
            <w:sz w:val="24"/>
            <w:szCs w:val="24"/>
          </w:rPr>
          <w:fldChar w:fldCharType="end"/>
        </w:r>
      </w:hyperlink>
    </w:p>
    <w:p w14:paraId="68F8BB07" w14:textId="43A81D00" w:rsidR="00DD11EB" w:rsidRPr="00DD11EB" w:rsidRDefault="00DD11EB">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1022188" w:history="1">
        <w:r w:rsidRPr="00DD11EB">
          <w:rPr>
            <w:rStyle w:val="Hyperlink"/>
            <w:rFonts w:ascii="Tahoma" w:hAnsi="Tahoma" w:cs="Tahoma"/>
            <w:noProof/>
            <w:sz w:val="24"/>
            <w:szCs w:val="24"/>
            <w:lang w:val="en-US"/>
          </w:rPr>
          <w:t>7.0</w:t>
        </w:r>
        <w:r w:rsidRPr="00DD11EB">
          <w:rPr>
            <w:rFonts w:ascii="Tahoma" w:eastAsiaTheme="minorEastAsia" w:hAnsi="Tahoma" w:cs="Tahoma"/>
            <w:noProof/>
            <w:sz w:val="24"/>
            <w:szCs w:val="24"/>
            <w:lang w:val="en-GB" w:eastAsia="en-GB"/>
            <w14:ligatures w14:val="standardContextual"/>
          </w:rPr>
          <w:tab/>
        </w:r>
        <w:r w:rsidRPr="00DD11EB">
          <w:rPr>
            <w:rStyle w:val="Hyperlink"/>
            <w:rFonts w:ascii="Tahoma" w:hAnsi="Tahoma" w:cs="Tahoma"/>
            <w:noProof/>
            <w:sz w:val="24"/>
            <w:szCs w:val="24"/>
            <w:lang w:val="en-US"/>
          </w:rPr>
          <w:t>Monetary Developments</w:t>
        </w:r>
        <w:r w:rsidRPr="00DD11EB">
          <w:rPr>
            <w:rFonts w:ascii="Tahoma" w:hAnsi="Tahoma" w:cs="Tahoma"/>
            <w:noProof/>
            <w:webHidden/>
            <w:sz w:val="24"/>
            <w:szCs w:val="24"/>
          </w:rPr>
          <w:tab/>
        </w:r>
        <w:r w:rsidRPr="00DD11EB">
          <w:rPr>
            <w:rFonts w:ascii="Tahoma" w:hAnsi="Tahoma" w:cs="Tahoma"/>
            <w:noProof/>
            <w:webHidden/>
            <w:sz w:val="24"/>
            <w:szCs w:val="24"/>
          </w:rPr>
          <w:fldChar w:fldCharType="begin"/>
        </w:r>
        <w:r w:rsidRPr="00DD11EB">
          <w:rPr>
            <w:rFonts w:ascii="Tahoma" w:hAnsi="Tahoma" w:cs="Tahoma"/>
            <w:noProof/>
            <w:webHidden/>
            <w:sz w:val="24"/>
            <w:szCs w:val="24"/>
          </w:rPr>
          <w:instrText xml:space="preserve"> PAGEREF _Toc181022188 \h </w:instrText>
        </w:r>
        <w:r w:rsidRPr="00DD11EB">
          <w:rPr>
            <w:rFonts w:ascii="Tahoma" w:hAnsi="Tahoma" w:cs="Tahoma"/>
            <w:noProof/>
            <w:webHidden/>
            <w:sz w:val="24"/>
            <w:szCs w:val="24"/>
          </w:rPr>
        </w:r>
        <w:r w:rsidRPr="00DD11EB">
          <w:rPr>
            <w:rFonts w:ascii="Tahoma" w:hAnsi="Tahoma" w:cs="Tahoma"/>
            <w:noProof/>
            <w:webHidden/>
            <w:sz w:val="24"/>
            <w:szCs w:val="24"/>
          </w:rPr>
          <w:fldChar w:fldCharType="separate"/>
        </w:r>
        <w:r w:rsidRPr="00DD11EB">
          <w:rPr>
            <w:rFonts w:ascii="Tahoma" w:hAnsi="Tahoma" w:cs="Tahoma"/>
            <w:noProof/>
            <w:webHidden/>
            <w:sz w:val="24"/>
            <w:szCs w:val="24"/>
          </w:rPr>
          <w:t>6</w:t>
        </w:r>
        <w:r w:rsidRPr="00DD11EB">
          <w:rPr>
            <w:rFonts w:ascii="Tahoma" w:hAnsi="Tahoma" w:cs="Tahoma"/>
            <w:noProof/>
            <w:webHidden/>
            <w:sz w:val="24"/>
            <w:szCs w:val="24"/>
          </w:rPr>
          <w:fldChar w:fldCharType="end"/>
        </w:r>
      </w:hyperlink>
    </w:p>
    <w:p w14:paraId="292BEB43" w14:textId="3C1C2871" w:rsidR="00DD11EB" w:rsidRPr="00DD11EB" w:rsidRDefault="00DD11EB">
      <w:pPr>
        <w:pStyle w:val="TOC2"/>
        <w:rPr>
          <w:rFonts w:eastAsiaTheme="minorEastAsia"/>
          <w:b w:val="0"/>
          <w:lang w:val="en-GB" w:eastAsia="en-GB"/>
          <w14:ligatures w14:val="standardContextual"/>
        </w:rPr>
      </w:pPr>
      <w:hyperlink w:anchor="_Toc181022189" w:history="1">
        <w:r w:rsidRPr="00DD11EB">
          <w:rPr>
            <w:rStyle w:val="Hyperlink"/>
            <w:b w:val="0"/>
          </w:rPr>
          <w:t>7.1</w:t>
        </w:r>
        <w:r w:rsidRPr="00DD11EB">
          <w:rPr>
            <w:rFonts w:eastAsiaTheme="minorEastAsia"/>
            <w:b w:val="0"/>
            <w:lang w:val="en-GB" w:eastAsia="en-GB"/>
            <w14:ligatures w14:val="standardContextual"/>
          </w:rPr>
          <w:tab/>
        </w:r>
        <w:r w:rsidRPr="00DD11EB">
          <w:rPr>
            <w:rStyle w:val="Hyperlink"/>
            <w:b w:val="0"/>
          </w:rPr>
          <w:t>Money Supply</w:t>
        </w:r>
        <w:r w:rsidRPr="00DD11EB">
          <w:rPr>
            <w:b w:val="0"/>
            <w:webHidden/>
          </w:rPr>
          <w:tab/>
        </w:r>
        <w:r w:rsidRPr="00DD11EB">
          <w:rPr>
            <w:b w:val="0"/>
            <w:webHidden/>
          </w:rPr>
          <w:fldChar w:fldCharType="begin"/>
        </w:r>
        <w:r w:rsidRPr="00DD11EB">
          <w:rPr>
            <w:b w:val="0"/>
            <w:webHidden/>
          </w:rPr>
          <w:instrText xml:space="preserve"> PAGEREF _Toc181022189 \h </w:instrText>
        </w:r>
        <w:r w:rsidRPr="00DD11EB">
          <w:rPr>
            <w:b w:val="0"/>
            <w:webHidden/>
          </w:rPr>
        </w:r>
        <w:r w:rsidRPr="00DD11EB">
          <w:rPr>
            <w:b w:val="0"/>
            <w:webHidden/>
          </w:rPr>
          <w:fldChar w:fldCharType="separate"/>
        </w:r>
        <w:r w:rsidRPr="00DD11EB">
          <w:rPr>
            <w:b w:val="0"/>
            <w:webHidden/>
          </w:rPr>
          <w:t>6</w:t>
        </w:r>
        <w:r w:rsidRPr="00DD11EB">
          <w:rPr>
            <w:b w:val="0"/>
            <w:webHidden/>
          </w:rPr>
          <w:fldChar w:fldCharType="end"/>
        </w:r>
      </w:hyperlink>
    </w:p>
    <w:p w14:paraId="14ED3C83" w14:textId="23371398" w:rsidR="00DD11EB" w:rsidRPr="00DD11EB" w:rsidRDefault="00DD11EB">
      <w:pPr>
        <w:pStyle w:val="TOC2"/>
        <w:rPr>
          <w:rFonts w:eastAsiaTheme="minorEastAsia"/>
          <w:b w:val="0"/>
          <w:lang w:val="en-GB" w:eastAsia="en-GB"/>
          <w14:ligatures w14:val="standardContextual"/>
        </w:rPr>
      </w:pPr>
      <w:hyperlink w:anchor="_Toc181022190" w:history="1">
        <w:r w:rsidRPr="00DD11EB">
          <w:rPr>
            <w:rStyle w:val="Hyperlink"/>
            <w:b w:val="0"/>
          </w:rPr>
          <w:t>7.2</w:t>
        </w:r>
        <w:r w:rsidRPr="00DD11EB">
          <w:rPr>
            <w:rFonts w:eastAsiaTheme="minorEastAsia"/>
            <w:b w:val="0"/>
            <w:lang w:val="en-GB" w:eastAsia="en-GB"/>
            <w14:ligatures w14:val="standardContextual"/>
          </w:rPr>
          <w:tab/>
        </w:r>
        <w:r w:rsidRPr="00DD11EB">
          <w:rPr>
            <w:rStyle w:val="Hyperlink"/>
            <w:b w:val="0"/>
          </w:rPr>
          <w:t>Interest Rates</w:t>
        </w:r>
        <w:r w:rsidRPr="00DD11EB">
          <w:rPr>
            <w:b w:val="0"/>
            <w:webHidden/>
          </w:rPr>
          <w:tab/>
        </w:r>
        <w:r w:rsidRPr="00DD11EB">
          <w:rPr>
            <w:b w:val="0"/>
            <w:webHidden/>
          </w:rPr>
          <w:fldChar w:fldCharType="begin"/>
        </w:r>
        <w:r w:rsidRPr="00DD11EB">
          <w:rPr>
            <w:b w:val="0"/>
            <w:webHidden/>
          </w:rPr>
          <w:instrText xml:space="preserve"> PAGEREF _Toc181022190 \h </w:instrText>
        </w:r>
        <w:r w:rsidRPr="00DD11EB">
          <w:rPr>
            <w:b w:val="0"/>
            <w:webHidden/>
          </w:rPr>
        </w:r>
        <w:r w:rsidRPr="00DD11EB">
          <w:rPr>
            <w:b w:val="0"/>
            <w:webHidden/>
          </w:rPr>
          <w:fldChar w:fldCharType="separate"/>
        </w:r>
        <w:r w:rsidRPr="00DD11EB">
          <w:rPr>
            <w:b w:val="0"/>
            <w:webHidden/>
          </w:rPr>
          <w:t>7</w:t>
        </w:r>
        <w:r w:rsidRPr="00DD11EB">
          <w:rPr>
            <w:b w:val="0"/>
            <w:webHidden/>
          </w:rPr>
          <w:fldChar w:fldCharType="end"/>
        </w:r>
      </w:hyperlink>
    </w:p>
    <w:p w14:paraId="6C3738E4" w14:textId="3E11C51E" w:rsidR="00DD11EB" w:rsidRPr="00DD11EB" w:rsidRDefault="00DD11EB">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1022191" w:history="1">
        <w:r w:rsidRPr="00DD11EB">
          <w:rPr>
            <w:rStyle w:val="Hyperlink"/>
            <w:rFonts w:ascii="Tahoma" w:hAnsi="Tahoma" w:cs="Tahoma"/>
            <w:noProof/>
            <w:sz w:val="24"/>
            <w:szCs w:val="24"/>
            <w:lang w:val="en-US"/>
          </w:rPr>
          <w:t>8.0</w:t>
        </w:r>
        <w:r w:rsidRPr="00DD11EB">
          <w:rPr>
            <w:rFonts w:ascii="Tahoma" w:eastAsiaTheme="minorEastAsia" w:hAnsi="Tahoma" w:cs="Tahoma"/>
            <w:noProof/>
            <w:sz w:val="24"/>
            <w:szCs w:val="24"/>
            <w:lang w:val="en-GB" w:eastAsia="en-GB"/>
            <w14:ligatures w14:val="standardContextual"/>
          </w:rPr>
          <w:tab/>
        </w:r>
        <w:r w:rsidRPr="00DD11EB">
          <w:rPr>
            <w:rStyle w:val="Hyperlink"/>
            <w:rFonts w:ascii="Tahoma" w:hAnsi="Tahoma" w:cs="Tahoma"/>
            <w:noProof/>
            <w:sz w:val="24"/>
            <w:szCs w:val="24"/>
            <w:lang w:val="en-US"/>
          </w:rPr>
          <w:t>Stock Market Developments</w:t>
        </w:r>
        <w:r w:rsidRPr="00DD11EB">
          <w:rPr>
            <w:rFonts w:ascii="Tahoma" w:hAnsi="Tahoma" w:cs="Tahoma"/>
            <w:noProof/>
            <w:webHidden/>
            <w:sz w:val="24"/>
            <w:szCs w:val="24"/>
          </w:rPr>
          <w:tab/>
        </w:r>
        <w:r w:rsidRPr="00DD11EB">
          <w:rPr>
            <w:rFonts w:ascii="Tahoma" w:hAnsi="Tahoma" w:cs="Tahoma"/>
            <w:noProof/>
            <w:webHidden/>
            <w:sz w:val="24"/>
            <w:szCs w:val="24"/>
          </w:rPr>
          <w:fldChar w:fldCharType="begin"/>
        </w:r>
        <w:r w:rsidRPr="00DD11EB">
          <w:rPr>
            <w:rFonts w:ascii="Tahoma" w:hAnsi="Tahoma" w:cs="Tahoma"/>
            <w:noProof/>
            <w:webHidden/>
            <w:sz w:val="24"/>
            <w:szCs w:val="24"/>
          </w:rPr>
          <w:instrText xml:space="preserve"> PAGEREF _Toc181022191 \h </w:instrText>
        </w:r>
        <w:r w:rsidRPr="00DD11EB">
          <w:rPr>
            <w:rFonts w:ascii="Tahoma" w:hAnsi="Tahoma" w:cs="Tahoma"/>
            <w:noProof/>
            <w:webHidden/>
            <w:sz w:val="24"/>
            <w:szCs w:val="24"/>
          </w:rPr>
        </w:r>
        <w:r w:rsidRPr="00DD11EB">
          <w:rPr>
            <w:rFonts w:ascii="Tahoma" w:hAnsi="Tahoma" w:cs="Tahoma"/>
            <w:noProof/>
            <w:webHidden/>
            <w:sz w:val="24"/>
            <w:szCs w:val="24"/>
          </w:rPr>
          <w:fldChar w:fldCharType="separate"/>
        </w:r>
        <w:r w:rsidRPr="00DD11EB">
          <w:rPr>
            <w:rFonts w:ascii="Tahoma" w:hAnsi="Tahoma" w:cs="Tahoma"/>
            <w:noProof/>
            <w:webHidden/>
            <w:sz w:val="24"/>
            <w:szCs w:val="24"/>
          </w:rPr>
          <w:t>8</w:t>
        </w:r>
        <w:r w:rsidRPr="00DD11EB">
          <w:rPr>
            <w:rFonts w:ascii="Tahoma" w:hAnsi="Tahoma" w:cs="Tahoma"/>
            <w:noProof/>
            <w:webHidden/>
            <w:sz w:val="24"/>
            <w:szCs w:val="24"/>
          </w:rPr>
          <w:fldChar w:fldCharType="end"/>
        </w:r>
      </w:hyperlink>
    </w:p>
    <w:p w14:paraId="1D8E71B9" w14:textId="59A8DD91" w:rsidR="00DD11EB" w:rsidRPr="00DD11EB" w:rsidRDefault="00DD11EB">
      <w:pPr>
        <w:pStyle w:val="TOC2"/>
        <w:rPr>
          <w:rFonts w:eastAsiaTheme="minorEastAsia"/>
          <w:b w:val="0"/>
          <w:lang w:val="en-GB" w:eastAsia="en-GB"/>
          <w14:ligatures w14:val="standardContextual"/>
        </w:rPr>
      </w:pPr>
      <w:hyperlink w:anchor="_Toc181022192" w:history="1">
        <w:r w:rsidRPr="00DD11EB">
          <w:rPr>
            <w:rStyle w:val="Hyperlink"/>
            <w:b w:val="0"/>
          </w:rPr>
          <w:t>8.1</w:t>
        </w:r>
        <w:r w:rsidRPr="00DD11EB">
          <w:rPr>
            <w:rFonts w:eastAsiaTheme="minorEastAsia"/>
            <w:b w:val="0"/>
            <w:lang w:val="en-GB" w:eastAsia="en-GB"/>
            <w14:ligatures w14:val="standardContextual"/>
          </w:rPr>
          <w:tab/>
        </w:r>
        <w:r w:rsidRPr="00DD11EB">
          <w:rPr>
            <w:rStyle w:val="Hyperlink"/>
            <w:b w:val="0"/>
          </w:rPr>
          <w:t>Zimbabwe Stock Exchange</w:t>
        </w:r>
        <w:r w:rsidRPr="00DD11EB">
          <w:rPr>
            <w:b w:val="0"/>
            <w:webHidden/>
          </w:rPr>
          <w:tab/>
        </w:r>
        <w:r w:rsidRPr="00DD11EB">
          <w:rPr>
            <w:b w:val="0"/>
            <w:webHidden/>
          </w:rPr>
          <w:fldChar w:fldCharType="begin"/>
        </w:r>
        <w:r w:rsidRPr="00DD11EB">
          <w:rPr>
            <w:b w:val="0"/>
            <w:webHidden/>
          </w:rPr>
          <w:instrText xml:space="preserve"> PAGEREF _Toc181022192 \h </w:instrText>
        </w:r>
        <w:r w:rsidRPr="00DD11EB">
          <w:rPr>
            <w:b w:val="0"/>
            <w:webHidden/>
          </w:rPr>
        </w:r>
        <w:r w:rsidRPr="00DD11EB">
          <w:rPr>
            <w:b w:val="0"/>
            <w:webHidden/>
          </w:rPr>
          <w:fldChar w:fldCharType="separate"/>
        </w:r>
        <w:r w:rsidRPr="00DD11EB">
          <w:rPr>
            <w:b w:val="0"/>
            <w:webHidden/>
          </w:rPr>
          <w:t>8</w:t>
        </w:r>
        <w:r w:rsidRPr="00DD11EB">
          <w:rPr>
            <w:b w:val="0"/>
            <w:webHidden/>
          </w:rPr>
          <w:fldChar w:fldCharType="end"/>
        </w:r>
      </w:hyperlink>
    </w:p>
    <w:p w14:paraId="7CAD9973" w14:textId="12961BF8" w:rsidR="00DD11EB" w:rsidRPr="00DD11EB" w:rsidRDefault="00DD11EB">
      <w:pPr>
        <w:pStyle w:val="TOC2"/>
        <w:rPr>
          <w:rFonts w:eastAsiaTheme="minorEastAsia"/>
          <w:b w:val="0"/>
          <w:lang w:val="en-GB" w:eastAsia="en-GB"/>
          <w14:ligatures w14:val="standardContextual"/>
        </w:rPr>
      </w:pPr>
      <w:hyperlink w:anchor="_Toc181022193" w:history="1">
        <w:r w:rsidRPr="00DD11EB">
          <w:rPr>
            <w:rStyle w:val="Hyperlink"/>
            <w:b w:val="0"/>
          </w:rPr>
          <w:t>8.2</w:t>
        </w:r>
        <w:r w:rsidRPr="00DD11EB">
          <w:rPr>
            <w:rFonts w:eastAsiaTheme="minorEastAsia"/>
            <w:b w:val="0"/>
            <w:lang w:val="en-GB" w:eastAsia="en-GB"/>
            <w14:ligatures w14:val="standardContextual"/>
          </w:rPr>
          <w:tab/>
        </w:r>
        <w:r w:rsidRPr="00DD11EB">
          <w:rPr>
            <w:rStyle w:val="Hyperlink"/>
            <w:b w:val="0"/>
          </w:rPr>
          <w:t>Victoria Falls Stock Exchange</w:t>
        </w:r>
        <w:r w:rsidRPr="00DD11EB">
          <w:rPr>
            <w:b w:val="0"/>
            <w:webHidden/>
          </w:rPr>
          <w:tab/>
        </w:r>
        <w:r w:rsidRPr="00DD11EB">
          <w:rPr>
            <w:b w:val="0"/>
            <w:webHidden/>
          </w:rPr>
          <w:fldChar w:fldCharType="begin"/>
        </w:r>
        <w:r w:rsidRPr="00DD11EB">
          <w:rPr>
            <w:b w:val="0"/>
            <w:webHidden/>
          </w:rPr>
          <w:instrText xml:space="preserve"> PAGEREF _Toc181022193 \h </w:instrText>
        </w:r>
        <w:r w:rsidRPr="00DD11EB">
          <w:rPr>
            <w:b w:val="0"/>
            <w:webHidden/>
          </w:rPr>
        </w:r>
        <w:r w:rsidRPr="00DD11EB">
          <w:rPr>
            <w:b w:val="0"/>
            <w:webHidden/>
          </w:rPr>
          <w:fldChar w:fldCharType="separate"/>
        </w:r>
        <w:r w:rsidRPr="00DD11EB">
          <w:rPr>
            <w:b w:val="0"/>
            <w:webHidden/>
          </w:rPr>
          <w:t>8</w:t>
        </w:r>
        <w:r w:rsidRPr="00DD11EB">
          <w:rPr>
            <w:b w:val="0"/>
            <w:webHidden/>
          </w:rPr>
          <w:fldChar w:fldCharType="end"/>
        </w:r>
      </w:hyperlink>
    </w:p>
    <w:p w14:paraId="2AE4C96A" w14:textId="150148A8" w:rsidR="00DD11EB" w:rsidRPr="00DD11EB" w:rsidRDefault="00DD11EB">
      <w:pPr>
        <w:pStyle w:val="TOC1"/>
        <w:tabs>
          <w:tab w:val="left" w:pos="720"/>
          <w:tab w:val="right" w:leader="dot" w:pos="9016"/>
        </w:tabs>
        <w:rPr>
          <w:rFonts w:ascii="Tahoma" w:eastAsiaTheme="minorEastAsia" w:hAnsi="Tahoma" w:cs="Tahoma"/>
          <w:noProof/>
          <w:sz w:val="24"/>
          <w:szCs w:val="24"/>
          <w:lang w:val="en-GB" w:eastAsia="en-GB"/>
          <w14:ligatures w14:val="standardContextual"/>
        </w:rPr>
      </w:pPr>
      <w:hyperlink w:anchor="_Toc181022194" w:history="1">
        <w:r w:rsidRPr="00DD11EB">
          <w:rPr>
            <w:rStyle w:val="Hyperlink"/>
            <w:rFonts w:ascii="Tahoma" w:hAnsi="Tahoma" w:cs="Tahoma"/>
            <w:noProof/>
            <w:sz w:val="24"/>
            <w:szCs w:val="24"/>
            <w:lang w:val="en-US"/>
          </w:rPr>
          <w:t>9.0</w:t>
        </w:r>
        <w:r w:rsidRPr="00DD11EB">
          <w:rPr>
            <w:rFonts w:ascii="Tahoma" w:eastAsiaTheme="minorEastAsia" w:hAnsi="Tahoma" w:cs="Tahoma"/>
            <w:noProof/>
            <w:sz w:val="24"/>
            <w:szCs w:val="24"/>
            <w:lang w:val="en-GB" w:eastAsia="en-GB"/>
            <w14:ligatures w14:val="standardContextual"/>
          </w:rPr>
          <w:tab/>
        </w:r>
        <w:r w:rsidRPr="00DD11EB">
          <w:rPr>
            <w:rStyle w:val="Hyperlink"/>
            <w:rFonts w:ascii="Tahoma" w:hAnsi="Tahoma" w:cs="Tahoma"/>
            <w:noProof/>
            <w:sz w:val="24"/>
            <w:szCs w:val="24"/>
            <w:lang w:val="en-US"/>
          </w:rPr>
          <w:t>Recommendations</w:t>
        </w:r>
        <w:r w:rsidRPr="00DD11EB">
          <w:rPr>
            <w:rFonts w:ascii="Tahoma" w:hAnsi="Tahoma" w:cs="Tahoma"/>
            <w:noProof/>
            <w:webHidden/>
            <w:sz w:val="24"/>
            <w:szCs w:val="24"/>
          </w:rPr>
          <w:tab/>
        </w:r>
        <w:r w:rsidRPr="00DD11EB">
          <w:rPr>
            <w:rFonts w:ascii="Tahoma" w:hAnsi="Tahoma" w:cs="Tahoma"/>
            <w:noProof/>
            <w:webHidden/>
            <w:sz w:val="24"/>
            <w:szCs w:val="24"/>
          </w:rPr>
          <w:fldChar w:fldCharType="begin"/>
        </w:r>
        <w:r w:rsidRPr="00DD11EB">
          <w:rPr>
            <w:rFonts w:ascii="Tahoma" w:hAnsi="Tahoma" w:cs="Tahoma"/>
            <w:noProof/>
            <w:webHidden/>
            <w:sz w:val="24"/>
            <w:szCs w:val="24"/>
          </w:rPr>
          <w:instrText xml:space="preserve"> PAGEREF _Toc181022194 \h </w:instrText>
        </w:r>
        <w:r w:rsidRPr="00DD11EB">
          <w:rPr>
            <w:rFonts w:ascii="Tahoma" w:hAnsi="Tahoma" w:cs="Tahoma"/>
            <w:noProof/>
            <w:webHidden/>
            <w:sz w:val="24"/>
            <w:szCs w:val="24"/>
          </w:rPr>
        </w:r>
        <w:r w:rsidRPr="00DD11EB">
          <w:rPr>
            <w:rFonts w:ascii="Tahoma" w:hAnsi="Tahoma" w:cs="Tahoma"/>
            <w:noProof/>
            <w:webHidden/>
            <w:sz w:val="24"/>
            <w:szCs w:val="24"/>
          </w:rPr>
          <w:fldChar w:fldCharType="separate"/>
        </w:r>
        <w:r w:rsidRPr="00DD11EB">
          <w:rPr>
            <w:rFonts w:ascii="Tahoma" w:hAnsi="Tahoma" w:cs="Tahoma"/>
            <w:noProof/>
            <w:webHidden/>
            <w:sz w:val="24"/>
            <w:szCs w:val="24"/>
          </w:rPr>
          <w:t>9</w:t>
        </w:r>
        <w:r w:rsidRPr="00DD11EB">
          <w:rPr>
            <w:rFonts w:ascii="Tahoma" w:hAnsi="Tahoma" w:cs="Tahoma"/>
            <w:noProof/>
            <w:webHidden/>
            <w:sz w:val="24"/>
            <w:szCs w:val="24"/>
          </w:rPr>
          <w:fldChar w:fldCharType="end"/>
        </w:r>
      </w:hyperlink>
    </w:p>
    <w:p w14:paraId="260FAC12" w14:textId="1A1B638C" w:rsidR="00DD11EB" w:rsidRPr="00DD11EB" w:rsidRDefault="00DD11EB">
      <w:pPr>
        <w:pStyle w:val="TOC1"/>
        <w:tabs>
          <w:tab w:val="right" w:leader="dot" w:pos="9016"/>
        </w:tabs>
        <w:rPr>
          <w:rFonts w:ascii="Tahoma" w:eastAsiaTheme="minorEastAsia" w:hAnsi="Tahoma" w:cs="Tahoma"/>
          <w:noProof/>
          <w:sz w:val="24"/>
          <w:szCs w:val="24"/>
          <w:lang w:val="en-GB" w:eastAsia="en-GB"/>
          <w14:ligatures w14:val="standardContextual"/>
        </w:rPr>
      </w:pPr>
      <w:hyperlink w:anchor="_Toc181022195" w:history="1">
        <w:r w:rsidRPr="00DD11EB">
          <w:rPr>
            <w:rStyle w:val="Hyperlink"/>
            <w:rFonts w:ascii="Tahoma" w:hAnsi="Tahoma" w:cs="Tahoma"/>
            <w:noProof/>
            <w:sz w:val="24"/>
            <w:szCs w:val="24"/>
          </w:rPr>
          <w:t>10.0 References</w:t>
        </w:r>
        <w:r w:rsidRPr="00DD11EB">
          <w:rPr>
            <w:rFonts w:ascii="Tahoma" w:hAnsi="Tahoma" w:cs="Tahoma"/>
            <w:noProof/>
            <w:webHidden/>
            <w:sz w:val="24"/>
            <w:szCs w:val="24"/>
          </w:rPr>
          <w:tab/>
        </w:r>
        <w:r w:rsidRPr="00DD11EB">
          <w:rPr>
            <w:rFonts w:ascii="Tahoma" w:hAnsi="Tahoma" w:cs="Tahoma"/>
            <w:noProof/>
            <w:webHidden/>
            <w:sz w:val="24"/>
            <w:szCs w:val="24"/>
          </w:rPr>
          <w:fldChar w:fldCharType="begin"/>
        </w:r>
        <w:r w:rsidRPr="00DD11EB">
          <w:rPr>
            <w:rFonts w:ascii="Tahoma" w:hAnsi="Tahoma" w:cs="Tahoma"/>
            <w:noProof/>
            <w:webHidden/>
            <w:sz w:val="24"/>
            <w:szCs w:val="24"/>
          </w:rPr>
          <w:instrText xml:space="preserve"> PAGEREF _Toc181022195 \h </w:instrText>
        </w:r>
        <w:r w:rsidRPr="00DD11EB">
          <w:rPr>
            <w:rFonts w:ascii="Tahoma" w:hAnsi="Tahoma" w:cs="Tahoma"/>
            <w:noProof/>
            <w:webHidden/>
            <w:sz w:val="24"/>
            <w:szCs w:val="24"/>
          </w:rPr>
        </w:r>
        <w:r w:rsidRPr="00DD11EB">
          <w:rPr>
            <w:rFonts w:ascii="Tahoma" w:hAnsi="Tahoma" w:cs="Tahoma"/>
            <w:noProof/>
            <w:webHidden/>
            <w:sz w:val="24"/>
            <w:szCs w:val="24"/>
          </w:rPr>
          <w:fldChar w:fldCharType="separate"/>
        </w:r>
        <w:r w:rsidRPr="00DD11EB">
          <w:rPr>
            <w:rFonts w:ascii="Tahoma" w:hAnsi="Tahoma" w:cs="Tahoma"/>
            <w:noProof/>
            <w:webHidden/>
            <w:sz w:val="24"/>
            <w:szCs w:val="24"/>
          </w:rPr>
          <w:t>11</w:t>
        </w:r>
        <w:r w:rsidRPr="00DD11EB">
          <w:rPr>
            <w:rFonts w:ascii="Tahoma" w:hAnsi="Tahoma" w:cs="Tahoma"/>
            <w:noProof/>
            <w:webHidden/>
            <w:sz w:val="24"/>
            <w:szCs w:val="24"/>
          </w:rPr>
          <w:fldChar w:fldCharType="end"/>
        </w:r>
      </w:hyperlink>
    </w:p>
    <w:p w14:paraId="478F8995" w14:textId="4248E9BC" w:rsidR="00D46F37" w:rsidRPr="00DD11EB" w:rsidRDefault="00D46F37" w:rsidP="00F05BD5">
      <w:pPr>
        <w:jc w:val="both"/>
        <w:rPr>
          <w:rFonts w:ascii="Tahoma" w:hAnsi="Tahoma" w:cs="Tahoma"/>
          <w:sz w:val="24"/>
          <w:szCs w:val="24"/>
        </w:rPr>
      </w:pPr>
      <w:r w:rsidRPr="00DD11EB">
        <w:rPr>
          <w:rFonts w:ascii="Tahoma" w:hAnsi="Tahoma" w:cs="Tahoma"/>
          <w:noProof/>
          <w:sz w:val="24"/>
          <w:szCs w:val="24"/>
        </w:rPr>
        <w:fldChar w:fldCharType="end"/>
      </w:r>
    </w:p>
    <w:p w14:paraId="689DF789" w14:textId="77777777" w:rsidR="00D46F37" w:rsidRDefault="00D46F37" w:rsidP="00D46F37">
      <w:pPr>
        <w:rPr>
          <w:lang w:val="en-US"/>
        </w:rPr>
      </w:pPr>
    </w:p>
    <w:p w14:paraId="0F2E3DE1" w14:textId="77777777" w:rsidR="00D46F37" w:rsidRDefault="00D46F37" w:rsidP="00D46F37">
      <w:pPr>
        <w:rPr>
          <w:lang w:val="en-US"/>
        </w:rPr>
      </w:pPr>
    </w:p>
    <w:p w14:paraId="7C08A4EB" w14:textId="77777777" w:rsidR="00D46F37" w:rsidRDefault="00D46F37" w:rsidP="00D46F37">
      <w:pPr>
        <w:rPr>
          <w:lang w:val="en-US"/>
        </w:rPr>
      </w:pPr>
    </w:p>
    <w:p w14:paraId="72ABD6CF" w14:textId="77777777" w:rsidR="00D46F37" w:rsidRDefault="00D46F37" w:rsidP="00D46F37">
      <w:pPr>
        <w:rPr>
          <w:lang w:val="en-US"/>
        </w:rPr>
      </w:pPr>
    </w:p>
    <w:p w14:paraId="455CC4C0" w14:textId="77777777" w:rsidR="00D46F37" w:rsidRDefault="00D46F37" w:rsidP="00D46F37">
      <w:pPr>
        <w:rPr>
          <w:lang w:val="en-US"/>
        </w:rPr>
      </w:pPr>
    </w:p>
    <w:p w14:paraId="12F4D5D7" w14:textId="77777777" w:rsidR="00A26B7B" w:rsidRDefault="00A26B7B" w:rsidP="00D46F37">
      <w:pPr>
        <w:rPr>
          <w:lang w:val="en-US"/>
        </w:rPr>
      </w:pPr>
    </w:p>
    <w:p w14:paraId="55BC55A6" w14:textId="77777777" w:rsidR="00D46F37" w:rsidRDefault="00D46F37" w:rsidP="00D46F37">
      <w:pPr>
        <w:rPr>
          <w:lang w:val="en-US"/>
        </w:rPr>
      </w:pPr>
    </w:p>
    <w:p w14:paraId="352E9227" w14:textId="77777777" w:rsidR="00D46F37" w:rsidRDefault="00D46F37" w:rsidP="00D46F37">
      <w:pPr>
        <w:rPr>
          <w:lang w:val="en-US"/>
        </w:rPr>
      </w:pPr>
    </w:p>
    <w:p w14:paraId="590492FD" w14:textId="77777777" w:rsidR="00732393" w:rsidRPr="00DD11EB" w:rsidRDefault="00F67469" w:rsidP="00DD11EB">
      <w:pPr>
        <w:pStyle w:val="Heading1"/>
        <w:spacing w:before="0" w:after="240"/>
        <w:rPr>
          <w:rFonts w:cs="Tahoma"/>
          <w:bCs/>
          <w:color w:val="000000"/>
          <w:szCs w:val="24"/>
          <w:lang w:val="en-US"/>
        </w:rPr>
      </w:pPr>
      <w:bookmarkStart w:id="2" w:name="_Toc181022175"/>
      <w:r w:rsidRPr="00DD11EB">
        <w:rPr>
          <w:rFonts w:cs="Tahoma"/>
          <w:bCs/>
          <w:color w:val="000000"/>
          <w:szCs w:val="24"/>
          <w:lang w:val="en-US"/>
        </w:rPr>
        <w:lastRenderedPageBreak/>
        <w:t xml:space="preserve">List of </w:t>
      </w:r>
      <w:r w:rsidR="009744EB" w:rsidRPr="00DD11EB">
        <w:rPr>
          <w:rFonts w:cs="Tahoma"/>
          <w:bCs/>
          <w:color w:val="000000"/>
          <w:szCs w:val="24"/>
          <w:lang w:val="en-US"/>
        </w:rPr>
        <w:t>Tables</w:t>
      </w:r>
      <w:bookmarkEnd w:id="2"/>
      <w:r w:rsidRPr="00DD11EB">
        <w:rPr>
          <w:rFonts w:cs="Tahoma"/>
          <w:bCs/>
          <w:color w:val="000000"/>
          <w:szCs w:val="24"/>
          <w:lang w:val="en-US"/>
        </w:rPr>
        <w:t xml:space="preserve"> </w:t>
      </w:r>
    </w:p>
    <w:p w14:paraId="1FBA2E8F" w14:textId="62B428B0" w:rsidR="00DD11EB" w:rsidRPr="00DD11EB" w:rsidRDefault="00E36073">
      <w:pPr>
        <w:pStyle w:val="TableofFigures"/>
        <w:tabs>
          <w:tab w:val="right" w:leader="dot" w:pos="9016"/>
        </w:tabs>
        <w:rPr>
          <w:rFonts w:ascii="Tahoma" w:eastAsiaTheme="minorEastAsia" w:hAnsi="Tahoma" w:cs="Tahoma"/>
          <w:noProof/>
          <w:sz w:val="24"/>
          <w:szCs w:val="24"/>
          <w:lang w:val="en-GB" w:eastAsia="en-GB"/>
          <w14:ligatures w14:val="standardContextual"/>
        </w:rPr>
      </w:pPr>
      <w:r w:rsidRPr="00DD11EB">
        <w:rPr>
          <w:rFonts w:ascii="Tahoma" w:hAnsi="Tahoma" w:cs="Tahoma"/>
          <w:b/>
          <w:iCs/>
          <w:sz w:val="24"/>
          <w:szCs w:val="24"/>
          <w:lang w:val="en-US"/>
        </w:rPr>
        <w:fldChar w:fldCharType="begin"/>
      </w:r>
      <w:r w:rsidRPr="00DD11EB">
        <w:rPr>
          <w:rFonts w:ascii="Tahoma" w:hAnsi="Tahoma" w:cs="Tahoma"/>
          <w:b/>
          <w:iCs/>
          <w:sz w:val="24"/>
          <w:szCs w:val="24"/>
          <w:lang w:val="en-US"/>
        </w:rPr>
        <w:instrText xml:space="preserve"> TOC \f F \h \z \t "List of Tables" \c </w:instrText>
      </w:r>
      <w:r w:rsidRPr="00DD11EB">
        <w:rPr>
          <w:rFonts w:ascii="Tahoma" w:hAnsi="Tahoma" w:cs="Tahoma"/>
          <w:b/>
          <w:iCs/>
          <w:sz w:val="24"/>
          <w:szCs w:val="24"/>
          <w:lang w:val="en-US"/>
        </w:rPr>
        <w:fldChar w:fldCharType="separate"/>
      </w:r>
      <w:hyperlink w:anchor="_Toc181022046" w:history="1">
        <w:r w:rsidR="00DD11EB" w:rsidRPr="00DD11EB">
          <w:rPr>
            <w:rStyle w:val="Hyperlink"/>
            <w:rFonts w:ascii="Tahoma" w:hAnsi="Tahoma" w:cs="Tahoma"/>
            <w:noProof/>
            <w:sz w:val="24"/>
            <w:szCs w:val="24"/>
          </w:rPr>
          <w:t xml:space="preserve">Table 1: </w:t>
        </w:r>
        <w:r w:rsidR="00DD11EB" w:rsidRPr="00DD11EB">
          <w:rPr>
            <w:rStyle w:val="Hyperlink"/>
            <w:rFonts w:ascii="Tahoma" w:hAnsi="Tahoma" w:cs="Tahoma"/>
            <w:noProof/>
            <w:sz w:val="24"/>
            <w:szCs w:val="24"/>
            <w:lang w:val="en-US"/>
          </w:rPr>
          <w:t>Global Economic Growth Developments</w:t>
        </w:r>
        <w:r w:rsidR="00DD11EB" w:rsidRPr="00DD11EB">
          <w:rPr>
            <w:rFonts w:ascii="Tahoma" w:hAnsi="Tahoma" w:cs="Tahoma"/>
            <w:noProof/>
            <w:webHidden/>
            <w:sz w:val="24"/>
            <w:szCs w:val="24"/>
          </w:rPr>
          <w:tab/>
        </w:r>
        <w:r w:rsidR="00DD11EB" w:rsidRPr="00DD11EB">
          <w:rPr>
            <w:rFonts w:ascii="Tahoma" w:hAnsi="Tahoma" w:cs="Tahoma"/>
            <w:noProof/>
            <w:webHidden/>
            <w:sz w:val="24"/>
            <w:szCs w:val="24"/>
          </w:rPr>
          <w:fldChar w:fldCharType="begin"/>
        </w:r>
        <w:r w:rsidR="00DD11EB" w:rsidRPr="00DD11EB">
          <w:rPr>
            <w:rFonts w:ascii="Tahoma" w:hAnsi="Tahoma" w:cs="Tahoma"/>
            <w:noProof/>
            <w:webHidden/>
            <w:sz w:val="24"/>
            <w:szCs w:val="24"/>
          </w:rPr>
          <w:instrText xml:space="preserve"> PAGEREF _Toc181022046 \h </w:instrText>
        </w:r>
        <w:r w:rsidR="00DD11EB" w:rsidRPr="00DD11EB">
          <w:rPr>
            <w:rFonts w:ascii="Tahoma" w:hAnsi="Tahoma" w:cs="Tahoma"/>
            <w:noProof/>
            <w:webHidden/>
            <w:sz w:val="24"/>
            <w:szCs w:val="24"/>
          </w:rPr>
        </w:r>
        <w:r w:rsidR="00DD11EB" w:rsidRPr="00DD11EB">
          <w:rPr>
            <w:rFonts w:ascii="Tahoma" w:hAnsi="Tahoma" w:cs="Tahoma"/>
            <w:noProof/>
            <w:webHidden/>
            <w:sz w:val="24"/>
            <w:szCs w:val="24"/>
          </w:rPr>
          <w:fldChar w:fldCharType="separate"/>
        </w:r>
        <w:r w:rsidR="00DD11EB" w:rsidRPr="00DD11EB">
          <w:rPr>
            <w:rFonts w:ascii="Tahoma" w:hAnsi="Tahoma" w:cs="Tahoma"/>
            <w:noProof/>
            <w:webHidden/>
            <w:sz w:val="24"/>
            <w:szCs w:val="24"/>
          </w:rPr>
          <w:t>1</w:t>
        </w:r>
        <w:r w:rsidR="00DD11EB" w:rsidRPr="00DD11EB">
          <w:rPr>
            <w:rFonts w:ascii="Tahoma" w:hAnsi="Tahoma" w:cs="Tahoma"/>
            <w:noProof/>
            <w:webHidden/>
            <w:sz w:val="24"/>
            <w:szCs w:val="24"/>
          </w:rPr>
          <w:fldChar w:fldCharType="end"/>
        </w:r>
      </w:hyperlink>
    </w:p>
    <w:p w14:paraId="4498D5ED" w14:textId="1539A66F" w:rsidR="00DD11EB" w:rsidRPr="00DD11EB" w:rsidRDefault="00DD11EB">
      <w:pPr>
        <w:pStyle w:val="TableofFigures"/>
        <w:tabs>
          <w:tab w:val="right" w:leader="dot" w:pos="9016"/>
        </w:tabs>
        <w:rPr>
          <w:rFonts w:ascii="Tahoma" w:eastAsiaTheme="minorEastAsia" w:hAnsi="Tahoma" w:cs="Tahoma"/>
          <w:noProof/>
          <w:sz w:val="24"/>
          <w:szCs w:val="24"/>
          <w:lang w:val="en-GB" w:eastAsia="en-GB"/>
          <w14:ligatures w14:val="standardContextual"/>
        </w:rPr>
      </w:pPr>
      <w:hyperlink w:anchor="_Toc181022047" w:history="1">
        <w:r w:rsidRPr="00DD11EB">
          <w:rPr>
            <w:rStyle w:val="Hyperlink"/>
            <w:rFonts w:ascii="Tahoma" w:hAnsi="Tahoma" w:cs="Tahoma"/>
            <w:noProof/>
            <w:sz w:val="24"/>
            <w:szCs w:val="24"/>
          </w:rPr>
          <w:t>Table 2:</w:t>
        </w:r>
        <w:r w:rsidRPr="00DD11EB">
          <w:rPr>
            <w:rStyle w:val="Hyperlink"/>
            <w:rFonts w:ascii="Tahoma" w:hAnsi="Tahoma" w:cs="Tahoma"/>
            <w:noProof/>
            <w:sz w:val="24"/>
            <w:szCs w:val="24"/>
            <w:lang w:val="en-US"/>
          </w:rPr>
          <w:t xml:space="preserve"> Commodity Price Movements – Month Ending 30 September 2024</w:t>
        </w:r>
        <w:r w:rsidRPr="00DD11EB">
          <w:rPr>
            <w:rFonts w:ascii="Tahoma" w:hAnsi="Tahoma" w:cs="Tahoma"/>
            <w:noProof/>
            <w:webHidden/>
            <w:sz w:val="24"/>
            <w:szCs w:val="24"/>
          </w:rPr>
          <w:tab/>
        </w:r>
        <w:r w:rsidRPr="00DD11EB">
          <w:rPr>
            <w:rFonts w:ascii="Tahoma" w:hAnsi="Tahoma" w:cs="Tahoma"/>
            <w:noProof/>
            <w:webHidden/>
            <w:sz w:val="24"/>
            <w:szCs w:val="24"/>
          </w:rPr>
          <w:fldChar w:fldCharType="begin"/>
        </w:r>
        <w:r w:rsidRPr="00DD11EB">
          <w:rPr>
            <w:rFonts w:ascii="Tahoma" w:hAnsi="Tahoma" w:cs="Tahoma"/>
            <w:noProof/>
            <w:webHidden/>
            <w:sz w:val="24"/>
            <w:szCs w:val="24"/>
          </w:rPr>
          <w:instrText xml:space="preserve"> PAGEREF _Toc181022047 \h </w:instrText>
        </w:r>
        <w:r w:rsidRPr="00DD11EB">
          <w:rPr>
            <w:rFonts w:ascii="Tahoma" w:hAnsi="Tahoma" w:cs="Tahoma"/>
            <w:noProof/>
            <w:webHidden/>
            <w:sz w:val="24"/>
            <w:szCs w:val="24"/>
          </w:rPr>
        </w:r>
        <w:r w:rsidRPr="00DD11EB">
          <w:rPr>
            <w:rFonts w:ascii="Tahoma" w:hAnsi="Tahoma" w:cs="Tahoma"/>
            <w:noProof/>
            <w:webHidden/>
            <w:sz w:val="24"/>
            <w:szCs w:val="24"/>
          </w:rPr>
          <w:fldChar w:fldCharType="separate"/>
        </w:r>
        <w:r w:rsidRPr="00DD11EB">
          <w:rPr>
            <w:rFonts w:ascii="Tahoma" w:hAnsi="Tahoma" w:cs="Tahoma"/>
            <w:noProof/>
            <w:webHidden/>
            <w:sz w:val="24"/>
            <w:szCs w:val="24"/>
          </w:rPr>
          <w:t>2</w:t>
        </w:r>
        <w:r w:rsidRPr="00DD11EB">
          <w:rPr>
            <w:rFonts w:ascii="Tahoma" w:hAnsi="Tahoma" w:cs="Tahoma"/>
            <w:noProof/>
            <w:webHidden/>
            <w:sz w:val="24"/>
            <w:szCs w:val="24"/>
          </w:rPr>
          <w:fldChar w:fldCharType="end"/>
        </w:r>
      </w:hyperlink>
    </w:p>
    <w:p w14:paraId="3653C4DB" w14:textId="02A95B5D" w:rsidR="00DD11EB" w:rsidRPr="00DD11EB" w:rsidRDefault="00DD11EB">
      <w:pPr>
        <w:pStyle w:val="TableofFigures"/>
        <w:tabs>
          <w:tab w:val="right" w:leader="dot" w:pos="9016"/>
        </w:tabs>
        <w:rPr>
          <w:rFonts w:ascii="Tahoma" w:eastAsiaTheme="minorEastAsia" w:hAnsi="Tahoma" w:cs="Tahoma"/>
          <w:noProof/>
          <w:sz w:val="24"/>
          <w:szCs w:val="24"/>
          <w:lang w:val="en-GB" w:eastAsia="en-GB"/>
          <w14:ligatures w14:val="standardContextual"/>
        </w:rPr>
      </w:pPr>
      <w:hyperlink w:anchor="_Toc181022048" w:history="1">
        <w:r w:rsidRPr="00DD11EB">
          <w:rPr>
            <w:rStyle w:val="Hyperlink"/>
            <w:rFonts w:ascii="Tahoma" w:hAnsi="Tahoma" w:cs="Tahoma"/>
            <w:noProof/>
            <w:sz w:val="24"/>
            <w:szCs w:val="24"/>
          </w:rPr>
          <w:t>Table 3: ZWG Exchange Rate Movements - Month Ending 30 September 2024</w:t>
        </w:r>
        <w:r w:rsidRPr="00DD11EB">
          <w:rPr>
            <w:rFonts w:ascii="Tahoma" w:hAnsi="Tahoma" w:cs="Tahoma"/>
            <w:noProof/>
            <w:webHidden/>
            <w:sz w:val="24"/>
            <w:szCs w:val="24"/>
          </w:rPr>
          <w:tab/>
        </w:r>
        <w:r w:rsidRPr="00DD11EB">
          <w:rPr>
            <w:rFonts w:ascii="Tahoma" w:hAnsi="Tahoma" w:cs="Tahoma"/>
            <w:noProof/>
            <w:webHidden/>
            <w:sz w:val="24"/>
            <w:szCs w:val="24"/>
          </w:rPr>
          <w:fldChar w:fldCharType="begin"/>
        </w:r>
        <w:r w:rsidRPr="00DD11EB">
          <w:rPr>
            <w:rFonts w:ascii="Tahoma" w:hAnsi="Tahoma" w:cs="Tahoma"/>
            <w:noProof/>
            <w:webHidden/>
            <w:sz w:val="24"/>
            <w:szCs w:val="24"/>
          </w:rPr>
          <w:instrText xml:space="preserve"> PAGEREF _Toc181022048 \h </w:instrText>
        </w:r>
        <w:r w:rsidRPr="00DD11EB">
          <w:rPr>
            <w:rFonts w:ascii="Tahoma" w:hAnsi="Tahoma" w:cs="Tahoma"/>
            <w:noProof/>
            <w:webHidden/>
            <w:sz w:val="24"/>
            <w:szCs w:val="24"/>
          </w:rPr>
        </w:r>
        <w:r w:rsidRPr="00DD11EB">
          <w:rPr>
            <w:rFonts w:ascii="Tahoma" w:hAnsi="Tahoma" w:cs="Tahoma"/>
            <w:noProof/>
            <w:webHidden/>
            <w:sz w:val="24"/>
            <w:szCs w:val="24"/>
          </w:rPr>
          <w:fldChar w:fldCharType="separate"/>
        </w:r>
        <w:r w:rsidRPr="00DD11EB">
          <w:rPr>
            <w:rFonts w:ascii="Tahoma" w:hAnsi="Tahoma" w:cs="Tahoma"/>
            <w:noProof/>
            <w:webHidden/>
            <w:sz w:val="24"/>
            <w:szCs w:val="24"/>
          </w:rPr>
          <w:t>4</w:t>
        </w:r>
        <w:r w:rsidRPr="00DD11EB">
          <w:rPr>
            <w:rFonts w:ascii="Tahoma" w:hAnsi="Tahoma" w:cs="Tahoma"/>
            <w:noProof/>
            <w:webHidden/>
            <w:sz w:val="24"/>
            <w:szCs w:val="24"/>
          </w:rPr>
          <w:fldChar w:fldCharType="end"/>
        </w:r>
      </w:hyperlink>
    </w:p>
    <w:p w14:paraId="46B3E4A4" w14:textId="0701DC02" w:rsidR="00DD11EB" w:rsidRPr="00DD11EB" w:rsidRDefault="00DD11EB">
      <w:pPr>
        <w:pStyle w:val="TableofFigures"/>
        <w:tabs>
          <w:tab w:val="right" w:leader="dot" w:pos="9016"/>
        </w:tabs>
        <w:rPr>
          <w:rFonts w:ascii="Tahoma" w:eastAsiaTheme="minorEastAsia" w:hAnsi="Tahoma" w:cs="Tahoma"/>
          <w:noProof/>
          <w:sz w:val="24"/>
          <w:szCs w:val="24"/>
          <w:lang w:val="en-GB" w:eastAsia="en-GB"/>
          <w14:ligatures w14:val="standardContextual"/>
        </w:rPr>
      </w:pPr>
      <w:hyperlink w:anchor="_Toc181022049" w:history="1">
        <w:r w:rsidRPr="00DD11EB">
          <w:rPr>
            <w:rStyle w:val="Hyperlink"/>
            <w:rFonts w:ascii="Tahoma" w:hAnsi="Tahoma" w:cs="Tahoma"/>
            <w:noProof/>
            <w:sz w:val="24"/>
            <w:szCs w:val="24"/>
          </w:rPr>
          <w:t xml:space="preserve">Table 4: </w:t>
        </w:r>
        <w:r w:rsidRPr="00DD11EB">
          <w:rPr>
            <w:rStyle w:val="Hyperlink"/>
            <w:rFonts w:ascii="Tahoma" w:hAnsi="Tahoma" w:cs="Tahoma"/>
            <w:noProof/>
            <w:sz w:val="24"/>
            <w:szCs w:val="24"/>
            <w:lang w:val="en-US"/>
          </w:rPr>
          <w:t>USD Exchange Rate Movements – Month Ended 30 September 2024</w:t>
        </w:r>
        <w:r w:rsidRPr="00DD11EB">
          <w:rPr>
            <w:rFonts w:ascii="Tahoma" w:hAnsi="Tahoma" w:cs="Tahoma"/>
            <w:noProof/>
            <w:webHidden/>
            <w:sz w:val="24"/>
            <w:szCs w:val="24"/>
          </w:rPr>
          <w:tab/>
        </w:r>
        <w:r w:rsidRPr="00DD11EB">
          <w:rPr>
            <w:rFonts w:ascii="Tahoma" w:hAnsi="Tahoma" w:cs="Tahoma"/>
            <w:noProof/>
            <w:webHidden/>
            <w:sz w:val="24"/>
            <w:szCs w:val="24"/>
          </w:rPr>
          <w:fldChar w:fldCharType="begin"/>
        </w:r>
        <w:r w:rsidRPr="00DD11EB">
          <w:rPr>
            <w:rFonts w:ascii="Tahoma" w:hAnsi="Tahoma" w:cs="Tahoma"/>
            <w:noProof/>
            <w:webHidden/>
            <w:sz w:val="24"/>
            <w:szCs w:val="24"/>
          </w:rPr>
          <w:instrText xml:space="preserve"> PAGEREF _Toc181022049 \h </w:instrText>
        </w:r>
        <w:r w:rsidRPr="00DD11EB">
          <w:rPr>
            <w:rFonts w:ascii="Tahoma" w:hAnsi="Tahoma" w:cs="Tahoma"/>
            <w:noProof/>
            <w:webHidden/>
            <w:sz w:val="24"/>
            <w:szCs w:val="24"/>
          </w:rPr>
        </w:r>
        <w:r w:rsidRPr="00DD11EB">
          <w:rPr>
            <w:rFonts w:ascii="Tahoma" w:hAnsi="Tahoma" w:cs="Tahoma"/>
            <w:noProof/>
            <w:webHidden/>
            <w:sz w:val="24"/>
            <w:szCs w:val="24"/>
          </w:rPr>
          <w:fldChar w:fldCharType="separate"/>
        </w:r>
        <w:r w:rsidRPr="00DD11EB">
          <w:rPr>
            <w:rFonts w:ascii="Tahoma" w:hAnsi="Tahoma" w:cs="Tahoma"/>
            <w:noProof/>
            <w:webHidden/>
            <w:sz w:val="24"/>
            <w:szCs w:val="24"/>
          </w:rPr>
          <w:t>5</w:t>
        </w:r>
        <w:r w:rsidRPr="00DD11EB">
          <w:rPr>
            <w:rFonts w:ascii="Tahoma" w:hAnsi="Tahoma" w:cs="Tahoma"/>
            <w:noProof/>
            <w:webHidden/>
            <w:sz w:val="24"/>
            <w:szCs w:val="24"/>
          </w:rPr>
          <w:fldChar w:fldCharType="end"/>
        </w:r>
      </w:hyperlink>
    </w:p>
    <w:p w14:paraId="7E5754AC" w14:textId="5528888E" w:rsidR="00DD11EB" w:rsidRPr="00DD11EB" w:rsidRDefault="00DD11EB">
      <w:pPr>
        <w:pStyle w:val="TableofFigures"/>
        <w:tabs>
          <w:tab w:val="right" w:leader="dot" w:pos="9016"/>
        </w:tabs>
        <w:rPr>
          <w:rFonts w:ascii="Tahoma" w:eastAsiaTheme="minorEastAsia" w:hAnsi="Tahoma" w:cs="Tahoma"/>
          <w:noProof/>
          <w:sz w:val="24"/>
          <w:szCs w:val="24"/>
          <w:lang w:val="en-GB" w:eastAsia="en-GB"/>
          <w14:ligatures w14:val="standardContextual"/>
        </w:rPr>
      </w:pPr>
      <w:hyperlink w:anchor="_Toc181022050" w:history="1">
        <w:r w:rsidRPr="00DD11EB">
          <w:rPr>
            <w:rStyle w:val="Hyperlink"/>
            <w:rFonts w:ascii="Tahoma" w:hAnsi="Tahoma" w:cs="Tahoma"/>
            <w:noProof/>
            <w:sz w:val="24"/>
            <w:szCs w:val="24"/>
          </w:rPr>
          <w:t xml:space="preserve">Table 5: Monthly </w:t>
        </w:r>
        <w:r w:rsidRPr="00DD11EB">
          <w:rPr>
            <w:rStyle w:val="Hyperlink"/>
            <w:rFonts w:ascii="Tahoma" w:hAnsi="Tahoma" w:cs="Tahoma"/>
            <w:noProof/>
            <w:sz w:val="24"/>
            <w:szCs w:val="24"/>
            <w:lang w:val="en-US"/>
          </w:rPr>
          <w:t>Inflation for September 2024</w:t>
        </w:r>
        <w:r w:rsidRPr="00DD11EB">
          <w:rPr>
            <w:rFonts w:ascii="Tahoma" w:hAnsi="Tahoma" w:cs="Tahoma"/>
            <w:noProof/>
            <w:webHidden/>
            <w:sz w:val="24"/>
            <w:szCs w:val="24"/>
          </w:rPr>
          <w:tab/>
        </w:r>
        <w:r w:rsidRPr="00DD11EB">
          <w:rPr>
            <w:rFonts w:ascii="Tahoma" w:hAnsi="Tahoma" w:cs="Tahoma"/>
            <w:noProof/>
            <w:webHidden/>
            <w:sz w:val="24"/>
            <w:szCs w:val="24"/>
          </w:rPr>
          <w:fldChar w:fldCharType="begin"/>
        </w:r>
        <w:r w:rsidRPr="00DD11EB">
          <w:rPr>
            <w:rFonts w:ascii="Tahoma" w:hAnsi="Tahoma" w:cs="Tahoma"/>
            <w:noProof/>
            <w:webHidden/>
            <w:sz w:val="24"/>
            <w:szCs w:val="24"/>
          </w:rPr>
          <w:instrText xml:space="preserve"> PAGEREF _Toc181022050 \h </w:instrText>
        </w:r>
        <w:r w:rsidRPr="00DD11EB">
          <w:rPr>
            <w:rFonts w:ascii="Tahoma" w:hAnsi="Tahoma" w:cs="Tahoma"/>
            <w:noProof/>
            <w:webHidden/>
            <w:sz w:val="24"/>
            <w:szCs w:val="24"/>
          </w:rPr>
        </w:r>
        <w:r w:rsidRPr="00DD11EB">
          <w:rPr>
            <w:rFonts w:ascii="Tahoma" w:hAnsi="Tahoma" w:cs="Tahoma"/>
            <w:noProof/>
            <w:webHidden/>
            <w:sz w:val="24"/>
            <w:szCs w:val="24"/>
          </w:rPr>
          <w:fldChar w:fldCharType="separate"/>
        </w:r>
        <w:r w:rsidRPr="00DD11EB">
          <w:rPr>
            <w:rFonts w:ascii="Tahoma" w:hAnsi="Tahoma" w:cs="Tahoma"/>
            <w:noProof/>
            <w:webHidden/>
            <w:sz w:val="24"/>
            <w:szCs w:val="24"/>
          </w:rPr>
          <w:t>6</w:t>
        </w:r>
        <w:r w:rsidRPr="00DD11EB">
          <w:rPr>
            <w:rFonts w:ascii="Tahoma" w:hAnsi="Tahoma" w:cs="Tahoma"/>
            <w:noProof/>
            <w:webHidden/>
            <w:sz w:val="24"/>
            <w:szCs w:val="24"/>
          </w:rPr>
          <w:fldChar w:fldCharType="end"/>
        </w:r>
      </w:hyperlink>
    </w:p>
    <w:p w14:paraId="7758364E" w14:textId="55B1EDA0" w:rsidR="00DD11EB" w:rsidRPr="00DD11EB" w:rsidRDefault="00DD11EB">
      <w:pPr>
        <w:pStyle w:val="TableofFigures"/>
        <w:tabs>
          <w:tab w:val="right" w:leader="dot" w:pos="9016"/>
        </w:tabs>
        <w:rPr>
          <w:rFonts w:ascii="Tahoma" w:eastAsiaTheme="minorEastAsia" w:hAnsi="Tahoma" w:cs="Tahoma"/>
          <w:noProof/>
          <w:sz w:val="24"/>
          <w:szCs w:val="24"/>
          <w:lang w:val="en-GB" w:eastAsia="en-GB"/>
          <w14:ligatures w14:val="standardContextual"/>
        </w:rPr>
      </w:pPr>
      <w:hyperlink w:anchor="_Toc181022051" w:history="1">
        <w:r w:rsidRPr="00DD11EB">
          <w:rPr>
            <w:rStyle w:val="Hyperlink"/>
            <w:rFonts w:ascii="Tahoma" w:hAnsi="Tahoma" w:cs="Tahoma"/>
            <w:noProof/>
            <w:sz w:val="24"/>
            <w:szCs w:val="24"/>
            <w:lang w:val="en-US"/>
          </w:rPr>
          <w:t>Table 6: Interest Rates as at 20 September 2024</w:t>
        </w:r>
        <w:r w:rsidRPr="00DD11EB">
          <w:rPr>
            <w:rFonts w:ascii="Tahoma" w:hAnsi="Tahoma" w:cs="Tahoma"/>
            <w:noProof/>
            <w:webHidden/>
            <w:sz w:val="24"/>
            <w:szCs w:val="24"/>
          </w:rPr>
          <w:tab/>
        </w:r>
        <w:r w:rsidRPr="00DD11EB">
          <w:rPr>
            <w:rFonts w:ascii="Tahoma" w:hAnsi="Tahoma" w:cs="Tahoma"/>
            <w:noProof/>
            <w:webHidden/>
            <w:sz w:val="24"/>
            <w:szCs w:val="24"/>
          </w:rPr>
          <w:fldChar w:fldCharType="begin"/>
        </w:r>
        <w:r w:rsidRPr="00DD11EB">
          <w:rPr>
            <w:rFonts w:ascii="Tahoma" w:hAnsi="Tahoma" w:cs="Tahoma"/>
            <w:noProof/>
            <w:webHidden/>
            <w:sz w:val="24"/>
            <w:szCs w:val="24"/>
          </w:rPr>
          <w:instrText xml:space="preserve"> PAGEREF _Toc181022051 \h </w:instrText>
        </w:r>
        <w:r w:rsidRPr="00DD11EB">
          <w:rPr>
            <w:rFonts w:ascii="Tahoma" w:hAnsi="Tahoma" w:cs="Tahoma"/>
            <w:noProof/>
            <w:webHidden/>
            <w:sz w:val="24"/>
            <w:szCs w:val="24"/>
          </w:rPr>
        </w:r>
        <w:r w:rsidRPr="00DD11EB">
          <w:rPr>
            <w:rFonts w:ascii="Tahoma" w:hAnsi="Tahoma" w:cs="Tahoma"/>
            <w:noProof/>
            <w:webHidden/>
            <w:sz w:val="24"/>
            <w:szCs w:val="24"/>
          </w:rPr>
          <w:fldChar w:fldCharType="separate"/>
        </w:r>
        <w:r w:rsidRPr="00DD11EB">
          <w:rPr>
            <w:rFonts w:ascii="Tahoma" w:hAnsi="Tahoma" w:cs="Tahoma"/>
            <w:noProof/>
            <w:webHidden/>
            <w:sz w:val="24"/>
            <w:szCs w:val="24"/>
          </w:rPr>
          <w:t>7</w:t>
        </w:r>
        <w:r w:rsidRPr="00DD11EB">
          <w:rPr>
            <w:rFonts w:ascii="Tahoma" w:hAnsi="Tahoma" w:cs="Tahoma"/>
            <w:noProof/>
            <w:webHidden/>
            <w:sz w:val="24"/>
            <w:szCs w:val="24"/>
          </w:rPr>
          <w:fldChar w:fldCharType="end"/>
        </w:r>
      </w:hyperlink>
    </w:p>
    <w:p w14:paraId="0E2836DD" w14:textId="2576A6A1" w:rsidR="00DD11EB" w:rsidRPr="00DD11EB" w:rsidRDefault="00DD11EB">
      <w:pPr>
        <w:pStyle w:val="TableofFigures"/>
        <w:tabs>
          <w:tab w:val="right" w:leader="dot" w:pos="9016"/>
        </w:tabs>
        <w:rPr>
          <w:rFonts w:ascii="Tahoma" w:eastAsiaTheme="minorEastAsia" w:hAnsi="Tahoma" w:cs="Tahoma"/>
          <w:noProof/>
          <w:sz w:val="24"/>
          <w:szCs w:val="24"/>
          <w:lang w:val="en-GB" w:eastAsia="en-GB"/>
          <w14:ligatures w14:val="standardContextual"/>
        </w:rPr>
      </w:pPr>
      <w:hyperlink w:anchor="_Toc181022052" w:history="1">
        <w:r w:rsidRPr="00DD11EB">
          <w:rPr>
            <w:rStyle w:val="Hyperlink"/>
            <w:rFonts w:ascii="Tahoma" w:hAnsi="Tahoma" w:cs="Tahoma"/>
            <w:noProof/>
            <w:sz w:val="24"/>
            <w:szCs w:val="24"/>
          </w:rPr>
          <w:t>Table 7: Zimbabwe Stock Exchange Movements</w:t>
        </w:r>
        <w:r w:rsidRPr="00DD11EB">
          <w:rPr>
            <w:rFonts w:ascii="Tahoma" w:hAnsi="Tahoma" w:cs="Tahoma"/>
            <w:noProof/>
            <w:webHidden/>
            <w:sz w:val="24"/>
            <w:szCs w:val="24"/>
          </w:rPr>
          <w:tab/>
        </w:r>
        <w:r w:rsidRPr="00DD11EB">
          <w:rPr>
            <w:rFonts w:ascii="Tahoma" w:hAnsi="Tahoma" w:cs="Tahoma"/>
            <w:noProof/>
            <w:webHidden/>
            <w:sz w:val="24"/>
            <w:szCs w:val="24"/>
          </w:rPr>
          <w:fldChar w:fldCharType="begin"/>
        </w:r>
        <w:r w:rsidRPr="00DD11EB">
          <w:rPr>
            <w:rFonts w:ascii="Tahoma" w:hAnsi="Tahoma" w:cs="Tahoma"/>
            <w:noProof/>
            <w:webHidden/>
            <w:sz w:val="24"/>
            <w:szCs w:val="24"/>
          </w:rPr>
          <w:instrText xml:space="preserve"> PAGEREF _Toc181022052 \h </w:instrText>
        </w:r>
        <w:r w:rsidRPr="00DD11EB">
          <w:rPr>
            <w:rFonts w:ascii="Tahoma" w:hAnsi="Tahoma" w:cs="Tahoma"/>
            <w:noProof/>
            <w:webHidden/>
            <w:sz w:val="24"/>
            <w:szCs w:val="24"/>
          </w:rPr>
        </w:r>
        <w:r w:rsidRPr="00DD11EB">
          <w:rPr>
            <w:rFonts w:ascii="Tahoma" w:hAnsi="Tahoma" w:cs="Tahoma"/>
            <w:noProof/>
            <w:webHidden/>
            <w:sz w:val="24"/>
            <w:szCs w:val="24"/>
          </w:rPr>
          <w:fldChar w:fldCharType="separate"/>
        </w:r>
        <w:r w:rsidRPr="00DD11EB">
          <w:rPr>
            <w:rFonts w:ascii="Tahoma" w:hAnsi="Tahoma" w:cs="Tahoma"/>
            <w:noProof/>
            <w:webHidden/>
            <w:sz w:val="24"/>
            <w:szCs w:val="24"/>
          </w:rPr>
          <w:t>8</w:t>
        </w:r>
        <w:r w:rsidRPr="00DD11EB">
          <w:rPr>
            <w:rFonts w:ascii="Tahoma" w:hAnsi="Tahoma" w:cs="Tahoma"/>
            <w:noProof/>
            <w:webHidden/>
            <w:sz w:val="24"/>
            <w:szCs w:val="24"/>
          </w:rPr>
          <w:fldChar w:fldCharType="end"/>
        </w:r>
      </w:hyperlink>
    </w:p>
    <w:p w14:paraId="37CD7EBF" w14:textId="579F21D6" w:rsidR="00DD11EB" w:rsidRPr="00DD11EB" w:rsidRDefault="00DD11EB">
      <w:pPr>
        <w:pStyle w:val="TableofFigures"/>
        <w:tabs>
          <w:tab w:val="right" w:leader="dot" w:pos="9016"/>
        </w:tabs>
        <w:rPr>
          <w:rFonts w:ascii="Tahoma" w:eastAsiaTheme="minorEastAsia" w:hAnsi="Tahoma" w:cs="Tahoma"/>
          <w:noProof/>
          <w:sz w:val="24"/>
          <w:szCs w:val="24"/>
          <w:lang w:val="en-GB" w:eastAsia="en-GB"/>
          <w14:ligatures w14:val="standardContextual"/>
        </w:rPr>
      </w:pPr>
      <w:hyperlink w:anchor="_Toc181022053" w:history="1">
        <w:r w:rsidRPr="00DD11EB">
          <w:rPr>
            <w:rStyle w:val="Hyperlink"/>
            <w:rFonts w:ascii="Tahoma" w:hAnsi="Tahoma" w:cs="Tahoma"/>
            <w:noProof/>
            <w:sz w:val="24"/>
            <w:szCs w:val="24"/>
          </w:rPr>
          <w:t>Table 8: Victoria Falls Stock Exchange Movements</w:t>
        </w:r>
        <w:r w:rsidRPr="00DD11EB">
          <w:rPr>
            <w:rFonts w:ascii="Tahoma" w:hAnsi="Tahoma" w:cs="Tahoma"/>
            <w:noProof/>
            <w:webHidden/>
            <w:sz w:val="24"/>
            <w:szCs w:val="24"/>
          </w:rPr>
          <w:tab/>
        </w:r>
        <w:r w:rsidRPr="00DD11EB">
          <w:rPr>
            <w:rFonts w:ascii="Tahoma" w:hAnsi="Tahoma" w:cs="Tahoma"/>
            <w:noProof/>
            <w:webHidden/>
            <w:sz w:val="24"/>
            <w:szCs w:val="24"/>
          </w:rPr>
          <w:fldChar w:fldCharType="begin"/>
        </w:r>
        <w:r w:rsidRPr="00DD11EB">
          <w:rPr>
            <w:rFonts w:ascii="Tahoma" w:hAnsi="Tahoma" w:cs="Tahoma"/>
            <w:noProof/>
            <w:webHidden/>
            <w:sz w:val="24"/>
            <w:szCs w:val="24"/>
          </w:rPr>
          <w:instrText xml:space="preserve"> PAGEREF _Toc181022053 \h </w:instrText>
        </w:r>
        <w:r w:rsidRPr="00DD11EB">
          <w:rPr>
            <w:rFonts w:ascii="Tahoma" w:hAnsi="Tahoma" w:cs="Tahoma"/>
            <w:noProof/>
            <w:webHidden/>
            <w:sz w:val="24"/>
            <w:szCs w:val="24"/>
          </w:rPr>
        </w:r>
        <w:r w:rsidRPr="00DD11EB">
          <w:rPr>
            <w:rFonts w:ascii="Tahoma" w:hAnsi="Tahoma" w:cs="Tahoma"/>
            <w:noProof/>
            <w:webHidden/>
            <w:sz w:val="24"/>
            <w:szCs w:val="24"/>
          </w:rPr>
          <w:fldChar w:fldCharType="separate"/>
        </w:r>
        <w:r w:rsidRPr="00DD11EB">
          <w:rPr>
            <w:rFonts w:ascii="Tahoma" w:hAnsi="Tahoma" w:cs="Tahoma"/>
            <w:noProof/>
            <w:webHidden/>
            <w:sz w:val="24"/>
            <w:szCs w:val="24"/>
          </w:rPr>
          <w:t>9</w:t>
        </w:r>
        <w:r w:rsidRPr="00DD11EB">
          <w:rPr>
            <w:rFonts w:ascii="Tahoma" w:hAnsi="Tahoma" w:cs="Tahoma"/>
            <w:noProof/>
            <w:webHidden/>
            <w:sz w:val="24"/>
            <w:szCs w:val="24"/>
          </w:rPr>
          <w:fldChar w:fldCharType="end"/>
        </w:r>
      </w:hyperlink>
    </w:p>
    <w:p w14:paraId="38472F0E" w14:textId="618443A5" w:rsidR="00DA458A" w:rsidRPr="00DD11EB" w:rsidRDefault="00E36073">
      <w:pPr>
        <w:rPr>
          <w:rFonts w:ascii="Tahoma" w:hAnsi="Tahoma" w:cs="Tahoma"/>
          <w:b/>
          <w:bCs/>
          <w:sz w:val="24"/>
          <w:szCs w:val="24"/>
          <w:lang w:val="en-US"/>
        </w:rPr>
      </w:pPr>
      <w:r w:rsidRPr="00DD11EB">
        <w:rPr>
          <w:rFonts w:ascii="Tahoma" w:hAnsi="Tahoma" w:cs="Tahoma"/>
          <w:b/>
          <w:iCs/>
          <w:sz w:val="24"/>
          <w:szCs w:val="24"/>
          <w:lang w:val="en-US"/>
        </w:rPr>
        <w:fldChar w:fldCharType="end"/>
      </w:r>
    </w:p>
    <w:p w14:paraId="1DE4F944" w14:textId="77777777" w:rsidR="008C7178" w:rsidRPr="008C7178" w:rsidRDefault="00654F03" w:rsidP="00DD11EB">
      <w:pPr>
        <w:pStyle w:val="Heading1"/>
        <w:spacing w:before="0" w:after="240"/>
        <w:rPr>
          <w:rFonts w:cs="Tahoma"/>
          <w:noProof/>
          <w:szCs w:val="24"/>
        </w:rPr>
      </w:pPr>
      <w:r w:rsidRPr="00863A17">
        <w:rPr>
          <w:rFonts w:cs="Tahoma"/>
          <w:szCs w:val="24"/>
          <w:lang w:val="en-US"/>
        </w:rPr>
        <w:br w:type="page"/>
      </w:r>
      <w:bookmarkStart w:id="3" w:name="_Toc181022176"/>
      <w:r w:rsidR="00E76009" w:rsidRPr="00DD11EB">
        <w:rPr>
          <w:rFonts w:cs="Tahoma"/>
          <w:bCs/>
          <w:color w:val="000000"/>
          <w:szCs w:val="24"/>
          <w:lang w:val="en-US"/>
        </w:rPr>
        <w:lastRenderedPageBreak/>
        <w:t>List of Figures</w:t>
      </w:r>
      <w:bookmarkEnd w:id="3"/>
      <w:r w:rsidR="00E76009" w:rsidRPr="008C7178">
        <w:rPr>
          <w:rFonts w:cs="Tahoma"/>
          <w:bCs/>
          <w:szCs w:val="24"/>
          <w:lang w:val="en-US"/>
        </w:rPr>
        <w:fldChar w:fldCharType="begin"/>
      </w:r>
      <w:r w:rsidR="00E76009" w:rsidRPr="008C7178">
        <w:rPr>
          <w:rFonts w:cs="Tahoma"/>
          <w:bCs/>
          <w:szCs w:val="24"/>
          <w:lang w:val="en-US"/>
        </w:rPr>
        <w:instrText xml:space="preserve"> TOC \h \z \t "List of Figures" \c </w:instrText>
      </w:r>
      <w:r w:rsidR="00E76009" w:rsidRPr="008C7178">
        <w:rPr>
          <w:rFonts w:cs="Tahoma"/>
          <w:bCs/>
          <w:szCs w:val="24"/>
          <w:lang w:val="en-US"/>
        </w:rPr>
        <w:fldChar w:fldCharType="separate"/>
      </w:r>
    </w:p>
    <w:p w14:paraId="743B5C9F" w14:textId="77777777" w:rsidR="008C7178" w:rsidRPr="00253E89" w:rsidRDefault="008C7178">
      <w:pPr>
        <w:pStyle w:val="TableofFigures"/>
        <w:tabs>
          <w:tab w:val="right" w:leader="dot" w:pos="9016"/>
        </w:tabs>
        <w:rPr>
          <w:rFonts w:ascii="Tahoma" w:eastAsia="Times New Roman" w:hAnsi="Tahoma" w:cs="Tahoma"/>
          <w:noProof/>
          <w:sz w:val="24"/>
          <w:szCs w:val="24"/>
          <w:lang w:eastAsia="en-ZW"/>
        </w:rPr>
      </w:pPr>
      <w:hyperlink w:anchor="_Toc179990248" w:history="1">
        <w:r w:rsidRPr="008C7178">
          <w:rPr>
            <w:rStyle w:val="Hyperlink"/>
            <w:rFonts w:ascii="Tahoma" w:hAnsi="Tahoma" w:cs="Tahoma"/>
            <w:noProof/>
            <w:sz w:val="24"/>
            <w:szCs w:val="24"/>
          </w:rPr>
          <w:t xml:space="preserve">Figure </w:t>
        </w:r>
        <w:r w:rsidRPr="008C7178">
          <w:rPr>
            <w:rStyle w:val="Hyperlink"/>
            <w:rFonts w:ascii="Tahoma" w:hAnsi="Tahoma" w:cs="Tahoma"/>
            <w:bCs/>
            <w:noProof/>
            <w:sz w:val="24"/>
            <w:szCs w:val="24"/>
          </w:rPr>
          <w:t>1</w:t>
        </w:r>
        <w:r w:rsidRPr="008C7178">
          <w:rPr>
            <w:rStyle w:val="Hyperlink"/>
            <w:rFonts w:ascii="Tahoma" w:hAnsi="Tahoma" w:cs="Tahoma"/>
            <w:noProof/>
            <w:sz w:val="24"/>
            <w:szCs w:val="24"/>
          </w:rPr>
          <w:t xml:space="preserve">: </w:t>
        </w:r>
        <w:r w:rsidRPr="008C7178">
          <w:rPr>
            <w:rStyle w:val="Hyperlink"/>
            <w:rFonts w:ascii="Tahoma" w:hAnsi="Tahoma" w:cs="Tahoma"/>
            <w:noProof/>
            <w:sz w:val="24"/>
            <w:szCs w:val="24"/>
            <w:lang w:val="en-US"/>
          </w:rPr>
          <w:t>Merchandise Trade Developments</w:t>
        </w:r>
        <w:r w:rsidRPr="008C7178">
          <w:rPr>
            <w:rFonts w:ascii="Tahoma" w:hAnsi="Tahoma" w:cs="Tahoma"/>
            <w:noProof/>
            <w:webHidden/>
            <w:sz w:val="24"/>
            <w:szCs w:val="24"/>
          </w:rPr>
          <w:tab/>
        </w:r>
        <w:r w:rsidRPr="008C7178">
          <w:rPr>
            <w:rFonts w:ascii="Tahoma" w:hAnsi="Tahoma" w:cs="Tahoma"/>
            <w:noProof/>
            <w:webHidden/>
            <w:sz w:val="24"/>
            <w:szCs w:val="24"/>
          </w:rPr>
          <w:fldChar w:fldCharType="begin"/>
        </w:r>
        <w:r w:rsidRPr="008C7178">
          <w:rPr>
            <w:rFonts w:ascii="Tahoma" w:hAnsi="Tahoma" w:cs="Tahoma"/>
            <w:noProof/>
            <w:webHidden/>
            <w:sz w:val="24"/>
            <w:szCs w:val="24"/>
          </w:rPr>
          <w:instrText xml:space="preserve"> PAGEREF _Toc179990248 \h </w:instrText>
        </w:r>
        <w:r w:rsidRPr="008C7178">
          <w:rPr>
            <w:rFonts w:ascii="Tahoma" w:hAnsi="Tahoma" w:cs="Tahoma"/>
            <w:noProof/>
            <w:webHidden/>
            <w:sz w:val="24"/>
            <w:szCs w:val="24"/>
          </w:rPr>
        </w:r>
        <w:r w:rsidRPr="008C7178">
          <w:rPr>
            <w:rFonts w:ascii="Tahoma" w:hAnsi="Tahoma" w:cs="Tahoma"/>
            <w:noProof/>
            <w:webHidden/>
            <w:sz w:val="24"/>
            <w:szCs w:val="24"/>
          </w:rPr>
          <w:fldChar w:fldCharType="separate"/>
        </w:r>
        <w:r w:rsidRPr="008C7178">
          <w:rPr>
            <w:rFonts w:ascii="Tahoma" w:hAnsi="Tahoma" w:cs="Tahoma"/>
            <w:noProof/>
            <w:webHidden/>
            <w:sz w:val="24"/>
            <w:szCs w:val="24"/>
          </w:rPr>
          <w:t>3</w:t>
        </w:r>
        <w:r w:rsidRPr="008C7178">
          <w:rPr>
            <w:rFonts w:ascii="Tahoma" w:hAnsi="Tahoma" w:cs="Tahoma"/>
            <w:noProof/>
            <w:webHidden/>
            <w:sz w:val="24"/>
            <w:szCs w:val="24"/>
          </w:rPr>
          <w:fldChar w:fldCharType="end"/>
        </w:r>
      </w:hyperlink>
    </w:p>
    <w:p w14:paraId="245D4570" w14:textId="77777777" w:rsidR="008C7178" w:rsidRPr="00253E89" w:rsidRDefault="008C7178">
      <w:pPr>
        <w:pStyle w:val="TableofFigures"/>
        <w:tabs>
          <w:tab w:val="right" w:leader="dot" w:pos="9016"/>
        </w:tabs>
        <w:rPr>
          <w:rFonts w:ascii="Tahoma" w:eastAsia="Times New Roman" w:hAnsi="Tahoma" w:cs="Tahoma"/>
          <w:noProof/>
          <w:sz w:val="24"/>
          <w:szCs w:val="24"/>
          <w:lang w:eastAsia="en-ZW"/>
        </w:rPr>
      </w:pPr>
      <w:hyperlink w:anchor="_Toc179990249" w:history="1">
        <w:r w:rsidRPr="008C7178">
          <w:rPr>
            <w:rStyle w:val="Hyperlink"/>
            <w:rFonts w:ascii="Tahoma" w:hAnsi="Tahoma" w:cs="Tahoma"/>
            <w:noProof/>
            <w:sz w:val="24"/>
            <w:szCs w:val="24"/>
          </w:rPr>
          <w:t>Figure 2 : Parallel Market Developments - September 2024</w:t>
        </w:r>
        <w:r w:rsidRPr="008C7178">
          <w:rPr>
            <w:rFonts w:ascii="Tahoma" w:hAnsi="Tahoma" w:cs="Tahoma"/>
            <w:noProof/>
            <w:webHidden/>
            <w:sz w:val="24"/>
            <w:szCs w:val="24"/>
          </w:rPr>
          <w:tab/>
        </w:r>
        <w:r w:rsidRPr="008C7178">
          <w:rPr>
            <w:rFonts w:ascii="Tahoma" w:hAnsi="Tahoma" w:cs="Tahoma"/>
            <w:noProof/>
            <w:webHidden/>
            <w:sz w:val="24"/>
            <w:szCs w:val="24"/>
          </w:rPr>
          <w:fldChar w:fldCharType="begin"/>
        </w:r>
        <w:r w:rsidRPr="008C7178">
          <w:rPr>
            <w:rFonts w:ascii="Tahoma" w:hAnsi="Tahoma" w:cs="Tahoma"/>
            <w:noProof/>
            <w:webHidden/>
            <w:sz w:val="24"/>
            <w:szCs w:val="24"/>
          </w:rPr>
          <w:instrText xml:space="preserve"> PAGEREF _Toc179990249 \h </w:instrText>
        </w:r>
        <w:r w:rsidRPr="008C7178">
          <w:rPr>
            <w:rFonts w:ascii="Tahoma" w:hAnsi="Tahoma" w:cs="Tahoma"/>
            <w:noProof/>
            <w:webHidden/>
            <w:sz w:val="24"/>
            <w:szCs w:val="24"/>
          </w:rPr>
        </w:r>
        <w:r w:rsidRPr="008C7178">
          <w:rPr>
            <w:rFonts w:ascii="Tahoma" w:hAnsi="Tahoma" w:cs="Tahoma"/>
            <w:noProof/>
            <w:webHidden/>
            <w:sz w:val="24"/>
            <w:szCs w:val="24"/>
          </w:rPr>
          <w:fldChar w:fldCharType="separate"/>
        </w:r>
        <w:r w:rsidRPr="008C7178">
          <w:rPr>
            <w:rFonts w:ascii="Tahoma" w:hAnsi="Tahoma" w:cs="Tahoma"/>
            <w:noProof/>
            <w:webHidden/>
            <w:sz w:val="24"/>
            <w:szCs w:val="24"/>
          </w:rPr>
          <w:t>4</w:t>
        </w:r>
        <w:r w:rsidRPr="008C7178">
          <w:rPr>
            <w:rFonts w:ascii="Tahoma" w:hAnsi="Tahoma" w:cs="Tahoma"/>
            <w:noProof/>
            <w:webHidden/>
            <w:sz w:val="24"/>
            <w:szCs w:val="24"/>
          </w:rPr>
          <w:fldChar w:fldCharType="end"/>
        </w:r>
      </w:hyperlink>
    </w:p>
    <w:p w14:paraId="293D8EF7" w14:textId="77777777" w:rsidR="008C7178" w:rsidRPr="00253E89" w:rsidRDefault="008C7178">
      <w:pPr>
        <w:pStyle w:val="TableofFigures"/>
        <w:tabs>
          <w:tab w:val="right" w:leader="dot" w:pos="9016"/>
        </w:tabs>
        <w:rPr>
          <w:rFonts w:ascii="Tahoma" w:eastAsia="Times New Roman" w:hAnsi="Tahoma" w:cs="Tahoma"/>
          <w:noProof/>
          <w:sz w:val="24"/>
          <w:szCs w:val="24"/>
          <w:lang w:eastAsia="en-ZW"/>
        </w:rPr>
      </w:pPr>
      <w:hyperlink w:anchor="_Toc179990250" w:history="1">
        <w:r w:rsidRPr="008C7178">
          <w:rPr>
            <w:rStyle w:val="Hyperlink"/>
            <w:rFonts w:ascii="Tahoma" w:hAnsi="Tahoma" w:cs="Tahoma"/>
            <w:noProof/>
            <w:sz w:val="24"/>
            <w:szCs w:val="24"/>
          </w:rPr>
          <w:t>Figure 3: Month-on-Month ZWG Inflation Outturn</w:t>
        </w:r>
        <w:r w:rsidRPr="008C7178">
          <w:rPr>
            <w:rFonts w:ascii="Tahoma" w:hAnsi="Tahoma" w:cs="Tahoma"/>
            <w:noProof/>
            <w:webHidden/>
            <w:sz w:val="24"/>
            <w:szCs w:val="24"/>
          </w:rPr>
          <w:tab/>
        </w:r>
        <w:r w:rsidRPr="008C7178">
          <w:rPr>
            <w:rFonts w:ascii="Tahoma" w:hAnsi="Tahoma" w:cs="Tahoma"/>
            <w:noProof/>
            <w:webHidden/>
            <w:sz w:val="24"/>
            <w:szCs w:val="24"/>
          </w:rPr>
          <w:fldChar w:fldCharType="begin"/>
        </w:r>
        <w:r w:rsidRPr="008C7178">
          <w:rPr>
            <w:rFonts w:ascii="Tahoma" w:hAnsi="Tahoma" w:cs="Tahoma"/>
            <w:noProof/>
            <w:webHidden/>
            <w:sz w:val="24"/>
            <w:szCs w:val="24"/>
          </w:rPr>
          <w:instrText xml:space="preserve"> PAGEREF _Toc179990250 \h </w:instrText>
        </w:r>
        <w:r w:rsidRPr="008C7178">
          <w:rPr>
            <w:rFonts w:ascii="Tahoma" w:hAnsi="Tahoma" w:cs="Tahoma"/>
            <w:noProof/>
            <w:webHidden/>
            <w:sz w:val="24"/>
            <w:szCs w:val="24"/>
          </w:rPr>
        </w:r>
        <w:r w:rsidRPr="008C7178">
          <w:rPr>
            <w:rFonts w:ascii="Tahoma" w:hAnsi="Tahoma" w:cs="Tahoma"/>
            <w:noProof/>
            <w:webHidden/>
            <w:sz w:val="24"/>
            <w:szCs w:val="24"/>
          </w:rPr>
          <w:fldChar w:fldCharType="separate"/>
        </w:r>
        <w:r w:rsidRPr="008C7178">
          <w:rPr>
            <w:rFonts w:ascii="Tahoma" w:hAnsi="Tahoma" w:cs="Tahoma"/>
            <w:noProof/>
            <w:webHidden/>
            <w:sz w:val="24"/>
            <w:szCs w:val="24"/>
          </w:rPr>
          <w:t>5</w:t>
        </w:r>
        <w:r w:rsidRPr="008C7178">
          <w:rPr>
            <w:rFonts w:ascii="Tahoma" w:hAnsi="Tahoma" w:cs="Tahoma"/>
            <w:noProof/>
            <w:webHidden/>
            <w:sz w:val="24"/>
            <w:szCs w:val="24"/>
          </w:rPr>
          <w:fldChar w:fldCharType="end"/>
        </w:r>
      </w:hyperlink>
    </w:p>
    <w:p w14:paraId="39A252D4" w14:textId="77777777" w:rsidR="008C7178" w:rsidRPr="00253E89" w:rsidRDefault="008C7178">
      <w:pPr>
        <w:pStyle w:val="TableofFigures"/>
        <w:tabs>
          <w:tab w:val="right" w:leader="dot" w:pos="9016"/>
        </w:tabs>
        <w:rPr>
          <w:rFonts w:ascii="Tahoma" w:eastAsia="Times New Roman" w:hAnsi="Tahoma" w:cs="Tahoma"/>
          <w:noProof/>
          <w:sz w:val="24"/>
          <w:szCs w:val="24"/>
          <w:lang w:eastAsia="en-ZW"/>
        </w:rPr>
      </w:pPr>
      <w:hyperlink w:anchor="_Toc179990251" w:history="1">
        <w:r w:rsidRPr="008C7178">
          <w:rPr>
            <w:rStyle w:val="Hyperlink"/>
            <w:rFonts w:ascii="Tahoma" w:hAnsi="Tahoma" w:cs="Tahoma"/>
            <w:noProof/>
            <w:sz w:val="24"/>
            <w:szCs w:val="24"/>
          </w:rPr>
          <w:t xml:space="preserve">Figure </w:t>
        </w:r>
        <w:r w:rsidRPr="008C7178">
          <w:rPr>
            <w:rStyle w:val="Hyperlink"/>
            <w:rFonts w:ascii="Tahoma" w:hAnsi="Tahoma" w:cs="Tahoma"/>
            <w:bCs/>
            <w:noProof/>
            <w:sz w:val="24"/>
            <w:szCs w:val="24"/>
          </w:rPr>
          <w:t>4</w:t>
        </w:r>
        <w:r w:rsidRPr="008C7178">
          <w:rPr>
            <w:rStyle w:val="Hyperlink"/>
            <w:rFonts w:ascii="Tahoma" w:hAnsi="Tahoma" w:cs="Tahoma"/>
            <w:noProof/>
            <w:sz w:val="24"/>
            <w:szCs w:val="24"/>
          </w:rPr>
          <w:t xml:space="preserve">: </w:t>
        </w:r>
        <w:r w:rsidRPr="008C7178">
          <w:rPr>
            <w:rStyle w:val="Hyperlink"/>
            <w:rFonts w:ascii="Tahoma" w:hAnsi="Tahoma" w:cs="Tahoma"/>
            <w:noProof/>
            <w:sz w:val="24"/>
            <w:szCs w:val="24"/>
            <w:lang w:val="en-US"/>
          </w:rPr>
          <w:t>Month-on-Month Weighted Inflation Outturn</w:t>
        </w:r>
        <w:r w:rsidRPr="008C7178">
          <w:rPr>
            <w:rFonts w:ascii="Tahoma" w:hAnsi="Tahoma" w:cs="Tahoma"/>
            <w:noProof/>
            <w:webHidden/>
            <w:sz w:val="24"/>
            <w:szCs w:val="24"/>
          </w:rPr>
          <w:tab/>
        </w:r>
        <w:r w:rsidRPr="008C7178">
          <w:rPr>
            <w:rFonts w:ascii="Tahoma" w:hAnsi="Tahoma" w:cs="Tahoma"/>
            <w:noProof/>
            <w:webHidden/>
            <w:sz w:val="24"/>
            <w:szCs w:val="24"/>
          </w:rPr>
          <w:fldChar w:fldCharType="begin"/>
        </w:r>
        <w:r w:rsidRPr="008C7178">
          <w:rPr>
            <w:rFonts w:ascii="Tahoma" w:hAnsi="Tahoma" w:cs="Tahoma"/>
            <w:noProof/>
            <w:webHidden/>
            <w:sz w:val="24"/>
            <w:szCs w:val="24"/>
          </w:rPr>
          <w:instrText xml:space="preserve"> PAGEREF _Toc179990251 \h </w:instrText>
        </w:r>
        <w:r w:rsidRPr="008C7178">
          <w:rPr>
            <w:rFonts w:ascii="Tahoma" w:hAnsi="Tahoma" w:cs="Tahoma"/>
            <w:noProof/>
            <w:webHidden/>
            <w:sz w:val="24"/>
            <w:szCs w:val="24"/>
          </w:rPr>
        </w:r>
        <w:r w:rsidRPr="008C7178">
          <w:rPr>
            <w:rFonts w:ascii="Tahoma" w:hAnsi="Tahoma" w:cs="Tahoma"/>
            <w:noProof/>
            <w:webHidden/>
            <w:sz w:val="24"/>
            <w:szCs w:val="24"/>
          </w:rPr>
          <w:fldChar w:fldCharType="separate"/>
        </w:r>
        <w:r w:rsidRPr="008C7178">
          <w:rPr>
            <w:rFonts w:ascii="Tahoma" w:hAnsi="Tahoma" w:cs="Tahoma"/>
            <w:noProof/>
            <w:webHidden/>
            <w:sz w:val="24"/>
            <w:szCs w:val="24"/>
          </w:rPr>
          <w:t>6</w:t>
        </w:r>
        <w:r w:rsidRPr="008C7178">
          <w:rPr>
            <w:rFonts w:ascii="Tahoma" w:hAnsi="Tahoma" w:cs="Tahoma"/>
            <w:noProof/>
            <w:webHidden/>
            <w:sz w:val="24"/>
            <w:szCs w:val="24"/>
          </w:rPr>
          <w:fldChar w:fldCharType="end"/>
        </w:r>
      </w:hyperlink>
    </w:p>
    <w:p w14:paraId="2350523A" w14:textId="77777777" w:rsidR="008C7178" w:rsidRPr="00253E89" w:rsidRDefault="008C7178">
      <w:pPr>
        <w:pStyle w:val="TableofFigures"/>
        <w:tabs>
          <w:tab w:val="right" w:leader="dot" w:pos="9016"/>
        </w:tabs>
        <w:rPr>
          <w:rFonts w:ascii="Tahoma" w:eastAsia="Times New Roman" w:hAnsi="Tahoma" w:cs="Tahoma"/>
          <w:noProof/>
          <w:sz w:val="24"/>
          <w:szCs w:val="24"/>
          <w:lang w:eastAsia="en-ZW"/>
        </w:rPr>
      </w:pPr>
      <w:hyperlink w:anchor="_Toc179990252" w:history="1">
        <w:r w:rsidRPr="008C7178">
          <w:rPr>
            <w:rStyle w:val="Hyperlink"/>
            <w:rFonts w:ascii="Tahoma" w:hAnsi="Tahoma" w:cs="Tahoma"/>
            <w:noProof/>
            <w:sz w:val="24"/>
            <w:szCs w:val="24"/>
          </w:rPr>
          <w:t>Figure 5: Broad Money (M3) Supply</w:t>
        </w:r>
        <w:r w:rsidRPr="008C7178">
          <w:rPr>
            <w:rFonts w:ascii="Tahoma" w:hAnsi="Tahoma" w:cs="Tahoma"/>
            <w:noProof/>
            <w:webHidden/>
            <w:sz w:val="24"/>
            <w:szCs w:val="24"/>
          </w:rPr>
          <w:tab/>
        </w:r>
        <w:r w:rsidRPr="008C7178">
          <w:rPr>
            <w:rFonts w:ascii="Tahoma" w:hAnsi="Tahoma" w:cs="Tahoma"/>
            <w:noProof/>
            <w:webHidden/>
            <w:sz w:val="24"/>
            <w:szCs w:val="24"/>
          </w:rPr>
          <w:fldChar w:fldCharType="begin"/>
        </w:r>
        <w:r w:rsidRPr="008C7178">
          <w:rPr>
            <w:rFonts w:ascii="Tahoma" w:hAnsi="Tahoma" w:cs="Tahoma"/>
            <w:noProof/>
            <w:webHidden/>
            <w:sz w:val="24"/>
            <w:szCs w:val="24"/>
          </w:rPr>
          <w:instrText xml:space="preserve"> PAGEREF _Toc179990252 \h </w:instrText>
        </w:r>
        <w:r w:rsidRPr="008C7178">
          <w:rPr>
            <w:rFonts w:ascii="Tahoma" w:hAnsi="Tahoma" w:cs="Tahoma"/>
            <w:noProof/>
            <w:webHidden/>
            <w:sz w:val="24"/>
            <w:szCs w:val="24"/>
          </w:rPr>
        </w:r>
        <w:r w:rsidRPr="008C7178">
          <w:rPr>
            <w:rFonts w:ascii="Tahoma" w:hAnsi="Tahoma" w:cs="Tahoma"/>
            <w:noProof/>
            <w:webHidden/>
            <w:sz w:val="24"/>
            <w:szCs w:val="24"/>
          </w:rPr>
          <w:fldChar w:fldCharType="separate"/>
        </w:r>
        <w:r w:rsidRPr="008C7178">
          <w:rPr>
            <w:rFonts w:ascii="Tahoma" w:hAnsi="Tahoma" w:cs="Tahoma"/>
            <w:noProof/>
            <w:webHidden/>
            <w:sz w:val="24"/>
            <w:szCs w:val="24"/>
          </w:rPr>
          <w:t>7</w:t>
        </w:r>
        <w:r w:rsidRPr="008C7178">
          <w:rPr>
            <w:rFonts w:ascii="Tahoma" w:hAnsi="Tahoma" w:cs="Tahoma"/>
            <w:noProof/>
            <w:webHidden/>
            <w:sz w:val="24"/>
            <w:szCs w:val="24"/>
          </w:rPr>
          <w:fldChar w:fldCharType="end"/>
        </w:r>
      </w:hyperlink>
    </w:p>
    <w:p w14:paraId="5B6F5249" w14:textId="77777777" w:rsidR="000129B7" w:rsidRPr="008C7178" w:rsidRDefault="00E76009" w:rsidP="000129B7">
      <w:pPr>
        <w:rPr>
          <w:rFonts w:ascii="Tahoma" w:hAnsi="Tahoma" w:cs="Tahoma"/>
          <w:b/>
          <w:color w:val="000000"/>
          <w:sz w:val="24"/>
          <w:szCs w:val="24"/>
          <w:lang w:val="en-US"/>
        </w:rPr>
        <w:sectPr w:rsidR="000129B7" w:rsidRPr="008C7178" w:rsidSect="006D22C2">
          <w:pgSz w:w="11906" w:h="16838"/>
          <w:pgMar w:top="1440" w:right="1440" w:bottom="1440" w:left="1440" w:header="708" w:footer="708" w:gutter="0"/>
          <w:pgNumType w:fmt="lowerRoman" w:start="1"/>
          <w:cols w:space="708"/>
          <w:docGrid w:linePitch="360"/>
        </w:sectPr>
      </w:pPr>
      <w:r w:rsidRPr="008C7178">
        <w:rPr>
          <w:rFonts w:ascii="Tahoma" w:hAnsi="Tahoma" w:cs="Tahoma"/>
          <w:sz w:val="24"/>
          <w:szCs w:val="24"/>
          <w:lang w:val="en-US"/>
        </w:rPr>
        <w:fldChar w:fldCharType="end"/>
      </w:r>
    </w:p>
    <w:p w14:paraId="58B4A4D7" w14:textId="77777777" w:rsidR="007A3E1D" w:rsidRPr="00721CC2" w:rsidRDefault="004F680D" w:rsidP="00F05BD5">
      <w:pPr>
        <w:pStyle w:val="Heading1"/>
        <w:spacing w:before="0" w:after="240"/>
        <w:rPr>
          <w:lang w:val="en-US"/>
        </w:rPr>
      </w:pPr>
      <w:bookmarkStart w:id="4" w:name="_Toc166607889"/>
      <w:bookmarkStart w:id="5" w:name="_Toc181022177"/>
      <w:r w:rsidRPr="00721CC2">
        <w:rPr>
          <w:lang w:val="en-US"/>
        </w:rPr>
        <w:lastRenderedPageBreak/>
        <w:t>1.0</w:t>
      </w:r>
      <w:r w:rsidRPr="00721CC2">
        <w:rPr>
          <w:lang w:val="en-US"/>
        </w:rPr>
        <w:tab/>
      </w:r>
      <w:r w:rsidR="00E0023D" w:rsidRPr="00721CC2">
        <w:rPr>
          <w:lang w:val="en-US"/>
        </w:rPr>
        <w:t xml:space="preserve">World Economic </w:t>
      </w:r>
      <w:r w:rsidR="007A3E1D" w:rsidRPr="00721CC2">
        <w:rPr>
          <w:lang w:val="en-US"/>
        </w:rPr>
        <w:t>Developments</w:t>
      </w:r>
      <w:bookmarkEnd w:id="4"/>
      <w:bookmarkEnd w:id="5"/>
      <w:r w:rsidR="007A3E1D" w:rsidRPr="00721CC2">
        <w:rPr>
          <w:lang w:val="en-US"/>
        </w:rPr>
        <w:t xml:space="preserve"> </w:t>
      </w:r>
    </w:p>
    <w:p w14:paraId="2524C2A5" w14:textId="77777777" w:rsidR="00E0023D" w:rsidRPr="00863A17" w:rsidRDefault="004F680D" w:rsidP="00BC5A90">
      <w:pPr>
        <w:pStyle w:val="Heading2"/>
        <w:spacing w:before="0" w:after="240" w:line="240" w:lineRule="auto"/>
        <w:rPr>
          <w:rFonts w:cs="Tahoma"/>
          <w:b/>
          <w:color w:val="000000"/>
          <w:szCs w:val="24"/>
          <w:lang w:val="en-US"/>
        </w:rPr>
      </w:pPr>
      <w:bookmarkStart w:id="6" w:name="_Toc166607890"/>
      <w:bookmarkStart w:id="7" w:name="_Toc181022178"/>
      <w:r w:rsidRPr="00863A17">
        <w:rPr>
          <w:rFonts w:cs="Tahoma"/>
          <w:b/>
          <w:color w:val="000000"/>
          <w:szCs w:val="24"/>
          <w:lang w:val="en-US"/>
        </w:rPr>
        <w:t xml:space="preserve">1.1 </w:t>
      </w:r>
      <w:r w:rsidRPr="00863A17">
        <w:rPr>
          <w:rFonts w:cs="Tahoma"/>
          <w:b/>
          <w:color w:val="000000"/>
          <w:szCs w:val="24"/>
          <w:lang w:val="en-US"/>
        </w:rPr>
        <w:tab/>
      </w:r>
      <w:r w:rsidR="00E0023D" w:rsidRPr="00863A17">
        <w:rPr>
          <w:rFonts w:cs="Tahoma"/>
          <w:b/>
          <w:color w:val="000000"/>
          <w:szCs w:val="24"/>
          <w:lang w:val="en-US"/>
        </w:rPr>
        <w:t>World Output</w:t>
      </w:r>
      <w:bookmarkEnd w:id="6"/>
      <w:bookmarkEnd w:id="7"/>
      <w:r w:rsidR="00E0023D" w:rsidRPr="00863A17">
        <w:rPr>
          <w:rFonts w:cs="Tahoma"/>
          <w:b/>
          <w:color w:val="000000"/>
          <w:szCs w:val="24"/>
          <w:lang w:val="en-US"/>
        </w:rPr>
        <w:t xml:space="preserve"> </w:t>
      </w:r>
    </w:p>
    <w:p w14:paraId="1B346045" w14:textId="77777777" w:rsidR="00F02064" w:rsidRDefault="004F680D" w:rsidP="004F680D">
      <w:pPr>
        <w:ind w:left="720" w:hanging="720"/>
        <w:jc w:val="both"/>
        <w:rPr>
          <w:rFonts w:ascii="Tahoma" w:hAnsi="Tahoma" w:cs="Tahoma"/>
          <w:sz w:val="24"/>
          <w:szCs w:val="24"/>
        </w:rPr>
      </w:pPr>
      <w:r w:rsidRPr="00863A17">
        <w:rPr>
          <w:rFonts w:ascii="Tahoma" w:hAnsi="Tahoma" w:cs="Tahoma"/>
          <w:sz w:val="24"/>
          <w:szCs w:val="24"/>
        </w:rPr>
        <w:t>1.1.1</w:t>
      </w:r>
      <w:r w:rsidR="001F2D81" w:rsidRPr="00863A17">
        <w:rPr>
          <w:rFonts w:ascii="Tahoma" w:hAnsi="Tahoma" w:cs="Tahoma"/>
          <w:sz w:val="24"/>
          <w:szCs w:val="24"/>
        </w:rPr>
        <w:t xml:space="preserve"> </w:t>
      </w:r>
      <w:r w:rsidR="00DC5CBE" w:rsidRPr="000F54F6">
        <w:rPr>
          <w:rFonts w:ascii="Tahoma" w:hAnsi="Tahoma" w:cs="Tahoma"/>
          <w:sz w:val="24"/>
          <w:szCs w:val="24"/>
        </w:rPr>
        <w:tab/>
      </w:r>
      <w:r w:rsidR="007778EE">
        <w:rPr>
          <w:rFonts w:ascii="Tahoma" w:hAnsi="Tahoma" w:cs="Tahoma"/>
          <w:sz w:val="24"/>
          <w:szCs w:val="24"/>
        </w:rPr>
        <w:t xml:space="preserve">Global growth is projected to remain steady at 2.7% </w:t>
      </w:r>
      <w:r w:rsidR="0021269E">
        <w:rPr>
          <w:rFonts w:ascii="Tahoma" w:hAnsi="Tahoma" w:cs="Tahoma"/>
          <w:sz w:val="24"/>
          <w:szCs w:val="24"/>
        </w:rPr>
        <w:t xml:space="preserve">in </w:t>
      </w:r>
      <w:r w:rsidR="007778EE">
        <w:rPr>
          <w:rFonts w:ascii="Tahoma" w:hAnsi="Tahoma" w:cs="Tahoma"/>
          <w:sz w:val="24"/>
          <w:szCs w:val="24"/>
        </w:rPr>
        <w:t xml:space="preserve">both 2024 and 2025 (United Nations 2024) as shown in Table 1. </w:t>
      </w:r>
      <w:r w:rsidR="008B450A">
        <w:rPr>
          <w:rFonts w:ascii="Tahoma" w:hAnsi="Tahoma" w:cs="Tahoma"/>
          <w:sz w:val="24"/>
          <w:szCs w:val="24"/>
        </w:rPr>
        <w:t>Global econom</w:t>
      </w:r>
      <w:r w:rsidR="007778EE">
        <w:rPr>
          <w:rFonts w:ascii="Tahoma" w:hAnsi="Tahoma" w:cs="Tahoma"/>
          <w:sz w:val="24"/>
          <w:szCs w:val="24"/>
        </w:rPr>
        <w:t>y</w:t>
      </w:r>
      <w:r w:rsidR="008E4B72">
        <w:rPr>
          <w:rFonts w:ascii="Tahoma" w:hAnsi="Tahoma" w:cs="Tahoma"/>
          <w:sz w:val="24"/>
          <w:szCs w:val="24"/>
        </w:rPr>
        <w:t xml:space="preserve"> is</w:t>
      </w:r>
      <w:r w:rsidR="008B450A">
        <w:rPr>
          <w:rFonts w:ascii="Tahoma" w:hAnsi="Tahoma" w:cs="Tahoma"/>
          <w:sz w:val="24"/>
          <w:szCs w:val="24"/>
        </w:rPr>
        <w:t xml:space="preserve"> projected to </w:t>
      </w:r>
      <w:r w:rsidR="007778EE">
        <w:rPr>
          <w:rFonts w:ascii="Tahoma" w:hAnsi="Tahoma" w:cs="Tahoma"/>
          <w:sz w:val="24"/>
          <w:szCs w:val="24"/>
        </w:rPr>
        <w:t xml:space="preserve">be on a more stable trajectory </w:t>
      </w:r>
      <w:bookmarkStart w:id="8" w:name="_Hlk166602890"/>
      <w:r w:rsidR="005E3EC9">
        <w:rPr>
          <w:rFonts w:ascii="Tahoma" w:hAnsi="Tahoma" w:cs="Tahoma"/>
          <w:sz w:val="24"/>
          <w:szCs w:val="24"/>
        </w:rPr>
        <w:t xml:space="preserve">however, growth remain subdued by </w:t>
      </w:r>
      <w:r w:rsidR="008274AE">
        <w:rPr>
          <w:rFonts w:ascii="Tahoma" w:hAnsi="Tahoma" w:cs="Tahoma"/>
          <w:sz w:val="24"/>
          <w:szCs w:val="24"/>
        </w:rPr>
        <w:t>high interest rates, limited fiscal space, fears of a sharper-than -expected slowdown of the US economy, escalating of war in the Middle East and ongoing geopolitical uncertainties continue to cloud economic prospects.</w:t>
      </w:r>
      <w:r w:rsidR="003120EE">
        <w:rPr>
          <w:rFonts w:ascii="Tahoma" w:hAnsi="Tahoma" w:cs="Tahoma"/>
          <w:sz w:val="24"/>
          <w:szCs w:val="24"/>
        </w:rPr>
        <w:t xml:space="preserve"> </w:t>
      </w:r>
    </w:p>
    <w:p w14:paraId="0E4BF50F" w14:textId="48EA5F49" w:rsidR="001C6200" w:rsidRPr="000F54F6" w:rsidRDefault="00F02064" w:rsidP="004F680D">
      <w:pPr>
        <w:ind w:left="720" w:hanging="720"/>
        <w:jc w:val="both"/>
        <w:rPr>
          <w:rFonts w:ascii="Tahoma" w:hAnsi="Tahoma" w:cs="Tahoma"/>
          <w:sz w:val="24"/>
          <w:szCs w:val="24"/>
        </w:rPr>
      </w:pPr>
      <w:r>
        <w:rPr>
          <w:rFonts w:ascii="Tahoma" w:hAnsi="Tahoma" w:cs="Tahoma"/>
          <w:sz w:val="24"/>
          <w:szCs w:val="24"/>
        </w:rPr>
        <w:t>1.1.2</w:t>
      </w:r>
      <w:r>
        <w:rPr>
          <w:rFonts w:ascii="Tahoma" w:hAnsi="Tahoma" w:cs="Tahoma"/>
          <w:sz w:val="24"/>
          <w:szCs w:val="24"/>
        </w:rPr>
        <w:tab/>
      </w:r>
      <w:r w:rsidR="003120EE">
        <w:rPr>
          <w:rFonts w:ascii="Tahoma" w:hAnsi="Tahoma" w:cs="Tahoma"/>
          <w:sz w:val="24"/>
          <w:szCs w:val="24"/>
        </w:rPr>
        <w:t xml:space="preserve">Moreover, a </w:t>
      </w:r>
      <w:r w:rsidR="009C5B15">
        <w:rPr>
          <w:rFonts w:ascii="Tahoma" w:hAnsi="Tahoma" w:cs="Tahoma"/>
          <w:sz w:val="24"/>
          <w:szCs w:val="24"/>
        </w:rPr>
        <w:t>high</w:t>
      </w:r>
      <w:r w:rsidR="003120EE">
        <w:rPr>
          <w:rFonts w:ascii="Tahoma" w:hAnsi="Tahoma" w:cs="Tahoma"/>
          <w:sz w:val="24"/>
          <w:szCs w:val="24"/>
        </w:rPr>
        <w:t xml:space="preserve"> number of low-income countries especially in Africa, continue to face weak growth due to tight financial conditions, rising debt service cost and ever-worsening impact of climate change.</w:t>
      </w:r>
      <w:r w:rsidR="00C8553D">
        <w:rPr>
          <w:rFonts w:ascii="Tahoma" w:hAnsi="Tahoma" w:cs="Tahoma"/>
          <w:sz w:val="24"/>
          <w:szCs w:val="24"/>
        </w:rPr>
        <w:t xml:space="preserve"> </w:t>
      </w:r>
      <w:r w:rsidR="003120EE">
        <w:rPr>
          <w:rFonts w:ascii="Tahoma" w:hAnsi="Tahoma" w:cs="Tahoma"/>
          <w:sz w:val="24"/>
          <w:szCs w:val="24"/>
        </w:rPr>
        <w:t xml:space="preserve"> </w:t>
      </w:r>
    </w:p>
    <w:p w14:paraId="1304EE02" w14:textId="77777777" w:rsidR="00E31148" w:rsidRDefault="00BC5A90" w:rsidP="00F05BD5">
      <w:pPr>
        <w:pStyle w:val="ListofTables"/>
        <w:spacing w:after="240"/>
        <w:rPr>
          <w:lang w:val="en-US"/>
        </w:rPr>
      </w:pPr>
      <w:bookmarkStart w:id="9" w:name="_Toc164072362"/>
      <w:bookmarkStart w:id="10" w:name="_Toc166658889"/>
      <w:bookmarkStart w:id="11" w:name="_Toc181022046"/>
      <w:bookmarkEnd w:id="8"/>
      <w:r w:rsidRPr="00863A17">
        <w:t xml:space="preserve">Table </w:t>
      </w:r>
      <w:r w:rsidRPr="00863A17">
        <w:fldChar w:fldCharType="begin"/>
      </w:r>
      <w:r w:rsidRPr="00863A17">
        <w:instrText xml:space="preserve"> SEQ Table \* ARABIC </w:instrText>
      </w:r>
      <w:r w:rsidRPr="00863A17">
        <w:fldChar w:fldCharType="separate"/>
      </w:r>
      <w:r w:rsidR="00D30418">
        <w:rPr>
          <w:noProof/>
        </w:rPr>
        <w:t>1</w:t>
      </w:r>
      <w:r w:rsidRPr="00863A17">
        <w:fldChar w:fldCharType="end"/>
      </w:r>
      <w:r w:rsidRPr="00863A17">
        <w:t xml:space="preserve">: </w:t>
      </w:r>
      <w:r w:rsidRPr="00863A17">
        <w:rPr>
          <w:lang w:val="en-US"/>
        </w:rPr>
        <w:t>Global Economic Growth Developments</w:t>
      </w:r>
      <w:bookmarkEnd w:id="9"/>
      <w:bookmarkEnd w:id="10"/>
      <w:bookmarkEnd w:id="11"/>
    </w:p>
    <w:tbl>
      <w:tblPr>
        <w:tblW w:w="8700" w:type="dxa"/>
        <w:tblInd w:w="108" w:type="dxa"/>
        <w:tblLook w:val="04A0" w:firstRow="1" w:lastRow="0" w:firstColumn="1" w:lastColumn="0" w:noHBand="0" w:noVBand="1"/>
      </w:tblPr>
      <w:tblGrid>
        <w:gridCol w:w="3280"/>
        <w:gridCol w:w="1480"/>
        <w:gridCol w:w="1081"/>
        <w:gridCol w:w="889"/>
        <w:gridCol w:w="1081"/>
        <w:gridCol w:w="889"/>
      </w:tblGrid>
      <w:tr w:rsidR="00DB4BB9" w:rsidRPr="00DB4BB9" w14:paraId="46015809" w14:textId="77777777" w:rsidTr="00DB4BB9">
        <w:trPr>
          <w:trHeight w:val="312"/>
        </w:trPr>
        <w:tc>
          <w:tcPr>
            <w:tcW w:w="3280" w:type="dxa"/>
            <w:vMerge w:val="restart"/>
            <w:tcBorders>
              <w:top w:val="nil"/>
              <w:left w:val="nil"/>
              <w:bottom w:val="nil"/>
              <w:right w:val="single" w:sz="4" w:space="0" w:color="auto"/>
            </w:tcBorders>
            <w:shd w:val="clear" w:color="auto" w:fill="auto"/>
            <w:noWrap/>
            <w:vAlign w:val="bottom"/>
            <w:hideMark/>
          </w:tcPr>
          <w:p w14:paraId="3F2B86FD" w14:textId="77777777" w:rsidR="00DB4BB9" w:rsidRPr="00DB4BB9" w:rsidRDefault="00DB4BB9" w:rsidP="00DB4BB9">
            <w:pPr>
              <w:spacing w:after="0" w:line="240" w:lineRule="auto"/>
              <w:rPr>
                <w:rFonts w:eastAsia="Times New Roman" w:cs="Calibri"/>
                <w:color w:val="000000"/>
                <w:kern w:val="0"/>
                <w:lang w:eastAsia="en-ZW"/>
              </w:rPr>
            </w:pPr>
            <w:r w:rsidRPr="00DB4BB9">
              <w:rPr>
                <w:rFonts w:eastAsia="Times New Roman" w:cs="Calibri"/>
                <w:color w:val="000000"/>
                <w:kern w:val="0"/>
                <w:lang w:eastAsia="en-ZW"/>
              </w:rPr>
              <w:t> </w:t>
            </w:r>
          </w:p>
        </w:tc>
        <w:tc>
          <w:tcPr>
            <w:tcW w:w="1480" w:type="dxa"/>
            <w:tcBorders>
              <w:top w:val="single" w:sz="4" w:space="0" w:color="auto"/>
              <w:left w:val="nil"/>
              <w:bottom w:val="single" w:sz="4" w:space="0" w:color="auto"/>
              <w:right w:val="single" w:sz="4" w:space="0" w:color="auto"/>
            </w:tcBorders>
            <w:shd w:val="clear" w:color="000000" w:fill="D9E1F2"/>
            <w:noWrap/>
            <w:vAlign w:val="bottom"/>
            <w:hideMark/>
          </w:tcPr>
          <w:p w14:paraId="03E65D99"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Actual</w:t>
            </w:r>
          </w:p>
        </w:tc>
        <w:tc>
          <w:tcPr>
            <w:tcW w:w="3940" w:type="dxa"/>
            <w:gridSpan w:val="4"/>
            <w:tcBorders>
              <w:top w:val="single" w:sz="4" w:space="0" w:color="auto"/>
              <w:left w:val="nil"/>
              <w:bottom w:val="single" w:sz="4" w:space="0" w:color="auto"/>
              <w:right w:val="nil"/>
            </w:tcBorders>
            <w:shd w:val="clear" w:color="000000" w:fill="D9E1F2"/>
            <w:noWrap/>
            <w:vAlign w:val="bottom"/>
            <w:hideMark/>
          </w:tcPr>
          <w:p w14:paraId="37A16736"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Projections</w:t>
            </w:r>
          </w:p>
        </w:tc>
      </w:tr>
      <w:tr w:rsidR="00DB4BB9" w:rsidRPr="00DB4BB9" w14:paraId="09790DD8" w14:textId="77777777" w:rsidTr="00DB4BB9">
        <w:trPr>
          <w:trHeight w:val="312"/>
        </w:trPr>
        <w:tc>
          <w:tcPr>
            <w:tcW w:w="3280" w:type="dxa"/>
            <w:vMerge/>
            <w:tcBorders>
              <w:top w:val="nil"/>
              <w:left w:val="nil"/>
              <w:bottom w:val="nil"/>
              <w:right w:val="single" w:sz="4" w:space="0" w:color="auto"/>
            </w:tcBorders>
            <w:vAlign w:val="center"/>
            <w:hideMark/>
          </w:tcPr>
          <w:p w14:paraId="3C9B2DCE" w14:textId="77777777" w:rsidR="00DB4BB9" w:rsidRPr="00DB4BB9" w:rsidRDefault="00DB4BB9" w:rsidP="00DB4BB9">
            <w:pPr>
              <w:spacing w:after="0" w:line="240" w:lineRule="auto"/>
              <w:rPr>
                <w:rFonts w:eastAsia="Times New Roman" w:cs="Calibri"/>
                <w:color w:val="000000"/>
                <w:kern w:val="0"/>
                <w:lang w:eastAsia="en-ZW"/>
              </w:rPr>
            </w:pPr>
          </w:p>
        </w:tc>
        <w:tc>
          <w:tcPr>
            <w:tcW w:w="1480" w:type="dxa"/>
            <w:tcBorders>
              <w:top w:val="nil"/>
              <w:left w:val="nil"/>
              <w:bottom w:val="nil"/>
              <w:right w:val="nil"/>
            </w:tcBorders>
            <w:shd w:val="clear" w:color="000000" w:fill="D9E1F2"/>
            <w:noWrap/>
            <w:vAlign w:val="bottom"/>
            <w:hideMark/>
          </w:tcPr>
          <w:p w14:paraId="28391E31"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2023</w:t>
            </w:r>
          </w:p>
        </w:tc>
        <w:tc>
          <w:tcPr>
            <w:tcW w:w="1970" w:type="dxa"/>
            <w:gridSpan w:val="2"/>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3247F5EC"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2024</w:t>
            </w:r>
          </w:p>
        </w:tc>
        <w:tc>
          <w:tcPr>
            <w:tcW w:w="1970" w:type="dxa"/>
            <w:gridSpan w:val="2"/>
            <w:tcBorders>
              <w:top w:val="single" w:sz="4" w:space="0" w:color="auto"/>
              <w:left w:val="nil"/>
              <w:bottom w:val="single" w:sz="4" w:space="0" w:color="auto"/>
              <w:right w:val="nil"/>
            </w:tcBorders>
            <w:shd w:val="clear" w:color="000000" w:fill="D9E1F2"/>
            <w:noWrap/>
            <w:vAlign w:val="bottom"/>
            <w:hideMark/>
          </w:tcPr>
          <w:p w14:paraId="0DB23A73"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2025</w:t>
            </w:r>
          </w:p>
        </w:tc>
      </w:tr>
      <w:tr w:rsidR="00DB4BB9" w:rsidRPr="00DB4BB9" w14:paraId="4409D1D2" w14:textId="77777777" w:rsidTr="00DB4BB9">
        <w:trPr>
          <w:trHeight w:val="312"/>
        </w:trPr>
        <w:tc>
          <w:tcPr>
            <w:tcW w:w="3280" w:type="dxa"/>
            <w:tcBorders>
              <w:top w:val="nil"/>
              <w:left w:val="nil"/>
              <w:bottom w:val="nil"/>
              <w:right w:val="nil"/>
            </w:tcBorders>
            <w:shd w:val="clear" w:color="000000" w:fill="D9E1F2"/>
            <w:noWrap/>
            <w:vAlign w:val="bottom"/>
            <w:hideMark/>
          </w:tcPr>
          <w:p w14:paraId="0414D690" w14:textId="77777777" w:rsidR="00DB4BB9" w:rsidRPr="00DB4BB9" w:rsidRDefault="00DB4BB9" w:rsidP="00DB4BB9">
            <w:pPr>
              <w:spacing w:after="0" w:line="240" w:lineRule="auto"/>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 </w:t>
            </w:r>
          </w:p>
        </w:tc>
        <w:tc>
          <w:tcPr>
            <w:tcW w:w="1480" w:type="dxa"/>
            <w:tcBorders>
              <w:top w:val="single" w:sz="4" w:space="0" w:color="auto"/>
              <w:left w:val="single" w:sz="4" w:space="0" w:color="auto"/>
              <w:bottom w:val="single" w:sz="4" w:space="0" w:color="auto"/>
              <w:right w:val="nil"/>
            </w:tcBorders>
            <w:shd w:val="clear" w:color="000000" w:fill="D9E1F2"/>
            <w:noWrap/>
            <w:vAlign w:val="bottom"/>
            <w:hideMark/>
          </w:tcPr>
          <w:p w14:paraId="2E78038B"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IMF</w:t>
            </w:r>
          </w:p>
        </w:tc>
        <w:tc>
          <w:tcPr>
            <w:tcW w:w="1081" w:type="dxa"/>
            <w:tcBorders>
              <w:top w:val="nil"/>
              <w:left w:val="single" w:sz="4" w:space="0" w:color="auto"/>
              <w:bottom w:val="single" w:sz="4" w:space="0" w:color="auto"/>
              <w:right w:val="nil"/>
            </w:tcBorders>
            <w:shd w:val="clear" w:color="000000" w:fill="D9E1F2"/>
            <w:noWrap/>
            <w:vAlign w:val="bottom"/>
            <w:hideMark/>
          </w:tcPr>
          <w:p w14:paraId="4D2CABEF"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IMF</w:t>
            </w:r>
          </w:p>
        </w:tc>
        <w:tc>
          <w:tcPr>
            <w:tcW w:w="889" w:type="dxa"/>
            <w:tcBorders>
              <w:top w:val="nil"/>
              <w:left w:val="single" w:sz="4" w:space="0" w:color="auto"/>
              <w:bottom w:val="single" w:sz="4" w:space="0" w:color="auto"/>
              <w:right w:val="single" w:sz="4" w:space="0" w:color="auto"/>
            </w:tcBorders>
            <w:shd w:val="clear" w:color="000000" w:fill="D9E1F2"/>
            <w:noWrap/>
            <w:vAlign w:val="bottom"/>
            <w:hideMark/>
          </w:tcPr>
          <w:p w14:paraId="45CCD1C1"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UN</w:t>
            </w:r>
          </w:p>
        </w:tc>
        <w:tc>
          <w:tcPr>
            <w:tcW w:w="1081" w:type="dxa"/>
            <w:tcBorders>
              <w:top w:val="nil"/>
              <w:left w:val="nil"/>
              <w:bottom w:val="single" w:sz="4" w:space="0" w:color="auto"/>
              <w:right w:val="nil"/>
            </w:tcBorders>
            <w:shd w:val="clear" w:color="000000" w:fill="D9E1F2"/>
            <w:noWrap/>
            <w:vAlign w:val="bottom"/>
            <w:hideMark/>
          </w:tcPr>
          <w:p w14:paraId="5D97C276"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IMF</w:t>
            </w:r>
          </w:p>
        </w:tc>
        <w:tc>
          <w:tcPr>
            <w:tcW w:w="889" w:type="dxa"/>
            <w:tcBorders>
              <w:top w:val="nil"/>
              <w:left w:val="single" w:sz="4" w:space="0" w:color="auto"/>
              <w:bottom w:val="nil"/>
              <w:right w:val="nil"/>
            </w:tcBorders>
            <w:shd w:val="clear" w:color="000000" w:fill="D9E1F2"/>
            <w:noWrap/>
            <w:vAlign w:val="bottom"/>
            <w:hideMark/>
          </w:tcPr>
          <w:p w14:paraId="220C118B"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UN</w:t>
            </w:r>
          </w:p>
        </w:tc>
      </w:tr>
      <w:tr w:rsidR="00DB4BB9" w:rsidRPr="00DB4BB9" w14:paraId="2DAACC19" w14:textId="77777777" w:rsidTr="00DB4BB9">
        <w:trPr>
          <w:trHeight w:val="312"/>
        </w:trPr>
        <w:tc>
          <w:tcPr>
            <w:tcW w:w="3280" w:type="dxa"/>
            <w:tcBorders>
              <w:top w:val="nil"/>
              <w:left w:val="nil"/>
              <w:bottom w:val="nil"/>
              <w:right w:val="nil"/>
            </w:tcBorders>
            <w:shd w:val="clear" w:color="auto" w:fill="auto"/>
            <w:noWrap/>
            <w:vAlign w:val="bottom"/>
            <w:hideMark/>
          </w:tcPr>
          <w:p w14:paraId="47C33457" w14:textId="77777777" w:rsidR="00DB4BB9" w:rsidRPr="00DB4BB9" w:rsidRDefault="00DB4BB9" w:rsidP="00DB4BB9">
            <w:pPr>
              <w:spacing w:after="0" w:line="240" w:lineRule="auto"/>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Global</w:t>
            </w:r>
          </w:p>
        </w:tc>
        <w:tc>
          <w:tcPr>
            <w:tcW w:w="1480" w:type="dxa"/>
            <w:tcBorders>
              <w:top w:val="nil"/>
              <w:left w:val="nil"/>
              <w:bottom w:val="nil"/>
              <w:right w:val="nil"/>
            </w:tcBorders>
            <w:shd w:val="clear" w:color="000000" w:fill="F2F2F2"/>
            <w:noWrap/>
            <w:vAlign w:val="bottom"/>
            <w:hideMark/>
          </w:tcPr>
          <w:p w14:paraId="26BBB949"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3.3</w:t>
            </w:r>
          </w:p>
        </w:tc>
        <w:tc>
          <w:tcPr>
            <w:tcW w:w="1081" w:type="dxa"/>
            <w:tcBorders>
              <w:top w:val="nil"/>
              <w:left w:val="nil"/>
              <w:bottom w:val="nil"/>
              <w:right w:val="nil"/>
            </w:tcBorders>
            <w:shd w:val="clear" w:color="000000" w:fill="D6DCE4"/>
            <w:noWrap/>
            <w:vAlign w:val="bottom"/>
            <w:hideMark/>
          </w:tcPr>
          <w:p w14:paraId="0ABFEA88"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3.2</w:t>
            </w:r>
          </w:p>
        </w:tc>
        <w:tc>
          <w:tcPr>
            <w:tcW w:w="889" w:type="dxa"/>
            <w:tcBorders>
              <w:top w:val="nil"/>
              <w:left w:val="nil"/>
              <w:bottom w:val="nil"/>
              <w:right w:val="nil"/>
            </w:tcBorders>
            <w:shd w:val="clear" w:color="000000" w:fill="D6DCE4"/>
            <w:noWrap/>
            <w:vAlign w:val="bottom"/>
            <w:hideMark/>
          </w:tcPr>
          <w:p w14:paraId="7F95220B"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2.7</w:t>
            </w:r>
          </w:p>
        </w:tc>
        <w:tc>
          <w:tcPr>
            <w:tcW w:w="1081" w:type="dxa"/>
            <w:tcBorders>
              <w:top w:val="nil"/>
              <w:left w:val="nil"/>
              <w:bottom w:val="nil"/>
              <w:right w:val="nil"/>
            </w:tcBorders>
            <w:shd w:val="clear" w:color="000000" w:fill="D0CECE"/>
            <w:noWrap/>
            <w:vAlign w:val="bottom"/>
            <w:hideMark/>
          </w:tcPr>
          <w:p w14:paraId="1747FA82"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3.3</w:t>
            </w:r>
          </w:p>
        </w:tc>
        <w:tc>
          <w:tcPr>
            <w:tcW w:w="889" w:type="dxa"/>
            <w:tcBorders>
              <w:top w:val="single" w:sz="4" w:space="0" w:color="auto"/>
              <w:left w:val="nil"/>
              <w:bottom w:val="nil"/>
              <w:right w:val="nil"/>
            </w:tcBorders>
            <w:shd w:val="clear" w:color="000000" w:fill="D0CECE"/>
            <w:noWrap/>
            <w:vAlign w:val="bottom"/>
            <w:hideMark/>
          </w:tcPr>
          <w:p w14:paraId="3F62001A"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2.7</w:t>
            </w:r>
          </w:p>
        </w:tc>
      </w:tr>
      <w:tr w:rsidR="00DB4BB9" w:rsidRPr="00DB4BB9" w14:paraId="42F4C731" w14:textId="77777777" w:rsidTr="00DB4BB9">
        <w:trPr>
          <w:trHeight w:val="312"/>
        </w:trPr>
        <w:tc>
          <w:tcPr>
            <w:tcW w:w="3280" w:type="dxa"/>
            <w:tcBorders>
              <w:top w:val="nil"/>
              <w:left w:val="nil"/>
              <w:bottom w:val="nil"/>
              <w:right w:val="nil"/>
            </w:tcBorders>
            <w:shd w:val="clear" w:color="auto" w:fill="auto"/>
            <w:noWrap/>
            <w:vAlign w:val="bottom"/>
            <w:hideMark/>
          </w:tcPr>
          <w:p w14:paraId="0C64AF15" w14:textId="77777777" w:rsidR="00DB4BB9" w:rsidRPr="00DB4BB9" w:rsidRDefault="00DB4BB9" w:rsidP="00DB4BB9">
            <w:pPr>
              <w:spacing w:after="0" w:line="240" w:lineRule="auto"/>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Advanced Economies</w:t>
            </w:r>
          </w:p>
        </w:tc>
        <w:tc>
          <w:tcPr>
            <w:tcW w:w="1480" w:type="dxa"/>
            <w:tcBorders>
              <w:top w:val="nil"/>
              <w:left w:val="nil"/>
              <w:bottom w:val="nil"/>
              <w:right w:val="nil"/>
            </w:tcBorders>
            <w:shd w:val="clear" w:color="000000" w:fill="F2F2F2"/>
            <w:noWrap/>
            <w:vAlign w:val="bottom"/>
            <w:hideMark/>
          </w:tcPr>
          <w:p w14:paraId="0D9D5D7F"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1.7</w:t>
            </w:r>
          </w:p>
        </w:tc>
        <w:tc>
          <w:tcPr>
            <w:tcW w:w="1081" w:type="dxa"/>
            <w:tcBorders>
              <w:top w:val="nil"/>
              <w:left w:val="nil"/>
              <w:bottom w:val="nil"/>
              <w:right w:val="nil"/>
            </w:tcBorders>
            <w:shd w:val="clear" w:color="000000" w:fill="D6DCE4"/>
            <w:noWrap/>
            <w:vAlign w:val="bottom"/>
            <w:hideMark/>
          </w:tcPr>
          <w:p w14:paraId="691892B2"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1.7</w:t>
            </w:r>
          </w:p>
        </w:tc>
        <w:tc>
          <w:tcPr>
            <w:tcW w:w="889" w:type="dxa"/>
            <w:tcBorders>
              <w:top w:val="nil"/>
              <w:left w:val="nil"/>
              <w:bottom w:val="nil"/>
              <w:right w:val="nil"/>
            </w:tcBorders>
            <w:shd w:val="clear" w:color="000000" w:fill="D6DCE4"/>
            <w:noWrap/>
            <w:vAlign w:val="bottom"/>
            <w:hideMark/>
          </w:tcPr>
          <w:p w14:paraId="6EC0B464"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1.7</w:t>
            </w:r>
          </w:p>
        </w:tc>
        <w:tc>
          <w:tcPr>
            <w:tcW w:w="1081" w:type="dxa"/>
            <w:tcBorders>
              <w:top w:val="nil"/>
              <w:left w:val="nil"/>
              <w:bottom w:val="nil"/>
              <w:right w:val="nil"/>
            </w:tcBorders>
            <w:shd w:val="clear" w:color="000000" w:fill="D0CECE"/>
            <w:noWrap/>
            <w:vAlign w:val="bottom"/>
            <w:hideMark/>
          </w:tcPr>
          <w:p w14:paraId="71D55896"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1.8</w:t>
            </w:r>
          </w:p>
        </w:tc>
        <w:tc>
          <w:tcPr>
            <w:tcW w:w="889" w:type="dxa"/>
            <w:tcBorders>
              <w:top w:val="nil"/>
              <w:left w:val="nil"/>
              <w:bottom w:val="nil"/>
              <w:right w:val="nil"/>
            </w:tcBorders>
            <w:shd w:val="clear" w:color="000000" w:fill="D0CECE"/>
            <w:noWrap/>
            <w:vAlign w:val="bottom"/>
            <w:hideMark/>
          </w:tcPr>
          <w:p w14:paraId="20B460DD"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1.6</w:t>
            </w:r>
          </w:p>
        </w:tc>
      </w:tr>
      <w:tr w:rsidR="00DB4BB9" w:rsidRPr="00DB4BB9" w14:paraId="52E11F69" w14:textId="77777777" w:rsidTr="00DB4BB9">
        <w:trPr>
          <w:trHeight w:val="312"/>
        </w:trPr>
        <w:tc>
          <w:tcPr>
            <w:tcW w:w="3280" w:type="dxa"/>
            <w:tcBorders>
              <w:top w:val="nil"/>
              <w:left w:val="nil"/>
              <w:bottom w:val="nil"/>
              <w:right w:val="nil"/>
            </w:tcBorders>
            <w:shd w:val="clear" w:color="auto" w:fill="auto"/>
            <w:noWrap/>
            <w:vAlign w:val="bottom"/>
            <w:hideMark/>
          </w:tcPr>
          <w:p w14:paraId="438A7286" w14:textId="77777777" w:rsidR="00DB4BB9" w:rsidRPr="00DB4BB9" w:rsidRDefault="00DB4BB9" w:rsidP="00DB4BB9">
            <w:pPr>
              <w:spacing w:after="0" w:line="240" w:lineRule="auto"/>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 xml:space="preserve">United States </w:t>
            </w:r>
          </w:p>
        </w:tc>
        <w:tc>
          <w:tcPr>
            <w:tcW w:w="1480" w:type="dxa"/>
            <w:tcBorders>
              <w:top w:val="nil"/>
              <w:left w:val="nil"/>
              <w:bottom w:val="nil"/>
              <w:right w:val="nil"/>
            </w:tcBorders>
            <w:shd w:val="clear" w:color="000000" w:fill="F2F2F2"/>
            <w:noWrap/>
            <w:vAlign w:val="bottom"/>
            <w:hideMark/>
          </w:tcPr>
          <w:p w14:paraId="315862B6"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2.5</w:t>
            </w:r>
          </w:p>
        </w:tc>
        <w:tc>
          <w:tcPr>
            <w:tcW w:w="1081" w:type="dxa"/>
            <w:tcBorders>
              <w:top w:val="nil"/>
              <w:left w:val="nil"/>
              <w:bottom w:val="nil"/>
              <w:right w:val="nil"/>
            </w:tcBorders>
            <w:shd w:val="clear" w:color="000000" w:fill="D6DCE4"/>
            <w:noWrap/>
            <w:vAlign w:val="bottom"/>
            <w:hideMark/>
          </w:tcPr>
          <w:p w14:paraId="26CFA667"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2.6</w:t>
            </w:r>
          </w:p>
        </w:tc>
        <w:tc>
          <w:tcPr>
            <w:tcW w:w="889" w:type="dxa"/>
            <w:tcBorders>
              <w:top w:val="nil"/>
              <w:left w:val="nil"/>
              <w:bottom w:val="nil"/>
              <w:right w:val="nil"/>
            </w:tcBorders>
            <w:shd w:val="clear" w:color="000000" w:fill="D6DCE4"/>
            <w:noWrap/>
            <w:vAlign w:val="bottom"/>
            <w:hideMark/>
          </w:tcPr>
          <w:p w14:paraId="072F7F6F"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2.5</w:t>
            </w:r>
          </w:p>
        </w:tc>
        <w:tc>
          <w:tcPr>
            <w:tcW w:w="1081" w:type="dxa"/>
            <w:tcBorders>
              <w:top w:val="nil"/>
              <w:left w:val="nil"/>
              <w:bottom w:val="nil"/>
              <w:right w:val="nil"/>
            </w:tcBorders>
            <w:shd w:val="clear" w:color="000000" w:fill="D0CECE"/>
            <w:noWrap/>
            <w:vAlign w:val="bottom"/>
            <w:hideMark/>
          </w:tcPr>
          <w:p w14:paraId="443879C6"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1.9</w:t>
            </w:r>
          </w:p>
        </w:tc>
        <w:tc>
          <w:tcPr>
            <w:tcW w:w="889" w:type="dxa"/>
            <w:tcBorders>
              <w:top w:val="nil"/>
              <w:left w:val="nil"/>
              <w:bottom w:val="nil"/>
              <w:right w:val="nil"/>
            </w:tcBorders>
            <w:shd w:val="clear" w:color="000000" w:fill="D0CECE"/>
            <w:noWrap/>
            <w:vAlign w:val="bottom"/>
            <w:hideMark/>
          </w:tcPr>
          <w:p w14:paraId="45A48077"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1.7</w:t>
            </w:r>
          </w:p>
        </w:tc>
      </w:tr>
      <w:tr w:rsidR="00DB4BB9" w:rsidRPr="00DB4BB9" w14:paraId="47236AF4" w14:textId="77777777" w:rsidTr="00DB4BB9">
        <w:trPr>
          <w:trHeight w:val="312"/>
        </w:trPr>
        <w:tc>
          <w:tcPr>
            <w:tcW w:w="3280" w:type="dxa"/>
            <w:tcBorders>
              <w:top w:val="nil"/>
              <w:left w:val="nil"/>
              <w:bottom w:val="nil"/>
              <w:right w:val="nil"/>
            </w:tcBorders>
            <w:shd w:val="clear" w:color="auto" w:fill="auto"/>
            <w:noWrap/>
            <w:vAlign w:val="bottom"/>
            <w:hideMark/>
          </w:tcPr>
          <w:p w14:paraId="217ED23E" w14:textId="77777777" w:rsidR="00DB4BB9" w:rsidRPr="00DB4BB9" w:rsidRDefault="00DB4BB9" w:rsidP="00DB4BB9">
            <w:pPr>
              <w:spacing w:after="0" w:line="240" w:lineRule="auto"/>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Eurozone</w:t>
            </w:r>
          </w:p>
        </w:tc>
        <w:tc>
          <w:tcPr>
            <w:tcW w:w="1480" w:type="dxa"/>
            <w:tcBorders>
              <w:top w:val="nil"/>
              <w:left w:val="nil"/>
              <w:bottom w:val="nil"/>
              <w:right w:val="nil"/>
            </w:tcBorders>
            <w:shd w:val="clear" w:color="000000" w:fill="F2F2F2"/>
            <w:noWrap/>
            <w:vAlign w:val="bottom"/>
            <w:hideMark/>
          </w:tcPr>
          <w:p w14:paraId="195458DC"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0.5</w:t>
            </w:r>
          </w:p>
        </w:tc>
        <w:tc>
          <w:tcPr>
            <w:tcW w:w="1081" w:type="dxa"/>
            <w:tcBorders>
              <w:top w:val="nil"/>
              <w:left w:val="nil"/>
              <w:bottom w:val="nil"/>
              <w:right w:val="nil"/>
            </w:tcBorders>
            <w:shd w:val="clear" w:color="000000" w:fill="D6DCE4"/>
            <w:noWrap/>
            <w:vAlign w:val="bottom"/>
            <w:hideMark/>
          </w:tcPr>
          <w:p w14:paraId="53E1BC93"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0.9</w:t>
            </w:r>
          </w:p>
        </w:tc>
        <w:tc>
          <w:tcPr>
            <w:tcW w:w="889" w:type="dxa"/>
            <w:tcBorders>
              <w:top w:val="nil"/>
              <w:left w:val="nil"/>
              <w:bottom w:val="nil"/>
              <w:right w:val="nil"/>
            </w:tcBorders>
            <w:shd w:val="clear" w:color="000000" w:fill="D6DCE4"/>
            <w:noWrap/>
            <w:vAlign w:val="bottom"/>
            <w:hideMark/>
          </w:tcPr>
          <w:p w14:paraId="160C2647"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0.8</w:t>
            </w:r>
          </w:p>
        </w:tc>
        <w:tc>
          <w:tcPr>
            <w:tcW w:w="1081" w:type="dxa"/>
            <w:tcBorders>
              <w:top w:val="nil"/>
              <w:left w:val="nil"/>
              <w:bottom w:val="nil"/>
              <w:right w:val="nil"/>
            </w:tcBorders>
            <w:shd w:val="clear" w:color="000000" w:fill="D0CECE"/>
            <w:noWrap/>
            <w:vAlign w:val="bottom"/>
            <w:hideMark/>
          </w:tcPr>
          <w:p w14:paraId="6B252138"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1.5</w:t>
            </w:r>
          </w:p>
        </w:tc>
        <w:tc>
          <w:tcPr>
            <w:tcW w:w="889" w:type="dxa"/>
            <w:tcBorders>
              <w:top w:val="nil"/>
              <w:left w:val="nil"/>
              <w:bottom w:val="nil"/>
              <w:right w:val="nil"/>
            </w:tcBorders>
            <w:shd w:val="clear" w:color="000000" w:fill="D0CECE"/>
            <w:noWrap/>
            <w:vAlign w:val="bottom"/>
            <w:hideMark/>
          </w:tcPr>
          <w:p w14:paraId="0A7860BA"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1.3</w:t>
            </w:r>
          </w:p>
        </w:tc>
      </w:tr>
      <w:tr w:rsidR="00DB4BB9" w:rsidRPr="00DB4BB9" w14:paraId="67BC5DC5" w14:textId="77777777" w:rsidTr="00DB4BB9">
        <w:trPr>
          <w:trHeight w:val="312"/>
        </w:trPr>
        <w:tc>
          <w:tcPr>
            <w:tcW w:w="3280" w:type="dxa"/>
            <w:tcBorders>
              <w:top w:val="nil"/>
              <w:left w:val="nil"/>
              <w:bottom w:val="nil"/>
              <w:right w:val="nil"/>
            </w:tcBorders>
            <w:shd w:val="clear" w:color="auto" w:fill="auto"/>
            <w:noWrap/>
            <w:vAlign w:val="bottom"/>
            <w:hideMark/>
          </w:tcPr>
          <w:p w14:paraId="34CAF300" w14:textId="77777777" w:rsidR="00DB4BB9" w:rsidRPr="00DB4BB9" w:rsidRDefault="00DB4BB9" w:rsidP="00DB4BB9">
            <w:pPr>
              <w:spacing w:after="0" w:line="240" w:lineRule="auto"/>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 xml:space="preserve">Developing Economies </w:t>
            </w:r>
          </w:p>
        </w:tc>
        <w:tc>
          <w:tcPr>
            <w:tcW w:w="1480" w:type="dxa"/>
            <w:tcBorders>
              <w:top w:val="nil"/>
              <w:left w:val="nil"/>
              <w:bottom w:val="nil"/>
              <w:right w:val="nil"/>
            </w:tcBorders>
            <w:shd w:val="clear" w:color="000000" w:fill="F2F2F2"/>
            <w:noWrap/>
            <w:vAlign w:val="bottom"/>
            <w:hideMark/>
          </w:tcPr>
          <w:p w14:paraId="68D9111A"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4.4</w:t>
            </w:r>
          </w:p>
        </w:tc>
        <w:tc>
          <w:tcPr>
            <w:tcW w:w="1081" w:type="dxa"/>
            <w:tcBorders>
              <w:top w:val="nil"/>
              <w:left w:val="nil"/>
              <w:bottom w:val="nil"/>
              <w:right w:val="nil"/>
            </w:tcBorders>
            <w:shd w:val="clear" w:color="000000" w:fill="D6DCE4"/>
            <w:noWrap/>
            <w:vAlign w:val="bottom"/>
            <w:hideMark/>
          </w:tcPr>
          <w:p w14:paraId="6A7204EF"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4.3</w:t>
            </w:r>
          </w:p>
        </w:tc>
        <w:tc>
          <w:tcPr>
            <w:tcW w:w="889" w:type="dxa"/>
            <w:tcBorders>
              <w:top w:val="nil"/>
              <w:left w:val="nil"/>
              <w:bottom w:val="nil"/>
              <w:right w:val="nil"/>
            </w:tcBorders>
            <w:shd w:val="clear" w:color="000000" w:fill="D6DCE4"/>
            <w:noWrap/>
            <w:vAlign w:val="bottom"/>
            <w:hideMark/>
          </w:tcPr>
          <w:p w14:paraId="333433A5"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4</w:t>
            </w:r>
          </w:p>
        </w:tc>
        <w:tc>
          <w:tcPr>
            <w:tcW w:w="1081" w:type="dxa"/>
            <w:tcBorders>
              <w:top w:val="nil"/>
              <w:left w:val="nil"/>
              <w:bottom w:val="nil"/>
              <w:right w:val="nil"/>
            </w:tcBorders>
            <w:shd w:val="clear" w:color="000000" w:fill="D0CECE"/>
            <w:noWrap/>
            <w:vAlign w:val="bottom"/>
            <w:hideMark/>
          </w:tcPr>
          <w:p w14:paraId="74AE0D37"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4.3</w:t>
            </w:r>
          </w:p>
        </w:tc>
        <w:tc>
          <w:tcPr>
            <w:tcW w:w="889" w:type="dxa"/>
            <w:tcBorders>
              <w:top w:val="nil"/>
              <w:left w:val="nil"/>
              <w:bottom w:val="nil"/>
              <w:right w:val="nil"/>
            </w:tcBorders>
            <w:shd w:val="clear" w:color="000000" w:fill="D0CECE"/>
            <w:noWrap/>
            <w:vAlign w:val="bottom"/>
            <w:hideMark/>
          </w:tcPr>
          <w:p w14:paraId="543DF3BC"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4.2</w:t>
            </w:r>
          </w:p>
        </w:tc>
      </w:tr>
      <w:tr w:rsidR="00DB4BB9" w:rsidRPr="00DB4BB9" w14:paraId="3C484335" w14:textId="77777777" w:rsidTr="00DB4BB9">
        <w:trPr>
          <w:trHeight w:val="312"/>
        </w:trPr>
        <w:tc>
          <w:tcPr>
            <w:tcW w:w="3280" w:type="dxa"/>
            <w:tcBorders>
              <w:top w:val="nil"/>
              <w:left w:val="nil"/>
              <w:bottom w:val="nil"/>
              <w:right w:val="nil"/>
            </w:tcBorders>
            <w:shd w:val="clear" w:color="auto" w:fill="auto"/>
            <w:noWrap/>
            <w:vAlign w:val="bottom"/>
            <w:hideMark/>
          </w:tcPr>
          <w:p w14:paraId="40662CAD" w14:textId="77777777" w:rsidR="00DB4BB9" w:rsidRPr="00DB4BB9" w:rsidRDefault="00DB4BB9" w:rsidP="00DB4BB9">
            <w:pPr>
              <w:spacing w:after="0" w:line="240" w:lineRule="auto"/>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China</w:t>
            </w:r>
          </w:p>
        </w:tc>
        <w:tc>
          <w:tcPr>
            <w:tcW w:w="1480" w:type="dxa"/>
            <w:tcBorders>
              <w:top w:val="nil"/>
              <w:left w:val="nil"/>
              <w:bottom w:val="nil"/>
              <w:right w:val="nil"/>
            </w:tcBorders>
            <w:shd w:val="clear" w:color="000000" w:fill="F2F2F2"/>
            <w:noWrap/>
            <w:vAlign w:val="bottom"/>
            <w:hideMark/>
          </w:tcPr>
          <w:p w14:paraId="2ACCC815"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5.2</w:t>
            </w:r>
          </w:p>
        </w:tc>
        <w:tc>
          <w:tcPr>
            <w:tcW w:w="1081" w:type="dxa"/>
            <w:tcBorders>
              <w:top w:val="nil"/>
              <w:left w:val="nil"/>
              <w:bottom w:val="nil"/>
              <w:right w:val="nil"/>
            </w:tcBorders>
            <w:shd w:val="clear" w:color="000000" w:fill="D6DCE4"/>
            <w:noWrap/>
            <w:vAlign w:val="bottom"/>
            <w:hideMark/>
          </w:tcPr>
          <w:p w14:paraId="0D24A24D"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5</w:t>
            </w:r>
          </w:p>
        </w:tc>
        <w:tc>
          <w:tcPr>
            <w:tcW w:w="889" w:type="dxa"/>
            <w:tcBorders>
              <w:top w:val="nil"/>
              <w:left w:val="nil"/>
              <w:bottom w:val="nil"/>
              <w:right w:val="nil"/>
            </w:tcBorders>
            <w:shd w:val="clear" w:color="000000" w:fill="D6DCE4"/>
            <w:noWrap/>
            <w:vAlign w:val="bottom"/>
            <w:hideMark/>
          </w:tcPr>
          <w:p w14:paraId="51732130"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4.8</w:t>
            </w:r>
          </w:p>
        </w:tc>
        <w:tc>
          <w:tcPr>
            <w:tcW w:w="1081" w:type="dxa"/>
            <w:tcBorders>
              <w:top w:val="nil"/>
              <w:left w:val="nil"/>
              <w:bottom w:val="nil"/>
              <w:right w:val="nil"/>
            </w:tcBorders>
            <w:shd w:val="clear" w:color="000000" w:fill="D0CECE"/>
            <w:noWrap/>
            <w:vAlign w:val="bottom"/>
            <w:hideMark/>
          </w:tcPr>
          <w:p w14:paraId="48CD17A3"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4.5</w:t>
            </w:r>
          </w:p>
        </w:tc>
        <w:tc>
          <w:tcPr>
            <w:tcW w:w="889" w:type="dxa"/>
            <w:tcBorders>
              <w:top w:val="nil"/>
              <w:left w:val="nil"/>
              <w:bottom w:val="nil"/>
              <w:right w:val="nil"/>
            </w:tcBorders>
            <w:shd w:val="clear" w:color="000000" w:fill="D0CECE"/>
            <w:noWrap/>
            <w:vAlign w:val="bottom"/>
            <w:hideMark/>
          </w:tcPr>
          <w:p w14:paraId="7F10A2F3"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4.5</w:t>
            </w:r>
          </w:p>
        </w:tc>
      </w:tr>
      <w:tr w:rsidR="00DB4BB9" w:rsidRPr="00DB4BB9" w14:paraId="039EC51E" w14:textId="77777777" w:rsidTr="00DB4BB9">
        <w:trPr>
          <w:trHeight w:val="312"/>
        </w:trPr>
        <w:tc>
          <w:tcPr>
            <w:tcW w:w="3280" w:type="dxa"/>
            <w:tcBorders>
              <w:top w:val="nil"/>
              <w:left w:val="nil"/>
              <w:bottom w:val="nil"/>
              <w:right w:val="nil"/>
            </w:tcBorders>
            <w:shd w:val="clear" w:color="auto" w:fill="auto"/>
            <w:noWrap/>
            <w:vAlign w:val="bottom"/>
            <w:hideMark/>
          </w:tcPr>
          <w:p w14:paraId="3B4716B4" w14:textId="77777777" w:rsidR="00DB4BB9" w:rsidRPr="00DB4BB9" w:rsidRDefault="00DB4BB9" w:rsidP="00DB4BB9">
            <w:pPr>
              <w:spacing w:after="0" w:line="240" w:lineRule="auto"/>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India</w:t>
            </w:r>
          </w:p>
        </w:tc>
        <w:tc>
          <w:tcPr>
            <w:tcW w:w="1480" w:type="dxa"/>
            <w:tcBorders>
              <w:top w:val="nil"/>
              <w:left w:val="nil"/>
              <w:bottom w:val="nil"/>
              <w:right w:val="nil"/>
            </w:tcBorders>
            <w:shd w:val="clear" w:color="000000" w:fill="F2F2F2"/>
            <w:noWrap/>
            <w:vAlign w:val="bottom"/>
            <w:hideMark/>
          </w:tcPr>
          <w:p w14:paraId="313ED80D"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8.2</w:t>
            </w:r>
          </w:p>
        </w:tc>
        <w:tc>
          <w:tcPr>
            <w:tcW w:w="1081" w:type="dxa"/>
            <w:tcBorders>
              <w:top w:val="nil"/>
              <w:left w:val="nil"/>
              <w:bottom w:val="nil"/>
              <w:right w:val="nil"/>
            </w:tcBorders>
            <w:shd w:val="clear" w:color="000000" w:fill="D6DCE4"/>
            <w:noWrap/>
            <w:vAlign w:val="bottom"/>
            <w:hideMark/>
          </w:tcPr>
          <w:p w14:paraId="52F32A56"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7</w:t>
            </w:r>
          </w:p>
        </w:tc>
        <w:tc>
          <w:tcPr>
            <w:tcW w:w="889" w:type="dxa"/>
            <w:tcBorders>
              <w:top w:val="nil"/>
              <w:left w:val="nil"/>
              <w:bottom w:val="nil"/>
              <w:right w:val="nil"/>
            </w:tcBorders>
            <w:shd w:val="clear" w:color="000000" w:fill="D6DCE4"/>
            <w:noWrap/>
            <w:vAlign w:val="bottom"/>
            <w:hideMark/>
          </w:tcPr>
          <w:p w14:paraId="55AC073F"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6.9</w:t>
            </w:r>
          </w:p>
        </w:tc>
        <w:tc>
          <w:tcPr>
            <w:tcW w:w="1081" w:type="dxa"/>
            <w:tcBorders>
              <w:top w:val="nil"/>
              <w:left w:val="nil"/>
              <w:bottom w:val="nil"/>
              <w:right w:val="nil"/>
            </w:tcBorders>
            <w:shd w:val="clear" w:color="000000" w:fill="D0CECE"/>
            <w:noWrap/>
            <w:vAlign w:val="bottom"/>
            <w:hideMark/>
          </w:tcPr>
          <w:p w14:paraId="439EEC34"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6.5</w:t>
            </w:r>
          </w:p>
        </w:tc>
        <w:tc>
          <w:tcPr>
            <w:tcW w:w="889" w:type="dxa"/>
            <w:tcBorders>
              <w:top w:val="nil"/>
              <w:left w:val="nil"/>
              <w:bottom w:val="nil"/>
              <w:right w:val="nil"/>
            </w:tcBorders>
            <w:shd w:val="clear" w:color="000000" w:fill="D0CECE"/>
            <w:noWrap/>
            <w:vAlign w:val="bottom"/>
            <w:hideMark/>
          </w:tcPr>
          <w:p w14:paraId="42D86B72"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6.6</w:t>
            </w:r>
          </w:p>
        </w:tc>
      </w:tr>
      <w:tr w:rsidR="00DB4BB9" w:rsidRPr="00DB4BB9" w14:paraId="4ED26A6B" w14:textId="77777777" w:rsidTr="00DB4BB9">
        <w:trPr>
          <w:trHeight w:val="312"/>
        </w:trPr>
        <w:tc>
          <w:tcPr>
            <w:tcW w:w="3280" w:type="dxa"/>
            <w:tcBorders>
              <w:top w:val="nil"/>
              <w:left w:val="nil"/>
              <w:bottom w:val="nil"/>
              <w:right w:val="nil"/>
            </w:tcBorders>
            <w:shd w:val="clear" w:color="auto" w:fill="auto"/>
            <w:noWrap/>
            <w:vAlign w:val="bottom"/>
            <w:hideMark/>
          </w:tcPr>
          <w:p w14:paraId="7CFCB50F" w14:textId="77777777" w:rsidR="00DB4BB9" w:rsidRPr="00DB4BB9" w:rsidRDefault="00DB4BB9" w:rsidP="00DB4BB9">
            <w:pPr>
              <w:spacing w:after="0" w:line="240" w:lineRule="auto"/>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Africa</w:t>
            </w:r>
          </w:p>
        </w:tc>
        <w:tc>
          <w:tcPr>
            <w:tcW w:w="1480" w:type="dxa"/>
            <w:tcBorders>
              <w:top w:val="nil"/>
              <w:left w:val="nil"/>
              <w:bottom w:val="nil"/>
              <w:right w:val="nil"/>
            </w:tcBorders>
            <w:shd w:val="clear" w:color="000000" w:fill="F2F2F2"/>
            <w:noWrap/>
            <w:vAlign w:val="bottom"/>
            <w:hideMark/>
          </w:tcPr>
          <w:p w14:paraId="05BB0441"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 </w:t>
            </w:r>
          </w:p>
        </w:tc>
        <w:tc>
          <w:tcPr>
            <w:tcW w:w="1081" w:type="dxa"/>
            <w:tcBorders>
              <w:top w:val="nil"/>
              <w:left w:val="nil"/>
              <w:bottom w:val="nil"/>
              <w:right w:val="nil"/>
            </w:tcBorders>
            <w:shd w:val="clear" w:color="000000" w:fill="D6DCE4"/>
            <w:noWrap/>
            <w:vAlign w:val="bottom"/>
            <w:hideMark/>
          </w:tcPr>
          <w:p w14:paraId="729ED234"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 </w:t>
            </w:r>
          </w:p>
        </w:tc>
        <w:tc>
          <w:tcPr>
            <w:tcW w:w="889" w:type="dxa"/>
            <w:tcBorders>
              <w:top w:val="nil"/>
              <w:left w:val="nil"/>
              <w:bottom w:val="nil"/>
              <w:right w:val="nil"/>
            </w:tcBorders>
            <w:shd w:val="clear" w:color="000000" w:fill="D6DCE4"/>
            <w:noWrap/>
            <w:vAlign w:val="bottom"/>
            <w:hideMark/>
          </w:tcPr>
          <w:p w14:paraId="51F3159E"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3.3</w:t>
            </w:r>
          </w:p>
        </w:tc>
        <w:tc>
          <w:tcPr>
            <w:tcW w:w="1081" w:type="dxa"/>
            <w:tcBorders>
              <w:top w:val="nil"/>
              <w:left w:val="nil"/>
              <w:bottom w:val="nil"/>
              <w:right w:val="nil"/>
            </w:tcBorders>
            <w:shd w:val="clear" w:color="000000" w:fill="D0CECE"/>
            <w:noWrap/>
            <w:vAlign w:val="bottom"/>
            <w:hideMark/>
          </w:tcPr>
          <w:p w14:paraId="75912AA2"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 </w:t>
            </w:r>
          </w:p>
        </w:tc>
        <w:tc>
          <w:tcPr>
            <w:tcW w:w="889" w:type="dxa"/>
            <w:tcBorders>
              <w:top w:val="nil"/>
              <w:left w:val="nil"/>
              <w:bottom w:val="nil"/>
              <w:right w:val="nil"/>
            </w:tcBorders>
            <w:shd w:val="clear" w:color="000000" w:fill="D0CECE"/>
            <w:noWrap/>
            <w:vAlign w:val="bottom"/>
            <w:hideMark/>
          </w:tcPr>
          <w:p w14:paraId="5D1D79B1" w14:textId="77777777" w:rsidR="00DB4BB9" w:rsidRPr="00DB4BB9" w:rsidRDefault="00DB4BB9" w:rsidP="00DB4BB9">
            <w:pPr>
              <w:spacing w:after="0" w:line="240" w:lineRule="auto"/>
              <w:jc w:val="center"/>
              <w:rPr>
                <w:rFonts w:ascii="Tahoma" w:eastAsia="Times New Roman" w:hAnsi="Tahoma" w:cs="Tahoma"/>
                <w:b/>
                <w:bCs/>
                <w:color w:val="000000"/>
                <w:kern w:val="0"/>
                <w:sz w:val="24"/>
                <w:szCs w:val="24"/>
                <w:lang w:eastAsia="en-ZW"/>
              </w:rPr>
            </w:pPr>
            <w:r w:rsidRPr="00DB4BB9">
              <w:rPr>
                <w:rFonts w:ascii="Tahoma" w:eastAsia="Times New Roman" w:hAnsi="Tahoma" w:cs="Tahoma"/>
                <w:b/>
                <w:bCs/>
                <w:color w:val="000000"/>
                <w:kern w:val="0"/>
                <w:sz w:val="24"/>
                <w:szCs w:val="24"/>
                <w:lang w:eastAsia="en-ZW"/>
              </w:rPr>
              <w:t>3.9</w:t>
            </w:r>
          </w:p>
        </w:tc>
      </w:tr>
      <w:tr w:rsidR="00DB4BB9" w:rsidRPr="00DB4BB9" w14:paraId="5B7BF2E3" w14:textId="77777777" w:rsidTr="00DB4BB9">
        <w:trPr>
          <w:trHeight w:val="312"/>
        </w:trPr>
        <w:tc>
          <w:tcPr>
            <w:tcW w:w="3280" w:type="dxa"/>
            <w:tcBorders>
              <w:top w:val="nil"/>
              <w:left w:val="nil"/>
              <w:bottom w:val="nil"/>
              <w:right w:val="nil"/>
            </w:tcBorders>
            <w:shd w:val="clear" w:color="auto" w:fill="auto"/>
            <w:noWrap/>
            <w:vAlign w:val="bottom"/>
            <w:hideMark/>
          </w:tcPr>
          <w:p w14:paraId="79497305" w14:textId="77777777" w:rsidR="00DB4BB9" w:rsidRPr="00DB4BB9" w:rsidRDefault="00DB4BB9" w:rsidP="00DB4BB9">
            <w:pPr>
              <w:spacing w:after="0" w:line="240" w:lineRule="auto"/>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Southern Africa</w:t>
            </w:r>
          </w:p>
        </w:tc>
        <w:tc>
          <w:tcPr>
            <w:tcW w:w="1480" w:type="dxa"/>
            <w:tcBorders>
              <w:top w:val="nil"/>
              <w:left w:val="nil"/>
              <w:bottom w:val="nil"/>
              <w:right w:val="nil"/>
            </w:tcBorders>
            <w:shd w:val="clear" w:color="000000" w:fill="F2F2F2"/>
            <w:noWrap/>
            <w:vAlign w:val="bottom"/>
            <w:hideMark/>
          </w:tcPr>
          <w:p w14:paraId="11CE7317"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 </w:t>
            </w:r>
          </w:p>
        </w:tc>
        <w:tc>
          <w:tcPr>
            <w:tcW w:w="1081" w:type="dxa"/>
            <w:tcBorders>
              <w:top w:val="nil"/>
              <w:left w:val="nil"/>
              <w:bottom w:val="nil"/>
              <w:right w:val="nil"/>
            </w:tcBorders>
            <w:shd w:val="clear" w:color="000000" w:fill="D6DCE4"/>
            <w:noWrap/>
            <w:vAlign w:val="bottom"/>
            <w:hideMark/>
          </w:tcPr>
          <w:p w14:paraId="3821FEF7"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 </w:t>
            </w:r>
          </w:p>
        </w:tc>
        <w:tc>
          <w:tcPr>
            <w:tcW w:w="889" w:type="dxa"/>
            <w:tcBorders>
              <w:top w:val="nil"/>
              <w:left w:val="nil"/>
              <w:bottom w:val="nil"/>
              <w:right w:val="nil"/>
            </w:tcBorders>
            <w:shd w:val="clear" w:color="000000" w:fill="D6DCE4"/>
            <w:noWrap/>
            <w:vAlign w:val="bottom"/>
            <w:hideMark/>
          </w:tcPr>
          <w:p w14:paraId="0B3F19C2"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1.8</w:t>
            </w:r>
          </w:p>
        </w:tc>
        <w:tc>
          <w:tcPr>
            <w:tcW w:w="1081" w:type="dxa"/>
            <w:tcBorders>
              <w:top w:val="nil"/>
              <w:left w:val="nil"/>
              <w:bottom w:val="nil"/>
              <w:right w:val="nil"/>
            </w:tcBorders>
            <w:shd w:val="clear" w:color="000000" w:fill="D0CECE"/>
            <w:noWrap/>
            <w:vAlign w:val="bottom"/>
            <w:hideMark/>
          </w:tcPr>
          <w:p w14:paraId="0ECBDAA8"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 </w:t>
            </w:r>
          </w:p>
        </w:tc>
        <w:tc>
          <w:tcPr>
            <w:tcW w:w="889" w:type="dxa"/>
            <w:tcBorders>
              <w:top w:val="nil"/>
              <w:left w:val="nil"/>
              <w:bottom w:val="nil"/>
              <w:right w:val="nil"/>
            </w:tcBorders>
            <w:shd w:val="clear" w:color="000000" w:fill="D0CECE"/>
            <w:noWrap/>
            <w:vAlign w:val="bottom"/>
            <w:hideMark/>
          </w:tcPr>
          <w:p w14:paraId="3D9014D5" w14:textId="77777777" w:rsidR="00DB4BB9" w:rsidRPr="00DB4BB9" w:rsidRDefault="00DB4BB9" w:rsidP="00DB4BB9">
            <w:pPr>
              <w:spacing w:after="0" w:line="240" w:lineRule="auto"/>
              <w:jc w:val="center"/>
              <w:rPr>
                <w:rFonts w:ascii="Tahoma" w:eastAsia="Times New Roman" w:hAnsi="Tahoma" w:cs="Tahoma"/>
                <w:color w:val="000000"/>
                <w:kern w:val="0"/>
                <w:sz w:val="24"/>
                <w:szCs w:val="24"/>
                <w:lang w:eastAsia="en-ZW"/>
              </w:rPr>
            </w:pPr>
            <w:r w:rsidRPr="00DB4BB9">
              <w:rPr>
                <w:rFonts w:ascii="Tahoma" w:eastAsia="Times New Roman" w:hAnsi="Tahoma" w:cs="Tahoma"/>
                <w:color w:val="000000"/>
                <w:kern w:val="0"/>
                <w:sz w:val="24"/>
                <w:szCs w:val="24"/>
                <w:lang w:eastAsia="en-ZW"/>
              </w:rPr>
              <w:t>2.5</w:t>
            </w:r>
          </w:p>
        </w:tc>
      </w:tr>
      <w:tr w:rsidR="00DB4BB9" w:rsidRPr="00DB4BB9" w14:paraId="55B5EBEA" w14:textId="77777777" w:rsidTr="00DB4BB9">
        <w:trPr>
          <w:trHeight w:val="288"/>
        </w:trPr>
        <w:tc>
          <w:tcPr>
            <w:tcW w:w="3280" w:type="dxa"/>
            <w:tcBorders>
              <w:top w:val="nil"/>
              <w:left w:val="nil"/>
              <w:bottom w:val="nil"/>
              <w:right w:val="nil"/>
            </w:tcBorders>
            <w:shd w:val="clear" w:color="000000" w:fill="D9E1F2"/>
            <w:noWrap/>
            <w:vAlign w:val="bottom"/>
            <w:hideMark/>
          </w:tcPr>
          <w:p w14:paraId="3D21E18E" w14:textId="77777777" w:rsidR="00DB4BB9" w:rsidRPr="00DB4BB9" w:rsidRDefault="00DB4BB9" w:rsidP="00DB4BB9">
            <w:pPr>
              <w:spacing w:after="0" w:line="240" w:lineRule="auto"/>
              <w:rPr>
                <w:rFonts w:eastAsia="Times New Roman" w:cs="Calibri"/>
                <w:color w:val="000000"/>
                <w:kern w:val="0"/>
                <w:lang w:eastAsia="en-ZW"/>
              </w:rPr>
            </w:pPr>
            <w:r w:rsidRPr="00DB4BB9">
              <w:rPr>
                <w:rFonts w:eastAsia="Times New Roman" w:cs="Calibri"/>
                <w:color w:val="000000"/>
                <w:kern w:val="0"/>
                <w:lang w:eastAsia="en-ZW"/>
              </w:rPr>
              <w:t> </w:t>
            </w:r>
          </w:p>
        </w:tc>
        <w:tc>
          <w:tcPr>
            <w:tcW w:w="1480" w:type="dxa"/>
            <w:tcBorders>
              <w:top w:val="nil"/>
              <w:left w:val="nil"/>
              <w:bottom w:val="nil"/>
              <w:right w:val="nil"/>
            </w:tcBorders>
            <w:shd w:val="clear" w:color="000000" w:fill="D9E1F2"/>
            <w:noWrap/>
            <w:vAlign w:val="bottom"/>
            <w:hideMark/>
          </w:tcPr>
          <w:p w14:paraId="57D6DE6D" w14:textId="77777777" w:rsidR="00DB4BB9" w:rsidRPr="00DB4BB9" w:rsidRDefault="00DB4BB9" w:rsidP="00DB4BB9">
            <w:pPr>
              <w:spacing w:after="0" w:line="240" w:lineRule="auto"/>
              <w:rPr>
                <w:rFonts w:eastAsia="Times New Roman" w:cs="Calibri"/>
                <w:color w:val="000000"/>
                <w:kern w:val="0"/>
                <w:lang w:eastAsia="en-ZW"/>
              </w:rPr>
            </w:pPr>
            <w:r w:rsidRPr="00DB4BB9">
              <w:rPr>
                <w:rFonts w:eastAsia="Times New Roman" w:cs="Calibri"/>
                <w:color w:val="000000"/>
                <w:kern w:val="0"/>
                <w:lang w:eastAsia="en-ZW"/>
              </w:rPr>
              <w:t> </w:t>
            </w:r>
          </w:p>
        </w:tc>
        <w:tc>
          <w:tcPr>
            <w:tcW w:w="1081" w:type="dxa"/>
            <w:tcBorders>
              <w:top w:val="nil"/>
              <w:left w:val="nil"/>
              <w:bottom w:val="nil"/>
              <w:right w:val="nil"/>
            </w:tcBorders>
            <w:shd w:val="clear" w:color="000000" w:fill="D9E1F2"/>
            <w:noWrap/>
            <w:vAlign w:val="bottom"/>
            <w:hideMark/>
          </w:tcPr>
          <w:p w14:paraId="691FCD44" w14:textId="77777777" w:rsidR="00DB4BB9" w:rsidRPr="00DB4BB9" w:rsidRDefault="00DB4BB9" w:rsidP="00DB4BB9">
            <w:pPr>
              <w:spacing w:after="0" w:line="240" w:lineRule="auto"/>
              <w:rPr>
                <w:rFonts w:eastAsia="Times New Roman" w:cs="Calibri"/>
                <w:color w:val="000000"/>
                <w:kern w:val="0"/>
                <w:lang w:eastAsia="en-ZW"/>
              </w:rPr>
            </w:pPr>
            <w:r w:rsidRPr="00DB4BB9">
              <w:rPr>
                <w:rFonts w:eastAsia="Times New Roman" w:cs="Calibri"/>
                <w:color w:val="000000"/>
                <w:kern w:val="0"/>
                <w:lang w:eastAsia="en-ZW"/>
              </w:rPr>
              <w:t> </w:t>
            </w:r>
          </w:p>
        </w:tc>
        <w:tc>
          <w:tcPr>
            <w:tcW w:w="889" w:type="dxa"/>
            <w:tcBorders>
              <w:top w:val="nil"/>
              <w:left w:val="nil"/>
              <w:bottom w:val="nil"/>
              <w:right w:val="nil"/>
            </w:tcBorders>
            <w:shd w:val="clear" w:color="000000" w:fill="D9E1F2"/>
            <w:noWrap/>
            <w:vAlign w:val="bottom"/>
            <w:hideMark/>
          </w:tcPr>
          <w:p w14:paraId="0412A976" w14:textId="77777777" w:rsidR="00DB4BB9" w:rsidRPr="00DB4BB9" w:rsidRDefault="00DB4BB9" w:rsidP="00DB4BB9">
            <w:pPr>
              <w:spacing w:after="0" w:line="240" w:lineRule="auto"/>
              <w:rPr>
                <w:rFonts w:eastAsia="Times New Roman" w:cs="Calibri"/>
                <w:color w:val="000000"/>
                <w:kern w:val="0"/>
                <w:lang w:eastAsia="en-ZW"/>
              </w:rPr>
            </w:pPr>
            <w:r w:rsidRPr="00DB4BB9">
              <w:rPr>
                <w:rFonts w:eastAsia="Times New Roman" w:cs="Calibri"/>
                <w:color w:val="000000"/>
                <w:kern w:val="0"/>
                <w:lang w:eastAsia="en-ZW"/>
              </w:rPr>
              <w:t> </w:t>
            </w:r>
          </w:p>
        </w:tc>
        <w:tc>
          <w:tcPr>
            <w:tcW w:w="1081" w:type="dxa"/>
            <w:tcBorders>
              <w:top w:val="nil"/>
              <w:left w:val="nil"/>
              <w:bottom w:val="nil"/>
              <w:right w:val="nil"/>
            </w:tcBorders>
            <w:shd w:val="clear" w:color="000000" w:fill="D9E1F2"/>
            <w:noWrap/>
            <w:vAlign w:val="bottom"/>
            <w:hideMark/>
          </w:tcPr>
          <w:p w14:paraId="5AFBBBBA" w14:textId="77777777" w:rsidR="00DB4BB9" w:rsidRPr="00DB4BB9" w:rsidRDefault="00DB4BB9" w:rsidP="00DB4BB9">
            <w:pPr>
              <w:spacing w:after="0" w:line="240" w:lineRule="auto"/>
              <w:rPr>
                <w:rFonts w:eastAsia="Times New Roman" w:cs="Calibri"/>
                <w:color w:val="000000"/>
                <w:kern w:val="0"/>
                <w:lang w:eastAsia="en-ZW"/>
              </w:rPr>
            </w:pPr>
            <w:r w:rsidRPr="00DB4BB9">
              <w:rPr>
                <w:rFonts w:eastAsia="Times New Roman" w:cs="Calibri"/>
                <w:color w:val="000000"/>
                <w:kern w:val="0"/>
                <w:lang w:eastAsia="en-ZW"/>
              </w:rPr>
              <w:t> </w:t>
            </w:r>
          </w:p>
        </w:tc>
        <w:tc>
          <w:tcPr>
            <w:tcW w:w="889" w:type="dxa"/>
            <w:tcBorders>
              <w:top w:val="nil"/>
              <w:left w:val="nil"/>
              <w:bottom w:val="nil"/>
              <w:right w:val="nil"/>
            </w:tcBorders>
            <w:shd w:val="clear" w:color="000000" w:fill="D9E1F2"/>
            <w:noWrap/>
            <w:vAlign w:val="bottom"/>
            <w:hideMark/>
          </w:tcPr>
          <w:p w14:paraId="065DC0B1" w14:textId="77777777" w:rsidR="00DB4BB9" w:rsidRPr="00DB4BB9" w:rsidRDefault="00DB4BB9" w:rsidP="00DB4BB9">
            <w:pPr>
              <w:spacing w:after="0" w:line="240" w:lineRule="auto"/>
              <w:rPr>
                <w:rFonts w:eastAsia="Times New Roman" w:cs="Calibri"/>
                <w:color w:val="000000"/>
                <w:kern w:val="0"/>
                <w:lang w:eastAsia="en-ZW"/>
              </w:rPr>
            </w:pPr>
            <w:r w:rsidRPr="00DB4BB9">
              <w:rPr>
                <w:rFonts w:eastAsia="Times New Roman" w:cs="Calibri"/>
                <w:color w:val="000000"/>
                <w:kern w:val="0"/>
                <w:lang w:eastAsia="en-ZW"/>
              </w:rPr>
              <w:t> </w:t>
            </w:r>
          </w:p>
        </w:tc>
      </w:tr>
    </w:tbl>
    <w:p w14:paraId="3F2850E4" w14:textId="77777777" w:rsidR="00D60E8F" w:rsidRPr="00D60E8F" w:rsidRDefault="00D60E8F" w:rsidP="0009768B">
      <w:pPr>
        <w:pStyle w:val="Caption"/>
        <w:spacing w:after="0"/>
        <w:rPr>
          <w:i w:val="0"/>
          <w:lang w:val="en-US"/>
        </w:rPr>
      </w:pPr>
    </w:p>
    <w:p w14:paraId="08B40F5A" w14:textId="298CC05A" w:rsidR="00E36CF6" w:rsidRPr="00863A17" w:rsidRDefault="00E31148" w:rsidP="00F05BD5">
      <w:pPr>
        <w:rPr>
          <w:rFonts w:ascii="Tahoma" w:hAnsi="Tahoma" w:cs="Tahoma"/>
          <w:i/>
          <w:sz w:val="24"/>
          <w:szCs w:val="24"/>
        </w:rPr>
      </w:pPr>
      <w:r w:rsidRPr="00863A17">
        <w:rPr>
          <w:rFonts w:ascii="Tahoma" w:hAnsi="Tahoma" w:cs="Tahoma"/>
          <w:i/>
          <w:sz w:val="24"/>
          <w:szCs w:val="24"/>
          <w:lang w:val="en-US"/>
        </w:rPr>
        <w:t>Source</w:t>
      </w:r>
      <w:r w:rsidR="005C05AB">
        <w:rPr>
          <w:rFonts w:ascii="Tahoma" w:hAnsi="Tahoma" w:cs="Tahoma"/>
          <w:i/>
          <w:sz w:val="24"/>
          <w:szCs w:val="24"/>
          <w:lang w:val="en-US"/>
        </w:rPr>
        <w:t>s</w:t>
      </w:r>
      <w:r w:rsidRPr="00863A17">
        <w:rPr>
          <w:rFonts w:ascii="Tahoma" w:hAnsi="Tahoma" w:cs="Tahoma"/>
          <w:i/>
          <w:sz w:val="24"/>
          <w:szCs w:val="24"/>
          <w:lang w:val="en-US"/>
        </w:rPr>
        <w:t xml:space="preserve">: </w:t>
      </w:r>
      <w:r w:rsidR="00FC73FE">
        <w:rPr>
          <w:rFonts w:ascii="Tahoma" w:hAnsi="Tahoma" w:cs="Tahoma"/>
          <w:i/>
          <w:sz w:val="24"/>
          <w:szCs w:val="24"/>
          <w:lang w:val="en-US"/>
        </w:rPr>
        <w:t xml:space="preserve">IMF, WEO July 2024 </w:t>
      </w:r>
      <w:r w:rsidR="00F02064">
        <w:rPr>
          <w:rFonts w:ascii="Tahoma" w:hAnsi="Tahoma" w:cs="Tahoma"/>
          <w:i/>
          <w:sz w:val="24"/>
          <w:szCs w:val="24"/>
          <w:lang w:val="en-US"/>
        </w:rPr>
        <w:t>U</w:t>
      </w:r>
      <w:r w:rsidR="00FC73FE">
        <w:rPr>
          <w:rFonts w:ascii="Tahoma" w:hAnsi="Tahoma" w:cs="Tahoma"/>
          <w:i/>
          <w:sz w:val="24"/>
          <w:szCs w:val="24"/>
          <w:lang w:val="en-US"/>
        </w:rPr>
        <w:t xml:space="preserve">pdate and </w:t>
      </w:r>
      <w:r w:rsidR="00DB4BB9">
        <w:rPr>
          <w:rFonts w:ascii="Tahoma" w:hAnsi="Tahoma" w:cs="Tahoma"/>
          <w:i/>
          <w:sz w:val="24"/>
          <w:szCs w:val="24"/>
          <w:lang w:val="en-US"/>
        </w:rPr>
        <w:t>United Nations, World Economic Situation and Prospects</w:t>
      </w:r>
      <w:r w:rsidR="00F02064">
        <w:rPr>
          <w:rFonts w:ascii="Tahoma" w:hAnsi="Tahoma" w:cs="Tahoma"/>
          <w:i/>
          <w:sz w:val="24"/>
          <w:szCs w:val="24"/>
          <w:lang w:val="en-US"/>
        </w:rPr>
        <w:t xml:space="preserve"> (WESP)</w:t>
      </w:r>
      <w:r w:rsidR="00DB4BB9">
        <w:rPr>
          <w:rFonts w:ascii="Tahoma" w:hAnsi="Tahoma" w:cs="Tahoma"/>
          <w:i/>
          <w:sz w:val="24"/>
          <w:szCs w:val="24"/>
          <w:lang w:val="en-US"/>
        </w:rPr>
        <w:t>, September 2024</w:t>
      </w:r>
      <w:r w:rsidR="00F02064">
        <w:rPr>
          <w:rFonts w:ascii="Tahoma" w:hAnsi="Tahoma" w:cs="Tahoma"/>
          <w:i/>
          <w:sz w:val="24"/>
          <w:szCs w:val="24"/>
          <w:lang w:val="en-US"/>
        </w:rPr>
        <w:t xml:space="preserve"> Update</w:t>
      </w:r>
    </w:p>
    <w:p w14:paraId="7EBD9EF9" w14:textId="0AA1382C" w:rsidR="00A521E9" w:rsidRPr="00863A17" w:rsidRDefault="004F680D" w:rsidP="0009768B">
      <w:pPr>
        <w:spacing w:before="240"/>
        <w:ind w:left="720" w:hanging="720"/>
        <w:jc w:val="both"/>
        <w:rPr>
          <w:rFonts w:ascii="Tahoma" w:hAnsi="Tahoma" w:cs="Tahoma"/>
          <w:sz w:val="24"/>
          <w:szCs w:val="24"/>
          <w:lang w:val="en-US"/>
        </w:rPr>
      </w:pPr>
      <w:r w:rsidRPr="00863A17">
        <w:rPr>
          <w:rFonts w:ascii="Tahoma" w:hAnsi="Tahoma" w:cs="Tahoma"/>
          <w:sz w:val="24"/>
          <w:szCs w:val="24"/>
          <w:lang w:val="en-US"/>
        </w:rPr>
        <w:t>1.1.</w:t>
      </w:r>
      <w:r w:rsidR="00F02064">
        <w:rPr>
          <w:rFonts w:ascii="Tahoma" w:hAnsi="Tahoma" w:cs="Tahoma"/>
          <w:sz w:val="24"/>
          <w:szCs w:val="24"/>
          <w:lang w:val="en-US"/>
        </w:rPr>
        <w:t>3</w:t>
      </w:r>
      <w:r w:rsidRPr="00863A17">
        <w:rPr>
          <w:rFonts w:ascii="Tahoma" w:hAnsi="Tahoma" w:cs="Tahoma"/>
          <w:sz w:val="24"/>
          <w:szCs w:val="24"/>
          <w:lang w:val="en-US"/>
        </w:rPr>
        <w:tab/>
      </w:r>
      <w:r w:rsidR="00F02064">
        <w:rPr>
          <w:rFonts w:ascii="Tahoma" w:hAnsi="Tahoma" w:cs="Tahoma"/>
          <w:sz w:val="24"/>
          <w:szCs w:val="24"/>
          <w:lang w:val="en-US"/>
        </w:rPr>
        <w:t xml:space="preserve">In Southern Africa, a 1.8% growth rate is expected in 2024 and expected to pick up to 2.5% in 2025. </w:t>
      </w:r>
      <w:r w:rsidR="00F02064" w:rsidRPr="00F02064">
        <w:rPr>
          <w:rFonts w:ascii="Tahoma" w:hAnsi="Tahoma" w:cs="Tahoma"/>
          <w:sz w:val="24"/>
          <w:szCs w:val="24"/>
        </w:rPr>
        <w:t xml:space="preserve">The global and regional growth have a huge impact in shaping Zimbabwe economic growth prospects.  </w:t>
      </w:r>
    </w:p>
    <w:p w14:paraId="4B88A7E6" w14:textId="77777777" w:rsidR="007A3E1D" w:rsidRPr="00863A17" w:rsidRDefault="004F680D" w:rsidP="00BC5A90">
      <w:pPr>
        <w:pStyle w:val="Heading2"/>
        <w:spacing w:before="0" w:after="240" w:line="240" w:lineRule="auto"/>
        <w:rPr>
          <w:rFonts w:cs="Tahoma"/>
          <w:b/>
          <w:color w:val="000000"/>
          <w:szCs w:val="24"/>
          <w:lang w:val="en-US"/>
        </w:rPr>
      </w:pPr>
      <w:bookmarkStart w:id="12" w:name="_Toc166607891"/>
      <w:bookmarkStart w:id="13" w:name="_Toc181022179"/>
      <w:r w:rsidRPr="00863A17">
        <w:rPr>
          <w:rFonts w:cs="Tahoma"/>
          <w:b/>
          <w:color w:val="000000"/>
          <w:szCs w:val="24"/>
          <w:lang w:val="en-US"/>
        </w:rPr>
        <w:t>1.2</w:t>
      </w:r>
      <w:r w:rsidRPr="00863A17">
        <w:rPr>
          <w:rFonts w:cs="Tahoma"/>
          <w:b/>
          <w:color w:val="000000"/>
          <w:szCs w:val="24"/>
          <w:lang w:val="en-US"/>
        </w:rPr>
        <w:tab/>
      </w:r>
      <w:r w:rsidR="007A3E1D" w:rsidRPr="00863A17">
        <w:rPr>
          <w:rFonts w:cs="Tahoma"/>
          <w:b/>
          <w:color w:val="000000"/>
          <w:szCs w:val="24"/>
          <w:lang w:val="en-US"/>
        </w:rPr>
        <w:t>Global Inflation Developments</w:t>
      </w:r>
      <w:bookmarkEnd w:id="12"/>
      <w:bookmarkEnd w:id="13"/>
      <w:r w:rsidR="007A3E1D" w:rsidRPr="00863A17">
        <w:rPr>
          <w:rFonts w:cs="Tahoma"/>
          <w:b/>
          <w:color w:val="000000"/>
          <w:szCs w:val="24"/>
          <w:lang w:val="en-US"/>
        </w:rPr>
        <w:t xml:space="preserve"> </w:t>
      </w:r>
    </w:p>
    <w:p w14:paraId="549DFCB1" w14:textId="7CFFE684" w:rsidR="00A741D6" w:rsidRDefault="004F680D" w:rsidP="00B32FF3">
      <w:pPr>
        <w:ind w:left="720" w:hanging="720"/>
        <w:jc w:val="both"/>
        <w:rPr>
          <w:rFonts w:ascii="Tahoma" w:hAnsi="Tahoma" w:cs="Tahoma"/>
          <w:sz w:val="24"/>
          <w:szCs w:val="24"/>
          <w:lang w:val="en-US"/>
        </w:rPr>
      </w:pPr>
      <w:r w:rsidRPr="00863A17">
        <w:rPr>
          <w:rFonts w:ascii="Tahoma" w:hAnsi="Tahoma" w:cs="Tahoma"/>
          <w:sz w:val="24"/>
          <w:szCs w:val="24"/>
          <w:lang w:val="en-US"/>
        </w:rPr>
        <w:t>1.2.1</w:t>
      </w:r>
      <w:r w:rsidRPr="00863A17">
        <w:rPr>
          <w:rFonts w:ascii="Tahoma" w:hAnsi="Tahoma" w:cs="Tahoma"/>
          <w:sz w:val="24"/>
          <w:szCs w:val="24"/>
          <w:lang w:val="en-US"/>
        </w:rPr>
        <w:tab/>
      </w:r>
      <w:r w:rsidR="00DC7AC6">
        <w:rPr>
          <w:rFonts w:ascii="Tahoma" w:hAnsi="Tahoma" w:cs="Tahoma"/>
          <w:sz w:val="24"/>
          <w:szCs w:val="24"/>
          <w:lang w:val="en-US"/>
        </w:rPr>
        <w:t>According to the United Nations WESP September 2024</w:t>
      </w:r>
      <w:r w:rsidR="00F02064">
        <w:rPr>
          <w:rFonts w:ascii="Tahoma" w:hAnsi="Tahoma" w:cs="Tahoma"/>
          <w:sz w:val="24"/>
          <w:szCs w:val="24"/>
          <w:lang w:val="en-US"/>
        </w:rPr>
        <w:t xml:space="preserve"> Update</w:t>
      </w:r>
      <w:r w:rsidR="00DC7AC6">
        <w:rPr>
          <w:rFonts w:ascii="Tahoma" w:hAnsi="Tahoma" w:cs="Tahoma"/>
          <w:sz w:val="24"/>
          <w:szCs w:val="24"/>
          <w:lang w:val="en-US"/>
        </w:rPr>
        <w:t xml:space="preserve">, in many developed countries, inflation is gradually approaching the respective central bank’s target rate </w:t>
      </w:r>
      <w:r w:rsidR="00D87988">
        <w:rPr>
          <w:rFonts w:ascii="Tahoma" w:hAnsi="Tahoma" w:cs="Tahoma"/>
          <w:sz w:val="24"/>
          <w:szCs w:val="24"/>
          <w:lang w:val="en-US"/>
        </w:rPr>
        <w:t>and</w:t>
      </w:r>
      <w:r w:rsidR="00DC7AC6">
        <w:rPr>
          <w:rFonts w:ascii="Tahoma" w:hAnsi="Tahoma" w:cs="Tahoma"/>
          <w:sz w:val="24"/>
          <w:szCs w:val="24"/>
          <w:lang w:val="en-US"/>
        </w:rPr>
        <w:t xml:space="preserve"> in developing economies, it has also fallen but generally remains higher than in developed economies.</w:t>
      </w:r>
    </w:p>
    <w:p w14:paraId="3F00B8EF" w14:textId="23F1496C" w:rsidR="00F02064" w:rsidRDefault="00B32FF3" w:rsidP="00B32FF3">
      <w:pPr>
        <w:ind w:left="720" w:hanging="720"/>
        <w:jc w:val="both"/>
        <w:rPr>
          <w:rFonts w:ascii="Tahoma" w:hAnsi="Tahoma" w:cs="Tahoma"/>
          <w:sz w:val="24"/>
          <w:szCs w:val="24"/>
          <w:lang w:val="en-US"/>
        </w:rPr>
      </w:pPr>
      <w:r>
        <w:rPr>
          <w:rFonts w:ascii="Tahoma" w:hAnsi="Tahoma" w:cs="Tahoma"/>
          <w:sz w:val="24"/>
          <w:szCs w:val="24"/>
          <w:lang w:val="en-US"/>
        </w:rPr>
        <w:t>1.2.2</w:t>
      </w:r>
      <w:r>
        <w:rPr>
          <w:rFonts w:ascii="Tahoma" w:hAnsi="Tahoma" w:cs="Tahoma"/>
          <w:sz w:val="24"/>
          <w:szCs w:val="24"/>
          <w:lang w:val="en-US"/>
        </w:rPr>
        <w:tab/>
      </w:r>
      <w:r w:rsidR="00D87988">
        <w:rPr>
          <w:rFonts w:ascii="Tahoma" w:hAnsi="Tahoma" w:cs="Tahoma"/>
          <w:sz w:val="24"/>
          <w:szCs w:val="24"/>
          <w:lang w:val="en-US"/>
        </w:rPr>
        <w:t xml:space="preserve">Global inflation is forecasted to moderate further in 2025 despite the prevailing upside risks such as geopolitical tensions and extreme weather events which threaten to disrupt shipping routes, </w:t>
      </w:r>
      <w:proofErr w:type="gramStart"/>
      <w:r w:rsidR="00D87988">
        <w:rPr>
          <w:rFonts w:ascii="Tahoma" w:hAnsi="Tahoma" w:cs="Tahoma"/>
          <w:sz w:val="24"/>
          <w:szCs w:val="24"/>
          <w:lang w:val="en-US"/>
        </w:rPr>
        <w:t>raising</w:t>
      </w:r>
      <w:proofErr w:type="gramEnd"/>
      <w:r w:rsidR="00D87988">
        <w:rPr>
          <w:rFonts w:ascii="Tahoma" w:hAnsi="Tahoma" w:cs="Tahoma"/>
          <w:sz w:val="24"/>
          <w:szCs w:val="24"/>
          <w:lang w:val="en-US"/>
        </w:rPr>
        <w:t xml:space="preserve"> freight costs and exerting upward </w:t>
      </w:r>
      <w:r w:rsidR="00D87988">
        <w:rPr>
          <w:rFonts w:ascii="Tahoma" w:hAnsi="Tahoma" w:cs="Tahoma"/>
          <w:sz w:val="24"/>
          <w:szCs w:val="24"/>
          <w:lang w:val="en-US"/>
        </w:rPr>
        <w:lastRenderedPageBreak/>
        <w:t>pressure on commodity prices.</w:t>
      </w:r>
      <w:r w:rsidR="0075234A">
        <w:rPr>
          <w:rFonts w:ascii="Tahoma" w:hAnsi="Tahoma" w:cs="Tahoma"/>
          <w:sz w:val="24"/>
          <w:szCs w:val="24"/>
          <w:lang w:val="en-US"/>
        </w:rPr>
        <w:t xml:space="preserve"> </w:t>
      </w:r>
      <w:r w:rsidR="00F02064">
        <w:rPr>
          <w:rFonts w:ascii="Tahoma" w:hAnsi="Tahoma" w:cs="Tahoma"/>
          <w:sz w:val="24"/>
          <w:szCs w:val="24"/>
          <w:lang w:val="en-US"/>
        </w:rPr>
        <w:t>This is in tandem with IMF projections which see g</w:t>
      </w:r>
      <w:r w:rsidR="00F02064" w:rsidRPr="00F02064">
        <w:rPr>
          <w:rFonts w:ascii="Tahoma" w:hAnsi="Tahoma" w:cs="Tahoma"/>
          <w:sz w:val="24"/>
          <w:szCs w:val="24"/>
          <w:lang w:val="en-US"/>
        </w:rPr>
        <w:t xml:space="preserve">lobal inflation </w:t>
      </w:r>
      <w:r w:rsidR="00F02064">
        <w:rPr>
          <w:rFonts w:ascii="Tahoma" w:hAnsi="Tahoma" w:cs="Tahoma"/>
          <w:sz w:val="24"/>
          <w:szCs w:val="24"/>
          <w:lang w:val="en-US"/>
        </w:rPr>
        <w:t>slowing down</w:t>
      </w:r>
      <w:r w:rsidR="00F02064" w:rsidRPr="00F02064">
        <w:rPr>
          <w:rFonts w:ascii="Tahoma" w:hAnsi="Tahoma" w:cs="Tahoma"/>
          <w:sz w:val="24"/>
          <w:szCs w:val="24"/>
          <w:lang w:val="en-US"/>
        </w:rPr>
        <w:t xml:space="preserve"> to 4.5% in 2025</w:t>
      </w:r>
      <w:r w:rsidR="00F02064">
        <w:rPr>
          <w:rFonts w:ascii="Tahoma" w:hAnsi="Tahoma" w:cs="Tahoma"/>
          <w:sz w:val="24"/>
          <w:szCs w:val="24"/>
          <w:lang w:val="en-US"/>
        </w:rPr>
        <w:t xml:space="preserve">. </w:t>
      </w:r>
    </w:p>
    <w:p w14:paraId="4BF3FFD8" w14:textId="7A9A7F3C" w:rsidR="006A6773" w:rsidRPr="00863A17" w:rsidRDefault="002121D9" w:rsidP="00B32FF3">
      <w:pPr>
        <w:ind w:left="720" w:hanging="720"/>
        <w:jc w:val="both"/>
        <w:rPr>
          <w:rFonts w:ascii="Tahoma" w:hAnsi="Tahoma" w:cs="Tahoma"/>
          <w:sz w:val="24"/>
          <w:szCs w:val="24"/>
          <w:lang w:val="en-US"/>
        </w:rPr>
      </w:pPr>
      <w:r>
        <w:rPr>
          <w:rFonts w:ascii="Tahoma" w:hAnsi="Tahoma" w:cs="Tahoma"/>
          <w:sz w:val="24"/>
          <w:szCs w:val="24"/>
          <w:lang w:val="en-US"/>
        </w:rPr>
        <w:t>1.2.3</w:t>
      </w:r>
      <w:r>
        <w:rPr>
          <w:rFonts w:ascii="Tahoma" w:hAnsi="Tahoma" w:cs="Tahoma"/>
          <w:sz w:val="24"/>
          <w:szCs w:val="24"/>
          <w:lang w:val="en-US"/>
        </w:rPr>
        <w:tab/>
        <w:t xml:space="preserve">These global inflation projections are a boon for </w:t>
      </w:r>
      <w:r w:rsidR="0045689A">
        <w:rPr>
          <w:rFonts w:ascii="Tahoma" w:hAnsi="Tahoma" w:cs="Tahoma"/>
          <w:sz w:val="24"/>
          <w:szCs w:val="24"/>
          <w:lang w:val="en-US"/>
        </w:rPr>
        <w:t>Zimbabwe being</w:t>
      </w:r>
      <w:r w:rsidR="00FB01B7">
        <w:rPr>
          <w:rFonts w:ascii="Tahoma" w:hAnsi="Tahoma" w:cs="Tahoma"/>
          <w:sz w:val="24"/>
          <w:szCs w:val="24"/>
          <w:lang w:val="en-US"/>
        </w:rPr>
        <w:t xml:space="preserve"> an</w:t>
      </w:r>
      <w:r w:rsidR="0045689A">
        <w:rPr>
          <w:rFonts w:ascii="Tahoma" w:hAnsi="Tahoma" w:cs="Tahoma"/>
          <w:sz w:val="24"/>
          <w:szCs w:val="24"/>
          <w:lang w:val="en-US"/>
        </w:rPr>
        <w:t xml:space="preserve"> import-reliant economy, </w:t>
      </w:r>
      <w:r>
        <w:rPr>
          <w:rFonts w:ascii="Tahoma" w:hAnsi="Tahoma" w:cs="Tahoma"/>
          <w:sz w:val="24"/>
          <w:szCs w:val="24"/>
          <w:lang w:val="en-US"/>
        </w:rPr>
        <w:t xml:space="preserve">as this has a positive effect on controlling imported inflation. </w:t>
      </w:r>
      <w:r w:rsidR="0045689A">
        <w:rPr>
          <w:rFonts w:ascii="Tahoma" w:hAnsi="Tahoma" w:cs="Tahoma"/>
          <w:sz w:val="24"/>
          <w:szCs w:val="24"/>
          <w:lang w:val="en-US"/>
        </w:rPr>
        <w:t xml:space="preserve"> </w:t>
      </w:r>
    </w:p>
    <w:p w14:paraId="6AAAF0BC" w14:textId="77777777" w:rsidR="005B02E0" w:rsidRDefault="005B02E0" w:rsidP="00123F0C">
      <w:pPr>
        <w:pStyle w:val="ListofFigures"/>
        <w:spacing w:after="0"/>
      </w:pPr>
      <w:bookmarkStart w:id="14" w:name="_Toc166608987"/>
    </w:p>
    <w:p w14:paraId="3AE25262" w14:textId="77777777" w:rsidR="00BB6E27" w:rsidRPr="00546CD8" w:rsidRDefault="004F680D" w:rsidP="00F05BD5">
      <w:pPr>
        <w:pStyle w:val="Heading2"/>
        <w:spacing w:before="0" w:after="240"/>
        <w:rPr>
          <w:b/>
          <w:bCs/>
          <w:lang w:val="en-US"/>
        </w:rPr>
      </w:pPr>
      <w:bookmarkStart w:id="15" w:name="_Toc166607892"/>
      <w:bookmarkStart w:id="16" w:name="_Toc181022180"/>
      <w:bookmarkEnd w:id="14"/>
      <w:r w:rsidRPr="00546CD8">
        <w:rPr>
          <w:b/>
          <w:bCs/>
          <w:lang w:val="en-US"/>
        </w:rPr>
        <w:t>2.0</w:t>
      </w:r>
      <w:r w:rsidRPr="00546CD8">
        <w:rPr>
          <w:b/>
          <w:bCs/>
          <w:lang w:val="en-US"/>
        </w:rPr>
        <w:tab/>
      </w:r>
      <w:r w:rsidR="00EF37FE" w:rsidRPr="00546CD8">
        <w:rPr>
          <w:b/>
          <w:bCs/>
          <w:lang w:val="en-US"/>
        </w:rPr>
        <w:t>International Commodity Prices</w:t>
      </w:r>
      <w:bookmarkEnd w:id="15"/>
      <w:bookmarkEnd w:id="16"/>
      <w:r w:rsidR="00EF37FE" w:rsidRPr="00546CD8">
        <w:rPr>
          <w:b/>
          <w:bCs/>
          <w:lang w:val="en-US"/>
        </w:rPr>
        <w:t xml:space="preserve"> </w:t>
      </w:r>
    </w:p>
    <w:p w14:paraId="177F5DA2" w14:textId="77777777" w:rsidR="00E63C0D" w:rsidRPr="00863A17" w:rsidRDefault="004F680D" w:rsidP="0047159F">
      <w:pPr>
        <w:ind w:left="720" w:hanging="720"/>
        <w:jc w:val="both"/>
        <w:rPr>
          <w:rFonts w:ascii="Tahoma" w:hAnsi="Tahoma" w:cs="Tahoma"/>
          <w:sz w:val="24"/>
          <w:szCs w:val="24"/>
          <w:lang w:val="en-US"/>
        </w:rPr>
      </w:pPr>
      <w:r w:rsidRPr="00863A17">
        <w:rPr>
          <w:rFonts w:ascii="Tahoma" w:hAnsi="Tahoma" w:cs="Tahoma"/>
          <w:sz w:val="24"/>
          <w:szCs w:val="24"/>
          <w:lang w:val="en-US"/>
        </w:rPr>
        <w:t>2.1</w:t>
      </w:r>
      <w:r w:rsidRPr="00863A17">
        <w:rPr>
          <w:rFonts w:ascii="Tahoma" w:hAnsi="Tahoma" w:cs="Tahoma"/>
          <w:sz w:val="24"/>
          <w:szCs w:val="24"/>
          <w:lang w:val="en-US"/>
        </w:rPr>
        <w:tab/>
      </w:r>
      <w:r w:rsidR="0008784D">
        <w:rPr>
          <w:rFonts w:ascii="Tahoma" w:hAnsi="Tahoma" w:cs="Tahoma"/>
          <w:sz w:val="24"/>
          <w:szCs w:val="24"/>
          <w:lang w:val="en-US"/>
        </w:rPr>
        <w:t>During the month under review, all</w:t>
      </w:r>
      <w:r w:rsidR="00B32FF3">
        <w:rPr>
          <w:rFonts w:ascii="Tahoma" w:hAnsi="Tahoma" w:cs="Tahoma"/>
          <w:sz w:val="24"/>
          <w:szCs w:val="24"/>
          <w:lang w:val="en-US"/>
        </w:rPr>
        <w:t xml:space="preserve"> selected </w:t>
      </w:r>
      <w:r w:rsidR="00BC4213">
        <w:rPr>
          <w:rFonts w:ascii="Tahoma" w:hAnsi="Tahoma" w:cs="Tahoma"/>
          <w:sz w:val="24"/>
          <w:szCs w:val="24"/>
          <w:lang w:val="en-US"/>
        </w:rPr>
        <w:t>commodit</w:t>
      </w:r>
      <w:r w:rsidR="0008784D">
        <w:rPr>
          <w:rFonts w:ascii="Tahoma" w:hAnsi="Tahoma" w:cs="Tahoma"/>
          <w:sz w:val="24"/>
          <w:szCs w:val="24"/>
          <w:lang w:val="en-US"/>
        </w:rPr>
        <w:t>ies recorded</w:t>
      </w:r>
      <w:r w:rsidR="00AB665D" w:rsidRPr="00863A17">
        <w:rPr>
          <w:rFonts w:ascii="Tahoma" w:hAnsi="Tahoma" w:cs="Tahoma"/>
          <w:sz w:val="24"/>
          <w:szCs w:val="24"/>
          <w:lang w:val="en-US"/>
        </w:rPr>
        <w:t xml:space="preserve"> a</w:t>
      </w:r>
      <w:r w:rsidR="00B32FF3">
        <w:rPr>
          <w:rFonts w:ascii="Tahoma" w:hAnsi="Tahoma" w:cs="Tahoma"/>
          <w:sz w:val="24"/>
          <w:szCs w:val="24"/>
          <w:lang w:val="en-US"/>
        </w:rPr>
        <w:t>n upward</w:t>
      </w:r>
      <w:r w:rsidR="007829BA">
        <w:rPr>
          <w:rFonts w:ascii="Tahoma" w:hAnsi="Tahoma" w:cs="Tahoma"/>
          <w:sz w:val="24"/>
          <w:szCs w:val="24"/>
          <w:lang w:val="en-US"/>
        </w:rPr>
        <w:t xml:space="preserve"> </w:t>
      </w:r>
      <w:r w:rsidR="0008784D">
        <w:rPr>
          <w:rFonts w:ascii="Tahoma" w:hAnsi="Tahoma" w:cs="Tahoma"/>
          <w:sz w:val="24"/>
          <w:szCs w:val="24"/>
          <w:lang w:val="en-US"/>
        </w:rPr>
        <w:t xml:space="preserve">price </w:t>
      </w:r>
      <w:r w:rsidR="007829BA">
        <w:rPr>
          <w:rFonts w:ascii="Tahoma" w:hAnsi="Tahoma" w:cs="Tahoma"/>
          <w:sz w:val="24"/>
          <w:szCs w:val="24"/>
          <w:lang w:val="en-US"/>
        </w:rPr>
        <w:t>trend</w:t>
      </w:r>
      <w:r w:rsidR="008B12BC">
        <w:rPr>
          <w:rFonts w:ascii="Tahoma" w:hAnsi="Tahoma" w:cs="Tahoma"/>
          <w:sz w:val="24"/>
          <w:szCs w:val="24"/>
          <w:lang w:val="en-US"/>
        </w:rPr>
        <w:t xml:space="preserve"> </w:t>
      </w:r>
      <w:r w:rsidR="00BC4213">
        <w:rPr>
          <w:rFonts w:ascii="Tahoma" w:hAnsi="Tahoma" w:cs="Tahoma"/>
          <w:sz w:val="24"/>
          <w:szCs w:val="24"/>
          <w:lang w:val="en-US"/>
        </w:rPr>
        <w:t>(see Table 2).</w:t>
      </w:r>
      <w:r w:rsidR="00370049">
        <w:rPr>
          <w:rFonts w:ascii="Tahoma" w:hAnsi="Tahoma" w:cs="Tahoma"/>
          <w:sz w:val="24"/>
          <w:szCs w:val="24"/>
          <w:lang w:val="en-US"/>
        </w:rPr>
        <w:t xml:space="preserve"> </w:t>
      </w:r>
    </w:p>
    <w:p w14:paraId="0C37D623" w14:textId="77777777" w:rsidR="00BC4213" w:rsidRPr="00E63C0D" w:rsidRDefault="004F680D" w:rsidP="00437A2F">
      <w:pPr>
        <w:ind w:left="720" w:hanging="720"/>
        <w:jc w:val="both"/>
        <w:rPr>
          <w:rFonts w:ascii="Tahoma" w:hAnsi="Tahoma" w:cs="Tahoma"/>
          <w:sz w:val="24"/>
          <w:szCs w:val="24"/>
          <w:lang w:val="en-US"/>
        </w:rPr>
      </w:pPr>
      <w:r w:rsidRPr="00863A17">
        <w:rPr>
          <w:rFonts w:ascii="Tahoma" w:hAnsi="Tahoma" w:cs="Tahoma"/>
          <w:sz w:val="24"/>
          <w:szCs w:val="24"/>
          <w:lang w:val="en-US"/>
        </w:rPr>
        <w:t>2.2</w:t>
      </w:r>
      <w:r w:rsidRPr="00863A17">
        <w:rPr>
          <w:rFonts w:ascii="Tahoma" w:hAnsi="Tahoma" w:cs="Tahoma"/>
          <w:sz w:val="24"/>
          <w:szCs w:val="24"/>
          <w:lang w:val="en-US"/>
        </w:rPr>
        <w:tab/>
      </w:r>
      <w:r w:rsidR="00AB665D" w:rsidRPr="000C29DA">
        <w:rPr>
          <w:rFonts w:ascii="Tahoma" w:hAnsi="Tahoma" w:cs="Tahoma"/>
          <w:sz w:val="24"/>
          <w:szCs w:val="24"/>
          <w:lang w:val="en-US"/>
        </w:rPr>
        <w:t xml:space="preserve">On a </w:t>
      </w:r>
      <w:r w:rsidR="00E54A43" w:rsidRPr="000C29DA">
        <w:rPr>
          <w:rFonts w:ascii="Tahoma" w:hAnsi="Tahoma" w:cs="Tahoma"/>
          <w:sz w:val="24"/>
          <w:szCs w:val="24"/>
          <w:lang w:val="en-US"/>
        </w:rPr>
        <w:t>year-to-date</w:t>
      </w:r>
      <w:r w:rsidR="00AB665D" w:rsidRPr="000C29DA">
        <w:rPr>
          <w:rFonts w:ascii="Tahoma" w:hAnsi="Tahoma" w:cs="Tahoma"/>
          <w:sz w:val="24"/>
          <w:szCs w:val="24"/>
          <w:lang w:val="en-US"/>
        </w:rPr>
        <w:t xml:space="preserve"> basis (YtD)</w:t>
      </w:r>
      <w:r w:rsidR="00E63C0D">
        <w:rPr>
          <w:rFonts w:ascii="Tahoma" w:hAnsi="Tahoma" w:cs="Tahoma"/>
          <w:sz w:val="24"/>
          <w:szCs w:val="24"/>
          <w:lang w:val="en-US"/>
        </w:rPr>
        <w:t xml:space="preserve"> basis, </w:t>
      </w:r>
      <w:r w:rsidR="00F233ED">
        <w:rPr>
          <w:rFonts w:ascii="Tahoma" w:hAnsi="Tahoma" w:cs="Tahoma"/>
          <w:sz w:val="24"/>
          <w:szCs w:val="24"/>
          <w:lang w:val="en-US"/>
        </w:rPr>
        <w:t xml:space="preserve">natural gas, aluminum, copper, nickel, and </w:t>
      </w:r>
      <w:r w:rsidR="00A51547">
        <w:rPr>
          <w:rFonts w:ascii="Tahoma" w:hAnsi="Tahoma" w:cs="Tahoma"/>
          <w:sz w:val="24"/>
          <w:szCs w:val="24"/>
          <w:lang w:val="en-US"/>
        </w:rPr>
        <w:t xml:space="preserve">gold prices </w:t>
      </w:r>
      <w:r w:rsidR="008B12BC">
        <w:rPr>
          <w:rFonts w:ascii="Tahoma" w:hAnsi="Tahoma" w:cs="Tahoma"/>
          <w:sz w:val="24"/>
          <w:szCs w:val="24"/>
          <w:lang w:val="en-US"/>
        </w:rPr>
        <w:t>firmed</w:t>
      </w:r>
      <w:r w:rsidR="00A51547">
        <w:rPr>
          <w:rFonts w:ascii="Tahoma" w:hAnsi="Tahoma" w:cs="Tahoma"/>
          <w:sz w:val="24"/>
          <w:szCs w:val="24"/>
          <w:lang w:val="en-US"/>
        </w:rPr>
        <w:t xml:space="preserve"> while</w:t>
      </w:r>
      <w:r w:rsidR="00F233ED">
        <w:rPr>
          <w:rFonts w:ascii="Tahoma" w:hAnsi="Tahoma" w:cs="Tahoma"/>
          <w:sz w:val="24"/>
          <w:szCs w:val="24"/>
          <w:lang w:val="en-US"/>
        </w:rPr>
        <w:t xml:space="preserve"> crude oil</w:t>
      </w:r>
      <w:r w:rsidR="00E63C0D">
        <w:rPr>
          <w:rFonts w:ascii="Tahoma" w:hAnsi="Tahoma" w:cs="Tahoma"/>
          <w:sz w:val="24"/>
          <w:szCs w:val="24"/>
          <w:lang w:val="en-US"/>
        </w:rPr>
        <w:t>,</w:t>
      </w:r>
      <w:r w:rsidR="00A51547">
        <w:rPr>
          <w:rFonts w:ascii="Tahoma" w:hAnsi="Tahoma" w:cs="Tahoma"/>
          <w:sz w:val="24"/>
          <w:szCs w:val="24"/>
          <w:lang w:val="en-US"/>
        </w:rPr>
        <w:t xml:space="preserve"> cotton, </w:t>
      </w:r>
      <w:r w:rsidR="00E63C0D">
        <w:rPr>
          <w:rFonts w:ascii="Tahoma" w:hAnsi="Tahoma" w:cs="Tahoma"/>
          <w:sz w:val="24"/>
          <w:szCs w:val="24"/>
          <w:lang w:val="en-US"/>
        </w:rPr>
        <w:t>soybeans</w:t>
      </w:r>
      <w:r w:rsidR="00A51547">
        <w:rPr>
          <w:rFonts w:ascii="Tahoma" w:hAnsi="Tahoma" w:cs="Tahoma"/>
          <w:sz w:val="24"/>
          <w:szCs w:val="24"/>
          <w:lang w:val="en-US"/>
        </w:rPr>
        <w:t xml:space="preserve">, </w:t>
      </w:r>
      <w:r w:rsidR="00F233ED">
        <w:rPr>
          <w:rFonts w:ascii="Tahoma" w:hAnsi="Tahoma" w:cs="Tahoma"/>
          <w:sz w:val="24"/>
          <w:szCs w:val="24"/>
          <w:lang w:val="en-US"/>
        </w:rPr>
        <w:t xml:space="preserve">corn and wheat </w:t>
      </w:r>
      <w:r w:rsidR="00825B6E">
        <w:rPr>
          <w:rFonts w:ascii="Tahoma" w:hAnsi="Tahoma" w:cs="Tahoma"/>
          <w:sz w:val="24"/>
          <w:szCs w:val="24"/>
          <w:lang w:val="en-US"/>
        </w:rPr>
        <w:t>prices retreated</w:t>
      </w:r>
      <w:r w:rsidR="00A51547">
        <w:rPr>
          <w:rFonts w:ascii="Tahoma" w:hAnsi="Tahoma" w:cs="Tahoma"/>
          <w:sz w:val="24"/>
          <w:szCs w:val="24"/>
          <w:lang w:val="en-US"/>
        </w:rPr>
        <w:t>.</w:t>
      </w:r>
      <w:r w:rsidR="00AB665D" w:rsidRPr="000C29DA">
        <w:rPr>
          <w:rFonts w:ascii="Tahoma" w:hAnsi="Tahoma" w:cs="Tahoma"/>
          <w:sz w:val="24"/>
          <w:szCs w:val="24"/>
          <w:lang w:val="en-US"/>
        </w:rPr>
        <w:t xml:space="preserve"> </w:t>
      </w:r>
    </w:p>
    <w:p w14:paraId="551EBEBA" w14:textId="6AD3D1D2" w:rsidR="000732CC" w:rsidRPr="00D811C9" w:rsidRDefault="004F680D" w:rsidP="004F680D">
      <w:pPr>
        <w:ind w:left="720" w:hanging="720"/>
        <w:jc w:val="both"/>
        <w:rPr>
          <w:rFonts w:ascii="Tahoma" w:hAnsi="Tahoma" w:cs="Tahoma"/>
          <w:sz w:val="24"/>
          <w:szCs w:val="24"/>
          <w:lang w:val="en-US"/>
        </w:rPr>
      </w:pPr>
      <w:r w:rsidRPr="00863A17">
        <w:rPr>
          <w:rFonts w:ascii="Tahoma" w:hAnsi="Tahoma" w:cs="Tahoma"/>
          <w:sz w:val="24"/>
          <w:szCs w:val="24"/>
          <w:lang w:val="en-US"/>
        </w:rPr>
        <w:t>2.3</w:t>
      </w:r>
      <w:r w:rsidRPr="00863A17">
        <w:rPr>
          <w:rFonts w:ascii="Tahoma" w:hAnsi="Tahoma" w:cs="Tahoma"/>
          <w:sz w:val="24"/>
          <w:szCs w:val="24"/>
          <w:lang w:val="en-US"/>
        </w:rPr>
        <w:tab/>
      </w:r>
      <w:r w:rsidR="00F50599" w:rsidRPr="00647E48">
        <w:rPr>
          <w:rFonts w:ascii="Tahoma" w:hAnsi="Tahoma" w:cs="Tahoma"/>
          <w:sz w:val="24"/>
          <w:szCs w:val="24"/>
          <w:lang w:val="en-US"/>
        </w:rPr>
        <w:t xml:space="preserve">On </w:t>
      </w:r>
      <w:r w:rsidR="00A51547">
        <w:rPr>
          <w:rFonts w:ascii="Tahoma" w:hAnsi="Tahoma" w:cs="Tahoma"/>
          <w:sz w:val="24"/>
          <w:szCs w:val="24"/>
          <w:lang w:val="en-US"/>
        </w:rPr>
        <w:t>a year-on</w:t>
      </w:r>
      <w:r w:rsidR="000534B5">
        <w:rPr>
          <w:rFonts w:ascii="Tahoma" w:hAnsi="Tahoma" w:cs="Tahoma"/>
          <w:sz w:val="24"/>
          <w:szCs w:val="24"/>
          <w:lang w:val="en-US"/>
        </w:rPr>
        <w:t>-year</w:t>
      </w:r>
      <w:r w:rsidR="00B32FF3">
        <w:rPr>
          <w:rFonts w:ascii="Tahoma" w:hAnsi="Tahoma" w:cs="Tahoma"/>
          <w:sz w:val="24"/>
          <w:szCs w:val="24"/>
          <w:lang w:val="en-US"/>
        </w:rPr>
        <w:t xml:space="preserve"> (YoY)</w:t>
      </w:r>
      <w:r w:rsidR="000534B5">
        <w:rPr>
          <w:rFonts w:ascii="Tahoma" w:hAnsi="Tahoma" w:cs="Tahoma"/>
          <w:sz w:val="24"/>
          <w:szCs w:val="24"/>
          <w:lang w:val="en-US"/>
        </w:rPr>
        <w:t xml:space="preserve"> basis</w:t>
      </w:r>
      <w:r w:rsidR="00B32FF3">
        <w:rPr>
          <w:rFonts w:ascii="Tahoma" w:hAnsi="Tahoma" w:cs="Tahoma"/>
          <w:sz w:val="24"/>
          <w:szCs w:val="24"/>
          <w:lang w:val="en-US"/>
        </w:rPr>
        <w:t>, some of the selected</w:t>
      </w:r>
      <w:r w:rsidR="000534B5">
        <w:rPr>
          <w:rFonts w:ascii="Tahoma" w:hAnsi="Tahoma" w:cs="Tahoma"/>
          <w:sz w:val="24"/>
          <w:szCs w:val="24"/>
          <w:lang w:val="en-US"/>
        </w:rPr>
        <w:t xml:space="preserve"> commodity prices </w:t>
      </w:r>
      <w:r w:rsidR="00825B6E">
        <w:rPr>
          <w:rFonts w:ascii="Tahoma" w:hAnsi="Tahoma" w:cs="Tahoma"/>
          <w:sz w:val="24"/>
          <w:szCs w:val="24"/>
          <w:lang w:val="en-US"/>
        </w:rPr>
        <w:t>recorded price decline</w:t>
      </w:r>
      <w:r w:rsidR="000534B5">
        <w:rPr>
          <w:rFonts w:ascii="Tahoma" w:hAnsi="Tahoma" w:cs="Tahoma"/>
          <w:sz w:val="24"/>
          <w:szCs w:val="24"/>
          <w:lang w:val="en-US"/>
        </w:rPr>
        <w:t xml:space="preserve"> though aluminum, copper</w:t>
      </w:r>
      <w:r w:rsidR="00825B6E">
        <w:rPr>
          <w:rFonts w:ascii="Tahoma" w:hAnsi="Tahoma" w:cs="Tahoma"/>
          <w:sz w:val="24"/>
          <w:szCs w:val="24"/>
          <w:lang w:val="en-US"/>
        </w:rPr>
        <w:t xml:space="preserve">, </w:t>
      </w:r>
      <w:r w:rsidR="000534B5">
        <w:rPr>
          <w:rFonts w:ascii="Tahoma" w:hAnsi="Tahoma" w:cs="Tahoma"/>
          <w:sz w:val="24"/>
          <w:szCs w:val="24"/>
          <w:lang w:val="en-US"/>
        </w:rPr>
        <w:t xml:space="preserve">gold </w:t>
      </w:r>
      <w:r w:rsidR="00825B6E">
        <w:rPr>
          <w:rFonts w:ascii="Tahoma" w:hAnsi="Tahoma" w:cs="Tahoma"/>
          <w:sz w:val="24"/>
          <w:szCs w:val="24"/>
          <w:lang w:val="en-US"/>
        </w:rPr>
        <w:t xml:space="preserve">and wheat </w:t>
      </w:r>
      <w:r w:rsidR="000534B5">
        <w:rPr>
          <w:rFonts w:ascii="Tahoma" w:hAnsi="Tahoma" w:cs="Tahoma"/>
          <w:sz w:val="24"/>
          <w:szCs w:val="24"/>
          <w:lang w:val="en-US"/>
        </w:rPr>
        <w:t>prices gained</w:t>
      </w:r>
      <w:r w:rsidR="0046189B">
        <w:rPr>
          <w:rFonts w:ascii="Tahoma" w:hAnsi="Tahoma" w:cs="Tahoma"/>
          <w:sz w:val="24"/>
          <w:szCs w:val="24"/>
          <w:lang w:val="en-US"/>
        </w:rPr>
        <w:t>.</w:t>
      </w:r>
      <w:r w:rsidR="000534B5">
        <w:rPr>
          <w:rFonts w:ascii="Tahoma" w:hAnsi="Tahoma" w:cs="Tahoma"/>
          <w:sz w:val="24"/>
          <w:szCs w:val="24"/>
          <w:lang w:val="en-US"/>
        </w:rPr>
        <w:t xml:space="preserve"> </w:t>
      </w:r>
      <w:r w:rsidR="00825B6E">
        <w:rPr>
          <w:rFonts w:ascii="Tahoma" w:hAnsi="Tahoma" w:cs="Tahoma"/>
          <w:sz w:val="24"/>
          <w:szCs w:val="24"/>
          <w:lang w:val="en-US"/>
        </w:rPr>
        <w:t xml:space="preserve">The price trend </w:t>
      </w:r>
      <w:r w:rsidR="00681642">
        <w:rPr>
          <w:rFonts w:ascii="Tahoma" w:hAnsi="Tahoma" w:cs="Tahoma"/>
          <w:sz w:val="24"/>
          <w:szCs w:val="24"/>
          <w:lang w:val="en-US"/>
        </w:rPr>
        <w:t>exhibited</w:t>
      </w:r>
      <w:r w:rsidR="00825B6E">
        <w:rPr>
          <w:rFonts w:ascii="Tahoma" w:hAnsi="Tahoma" w:cs="Tahoma"/>
          <w:sz w:val="24"/>
          <w:szCs w:val="24"/>
          <w:lang w:val="en-US"/>
        </w:rPr>
        <w:t xml:space="preserve"> by minerals like gold, aluminum and copper</w:t>
      </w:r>
      <w:r w:rsidR="00681642">
        <w:rPr>
          <w:rFonts w:ascii="Tahoma" w:hAnsi="Tahoma" w:cs="Tahoma"/>
          <w:sz w:val="24"/>
          <w:szCs w:val="24"/>
          <w:lang w:val="en-US"/>
        </w:rPr>
        <w:t xml:space="preserve"> are encouraging to the </w:t>
      </w:r>
      <w:r w:rsidR="00126920">
        <w:rPr>
          <w:rFonts w:ascii="Tahoma" w:hAnsi="Tahoma" w:cs="Tahoma"/>
          <w:sz w:val="24"/>
          <w:szCs w:val="24"/>
          <w:lang w:val="en-US"/>
        </w:rPr>
        <w:t>C</w:t>
      </w:r>
      <w:r w:rsidR="00681642">
        <w:rPr>
          <w:rFonts w:ascii="Tahoma" w:hAnsi="Tahoma" w:cs="Tahoma"/>
          <w:sz w:val="24"/>
          <w:szCs w:val="24"/>
          <w:lang w:val="en-US"/>
        </w:rPr>
        <w:t>ountry’s mining sector while Yt</w:t>
      </w:r>
      <w:r w:rsidR="00126920">
        <w:rPr>
          <w:rFonts w:ascii="Tahoma" w:hAnsi="Tahoma" w:cs="Tahoma"/>
          <w:sz w:val="24"/>
          <w:szCs w:val="24"/>
          <w:lang w:val="en-US"/>
        </w:rPr>
        <w:t>D</w:t>
      </w:r>
      <w:r w:rsidR="00681642">
        <w:rPr>
          <w:rFonts w:ascii="Tahoma" w:hAnsi="Tahoma" w:cs="Tahoma"/>
          <w:sz w:val="24"/>
          <w:szCs w:val="24"/>
          <w:lang w:val="en-US"/>
        </w:rPr>
        <w:t xml:space="preserve"> and YoY price </w:t>
      </w:r>
      <w:r w:rsidR="00681642" w:rsidRPr="00D811C9">
        <w:rPr>
          <w:rFonts w:ascii="Tahoma" w:hAnsi="Tahoma" w:cs="Tahoma"/>
          <w:sz w:val="24"/>
          <w:szCs w:val="24"/>
          <w:lang w:val="en-US"/>
        </w:rPr>
        <w:t>movements of a</w:t>
      </w:r>
      <w:r w:rsidR="003F476D" w:rsidRPr="00D811C9">
        <w:rPr>
          <w:rFonts w:ascii="Tahoma" w:hAnsi="Tahoma" w:cs="Tahoma"/>
          <w:sz w:val="24"/>
          <w:szCs w:val="24"/>
          <w:lang w:val="en-US"/>
        </w:rPr>
        <w:t>gricultural commodities</w:t>
      </w:r>
      <w:r w:rsidR="00681642" w:rsidRPr="00D811C9">
        <w:rPr>
          <w:rFonts w:ascii="Tahoma" w:hAnsi="Tahoma" w:cs="Tahoma"/>
          <w:sz w:val="24"/>
          <w:szCs w:val="24"/>
          <w:lang w:val="en-US"/>
        </w:rPr>
        <w:t xml:space="preserve"> </w:t>
      </w:r>
      <w:r w:rsidR="003F476D" w:rsidRPr="00D811C9">
        <w:rPr>
          <w:rFonts w:ascii="Tahoma" w:hAnsi="Tahoma" w:cs="Tahoma"/>
          <w:sz w:val="24"/>
          <w:szCs w:val="24"/>
          <w:lang w:val="en-US"/>
        </w:rPr>
        <w:t xml:space="preserve">are discouraging for </w:t>
      </w:r>
      <w:r w:rsidR="00126920">
        <w:rPr>
          <w:rFonts w:ascii="Tahoma" w:hAnsi="Tahoma" w:cs="Tahoma"/>
          <w:sz w:val="24"/>
          <w:szCs w:val="24"/>
          <w:lang w:val="en-US"/>
        </w:rPr>
        <w:t>the</w:t>
      </w:r>
      <w:r w:rsidR="00126920" w:rsidRPr="00D811C9">
        <w:rPr>
          <w:rFonts w:ascii="Tahoma" w:hAnsi="Tahoma" w:cs="Tahoma"/>
          <w:sz w:val="24"/>
          <w:szCs w:val="24"/>
          <w:lang w:val="en-US"/>
        </w:rPr>
        <w:t xml:space="preserve"> </w:t>
      </w:r>
      <w:r w:rsidR="003F476D" w:rsidRPr="00D811C9">
        <w:rPr>
          <w:rFonts w:ascii="Tahoma" w:hAnsi="Tahoma" w:cs="Tahoma"/>
          <w:sz w:val="24"/>
          <w:szCs w:val="24"/>
          <w:lang w:val="en-US"/>
        </w:rPr>
        <w:t>agricultural sector.</w:t>
      </w:r>
    </w:p>
    <w:p w14:paraId="1787C063" w14:textId="77777777" w:rsidR="00EF37FE" w:rsidRPr="00AB0841" w:rsidRDefault="009F5CE5" w:rsidP="00F05BD5">
      <w:pPr>
        <w:pStyle w:val="ListofTables"/>
        <w:spacing w:after="240"/>
        <w:rPr>
          <w:lang w:val="en-US"/>
        </w:rPr>
      </w:pPr>
      <w:bookmarkStart w:id="17" w:name="_Toc164072363"/>
      <w:bookmarkStart w:id="18" w:name="_Toc166658890"/>
      <w:bookmarkStart w:id="19" w:name="_Toc181022047"/>
      <w:r w:rsidRPr="00863A17">
        <w:t xml:space="preserve">Table </w:t>
      </w:r>
      <w:r w:rsidRPr="00863A17">
        <w:fldChar w:fldCharType="begin"/>
      </w:r>
      <w:r w:rsidRPr="00863A17">
        <w:instrText xml:space="preserve"> SEQ Table \* ARABIC </w:instrText>
      </w:r>
      <w:r w:rsidRPr="00863A17">
        <w:fldChar w:fldCharType="separate"/>
      </w:r>
      <w:r w:rsidR="00D30418">
        <w:rPr>
          <w:noProof/>
        </w:rPr>
        <w:t>2</w:t>
      </w:r>
      <w:r w:rsidRPr="00863A17">
        <w:fldChar w:fldCharType="end"/>
      </w:r>
      <w:r w:rsidRPr="00863A17">
        <w:t>:</w:t>
      </w:r>
      <w:r w:rsidRPr="00863A17">
        <w:rPr>
          <w:lang w:val="en-US"/>
        </w:rPr>
        <w:t xml:space="preserve"> Commodity Price Movements – </w:t>
      </w:r>
      <w:r w:rsidR="00761C54" w:rsidRPr="00863A17">
        <w:rPr>
          <w:lang w:val="en-US"/>
        </w:rPr>
        <w:t>Month</w:t>
      </w:r>
      <w:r w:rsidRPr="00863A17">
        <w:rPr>
          <w:lang w:val="en-US"/>
        </w:rPr>
        <w:t xml:space="preserve"> Ending </w:t>
      </w:r>
      <w:r w:rsidR="009F795E">
        <w:rPr>
          <w:lang w:val="en-US"/>
        </w:rPr>
        <w:t>30</w:t>
      </w:r>
      <w:r w:rsidRPr="00863A17">
        <w:rPr>
          <w:lang w:val="en-US"/>
        </w:rPr>
        <w:t xml:space="preserve"> </w:t>
      </w:r>
      <w:r w:rsidR="00BD7421">
        <w:rPr>
          <w:lang w:val="en-US"/>
        </w:rPr>
        <w:t>September</w:t>
      </w:r>
      <w:r w:rsidRPr="00863A17">
        <w:rPr>
          <w:lang w:val="en-US"/>
        </w:rPr>
        <w:t xml:space="preserve"> 202</w:t>
      </w:r>
      <w:r w:rsidR="007A3D03" w:rsidRPr="00863A17">
        <w:rPr>
          <w:lang w:val="en-US"/>
        </w:rPr>
        <w:t>4</w:t>
      </w:r>
      <w:bookmarkEnd w:id="17"/>
      <w:bookmarkEnd w:id="18"/>
      <w:bookmarkEnd w:id="19"/>
    </w:p>
    <w:p w14:paraId="4DEC4F22" w14:textId="0D3B807F" w:rsidR="009D4508" w:rsidRPr="00AB0841" w:rsidRDefault="00F02064" w:rsidP="0076325F">
      <w:pPr>
        <w:spacing w:after="0"/>
        <w:rPr>
          <w:rFonts w:ascii="Tahoma" w:hAnsi="Tahoma" w:cs="Tahoma"/>
          <w:noProof/>
          <w:sz w:val="24"/>
          <w:szCs w:val="24"/>
          <w:lang w:eastAsia="en-ZW"/>
        </w:rPr>
      </w:pPr>
      <w:r w:rsidRPr="006809E5">
        <w:rPr>
          <w:noProof/>
        </w:rPr>
        <w:drawing>
          <wp:inline distT="0" distB="0" distL="0" distR="0" wp14:anchorId="6733F5BA" wp14:editId="76393F3A">
            <wp:extent cx="5734050" cy="1962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962150"/>
                    </a:xfrm>
                    <a:prstGeom prst="rect">
                      <a:avLst/>
                    </a:prstGeom>
                    <a:noFill/>
                    <a:ln>
                      <a:noFill/>
                    </a:ln>
                  </pic:spPr>
                </pic:pic>
              </a:graphicData>
            </a:graphic>
          </wp:inline>
        </w:drawing>
      </w:r>
    </w:p>
    <w:p w14:paraId="7DA4BBE4" w14:textId="77777777" w:rsidR="00EF37FE" w:rsidRPr="00863A17" w:rsidRDefault="00EF37FE" w:rsidP="00F05BD5">
      <w:pPr>
        <w:spacing w:line="480" w:lineRule="auto"/>
        <w:rPr>
          <w:rFonts w:ascii="Tahoma" w:hAnsi="Tahoma" w:cs="Tahoma"/>
          <w:i/>
          <w:sz w:val="24"/>
          <w:szCs w:val="24"/>
          <w:lang w:val="en-US"/>
        </w:rPr>
      </w:pPr>
      <w:r w:rsidRPr="00863A17">
        <w:rPr>
          <w:rFonts w:ascii="Tahoma" w:hAnsi="Tahoma" w:cs="Tahoma"/>
          <w:i/>
          <w:sz w:val="24"/>
          <w:szCs w:val="24"/>
          <w:lang w:val="en-US"/>
        </w:rPr>
        <w:t xml:space="preserve">Source: </w:t>
      </w:r>
      <w:r w:rsidR="006B3019" w:rsidRPr="00863A17">
        <w:rPr>
          <w:rFonts w:ascii="Tahoma" w:hAnsi="Tahoma" w:cs="Tahoma"/>
          <w:i/>
          <w:sz w:val="24"/>
          <w:szCs w:val="24"/>
          <w:lang w:val="en-US"/>
        </w:rPr>
        <w:t>Trading Economics (202</w:t>
      </w:r>
      <w:r w:rsidR="00431F13" w:rsidRPr="00863A17">
        <w:rPr>
          <w:rFonts w:ascii="Tahoma" w:hAnsi="Tahoma" w:cs="Tahoma"/>
          <w:i/>
          <w:sz w:val="24"/>
          <w:szCs w:val="24"/>
          <w:lang w:val="en-US"/>
        </w:rPr>
        <w:t>4</w:t>
      </w:r>
      <w:r w:rsidR="006B3019" w:rsidRPr="00863A17">
        <w:rPr>
          <w:rFonts w:ascii="Tahoma" w:hAnsi="Tahoma" w:cs="Tahoma"/>
          <w:i/>
          <w:sz w:val="24"/>
          <w:szCs w:val="24"/>
          <w:lang w:val="en-US"/>
        </w:rPr>
        <w:t>)</w:t>
      </w:r>
    </w:p>
    <w:p w14:paraId="33C9134A" w14:textId="77777777" w:rsidR="00EF37FE" w:rsidRPr="00863A17" w:rsidRDefault="004F680D" w:rsidP="00F05BD5">
      <w:pPr>
        <w:pStyle w:val="Heading1"/>
        <w:spacing w:before="0" w:after="240"/>
        <w:rPr>
          <w:lang w:val="en-US"/>
        </w:rPr>
      </w:pPr>
      <w:bookmarkStart w:id="20" w:name="_Toc166607893"/>
      <w:bookmarkStart w:id="21" w:name="_Toc181022181"/>
      <w:r w:rsidRPr="00863A17">
        <w:rPr>
          <w:lang w:val="en-US"/>
        </w:rPr>
        <w:t>3.0</w:t>
      </w:r>
      <w:r w:rsidRPr="00863A17">
        <w:rPr>
          <w:lang w:val="en-US"/>
        </w:rPr>
        <w:tab/>
      </w:r>
      <w:r w:rsidR="00476766" w:rsidRPr="00863A17">
        <w:rPr>
          <w:lang w:val="en-US"/>
        </w:rPr>
        <w:t>Zimbabwe GDP Growth Update</w:t>
      </w:r>
      <w:bookmarkEnd w:id="20"/>
      <w:bookmarkEnd w:id="21"/>
      <w:r w:rsidR="00476766" w:rsidRPr="00863A17">
        <w:rPr>
          <w:lang w:val="en-US"/>
        </w:rPr>
        <w:t xml:space="preserve"> </w:t>
      </w:r>
      <w:r w:rsidR="00EF37FE" w:rsidRPr="00863A17">
        <w:rPr>
          <w:lang w:val="en-US"/>
        </w:rPr>
        <w:t xml:space="preserve"> </w:t>
      </w:r>
    </w:p>
    <w:p w14:paraId="43F5C24B" w14:textId="30216F36" w:rsidR="007C558F" w:rsidRDefault="004F680D" w:rsidP="00D75883">
      <w:pPr>
        <w:ind w:left="720" w:hanging="720"/>
        <w:jc w:val="both"/>
        <w:rPr>
          <w:rFonts w:ascii="Tahoma" w:hAnsi="Tahoma" w:cs="Tahoma"/>
          <w:sz w:val="24"/>
          <w:szCs w:val="24"/>
          <w:lang w:val="en-US"/>
        </w:rPr>
      </w:pPr>
      <w:r w:rsidRPr="00863A17">
        <w:rPr>
          <w:rFonts w:ascii="Tahoma" w:hAnsi="Tahoma" w:cs="Tahoma"/>
          <w:sz w:val="24"/>
          <w:szCs w:val="24"/>
          <w:lang w:val="en-US"/>
        </w:rPr>
        <w:t>3.1</w:t>
      </w:r>
      <w:r w:rsidRPr="00863A17">
        <w:rPr>
          <w:rFonts w:ascii="Tahoma" w:hAnsi="Tahoma" w:cs="Tahoma"/>
          <w:sz w:val="24"/>
          <w:szCs w:val="24"/>
          <w:lang w:val="en-US"/>
        </w:rPr>
        <w:tab/>
      </w:r>
      <w:r w:rsidR="00BD09BA">
        <w:rPr>
          <w:rFonts w:ascii="Tahoma" w:hAnsi="Tahoma" w:cs="Tahoma"/>
          <w:sz w:val="24"/>
          <w:szCs w:val="24"/>
          <w:lang w:val="en-US"/>
        </w:rPr>
        <w:t>According to the World Bank (2024), Z</w:t>
      </w:r>
      <w:r w:rsidR="002D0E61">
        <w:rPr>
          <w:rFonts w:ascii="Tahoma" w:hAnsi="Tahoma" w:cs="Tahoma"/>
          <w:sz w:val="24"/>
          <w:szCs w:val="24"/>
          <w:lang w:val="en-US"/>
        </w:rPr>
        <w:t xml:space="preserve">imbabwe </w:t>
      </w:r>
      <w:r w:rsidR="00BD09BA">
        <w:rPr>
          <w:rFonts w:ascii="Tahoma" w:hAnsi="Tahoma" w:cs="Tahoma"/>
          <w:sz w:val="24"/>
          <w:szCs w:val="24"/>
          <w:lang w:val="en-US"/>
        </w:rPr>
        <w:t>GDP</w:t>
      </w:r>
      <w:r w:rsidR="002D0E61">
        <w:rPr>
          <w:rFonts w:ascii="Tahoma" w:hAnsi="Tahoma" w:cs="Tahoma"/>
          <w:sz w:val="24"/>
          <w:szCs w:val="24"/>
          <w:lang w:val="en-US"/>
        </w:rPr>
        <w:t xml:space="preserve"> growth </w:t>
      </w:r>
      <w:r w:rsidR="00BD09BA">
        <w:rPr>
          <w:rFonts w:ascii="Tahoma" w:hAnsi="Tahoma" w:cs="Tahoma"/>
          <w:sz w:val="24"/>
          <w:szCs w:val="24"/>
          <w:lang w:val="en-US"/>
        </w:rPr>
        <w:t>is expected to</w:t>
      </w:r>
      <w:r w:rsidR="002D0E61">
        <w:rPr>
          <w:rFonts w:ascii="Tahoma" w:hAnsi="Tahoma" w:cs="Tahoma"/>
          <w:sz w:val="24"/>
          <w:szCs w:val="24"/>
          <w:lang w:val="en-US"/>
        </w:rPr>
        <w:t xml:space="preserve"> remain at 2% in </w:t>
      </w:r>
      <w:r w:rsidR="00BD09BA">
        <w:rPr>
          <w:rFonts w:ascii="Tahoma" w:hAnsi="Tahoma" w:cs="Tahoma"/>
          <w:sz w:val="24"/>
          <w:szCs w:val="24"/>
          <w:lang w:val="en-US"/>
        </w:rPr>
        <w:t>2024 due to El-Nino induced drought, lower mining prices and macroeconomic instability. Agricultural production is expected to fall by over 20%,</w:t>
      </w:r>
      <w:r w:rsidR="00126920">
        <w:rPr>
          <w:rFonts w:ascii="Tahoma" w:hAnsi="Tahoma" w:cs="Tahoma"/>
          <w:sz w:val="24"/>
          <w:szCs w:val="24"/>
          <w:lang w:val="en-US"/>
        </w:rPr>
        <w:t xml:space="preserve"> with</w:t>
      </w:r>
      <w:r w:rsidR="00BD09BA">
        <w:rPr>
          <w:rFonts w:ascii="Tahoma" w:hAnsi="Tahoma" w:cs="Tahoma"/>
          <w:sz w:val="24"/>
          <w:szCs w:val="24"/>
          <w:lang w:val="en-US"/>
        </w:rPr>
        <w:t xml:space="preserve"> ongoing power shortages contribut</w:t>
      </w:r>
      <w:r w:rsidR="00126920">
        <w:rPr>
          <w:rFonts w:ascii="Tahoma" w:hAnsi="Tahoma" w:cs="Tahoma"/>
          <w:sz w:val="24"/>
          <w:szCs w:val="24"/>
          <w:lang w:val="en-US"/>
        </w:rPr>
        <w:t>ing</w:t>
      </w:r>
      <w:r w:rsidR="00BD09BA">
        <w:rPr>
          <w:rFonts w:ascii="Tahoma" w:hAnsi="Tahoma" w:cs="Tahoma"/>
          <w:sz w:val="24"/>
          <w:szCs w:val="24"/>
          <w:lang w:val="en-US"/>
        </w:rPr>
        <w:t xml:space="preserve"> to decreased industrial </w:t>
      </w:r>
      <w:r w:rsidR="00126920">
        <w:rPr>
          <w:rFonts w:ascii="Tahoma" w:hAnsi="Tahoma" w:cs="Tahoma"/>
          <w:sz w:val="24"/>
          <w:szCs w:val="24"/>
          <w:lang w:val="en-US"/>
        </w:rPr>
        <w:t>growth</w:t>
      </w:r>
      <w:r w:rsidR="00BD09BA">
        <w:rPr>
          <w:rFonts w:ascii="Tahoma" w:hAnsi="Tahoma" w:cs="Tahoma"/>
          <w:sz w:val="24"/>
          <w:szCs w:val="24"/>
          <w:lang w:val="en-US"/>
        </w:rPr>
        <w:t xml:space="preserve"> and disrupted crops that depend on irrigation, </w:t>
      </w:r>
      <w:r w:rsidR="00126920">
        <w:rPr>
          <w:rFonts w:ascii="Tahoma" w:hAnsi="Tahoma" w:cs="Tahoma"/>
          <w:sz w:val="24"/>
          <w:szCs w:val="24"/>
          <w:lang w:val="en-US"/>
        </w:rPr>
        <w:t xml:space="preserve">while </w:t>
      </w:r>
      <w:r w:rsidR="00BD09BA">
        <w:rPr>
          <w:rFonts w:ascii="Tahoma" w:hAnsi="Tahoma" w:cs="Tahoma"/>
          <w:sz w:val="24"/>
          <w:szCs w:val="24"/>
          <w:lang w:val="en-US"/>
        </w:rPr>
        <w:t xml:space="preserve">the rise in parallel market premium </w:t>
      </w:r>
      <w:r w:rsidR="00126920">
        <w:rPr>
          <w:rFonts w:ascii="Tahoma" w:hAnsi="Tahoma" w:cs="Tahoma"/>
          <w:sz w:val="24"/>
          <w:szCs w:val="24"/>
          <w:lang w:val="en-US"/>
        </w:rPr>
        <w:t xml:space="preserve">continues to </w:t>
      </w:r>
      <w:r w:rsidR="00BD09BA">
        <w:rPr>
          <w:rFonts w:ascii="Tahoma" w:hAnsi="Tahoma" w:cs="Tahoma"/>
          <w:sz w:val="24"/>
          <w:szCs w:val="24"/>
          <w:lang w:val="en-US"/>
        </w:rPr>
        <w:t xml:space="preserve">limit formal sector production and demand </w:t>
      </w:r>
      <w:r w:rsidR="00126920">
        <w:rPr>
          <w:rFonts w:ascii="Tahoma" w:hAnsi="Tahoma" w:cs="Tahoma"/>
          <w:sz w:val="24"/>
          <w:szCs w:val="24"/>
          <w:lang w:val="en-US"/>
        </w:rPr>
        <w:t xml:space="preserve">thus </w:t>
      </w:r>
      <w:r w:rsidR="00BD09BA">
        <w:rPr>
          <w:rFonts w:ascii="Tahoma" w:hAnsi="Tahoma" w:cs="Tahoma"/>
          <w:sz w:val="24"/>
          <w:szCs w:val="24"/>
          <w:lang w:val="en-US"/>
        </w:rPr>
        <w:t>bring</w:t>
      </w:r>
      <w:r w:rsidR="00126920">
        <w:rPr>
          <w:rFonts w:ascii="Tahoma" w:hAnsi="Tahoma" w:cs="Tahoma"/>
          <w:sz w:val="24"/>
          <w:szCs w:val="24"/>
          <w:lang w:val="en-US"/>
        </w:rPr>
        <w:t>ing</w:t>
      </w:r>
      <w:r w:rsidR="00BD09BA">
        <w:rPr>
          <w:rFonts w:ascii="Tahoma" w:hAnsi="Tahoma" w:cs="Tahoma"/>
          <w:sz w:val="24"/>
          <w:szCs w:val="24"/>
          <w:lang w:val="en-US"/>
        </w:rPr>
        <w:t xml:space="preserve"> </w:t>
      </w:r>
      <w:r w:rsidR="00126920">
        <w:rPr>
          <w:rFonts w:ascii="Tahoma" w:hAnsi="Tahoma" w:cs="Tahoma"/>
          <w:sz w:val="24"/>
          <w:szCs w:val="24"/>
          <w:lang w:val="en-US"/>
        </w:rPr>
        <w:t>instability</w:t>
      </w:r>
      <w:r w:rsidR="00126920">
        <w:rPr>
          <w:rFonts w:ascii="Tahoma" w:hAnsi="Tahoma" w:cs="Tahoma"/>
          <w:sz w:val="24"/>
          <w:szCs w:val="24"/>
          <w:lang w:val="en-US"/>
        </w:rPr>
        <w:t xml:space="preserve"> </w:t>
      </w:r>
      <w:r w:rsidR="00BD09BA">
        <w:rPr>
          <w:rFonts w:ascii="Tahoma" w:hAnsi="Tahoma" w:cs="Tahoma"/>
          <w:sz w:val="24"/>
          <w:szCs w:val="24"/>
          <w:lang w:val="en-US"/>
        </w:rPr>
        <w:t>to the ZWG.</w:t>
      </w:r>
    </w:p>
    <w:p w14:paraId="462B8ADE" w14:textId="3E817C0F" w:rsidR="0076325F" w:rsidRPr="008C5898" w:rsidRDefault="007C558F" w:rsidP="008C5898">
      <w:pPr>
        <w:ind w:left="720" w:hanging="720"/>
        <w:jc w:val="both"/>
        <w:rPr>
          <w:rFonts w:ascii="Tahoma" w:hAnsi="Tahoma" w:cs="Tahoma"/>
          <w:sz w:val="24"/>
          <w:szCs w:val="24"/>
          <w:lang w:val="en-US"/>
        </w:rPr>
      </w:pPr>
      <w:r>
        <w:rPr>
          <w:rFonts w:ascii="Tahoma" w:hAnsi="Tahoma" w:cs="Tahoma"/>
          <w:sz w:val="24"/>
          <w:szCs w:val="24"/>
          <w:lang w:val="en-US"/>
        </w:rPr>
        <w:lastRenderedPageBreak/>
        <w:tab/>
      </w:r>
      <w:bookmarkStart w:id="22" w:name="_Hlk166603728"/>
      <w:r w:rsidR="00126920">
        <w:rPr>
          <w:rFonts w:ascii="Tahoma" w:hAnsi="Tahoma" w:cs="Tahoma"/>
          <w:sz w:val="24"/>
          <w:szCs w:val="24"/>
          <w:lang w:val="en-US"/>
        </w:rPr>
        <w:t>In terms of outlook, g</w:t>
      </w:r>
      <w:r w:rsidR="001B624E">
        <w:rPr>
          <w:rFonts w:ascii="Tahoma" w:hAnsi="Tahoma" w:cs="Tahoma"/>
          <w:sz w:val="24"/>
          <w:szCs w:val="24"/>
          <w:lang w:val="en-US"/>
        </w:rPr>
        <w:t xml:space="preserve">rowth is projected to recover to 6.2% in 2025 once the </w:t>
      </w:r>
      <w:r w:rsidR="00126920">
        <w:rPr>
          <w:rFonts w:ascii="Tahoma" w:hAnsi="Tahoma" w:cs="Tahoma"/>
          <w:sz w:val="24"/>
          <w:szCs w:val="24"/>
          <w:lang w:val="en-US"/>
        </w:rPr>
        <w:t>effects</w:t>
      </w:r>
      <w:r w:rsidR="00126920">
        <w:rPr>
          <w:rFonts w:ascii="Tahoma" w:hAnsi="Tahoma" w:cs="Tahoma"/>
          <w:sz w:val="24"/>
          <w:szCs w:val="24"/>
          <w:lang w:val="en-US"/>
        </w:rPr>
        <w:t xml:space="preserve"> </w:t>
      </w:r>
      <w:r w:rsidR="001B624E">
        <w:rPr>
          <w:rFonts w:ascii="Tahoma" w:hAnsi="Tahoma" w:cs="Tahoma"/>
          <w:sz w:val="24"/>
          <w:szCs w:val="24"/>
          <w:lang w:val="en-US"/>
        </w:rPr>
        <w:t xml:space="preserve">of drought </w:t>
      </w:r>
      <w:r w:rsidR="00DA75D2">
        <w:rPr>
          <w:rFonts w:ascii="Tahoma" w:hAnsi="Tahoma" w:cs="Tahoma"/>
          <w:sz w:val="24"/>
          <w:szCs w:val="24"/>
          <w:lang w:val="en-US"/>
        </w:rPr>
        <w:t>begin</w:t>
      </w:r>
      <w:r w:rsidR="001B624E">
        <w:rPr>
          <w:rFonts w:ascii="Tahoma" w:hAnsi="Tahoma" w:cs="Tahoma"/>
          <w:sz w:val="24"/>
          <w:szCs w:val="24"/>
          <w:lang w:val="en-US"/>
        </w:rPr>
        <w:t xml:space="preserve"> to wane and ongoing investment initiatives start to increase mining and manufacturing production</w:t>
      </w:r>
      <w:r w:rsidR="003A3074">
        <w:rPr>
          <w:rFonts w:ascii="Tahoma" w:hAnsi="Tahoma" w:cs="Tahoma"/>
          <w:sz w:val="24"/>
          <w:szCs w:val="24"/>
          <w:lang w:val="en-US"/>
        </w:rPr>
        <w:t xml:space="preserve"> (World Bank 2024)</w:t>
      </w:r>
      <w:r w:rsidR="001B624E">
        <w:rPr>
          <w:rFonts w:ascii="Tahoma" w:hAnsi="Tahoma" w:cs="Tahoma"/>
          <w:sz w:val="24"/>
          <w:szCs w:val="24"/>
          <w:lang w:val="en-US"/>
        </w:rPr>
        <w:t>.</w:t>
      </w:r>
    </w:p>
    <w:p w14:paraId="0F7B3567" w14:textId="77777777" w:rsidR="00EF37FE" w:rsidRPr="00086539" w:rsidRDefault="00B1678A" w:rsidP="009F5CE5">
      <w:pPr>
        <w:pStyle w:val="Heading1"/>
        <w:spacing w:before="0" w:after="240" w:line="240" w:lineRule="auto"/>
        <w:rPr>
          <w:rFonts w:cs="Tahoma"/>
          <w:bCs/>
          <w:color w:val="000000"/>
          <w:szCs w:val="24"/>
          <w:lang w:val="en-US"/>
        </w:rPr>
      </w:pPr>
      <w:bookmarkStart w:id="23" w:name="_Toc166607894"/>
      <w:bookmarkStart w:id="24" w:name="_Toc181022182"/>
      <w:bookmarkEnd w:id="22"/>
      <w:r w:rsidRPr="00086539">
        <w:rPr>
          <w:rFonts w:cs="Tahoma"/>
          <w:bCs/>
          <w:color w:val="000000"/>
          <w:szCs w:val="24"/>
          <w:lang w:val="en-US"/>
        </w:rPr>
        <w:t>4.0</w:t>
      </w:r>
      <w:r w:rsidRPr="00086539">
        <w:rPr>
          <w:rFonts w:cs="Tahoma"/>
          <w:bCs/>
          <w:color w:val="000000"/>
          <w:szCs w:val="24"/>
          <w:lang w:val="en-US"/>
        </w:rPr>
        <w:tab/>
      </w:r>
      <w:r w:rsidR="00EF37FE" w:rsidRPr="00086539">
        <w:rPr>
          <w:rFonts w:cs="Tahoma"/>
          <w:bCs/>
          <w:color w:val="000000"/>
          <w:szCs w:val="24"/>
          <w:lang w:val="en-US"/>
        </w:rPr>
        <w:t>Merchandise Trade Developments</w:t>
      </w:r>
      <w:bookmarkEnd w:id="23"/>
      <w:bookmarkEnd w:id="24"/>
      <w:r w:rsidR="00EF37FE" w:rsidRPr="00086539">
        <w:rPr>
          <w:rFonts w:cs="Tahoma"/>
          <w:bCs/>
          <w:color w:val="000000"/>
          <w:szCs w:val="24"/>
          <w:lang w:val="en-US"/>
        </w:rPr>
        <w:t xml:space="preserve"> </w:t>
      </w:r>
    </w:p>
    <w:p w14:paraId="04BC603A" w14:textId="77777777" w:rsidR="00D75883" w:rsidRDefault="00B1678A" w:rsidP="00C262AF">
      <w:pPr>
        <w:ind w:left="720" w:hanging="720"/>
        <w:jc w:val="both"/>
        <w:rPr>
          <w:rFonts w:ascii="Tahoma" w:hAnsi="Tahoma" w:cs="Tahoma"/>
          <w:sz w:val="24"/>
          <w:szCs w:val="24"/>
          <w:lang w:val="en-US"/>
        </w:rPr>
      </w:pPr>
      <w:r w:rsidRPr="00863A17">
        <w:rPr>
          <w:rFonts w:ascii="Tahoma" w:hAnsi="Tahoma" w:cs="Tahoma"/>
          <w:sz w:val="24"/>
          <w:szCs w:val="24"/>
          <w:lang w:val="en-US"/>
        </w:rPr>
        <w:t>4.1</w:t>
      </w:r>
      <w:r w:rsidRPr="00863A17">
        <w:rPr>
          <w:rFonts w:ascii="Tahoma" w:hAnsi="Tahoma" w:cs="Tahoma"/>
          <w:sz w:val="24"/>
          <w:szCs w:val="24"/>
          <w:lang w:val="en-US"/>
        </w:rPr>
        <w:tab/>
      </w:r>
      <w:r w:rsidR="00A55EE7">
        <w:rPr>
          <w:rFonts w:ascii="Tahoma" w:hAnsi="Tahoma" w:cs="Tahoma"/>
          <w:sz w:val="24"/>
          <w:szCs w:val="24"/>
          <w:lang w:val="en-US"/>
        </w:rPr>
        <w:t>Zimbabwe National Statistics Agency (ZimStat) had not published the merchandise trade data for</w:t>
      </w:r>
      <w:r w:rsidR="00224681">
        <w:rPr>
          <w:rFonts w:ascii="Tahoma" w:hAnsi="Tahoma" w:cs="Tahoma"/>
          <w:sz w:val="24"/>
          <w:szCs w:val="24"/>
          <w:lang w:val="en-US"/>
        </w:rPr>
        <w:t xml:space="preserve"> September</w:t>
      </w:r>
      <w:r w:rsidR="00A55EE7">
        <w:rPr>
          <w:rFonts w:ascii="Tahoma" w:hAnsi="Tahoma" w:cs="Tahoma"/>
          <w:sz w:val="24"/>
          <w:szCs w:val="24"/>
          <w:lang w:val="en-US"/>
        </w:rPr>
        <w:t xml:space="preserve"> 2024 </w:t>
      </w:r>
      <w:r w:rsidR="00D75883">
        <w:rPr>
          <w:rFonts w:ascii="Tahoma" w:hAnsi="Tahoma" w:cs="Tahoma"/>
          <w:sz w:val="24"/>
          <w:szCs w:val="24"/>
          <w:lang w:val="en-US"/>
        </w:rPr>
        <w:t xml:space="preserve">by </w:t>
      </w:r>
      <w:r w:rsidR="00A55EE7">
        <w:rPr>
          <w:rFonts w:ascii="Tahoma" w:hAnsi="Tahoma" w:cs="Tahoma"/>
          <w:sz w:val="24"/>
          <w:szCs w:val="24"/>
          <w:lang w:val="en-US"/>
        </w:rPr>
        <w:t>the time of compiling this report, thus the analysis is based on J</w:t>
      </w:r>
      <w:r w:rsidR="00224681">
        <w:rPr>
          <w:rFonts w:ascii="Tahoma" w:hAnsi="Tahoma" w:cs="Tahoma"/>
          <w:sz w:val="24"/>
          <w:szCs w:val="24"/>
          <w:lang w:val="en-US"/>
        </w:rPr>
        <w:t>uly</w:t>
      </w:r>
      <w:r w:rsidR="00A55EE7">
        <w:rPr>
          <w:rFonts w:ascii="Tahoma" w:hAnsi="Tahoma" w:cs="Tahoma"/>
          <w:sz w:val="24"/>
          <w:szCs w:val="24"/>
          <w:lang w:val="en-US"/>
        </w:rPr>
        <w:t xml:space="preserve"> 2024 data. </w:t>
      </w:r>
    </w:p>
    <w:p w14:paraId="49C44033" w14:textId="05DC67D0" w:rsidR="00897CB3" w:rsidRDefault="00D75883" w:rsidP="00C262AF">
      <w:pPr>
        <w:ind w:left="720" w:hanging="720"/>
        <w:jc w:val="both"/>
        <w:rPr>
          <w:rFonts w:ascii="Tahoma" w:hAnsi="Tahoma" w:cs="Tahoma"/>
          <w:sz w:val="24"/>
          <w:szCs w:val="24"/>
          <w:lang w:val="en-US"/>
        </w:rPr>
      </w:pPr>
      <w:r>
        <w:rPr>
          <w:rFonts w:ascii="Tahoma" w:hAnsi="Tahoma" w:cs="Tahoma"/>
          <w:sz w:val="24"/>
          <w:szCs w:val="24"/>
          <w:lang w:val="en-US"/>
        </w:rPr>
        <w:t>4.2</w:t>
      </w:r>
      <w:r>
        <w:rPr>
          <w:rFonts w:ascii="Tahoma" w:hAnsi="Tahoma" w:cs="Tahoma"/>
          <w:sz w:val="24"/>
          <w:szCs w:val="24"/>
          <w:lang w:val="en-US"/>
        </w:rPr>
        <w:tab/>
      </w:r>
      <w:r w:rsidR="00A55EE7">
        <w:rPr>
          <w:rFonts w:ascii="Tahoma" w:hAnsi="Tahoma" w:cs="Tahoma"/>
          <w:sz w:val="24"/>
          <w:szCs w:val="24"/>
          <w:lang w:val="en-US"/>
        </w:rPr>
        <w:t>In Ju</w:t>
      </w:r>
      <w:r w:rsidR="002739B4">
        <w:rPr>
          <w:rFonts w:ascii="Tahoma" w:hAnsi="Tahoma" w:cs="Tahoma"/>
          <w:sz w:val="24"/>
          <w:szCs w:val="24"/>
          <w:lang w:val="en-US"/>
        </w:rPr>
        <w:t>ly</w:t>
      </w:r>
      <w:r w:rsidR="00A55EE7">
        <w:rPr>
          <w:rFonts w:ascii="Tahoma" w:hAnsi="Tahoma" w:cs="Tahoma"/>
          <w:sz w:val="24"/>
          <w:szCs w:val="24"/>
          <w:lang w:val="en-US"/>
        </w:rPr>
        <w:t xml:space="preserve"> 2024, total merchandise trade </w:t>
      </w:r>
      <w:r w:rsidR="002739B4">
        <w:rPr>
          <w:rFonts w:ascii="Tahoma" w:hAnsi="Tahoma" w:cs="Tahoma"/>
          <w:sz w:val="24"/>
          <w:szCs w:val="24"/>
          <w:lang w:val="en-US"/>
        </w:rPr>
        <w:t>was</w:t>
      </w:r>
      <w:r w:rsidR="00A55EE7">
        <w:rPr>
          <w:rFonts w:ascii="Tahoma" w:hAnsi="Tahoma" w:cs="Tahoma"/>
          <w:sz w:val="24"/>
          <w:szCs w:val="24"/>
          <w:lang w:val="en-US"/>
        </w:rPr>
        <w:t xml:space="preserve"> USD</w:t>
      </w:r>
      <w:r w:rsidR="002739B4">
        <w:rPr>
          <w:rFonts w:ascii="Tahoma" w:hAnsi="Tahoma" w:cs="Tahoma"/>
          <w:sz w:val="24"/>
          <w:szCs w:val="24"/>
          <w:lang w:val="en-US"/>
        </w:rPr>
        <w:t>1371.4</w:t>
      </w:r>
      <w:r w:rsidR="00A55EE7">
        <w:rPr>
          <w:rFonts w:ascii="Tahoma" w:hAnsi="Tahoma" w:cs="Tahoma"/>
          <w:sz w:val="24"/>
          <w:szCs w:val="24"/>
          <w:lang w:val="en-US"/>
        </w:rPr>
        <w:t xml:space="preserve"> million, </w:t>
      </w:r>
      <w:r w:rsidR="00DA75D2">
        <w:rPr>
          <w:rFonts w:ascii="Tahoma" w:hAnsi="Tahoma" w:cs="Tahoma"/>
          <w:sz w:val="24"/>
          <w:szCs w:val="24"/>
          <w:lang w:val="en-US"/>
        </w:rPr>
        <w:t>7.9</w:t>
      </w:r>
      <w:r w:rsidR="00A55EE7">
        <w:rPr>
          <w:rFonts w:ascii="Tahoma" w:hAnsi="Tahoma" w:cs="Tahoma"/>
          <w:sz w:val="24"/>
          <w:szCs w:val="24"/>
          <w:lang w:val="en-US"/>
        </w:rPr>
        <w:t xml:space="preserve">% </w:t>
      </w:r>
      <w:r w:rsidR="002739B4">
        <w:rPr>
          <w:rFonts w:ascii="Tahoma" w:hAnsi="Tahoma" w:cs="Tahoma"/>
          <w:sz w:val="24"/>
          <w:szCs w:val="24"/>
          <w:lang w:val="en-US"/>
        </w:rPr>
        <w:t>higher than the</w:t>
      </w:r>
      <w:r w:rsidR="00A55EE7">
        <w:rPr>
          <w:rFonts w:ascii="Tahoma" w:hAnsi="Tahoma" w:cs="Tahoma"/>
          <w:sz w:val="24"/>
          <w:szCs w:val="24"/>
          <w:lang w:val="en-US"/>
        </w:rPr>
        <w:t xml:space="preserve"> USD1</w:t>
      </w:r>
      <w:r w:rsidR="002739B4">
        <w:rPr>
          <w:rFonts w:ascii="Tahoma" w:hAnsi="Tahoma" w:cs="Tahoma"/>
          <w:sz w:val="24"/>
          <w:szCs w:val="24"/>
          <w:lang w:val="en-US"/>
        </w:rPr>
        <w:t>271.5</w:t>
      </w:r>
      <w:r w:rsidR="00A55EE7">
        <w:rPr>
          <w:rFonts w:ascii="Tahoma" w:hAnsi="Tahoma" w:cs="Tahoma"/>
          <w:sz w:val="24"/>
          <w:szCs w:val="24"/>
          <w:lang w:val="en-US"/>
        </w:rPr>
        <w:t xml:space="preserve"> million recorded in </w:t>
      </w:r>
      <w:r w:rsidR="002739B4">
        <w:rPr>
          <w:rFonts w:ascii="Tahoma" w:hAnsi="Tahoma" w:cs="Tahoma"/>
          <w:sz w:val="24"/>
          <w:szCs w:val="24"/>
          <w:lang w:val="en-US"/>
        </w:rPr>
        <w:t>June</w:t>
      </w:r>
      <w:r w:rsidR="00A55EE7">
        <w:rPr>
          <w:rFonts w:ascii="Tahoma" w:hAnsi="Tahoma" w:cs="Tahoma"/>
          <w:sz w:val="24"/>
          <w:szCs w:val="24"/>
          <w:lang w:val="en-US"/>
        </w:rPr>
        <w:t xml:space="preserve"> 2024</w:t>
      </w:r>
      <w:r w:rsidR="00EB16D2">
        <w:rPr>
          <w:rFonts w:ascii="Tahoma" w:hAnsi="Tahoma" w:cs="Tahoma"/>
          <w:sz w:val="24"/>
          <w:szCs w:val="24"/>
          <w:lang w:val="en-US"/>
        </w:rPr>
        <w:t xml:space="preserve"> due to a</w:t>
      </w:r>
      <w:r w:rsidR="002739B4">
        <w:rPr>
          <w:rFonts w:ascii="Tahoma" w:hAnsi="Tahoma" w:cs="Tahoma"/>
          <w:sz w:val="24"/>
          <w:szCs w:val="24"/>
          <w:lang w:val="en-US"/>
        </w:rPr>
        <w:t xml:space="preserve"> rise in international trade activities</w:t>
      </w:r>
      <w:r>
        <w:rPr>
          <w:rFonts w:ascii="Tahoma" w:hAnsi="Tahoma" w:cs="Tahoma"/>
          <w:sz w:val="24"/>
          <w:szCs w:val="24"/>
          <w:lang w:val="en-US"/>
        </w:rPr>
        <w:t xml:space="preserve">. On a </w:t>
      </w:r>
      <w:r w:rsidR="00BC6C25">
        <w:rPr>
          <w:rFonts w:ascii="Tahoma" w:hAnsi="Tahoma" w:cs="Tahoma"/>
          <w:sz w:val="24"/>
          <w:szCs w:val="24"/>
          <w:lang w:val="en-US"/>
        </w:rPr>
        <w:t xml:space="preserve">YoY basis, merchandise trade </w:t>
      </w:r>
      <w:r w:rsidR="002739B4">
        <w:rPr>
          <w:rFonts w:ascii="Tahoma" w:hAnsi="Tahoma" w:cs="Tahoma"/>
          <w:sz w:val="24"/>
          <w:szCs w:val="24"/>
          <w:lang w:val="en-US"/>
        </w:rPr>
        <w:t>decreased</w:t>
      </w:r>
      <w:r w:rsidR="00BC6C25">
        <w:rPr>
          <w:rFonts w:ascii="Tahoma" w:hAnsi="Tahoma" w:cs="Tahoma"/>
          <w:sz w:val="24"/>
          <w:szCs w:val="24"/>
          <w:lang w:val="en-US"/>
        </w:rPr>
        <w:t xml:space="preserve"> by</w:t>
      </w:r>
      <w:r w:rsidR="002739B4">
        <w:rPr>
          <w:rFonts w:ascii="Tahoma" w:hAnsi="Tahoma" w:cs="Tahoma"/>
          <w:sz w:val="24"/>
          <w:szCs w:val="24"/>
          <w:lang w:val="en-US"/>
        </w:rPr>
        <w:t xml:space="preserve"> 1%</w:t>
      </w:r>
      <w:r w:rsidR="00BC6C25">
        <w:rPr>
          <w:rFonts w:ascii="Tahoma" w:hAnsi="Tahoma" w:cs="Tahoma"/>
          <w:sz w:val="24"/>
          <w:szCs w:val="24"/>
          <w:lang w:val="en-US"/>
        </w:rPr>
        <w:t xml:space="preserve"> from USD1</w:t>
      </w:r>
      <w:r w:rsidR="002739B4">
        <w:rPr>
          <w:rFonts w:ascii="Tahoma" w:hAnsi="Tahoma" w:cs="Tahoma"/>
          <w:sz w:val="24"/>
          <w:szCs w:val="24"/>
          <w:lang w:val="en-US"/>
        </w:rPr>
        <w:t>385.5 million</w:t>
      </w:r>
      <w:r w:rsidR="00BC6C25">
        <w:rPr>
          <w:rFonts w:ascii="Tahoma" w:hAnsi="Tahoma" w:cs="Tahoma"/>
          <w:sz w:val="24"/>
          <w:szCs w:val="24"/>
          <w:lang w:val="en-US"/>
        </w:rPr>
        <w:t xml:space="preserve"> in </w:t>
      </w:r>
      <w:r w:rsidR="00C22B1B">
        <w:rPr>
          <w:rFonts w:ascii="Tahoma" w:hAnsi="Tahoma" w:cs="Tahoma"/>
          <w:sz w:val="24"/>
          <w:szCs w:val="24"/>
          <w:lang w:val="en-US"/>
        </w:rPr>
        <w:t>J</w:t>
      </w:r>
      <w:r w:rsidR="00BC6C25">
        <w:rPr>
          <w:rFonts w:ascii="Tahoma" w:hAnsi="Tahoma" w:cs="Tahoma"/>
          <w:sz w:val="24"/>
          <w:szCs w:val="24"/>
          <w:lang w:val="en-US"/>
        </w:rPr>
        <w:t>u</w:t>
      </w:r>
      <w:r w:rsidR="002739B4">
        <w:rPr>
          <w:rFonts w:ascii="Tahoma" w:hAnsi="Tahoma" w:cs="Tahoma"/>
          <w:sz w:val="24"/>
          <w:szCs w:val="24"/>
          <w:lang w:val="en-US"/>
        </w:rPr>
        <w:t>ly</w:t>
      </w:r>
      <w:r w:rsidR="00BC6C25">
        <w:rPr>
          <w:rFonts w:ascii="Tahoma" w:hAnsi="Tahoma" w:cs="Tahoma"/>
          <w:sz w:val="24"/>
          <w:szCs w:val="24"/>
          <w:lang w:val="en-US"/>
        </w:rPr>
        <w:t xml:space="preserve"> 2023 </w:t>
      </w:r>
      <w:r w:rsidR="00EB16D2">
        <w:rPr>
          <w:rFonts w:ascii="Tahoma" w:hAnsi="Tahoma" w:cs="Tahoma"/>
          <w:sz w:val="24"/>
          <w:szCs w:val="24"/>
          <w:lang w:val="en-US"/>
        </w:rPr>
        <w:t>(</w:t>
      </w:r>
      <w:r w:rsidR="00A55EE7">
        <w:rPr>
          <w:rFonts w:ascii="Tahoma" w:hAnsi="Tahoma" w:cs="Tahoma"/>
          <w:sz w:val="24"/>
          <w:szCs w:val="24"/>
          <w:lang w:val="en-US"/>
        </w:rPr>
        <w:t>RBZ</w:t>
      </w:r>
      <w:r w:rsidR="00C928AA">
        <w:rPr>
          <w:rFonts w:ascii="Tahoma" w:hAnsi="Tahoma" w:cs="Tahoma"/>
          <w:sz w:val="24"/>
          <w:szCs w:val="24"/>
          <w:lang w:val="en-US"/>
        </w:rPr>
        <w:t xml:space="preserve"> July 2024</w:t>
      </w:r>
      <w:r w:rsidR="00A55EE7">
        <w:rPr>
          <w:rFonts w:ascii="Tahoma" w:hAnsi="Tahoma" w:cs="Tahoma"/>
          <w:sz w:val="24"/>
          <w:szCs w:val="24"/>
          <w:lang w:val="en-US"/>
        </w:rPr>
        <w:t xml:space="preserve"> Monthly Re</w:t>
      </w:r>
      <w:r w:rsidR="00C928AA">
        <w:rPr>
          <w:rFonts w:ascii="Tahoma" w:hAnsi="Tahoma" w:cs="Tahoma"/>
          <w:sz w:val="24"/>
          <w:szCs w:val="24"/>
          <w:lang w:val="en-US"/>
        </w:rPr>
        <w:t>view</w:t>
      </w:r>
      <w:r w:rsidR="00EB16D2">
        <w:rPr>
          <w:rFonts w:ascii="Tahoma" w:hAnsi="Tahoma" w:cs="Tahoma"/>
          <w:sz w:val="24"/>
          <w:szCs w:val="24"/>
          <w:lang w:val="en-US"/>
        </w:rPr>
        <w:t>).</w:t>
      </w:r>
    </w:p>
    <w:p w14:paraId="08DFC809" w14:textId="738742D8" w:rsidR="00D75883" w:rsidRDefault="00354CAD" w:rsidP="00340BCF">
      <w:pPr>
        <w:ind w:left="720" w:hanging="720"/>
        <w:jc w:val="both"/>
        <w:rPr>
          <w:rFonts w:ascii="Tahoma" w:hAnsi="Tahoma" w:cs="Tahoma"/>
          <w:noProof/>
          <w:sz w:val="24"/>
          <w:szCs w:val="24"/>
          <w:lang w:eastAsia="en-ZW"/>
        </w:rPr>
      </w:pPr>
      <w:r>
        <w:rPr>
          <w:rFonts w:ascii="Tahoma" w:hAnsi="Tahoma" w:cs="Tahoma"/>
          <w:noProof/>
          <w:sz w:val="24"/>
          <w:szCs w:val="24"/>
          <w:lang w:eastAsia="en-ZW"/>
        </w:rPr>
        <w:t>4.1</w:t>
      </w:r>
      <w:r w:rsidR="00056C3C">
        <w:rPr>
          <w:rFonts w:ascii="Tahoma" w:hAnsi="Tahoma" w:cs="Tahoma"/>
          <w:noProof/>
          <w:sz w:val="24"/>
          <w:szCs w:val="24"/>
          <w:lang w:eastAsia="en-ZW"/>
        </w:rPr>
        <w:tab/>
      </w:r>
      <w:r w:rsidR="007F731D">
        <w:rPr>
          <w:rFonts w:ascii="Tahoma" w:hAnsi="Tahoma" w:cs="Tahoma"/>
          <w:noProof/>
          <w:sz w:val="24"/>
          <w:szCs w:val="24"/>
          <w:lang w:eastAsia="en-ZW"/>
        </w:rPr>
        <w:t>T</w:t>
      </w:r>
      <w:r w:rsidR="005621AD">
        <w:rPr>
          <w:rFonts w:ascii="Tahoma" w:hAnsi="Tahoma" w:cs="Tahoma"/>
          <w:noProof/>
          <w:sz w:val="24"/>
          <w:szCs w:val="24"/>
          <w:lang w:eastAsia="en-ZW"/>
        </w:rPr>
        <w:t xml:space="preserve">rade deficit stood at </w:t>
      </w:r>
      <w:r w:rsidR="007F731D">
        <w:rPr>
          <w:rFonts w:ascii="Tahoma" w:hAnsi="Tahoma" w:cs="Tahoma"/>
          <w:noProof/>
          <w:sz w:val="24"/>
          <w:szCs w:val="24"/>
          <w:lang w:eastAsia="en-ZW"/>
        </w:rPr>
        <w:t>USD274.8</w:t>
      </w:r>
      <w:r>
        <w:rPr>
          <w:rFonts w:ascii="Tahoma" w:hAnsi="Tahoma" w:cs="Tahoma"/>
          <w:noProof/>
          <w:sz w:val="24"/>
          <w:szCs w:val="24"/>
          <w:lang w:eastAsia="en-ZW"/>
        </w:rPr>
        <w:t xml:space="preserve"> million,</w:t>
      </w:r>
      <w:r w:rsidR="005621AD">
        <w:rPr>
          <w:rFonts w:ascii="Tahoma" w:hAnsi="Tahoma" w:cs="Tahoma"/>
          <w:noProof/>
          <w:sz w:val="24"/>
          <w:szCs w:val="24"/>
          <w:lang w:eastAsia="en-ZW"/>
        </w:rPr>
        <w:t xml:space="preserve"> which was higher than the USD</w:t>
      </w:r>
      <w:r w:rsidR="007F731D">
        <w:rPr>
          <w:rFonts w:ascii="Tahoma" w:hAnsi="Tahoma" w:cs="Tahoma"/>
          <w:noProof/>
          <w:sz w:val="24"/>
          <w:szCs w:val="24"/>
          <w:lang w:eastAsia="en-ZW"/>
        </w:rPr>
        <w:t>218.9</w:t>
      </w:r>
      <w:r w:rsidR="005621AD">
        <w:rPr>
          <w:rFonts w:ascii="Tahoma" w:hAnsi="Tahoma" w:cs="Tahoma"/>
          <w:noProof/>
          <w:sz w:val="24"/>
          <w:szCs w:val="24"/>
          <w:lang w:eastAsia="en-ZW"/>
        </w:rPr>
        <w:t xml:space="preserve"> million</w:t>
      </w:r>
      <w:r w:rsidR="00D75883">
        <w:rPr>
          <w:rFonts w:ascii="Tahoma" w:hAnsi="Tahoma" w:cs="Tahoma"/>
          <w:noProof/>
          <w:sz w:val="24"/>
          <w:szCs w:val="24"/>
          <w:lang w:eastAsia="en-ZW"/>
        </w:rPr>
        <w:t xml:space="preserve"> recorded</w:t>
      </w:r>
      <w:r w:rsidR="005621AD">
        <w:rPr>
          <w:rFonts w:ascii="Tahoma" w:hAnsi="Tahoma" w:cs="Tahoma"/>
          <w:noProof/>
          <w:sz w:val="24"/>
          <w:szCs w:val="24"/>
          <w:lang w:eastAsia="en-ZW"/>
        </w:rPr>
        <w:t xml:space="preserve"> in </w:t>
      </w:r>
      <w:r w:rsidR="007F731D">
        <w:rPr>
          <w:rFonts w:ascii="Tahoma" w:hAnsi="Tahoma" w:cs="Tahoma"/>
          <w:noProof/>
          <w:sz w:val="24"/>
          <w:szCs w:val="24"/>
          <w:lang w:eastAsia="en-ZW"/>
        </w:rPr>
        <w:t>June</w:t>
      </w:r>
      <w:r w:rsidR="005621AD">
        <w:rPr>
          <w:rFonts w:ascii="Tahoma" w:hAnsi="Tahoma" w:cs="Tahoma"/>
          <w:noProof/>
          <w:sz w:val="24"/>
          <w:szCs w:val="24"/>
          <w:lang w:eastAsia="en-ZW"/>
        </w:rPr>
        <w:t xml:space="preserve"> 2024. </w:t>
      </w:r>
      <w:r w:rsidR="00D75883">
        <w:rPr>
          <w:rFonts w:ascii="Tahoma" w:hAnsi="Tahoma" w:cs="Tahoma"/>
          <w:noProof/>
          <w:sz w:val="24"/>
          <w:szCs w:val="24"/>
          <w:lang w:eastAsia="en-ZW"/>
        </w:rPr>
        <w:t xml:space="preserve">This is mainly attributed </w:t>
      </w:r>
      <w:r w:rsidR="007F731D">
        <w:rPr>
          <w:rFonts w:ascii="Tahoma" w:hAnsi="Tahoma" w:cs="Tahoma"/>
          <w:noProof/>
          <w:sz w:val="24"/>
          <w:szCs w:val="24"/>
          <w:lang w:eastAsia="en-ZW"/>
        </w:rPr>
        <w:t xml:space="preserve">importation of maize to </w:t>
      </w:r>
      <w:r w:rsidR="00842AA1">
        <w:rPr>
          <w:rFonts w:ascii="Tahoma" w:hAnsi="Tahoma" w:cs="Tahoma"/>
          <w:noProof/>
          <w:sz w:val="24"/>
          <w:szCs w:val="24"/>
          <w:lang w:eastAsia="en-ZW"/>
        </w:rPr>
        <w:t xml:space="preserve">curb impact of El-Nino drought. </w:t>
      </w:r>
      <w:r w:rsidR="005621AD">
        <w:rPr>
          <w:rFonts w:ascii="Tahoma" w:hAnsi="Tahoma" w:cs="Tahoma"/>
          <w:noProof/>
          <w:sz w:val="24"/>
          <w:szCs w:val="24"/>
          <w:lang w:eastAsia="en-ZW"/>
        </w:rPr>
        <w:t xml:space="preserve">The import bill </w:t>
      </w:r>
      <w:r w:rsidR="00842AA1">
        <w:rPr>
          <w:rFonts w:ascii="Tahoma" w:hAnsi="Tahoma" w:cs="Tahoma"/>
          <w:noProof/>
          <w:sz w:val="24"/>
          <w:szCs w:val="24"/>
          <w:lang w:eastAsia="en-ZW"/>
        </w:rPr>
        <w:t>amounted to</w:t>
      </w:r>
      <w:r w:rsidR="005621AD">
        <w:rPr>
          <w:rFonts w:ascii="Tahoma" w:hAnsi="Tahoma" w:cs="Tahoma"/>
          <w:noProof/>
          <w:sz w:val="24"/>
          <w:szCs w:val="24"/>
          <w:lang w:eastAsia="en-ZW"/>
        </w:rPr>
        <w:t xml:space="preserve"> USD</w:t>
      </w:r>
      <w:r w:rsidR="00842AA1">
        <w:rPr>
          <w:rFonts w:ascii="Tahoma" w:hAnsi="Tahoma" w:cs="Tahoma"/>
          <w:noProof/>
          <w:sz w:val="24"/>
          <w:szCs w:val="24"/>
          <w:lang w:eastAsia="en-ZW"/>
        </w:rPr>
        <w:t>823.1</w:t>
      </w:r>
      <w:r w:rsidR="005621AD">
        <w:rPr>
          <w:rFonts w:ascii="Tahoma" w:hAnsi="Tahoma" w:cs="Tahoma"/>
          <w:noProof/>
          <w:sz w:val="24"/>
          <w:szCs w:val="24"/>
          <w:lang w:eastAsia="en-ZW"/>
        </w:rPr>
        <w:t xml:space="preserve"> million </w:t>
      </w:r>
      <w:r w:rsidR="00D75883">
        <w:rPr>
          <w:rFonts w:ascii="Tahoma" w:hAnsi="Tahoma" w:cs="Tahoma"/>
          <w:noProof/>
          <w:sz w:val="24"/>
          <w:szCs w:val="24"/>
          <w:lang w:eastAsia="en-ZW"/>
        </w:rPr>
        <w:t>in Ju</w:t>
      </w:r>
      <w:r w:rsidR="00842AA1">
        <w:rPr>
          <w:rFonts w:ascii="Tahoma" w:hAnsi="Tahoma" w:cs="Tahoma"/>
          <w:noProof/>
          <w:sz w:val="24"/>
          <w:szCs w:val="24"/>
          <w:lang w:eastAsia="en-ZW"/>
        </w:rPr>
        <w:t>ly</w:t>
      </w:r>
      <w:r w:rsidR="00D75883">
        <w:rPr>
          <w:rFonts w:ascii="Tahoma" w:hAnsi="Tahoma" w:cs="Tahoma"/>
          <w:noProof/>
          <w:sz w:val="24"/>
          <w:szCs w:val="24"/>
          <w:lang w:eastAsia="en-ZW"/>
        </w:rPr>
        <w:t xml:space="preserve"> 2024 </w:t>
      </w:r>
      <w:r w:rsidR="005621AD">
        <w:rPr>
          <w:rFonts w:ascii="Tahoma" w:hAnsi="Tahoma" w:cs="Tahoma"/>
          <w:noProof/>
          <w:sz w:val="24"/>
          <w:szCs w:val="24"/>
          <w:lang w:eastAsia="en-ZW"/>
        </w:rPr>
        <w:t xml:space="preserve">reflecting a </w:t>
      </w:r>
      <w:r w:rsidR="00842AA1">
        <w:rPr>
          <w:rFonts w:ascii="Tahoma" w:hAnsi="Tahoma" w:cs="Tahoma"/>
          <w:noProof/>
          <w:sz w:val="24"/>
          <w:szCs w:val="24"/>
          <w:lang w:eastAsia="en-ZW"/>
        </w:rPr>
        <w:t>1</w:t>
      </w:r>
      <w:r w:rsidR="005621AD">
        <w:rPr>
          <w:rFonts w:ascii="Tahoma" w:hAnsi="Tahoma" w:cs="Tahoma"/>
          <w:noProof/>
          <w:sz w:val="24"/>
          <w:szCs w:val="24"/>
          <w:lang w:eastAsia="en-ZW"/>
        </w:rPr>
        <w:t>0.</w:t>
      </w:r>
      <w:r w:rsidR="00842AA1">
        <w:rPr>
          <w:rFonts w:ascii="Tahoma" w:hAnsi="Tahoma" w:cs="Tahoma"/>
          <w:noProof/>
          <w:sz w:val="24"/>
          <w:szCs w:val="24"/>
          <w:lang w:eastAsia="en-ZW"/>
        </w:rPr>
        <w:t>2</w:t>
      </w:r>
      <w:r w:rsidR="005621AD">
        <w:rPr>
          <w:rFonts w:ascii="Tahoma" w:hAnsi="Tahoma" w:cs="Tahoma"/>
          <w:noProof/>
          <w:sz w:val="24"/>
          <w:szCs w:val="24"/>
          <w:lang w:eastAsia="en-ZW"/>
        </w:rPr>
        <w:t>% increase from</w:t>
      </w:r>
      <w:r w:rsidR="00842AA1">
        <w:rPr>
          <w:rFonts w:ascii="Tahoma" w:hAnsi="Tahoma" w:cs="Tahoma"/>
          <w:noProof/>
          <w:sz w:val="24"/>
          <w:szCs w:val="24"/>
          <w:lang w:eastAsia="en-ZW"/>
        </w:rPr>
        <w:t xml:space="preserve"> USD746.7 million recorded in June 2024. In July 2023, the import bill amounted to USD782.3 million. Exports stood at USD548.3 million in July 2024, a 4.5% increase from USD524.7 million in June 2024 due to rise in gold exports driven by increase increase in global demand of the yellow metal. </w:t>
      </w:r>
      <w:r w:rsidR="001B3048">
        <w:rPr>
          <w:rFonts w:ascii="Tahoma" w:hAnsi="Tahoma" w:cs="Tahoma"/>
          <w:noProof/>
          <w:sz w:val="24"/>
          <w:szCs w:val="24"/>
          <w:lang w:eastAsia="en-ZW"/>
        </w:rPr>
        <w:t xml:space="preserve">(see </w:t>
      </w:r>
      <w:r w:rsidR="00780641">
        <w:rPr>
          <w:rFonts w:ascii="Tahoma" w:hAnsi="Tahoma" w:cs="Tahoma"/>
          <w:noProof/>
          <w:sz w:val="24"/>
          <w:szCs w:val="24"/>
          <w:lang w:eastAsia="en-ZW"/>
        </w:rPr>
        <w:t xml:space="preserve">Figure </w:t>
      </w:r>
      <w:r w:rsidR="00DA75D2">
        <w:rPr>
          <w:rFonts w:ascii="Tahoma" w:hAnsi="Tahoma" w:cs="Tahoma"/>
          <w:noProof/>
          <w:sz w:val="24"/>
          <w:szCs w:val="24"/>
          <w:lang w:eastAsia="en-ZW"/>
        </w:rPr>
        <w:t>1</w:t>
      </w:r>
      <w:r w:rsidR="001B3048">
        <w:rPr>
          <w:rFonts w:ascii="Tahoma" w:hAnsi="Tahoma" w:cs="Tahoma"/>
          <w:noProof/>
          <w:sz w:val="24"/>
          <w:szCs w:val="24"/>
          <w:lang w:eastAsia="en-ZW"/>
        </w:rPr>
        <w:t>).</w:t>
      </w:r>
    </w:p>
    <w:p w14:paraId="0C09BD24" w14:textId="77777777" w:rsidR="00D75883" w:rsidRPr="00E1754A" w:rsidRDefault="00D75883" w:rsidP="00D75883">
      <w:pPr>
        <w:pStyle w:val="ListofFigures"/>
      </w:pPr>
      <w:bookmarkStart w:id="25" w:name="_Toc179990248"/>
      <w:r w:rsidRPr="00863A17">
        <w:t xml:space="preserve">Figure </w:t>
      </w:r>
      <w:r w:rsidR="00CB2650">
        <w:rPr>
          <w:bCs/>
        </w:rPr>
        <w:t>1</w:t>
      </w:r>
      <w:r w:rsidRPr="00863A17">
        <w:t xml:space="preserve">: </w:t>
      </w:r>
      <w:r>
        <w:rPr>
          <w:lang w:val="en-US"/>
        </w:rPr>
        <w:t>Merchandise Trade Developments</w:t>
      </w:r>
      <w:bookmarkEnd w:id="25"/>
      <w:r>
        <w:rPr>
          <w:lang w:val="en-US"/>
        </w:rPr>
        <w:t xml:space="preserve"> </w:t>
      </w:r>
    </w:p>
    <w:p w14:paraId="6CA9C692" w14:textId="3EDD0F01" w:rsidR="00D75883" w:rsidRDefault="00F02064" w:rsidP="00D75883">
      <w:pPr>
        <w:spacing w:after="0"/>
        <w:ind w:left="720" w:hanging="720"/>
        <w:jc w:val="both"/>
        <w:rPr>
          <w:noProof/>
          <w:lang w:eastAsia="en-ZW"/>
        </w:rPr>
      </w:pPr>
      <w:r w:rsidRPr="00C92BB8">
        <w:rPr>
          <w:noProof/>
        </w:rPr>
        <w:drawing>
          <wp:inline distT="0" distB="0" distL="0" distR="0" wp14:anchorId="4F66DADA" wp14:editId="591248BF">
            <wp:extent cx="5732145" cy="2667000"/>
            <wp:effectExtent l="0" t="0" r="1905" b="0"/>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33CD98" w14:textId="77777777" w:rsidR="00D75883" w:rsidRPr="00746F8E" w:rsidRDefault="00D75883" w:rsidP="00D75883">
      <w:pPr>
        <w:spacing w:after="0"/>
        <w:ind w:left="720" w:hanging="720"/>
        <w:jc w:val="both"/>
        <w:rPr>
          <w:rFonts w:ascii="Tahoma" w:hAnsi="Tahoma" w:cs="Tahoma"/>
          <w:i/>
          <w:noProof/>
          <w:sz w:val="24"/>
          <w:szCs w:val="24"/>
          <w:lang w:eastAsia="en-ZW"/>
        </w:rPr>
      </w:pPr>
      <w:r w:rsidRPr="00746F8E">
        <w:rPr>
          <w:rFonts w:ascii="Tahoma" w:hAnsi="Tahoma" w:cs="Tahoma"/>
          <w:i/>
          <w:noProof/>
          <w:sz w:val="24"/>
          <w:szCs w:val="24"/>
          <w:lang w:eastAsia="en-ZW"/>
        </w:rPr>
        <w:t>Source: RBZ (2024)</w:t>
      </w:r>
    </w:p>
    <w:p w14:paraId="0663121F" w14:textId="77777777" w:rsidR="00D75883" w:rsidRPr="00354CAD" w:rsidRDefault="00D75883" w:rsidP="00C262AF">
      <w:pPr>
        <w:ind w:left="720" w:hanging="720"/>
        <w:jc w:val="both"/>
        <w:rPr>
          <w:rFonts w:ascii="Tahoma" w:hAnsi="Tahoma" w:cs="Tahoma"/>
          <w:sz w:val="24"/>
          <w:szCs w:val="24"/>
          <w:lang w:val="en-US"/>
        </w:rPr>
      </w:pPr>
    </w:p>
    <w:p w14:paraId="21BAD0D5" w14:textId="77777777" w:rsidR="00EF37FE" w:rsidRPr="00086539" w:rsidRDefault="00B1678A" w:rsidP="009F5CE5">
      <w:pPr>
        <w:pStyle w:val="Heading1"/>
        <w:spacing w:before="0" w:after="240" w:line="240" w:lineRule="auto"/>
        <w:rPr>
          <w:rFonts w:cs="Tahoma"/>
          <w:bCs/>
          <w:color w:val="000000"/>
          <w:szCs w:val="24"/>
          <w:lang w:val="en-US"/>
        </w:rPr>
      </w:pPr>
      <w:bookmarkStart w:id="26" w:name="_Toc166607895"/>
      <w:bookmarkStart w:id="27" w:name="_Toc181022183"/>
      <w:r w:rsidRPr="00086539">
        <w:rPr>
          <w:rFonts w:cs="Tahoma"/>
          <w:bCs/>
          <w:color w:val="000000"/>
          <w:szCs w:val="24"/>
          <w:lang w:val="en-US"/>
        </w:rPr>
        <w:t>5.0</w:t>
      </w:r>
      <w:r w:rsidRPr="00086539">
        <w:rPr>
          <w:rFonts w:cs="Tahoma"/>
          <w:bCs/>
          <w:color w:val="000000"/>
          <w:szCs w:val="24"/>
          <w:lang w:val="en-US"/>
        </w:rPr>
        <w:tab/>
      </w:r>
      <w:r w:rsidR="00EF37FE" w:rsidRPr="00086539">
        <w:rPr>
          <w:rFonts w:cs="Tahoma"/>
          <w:bCs/>
          <w:color w:val="000000"/>
          <w:szCs w:val="24"/>
          <w:lang w:val="en-US"/>
        </w:rPr>
        <w:t>Exchange Rate Developments</w:t>
      </w:r>
      <w:bookmarkEnd w:id="26"/>
      <w:bookmarkEnd w:id="27"/>
      <w:r w:rsidR="00EF37FE" w:rsidRPr="00086539">
        <w:rPr>
          <w:rFonts w:cs="Tahoma"/>
          <w:bCs/>
          <w:color w:val="000000"/>
          <w:szCs w:val="24"/>
          <w:lang w:val="en-US"/>
        </w:rPr>
        <w:t xml:space="preserve"> </w:t>
      </w:r>
    </w:p>
    <w:p w14:paraId="16EA3D3E" w14:textId="77777777" w:rsidR="00EF25BB" w:rsidRPr="00863A17" w:rsidRDefault="00B1678A" w:rsidP="003C1D2F">
      <w:pPr>
        <w:pStyle w:val="Heading2"/>
        <w:spacing w:before="0" w:after="240" w:line="240" w:lineRule="auto"/>
        <w:rPr>
          <w:rFonts w:cs="Tahoma"/>
          <w:b/>
          <w:color w:val="000000"/>
          <w:szCs w:val="24"/>
          <w:lang w:val="en-US"/>
        </w:rPr>
      </w:pPr>
      <w:bookmarkStart w:id="28" w:name="_Toc166607896"/>
      <w:bookmarkStart w:id="29" w:name="_Toc181022184"/>
      <w:r w:rsidRPr="00863A17">
        <w:rPr>
          <w:rFonts w:cs="Tahoma"/>
          <w:b/>
          <w:color w:val="000000"/>
          <w:szCs w:val="24"/>
          <w:lang w:val="en-US"/>
        </w:rPr>
        <w:t>5.1</w:t>
      </w:r>
      <w:r w:rsidRPr="00863A17">
        <w:rPr>
          <w:rFonts w:cs="Tahoma"/>
          <w:b/>
          <w:color w:val="000000"/>
          <w:szCs w:val="24"/>
          <w:lang w:val="en-US"/>
        </w:rPr>
        <w:tab/>
      </w:r>
      <w:r w:rsidR="0093372C">
        <w:rPr>
          <w:rFonts w:cs="Tahoma"/>
          <w:b/>
          <w:color w:val="000000"/>
          <w:szCs w:val="24"/>
          <w:lang w:val="en-US"/>
        </w:rPr>
        <w:t>ZWG</w:t>
      </w:r>
      <w:r w:rsidR="00EF25BB" w:rsidRPr="00863A17">
        <w:rPr>
          <w:rFonts w:cs="Tahoma"/>
          <w:b/>
          <w:color w:val="000000"/>
          <w:szCs w:val="24"/>
          <w:lang w:val="en-US"/>
        </w:rPr>
        <w:t xml:space="preserve"> Exchange Rate Developments</w:t>
      </w:r>
      <w:bookmarkEnd w:id="28"/>
      <w:bookmarkEnd w:id="29"/>
      <w:r w:rsidR="00EF25BB" w:rsidRPr="00863A17">
        <w:rPr>
          <w:rFonts w:cs="Tahoma"/>
          <w:b/>
          <w:color w:val="000000"/>
          <w:szCs w:val="24"/>
          <w:lang w:val="en-US"/>
        </w:rPr>
        <w:t xml:space="preserve"> </w:t>
      </w:r>
    </w:p>
    <w:p w14:paraId="333C4067" w14:textId="77777777" w:rsidR="00D51501" w:rsidRPr="00D51501" w:rsidRDefault="00D51501" w:rsidP="00D51501">
      <w:pPr>
        <w:ind w:left="720" w:hanging="720"/>
        <w:jc w:val="both"/>
        <w:rPr>
          <w:rFonts w:ascii="Tahoma" w:hAnsi="Tahoma" w:cs="Tahoma"/>
          <w:sz w:val="24"/>
          <w:szCs w:val="24"/>
          <w:lang w:val="en-US"/>
        </w:rPr>
      </w:pPr>
      <w:r w:rsidRPr="00D51501">
        <w:rPr>
          <w:rFonts w:ascii="Tahoma" w:hAnsi="Tahoma" w:cs="Tahoma"/>
          <w:sz w:val="24"/>
          <w:szCs w:val="24"/>
          <w:lang w:val="en-US"/>
        </w:rPr>
        <w:t>5.1.1</w:t>
      </w:r>
      <w:r w:rsidRPr="00D51501">
        <w:rPr>
          <w:rFonts w:ascii="Tahoma" w:hAnsi="Tahoma" w:cs="Tahoma"/>
          <w:sz w:val="24"/>
          <w:szCs w:val="24"/>
          <w:lang w:val="en-US"/>
        </w:rPr>
        <w:tab/>
      </w:r>
      <w:r w:rsidR="00E71AD8">
        <w:rPr>
          <w:rFonts w:ascii="Tahoma" w:hAnsi="Tahoma" w:cs="Tahoma"/>
          <w:sz w:val="24"/>
          <w:szCs w:val="24"/>
          <w:lang w:val="en-US"/>
        </w:rPr>
        <w:t>In September 2024, t</w:t>
      </w:r>
      <w:r w:rsidRPr="00D51501">
        <w:rPr>
          <w:rFonts w:ascii="Tahoma" w:hAnsi="Tahoma" w:cs="Tahoma"/>
          <w:sz w:val="24"/>
          <w:szCs w:val="24"/>
          <w:lang w:val="en-US"/>
        </w:rPr>
        <w:t xml:space="preserve">he ZWG </w:t>
      </w:r>
      <w:r w:rsidR="00E71AD8">
        <w:rPr>
          <w:rFonts w:ascii="Tahoma" w:hAnsi="Tahoma" w:cs="Tahoma"/>
          <w:sz w:val="24"/>
          <w:szCs w:val="24"/>
          <w:lang w:val="en-US"/>
        </w:rPr>
        <w:t>lost value</w:t>
      </w:r>
      <w:r w:rsidRPr="00D51501">
        <w:rPr>
          <w:rFonts w:ascii="Tahoma" w:hAnsi="Tahoma" w:cs="Tahoma"/>
          <w:sz w:val="24"/>
          <w:szCs w:val="24"/>
          <w:lang w:val="en-US"/>
        </w:rPr>
        <w:t xml:space="preserve"> against all major currencies as shown in Table 4.</w:t>
      </w:r>
      <w:r w:rsidR="00E71AD8">
        <w:rPr>
          <w:rFonts w:ascii="Tahoma" w:hAnsi="Tahoma" w:cs="Tahoma"/>
          <w:sz w:val="24"/>
          <w:szCs w:val="24"/>
          <w:lang w:val="en-US"/>
        </w:rPr>
        <w:t xml:space="preserve"> The ZWG lost against the USD, GBP, EUR and ZAR by 209.52%, </w:t>
      </w:r>
      <w:r w:rsidR="00E71AD8">
        <w:rPr>
          <w:rFonts w:ascii="Tahoma" w:hAnsi="Tahoma" w:cs="Tahoma"/>
          <w:sz w:val="24"/>
          <w:szCs w:val="24"/>
          <w:lang w:val="en-US"/>
        </w:rPr>
        <w:lastRenderedPageBreak/>
        <w:t>82.68%, 81.09% and 86.74% respectively.</w:t>
      </w:r>
      <w:r w:rsidRPr="00D51501">
        <w:rPr>
          <w:rFonts w:ascii="Tahoma" w:hAnsi="Tahoma" w:cs="Tahoma"/>
          <w:sz w:val="24"/>
          <w:szCs w:val="24"/>
          <w:lang w:val="en-US"/>
        </w:rPr>
        <w:t xml:space="preserve"> The ZWG also lost value against the USD, GBP, EUR and ZAR both on </w:t>
      </w:r>
      <w:r w:rsidR="001E6E33">
        <w:rPr>
          <w:rFonts w:ascii="Tahoma" w:hAnsi="Tahoma" w:cs="Tahoma"/>
          <w:sz w:val="24"/>
          <w:szCs w:val="24"/>
          <w:lang w:val="en-US"/>
        </w:rPr>
        <w:t xml:space="preserve">YtD </w:t>
      </w:r>
      <w:r w:rsidRPr="00D51501">
        <w:rPr>
          <w:rFonts w:ascii="Tahoma" w:hAnsi="Tahoma" w:cs="Tahoma"/>
          <w:sz w:val="24"/>
          <w:szCs w:val="24"/>
          <w:lang w:val="en-US"/>
        </w:rPr>
        <w:t xml:space="preserve">and </w:t>
      </w:r>
      <w:r w:rsidR="001E6E33">
        <w:rPr>
          <w:rFonts w:ascii="Tahoma" w:hAnsi="Tahoma" w:cs="Tahoma"/>
          <w:sz w:val="24"/>
          <w:szCs w:val="24"/>
          <w:lang w:val="en-US"/>
        </w:rPr>
        <w:t>YoY</w:t>
      </w:r>
      <w:r w:rsidRPr="00D51501">
        <w:rPr>
          <w:rFonts w:ascii="Tahoma" w:hAnsi="Tahoma" w:cs="Tahoma"/>
          <w:sz w:val="24"/>
          <w:szCs w:val="24"/>
          <w:lang w:val="en-US"/>
        </w:rPr>
        <w:t xml:space="preserve"> (see Table 4).</w:t>
      </w:r>
      <w:r w:rsidR="007A33C0">
        <w:rPr>
          <w:rFonts w:ascii="Tahoma" w:hAnsi="Tahoma" w:cs="Tahoma"/>
          <w:sz w:val="24"/>
          <w:szCs w:val="24"/>
          <w:lang w:val="en-US"/>
        </w:rPr>
        <w:t xml:space="preserve"> This was mainly driven by ZWG devaluation by the RBZ</w:t>
      </w:r>
      <w:r w:rsidR="009A23A4">
        <w:rPr>
          <w:rFonts w:ascii="Tahoma" w:hAnsi="Tahoma" w:cs="Tahoma"/>
          <w:sz w:val="24"/>
          <w:szCs w:val="24"/>
          <w:lang w:val="en-US"/>
        </w:rPr>
        <w:t xml:space="preserve"> on the 27</w:t>
      </w:r>
      <w:r w:rsidR="009A23A4" w:rsidRPr="009A23A4">
        <w:rPr>
          <w:rFonts w:ascii="Tahoma" w:hAnsi="Tahoma" w:cs="Tahoma"/>
          <w:sz w:val="24"/>
          <w:szCs w:val="24"/>
          <w:vertAlign w:val="superscript"/>
          <w:lang w:val="en-US"/>
        </w:rPr>
        <w:t>th</w:t>
      </w:r>
      <w:r w:rsidR="009A23A4">
        <w:rPr>
          <w:rFonts w:ascii="Tahoma" w:hAnsi="Tahoma" w:cs="Tahoma"/>
          <w:sz w:val="24"/>
          <w:szCs w:val="24"/>
          <w:lang w:val="en-US"/>
        </w:rPr>
        <w:t xml:space="preserve"> of September 2024</w:t>
      </w:r>
      <w:r w:rsidR="007A33C0">
        <w:rPr>
          <w:rFonts w:ascii="Tahoma" w:hAnsi="Tahoma" w:cs="Tahoma"/>
          <w:sz w:val="24"/>
          <w:szCs w:val="24"/>
          <w:lang w:val="en-US"/>
        </w:rPr>
        <w:t>.</w:t>
      </w:r>
    </w:p>
    <w:p w14:paraId="297F70D5" w14:textId="77777777" w:rsidR="00D51501" w:rsidRPr="00134E84" w:rsidRDefault="00D51501" w:rsidP="00134E84">
      <w:pPr>
        <w:pStyle w:val="ListofTables"/>
      </w:pPr>
      <w:bookmarkStart w:id="30" w:name="_Toc181022048"/>
      <w:r w:rsidRPr="00134E84">
        <w:t xml:space="preserve">Table </w:t>
      </w:r>
      <w:r w:rsidR="007B4687" w:rsidRPr="00134E84">
        <w:t>3</w:t>
      </w:r>
      <w:r w:rsidRPr="00134E84">
        <w:t>: ZWG Exchange Rate Movements</w:t>
      </w:r>
      <w:r w:rsidR="00824F12">
        <w:t xml:space="preserve"> - </w:t>
      </w:r>
      <w:r w:rsidRPr="00134E84">
        <w:t xml:space="preserve">Month Ending 30 </w:t>
      </w:r>
      <w:r w:rsidR="00824F12">
        <w:t>September</w:t>
      </w:r>
      <w:r w:rsidRPr="00134E84">
        <w:t xml:space="preserve"> 2024</w:t>
      </w:r>
      <w:bookmarkEnd w:id="30"/>
    </w:p>
    <w:p w14:paraId="191864D0" w14:textId="285B4F81" w:rsidR="00D51501" w:rsidRPr="00D51501" w:rsidRDefault="00F02064" w:rsidP="00134E84">
      <w:pPr>
        <w:spacing w:after="0"/>
        <w:ind w:left="720" w:hanging="720"/>
        <w:jc w:val="both"/>
        <w:rPr>
          <w:rFonts w:ascii="Tahoma" w:hAnsi="Tahoma" w:cs="Tahoma"/>
          <w:sz w:val="24"/>
          <w:szCs w:val="24"/>
          <w:lang w:val="en-US"/>
        </w:rPr>
      </w:pPr>
      <w:r w:rsidRPr="00824F12">
        <w:rPr>
          <w:noProof/>
        </w:rPr>
        <w:drawing>
          <wp:inline distT="0" distB="0" distL="0" distR="0" wp14:anchorId="37E6C7D2" wp14:editId="0327C91F">
            <wp:extent cx="5734050" cy="12858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285875"/>
                    </a:xfrm>
                    <a:prstGeom prst="rect">
                      <a:avLst/>
                    </a:prstGeom>
                    <a:noFill/>
                    <a:ln>
                      <a:noFill/>
                    </a:ln>
                  </pic:spPr>
                </pic:pic>
              </a:graphicData>
            </a:graphic>
          </wp:inline>
        </w:drawing>
      </w:r>
    </w:p>
    <w:p w14:paraId="57E03356" w14:textId="77777777" w:rsidR="00D51501" w:rsidRDefault="00D51501" w:rsidP="00340BCF">
      <w:pPr>
        <w:spacing w:after="0"/>
        <w:ind w:left="720" w:hanging="720"/>
        <w:jc w:val="both"/>
        <w:rPr>
          <w:rFonts w:ascii="Tahoma" w:hAnsi="Tahoma" w:cs="Tahoma"/>
          <w:sz w:val="24"/>
          <w:szCs w:val="24"/>
          <w:lang w:val="en-US"/>
        </w:rPr>
      </w:pPr>
      <w:r w:rsidRPr="00D51501">
        <w:rPr>
          <w:rFonts w:ascii="Tahoma" w:hAnsi="Tahoma" w:cs="Tahoma"/>
          <w:i/>
          <w:sz w:val="24"/>
          <w:szCs w:val="24"/>
          <w:lang w:val="en-US"/>
        </w:rPr>
        <w:t xml:space="preserve">Source: RBZ (2024) </w:t>
      </w:r>
    </w:p>
    <w:p w14:paraId="4F1E57C9" w14:textId="77777777" w:rsidR="00340BCF" w:rsidRDefault="00340BCF" w:rsidP="00340BCF">
      <w:pPr>
        <w:spacing w:after="0"/>
        <w:ind w:left="720" w:hanging="720"/>
        <w:jc w:val="both"/>
        <w:rPr>
          <w:rFonts w:ascii="Tahoma" w:hAnsi="Tahoma" w:cs="Tahoma"/>
          <w:sz w:val="24"/>
          <w:szCs w:val="24"/>
          <w:lang w:val="en-US"/>
        </w:rPr>
      </w:pPr>
    </w:p>
    <w:p w14:paraId="5A1AA949" w14:textId="77777777" w:rsidR="001E6E33" w:rsidRPr="00F05BD5" w:rsidRDefault="00D51501" w:rsidP="00F05BD5">
      <w:pPr>
        <w:pStyle w:val="Heading2"/>
        <w:spacing w:before="0" w:after="240" w:line="240" w:lineRule="auto"/>
        <w:rPr>
          <w:rFonts w:cs="Tahoma"/>
          <w:b/>
          <w:bCs/>
          <w:szCs w:val="24"/>
          <w:lang w:val="en-US"/>
        </w:rPr>
      </w:pPr>
      <w:bookmarkStart w:id="31" w:name="_Toc181022185"/>
      <w:r w:rsidRPr="00F05BD5">
        <w:rPr>
          <w:rFonts w:cs="Tahoma"/>
          <w:b/>
          <w:color w:val="000000"/>
          <w:szCs w:val="24"/>
          <w:lang w:val="en-US"/>
        </w:rPr>
        <w:t>5.</w:t>
      </w:r>
      <w:r w:rsidR="001E6E33" w:rsidRPr="00F05BD5">
        <w:rPr>
          <w:rFonts w:cs="Tahoma"/>
          <w:b/>
          <w:color w:val="000000"/>
          <w:szCs w:val="24"/>
          <w:lang w:val="en-US"/>
        </w:rPr>
        <w:t>2</w:t>
      </w:r>
      <w:r w:rsidR="001E6E33" w:rsidRPr="00F05BD5">
        <w:rPr>
          <w:rFonts w:cs="Tahoma"/>
          <w:b/>
          <w:color w:val="000000"/>
          <w:szCs w:val="24"/>
          <w:lang w:val="en-US"/>
        </w:rPr>
        <w:tab/>
        <w:t>Parallel Market Developments</w:t>
      </w:r>
      <w:bookmarkEnd w:id="31"/>
      <w:r w:rsidR="001E6E33" w:rsidRPr="00F05BD5">
        <w:rPr>
          <w:rFonts w:cs="Tahoma"/>
          <w:b/>
          <w:color w:val="000000"/>
          <w:szCs w:val="24"/>
          <w:lang w:val="en-US"/>
        </w:rPr>
        <w:t xml:space="preserve"> </w:t>
      </w:r>
    </w:p>
    <w:p w14:paraId="4BDD4B9B" w14:textId="0B4F2A13" w:rsidR="00C10419" w:rsidRPr="00E05277" w:rsidRDefault="001E6E33" w:rsidP="00E05277">
      <w:pPr>
        <w:ind w:left="720" w:hanging="720"/>
        <w:jc w:val="both"/>
        <w:rPr>
          <w:rFonts w:ascii="Tahoma" w:hAnsi="Tahoma" w:cs="Tahoma"/>
          <w:sz w:val="24"/>
          <w:szCs w:val="24"/>
          <w:lang w:val="en-US"/>
        </w:rPr>
      </w:pPr>
      <w:r>
        <w:rPr>
          <w:rFonts w:ascii="Tahoma" w:hAnsi="Tahoma" w:cs="Tahoma"/>
          <w:sz w:val="24"/>
          <w:szCs w:val="24"/>
          <w:lang w:val="en-US"/>
        </w:rPr>
        <w:t>5.2.1</w:t>
      </w:r>
      <w:r>
        <w:rPr>
          <w:rFonts w:ascii="Tahoma" w:hAnsi="Tahoma" w:cs="Tahoma"/>
          <w:sz w:val="24"/>
          <w:szCs w:val="24"/>
          <w:lang w:val="en-US"/>
        </w:rPr>
        <w:tab/>
        <w:t>During the month under review</w:t>
      </w:r>
      <w:r w:rsidR="00C10419">
        <w:rPr>
          <w:rFonts w:ascii="Tahoma" w:hAnsi="Tahoma" w:cs="Tahoma"/>
          <w:sz w:val="24"/>
          <w:szCs w:val="24"/>
          <w:lang w:val="en-US"/>
        </w:rPr>
        <w:t>,</w:t>
      </w:r>
      <w:r>
        <w:rPr>
          <w:rFonts w:ascii="Tahoma" w:hAnsi="Tahoma" w:cs="Tahoma"/>
          <w:sz w:val="24"/>
          <w:szCs w:val="24"/>
          <w:lang w:val="en-US"/>
        </w:rPr>
        <w:t xml:space="preserve"> </w:t>
      </w:r>
      <w:r w:rsidR="006E77DB">
        <w:rPr>
          <w:rFonts w:ascii="Tahoma" w:hAnsi="Tahoma" w:cs="Tahoma"/>
          <w:sz w:val="24"/>
          <w:szCs w:val="24"/>
          <w:lang w:val="en-US"/>
        </w:rPr>
        <w:t>parallel market rate fluctuated from USD/ZWG2</w:t>
      </w:r>
      <w:r w:rsidR="00A501EF">
        <w:rPr>
          <w:rFonts w:ascii="Tahoma" w:hAnsi="Tahoma" w:cs="Tahoma"/>
          <w:sz w:val="24"/>
          <w:szCs w:val="24"/>
          <w:lang w:val="en-US"/>
        </w:rPr>
        <w:t>3</w:t>
      </w:r>
      <w:r w:rsidR="006E77DB">
        <w:rPr>
          <w:rFonts w:ascii="Tahoma" w:hAnsi="Tahoma" w:cs="Tahoma"/>
          <w:sz w:val="24"/>
          <w:szCs w:val="24"/>
          <w:lang w:val="en-US"/>
        </w:rPr>
        <w:t xml:space="preserve"> to </w:t>
      </w:r>
      <w:r w:rsidR="006A505B">
        <w:rPr>
          <w:rFonts w:ascii="Tahoma" w:hAnsi="Tahoma" w:cs="Tahoma"/>
          <w:sz w:val="24"/>
          <w:szCs w:val="24"/>
          <w:lang w:val="en-US"/>
        </w:rPr>
        <w:t>USD/ZWG</w:t>
      </w:r>
      <w:r w:rsidR="00A501EF">
        <w:rPr>
          <w:rFonts w:ascii="Tahoma" w:hAnsi="Tahoma" w:cs="Tahoma"/>
          <w:sz w:val="24"/>
          <w:szCs w:val="24"/>
          <w:lang w:val="en-US"/>
        </w:rPr>
        <w:t>40</w:t>
      </w:r>
      <w:r w:rsidR="00843009">
        <w:rPr>
          <w:rFonts w:ascii="Tahoma" w:hAnsi="Tahoma" w:cs="Tahoma"/>
          <w:sz w:val="24"/>
          <w:szCs w:val="24"/>
          <w:lang w:val="en-US"/>
        </w:rPr>
        <w:t xml:space="preserve"> </w:t>
      </w:r>
      <w:r w:rsidR="0020440A">
        <w:rPr>
          <w:rFonts w:ascii="Tahoma" w:hAnsi="Tahoma" w:cs="Tahoma"/>
          <w:sz w:val="24"/>
          <w:szCs w:val="24"/>
          <w:lang w:val="en-US"/>
        </w:rPr>
        <w:t>(see Figure 3)</w:t>
      </w:r>
      <w:r w:rsidR="006A505B">
        <w:rPr>
          <w:rFonts w:ascii="Tahoma" w:hAnsi="Tahoma" w:cs="Tahoma"/>
          <w:sz w:val="24"/>
          <w:szCs w:val="24"/>
          <w:lang w:val="en-US"/>
        </w:rPr>
        <w:t>.</w:t>
      </w:r>
      <w:r w:rsidR="00676C2B">
        <w:rPr>
          <w:rFonts w:ascii="Tahoma" w:hAnsi="Tahoma" w:cs="Tahoma"/>
          <w:sz w:val="24"/>
          <w:szCs w:val="24"/>
          <w:lang w:val="en-US"/>
        </w:rPr>
        <w:t xml:space="preserve"> From the first of September 2024 to 26 September 2024, </w:t>
      </w:r>
      <w:r w:rsidR="00DA75D2">
        <w:rPr>
          <w:rFonts w:ascii="Tahoma" w:hAnsi="Tahoma" w:cs="Tahoma"/>
          <w:sz w:val="24"/>
          <w:szCs w:val="24"/>
          <w:lang w:val="en-US"/>
        </w:rPr>
        <w:t>the official</w:t>
      </w:r>
      <w:r w:rsidR="00676C2B">
        <w:rPr>
          <w:rFonts w:ascii="Tahoma" w:hAnsi="Tahoma" w:cs="Tahoma"/>
          <w:sz w:val="24"/>
          <w:szCs w:val="24"/>
          <w:lang w:val="en-US"/>
        </w:rPr>
        <w:t xml:space="preserve"> rate was lower and stable while parallel market was rising leading </w:t>
      </w:r>
      <w:r w:rsidR="00DA75D2">
        <w:rPr>
          <w:rFonts w:ascii="Tahoma" w:hAnsi="Tahoma" w:cs="Tahoma"/>
          <w:sz w:val="24"/>
          <w:szCs w:val="24"/>
          <w:lang w:val="en-US"/>
        </w:rPr>
        <w:t>to rising</w:t>
      </w:r>
      <w:r w:rsidR="00676C2B">
        <w:rPr>
          <w:rFonts w:ascii="Tahoma" w:hAnsi="Tahoma" w:cs="Tahoma"/>
          <w:sz w:val="24"/>
          <w:szCs w:val="24"/>
          <w:lang w:val="en-US"/>
        </w:rPr>
        <w:t xml:space="preserve"> exchange rate premium which inhibited convergence between the two exchange rates. Devaluation of the ZWG on 27 September 2024, reduced the gap between official exchange and parallel market leading to exchange rate premium falling from around 136% to 60% at the end of September 2024</w:t>
      </w:r>
      <w:r w:rsidR="00424868">
        <w:rPr>
          <w:rFonts w:ascii="Tahoma" w:hAnsi="Tahoma" w:cs="Tahoma"/>
          <w:sz w:val="24"/>
          <w:szCs w:val="24"/>
          <w:lang w:val="en-US"/>
        </w:rPr>
        <w:t>.</w:t>
      </w:r>
      <w:r w:rsidR="00807514">
        <w:rPr>
          <w:rFonts w:ascii="Tahoma" w:hAnsi="Tahoma" w:cs="Tahoma"/>
          <w:sz w:val="24"/>
          <w:szCs w:val="24"/>
        </w:rPr>
        <w:t xml:space="preserve"> </w:t>
      </w:r>
    </w:p>
    <w:p w14:paraId="03AA5D58" w14:textId="77777777" w:rsidR="00B36D27" w:rsidRPr="00B36D27" w:rsidRDefault="00632EC8" w:rsidP="00F05BD5">
      <w:pPr>
        <w:pStyle w:val="ListofFigures"/>
      </w:pPr>
      <w:bookmarkStart w:id="32" w:name="_Toc179990249"/>
      <w:r>
        <w:t xml:space="preserve">Figure </w:t>
      </w:r>
      <w:r w:rsidR="00CB2650">
        <w:t>2</w:t>
      </w:r>
      <w:r w:rsidR="00B36D27">
        <w:t xml:space="preserve"> : </w:t>
      </w:r>
      <w:r w:rsidR="00C10419">
        <w:t xml:space="preserve">Parallel Market Developments - </w:t>
      </w:r>
      <w:r w:rsidR="00A501EF">
        <w:t>September</w:t>
      </w:r>
      <w:r w:rsidR="004B2536">
        <w:t xml:space="preserve"> 2024</w:t>
      </w:r>
      <w:bookmarkEnd w:id="32"/>
      <w:r w:rsidR="004B2536">
        <w:t xml:space="preserve"> </w:t>
      </w:r>
    </w:p>
    <w:p w14:paraId="39CB98E4" w14:textId="23743F88" w:rsidR="00FD0116" w:rsidRPr="00863A17" w:rsidRDefault="00F02064" w:rsidP="00A60CE8">
      <w:pPr>
        <w:spacing w:after="0"/>
        <w:ind w:left="720" w:hanging="720"/>
        <w:jc w:val="both"/>
        <w:rPr>
          <w:rFonts w:ascii="Tahoma" w:hAnsi="Tahoma" w:cs="Tahoma"/>
          <w:sz w:val="24"/>
          <w:szCs w:val="24"/>
          <w:lang w:val="en-US"/>
        </w:rPr>
      </w:pPr>
      <w:r w:rsidRPr="00C92BB8">
        <w:rPr>
          <w:noProof/>
        </w:rPr>
        <w:drawing>
          <wp:inline distT="0" distB="0" distL="0" distR="0" wp14:anchorId="2B8C88F9" wp14:editId="2F246CF2">
            <wp:extent cx="5732145" cy="2428875"/>
            <wp:effectExtent l="0" t="0" r="0" b="0"/>
            <wp:docPr id="5"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B524D7" w14:textId="77777777" w:rsidR="00AB120F" w:rsidRPr="00340BCF" w:rsidRDefault="007B4687" w:rsidP="00340BCF">
      <w:pPr>
        <w:rPr>
          <w:rFonts w:ascii="Tahoma" w:hAnsi="Tahoma" w:cs="Tahoma"/>
          <w:i/>
          <w:sz w:val="24"/>
          <w:szCs w:val="24"/>
        </w:rPr>
      </w:pPr>
      <w:bookmarkStart w:id="33" w:name="_Toc164072364"/>
      <w:bookmarkStart w:id="34" w:name="_Toc166658891"/>
      <w:r>
        <w:rPr>
          <w:rFonts w:ascii="Tahoma" w:hAnsi="Tahoma" w:cs="Tahoma"/>
          <w:i/>
          <w:sz w:val="24"/>
          <w:szCs w:val="24"/>
        </w:rPr>
        <w:t xml:space="preserve">Source: RBZ and Harare </w:t>
      </w:r>
      <w:r w:rsidR="00EE71C0">
        <w:rPr>
          <w:rFonts w:ascii="Tahoma" w:hAnsi="Tahoma" w:cs="Tahoma"/>
          <w:i/>
          <w:sz w:val="24"/>
          <w:szCs w:val="24"/>
        </w:rPr>
        <w:t>S</w:t>
      </w:r>
      <w:r>
        <w:rPr>
          <w:rFonts w:ascii="Tahoma" w:hAnsi="Tahoma" w:cs="Tahoma"/>
          <w:i/>
          <w:sz w:val="24"/>
          <w:szCs w:val="24"/>
        </w:rPr>
        <w:t>treets</w:t>
      </w:r>
      <w:r w:rsidR="00AB120F" w:rsidRPr="004149E4">
        <w:rPr>
          <w:rFonts w:ascii="Tahoma" w:hAnsi="Tahoma" w:cs="Tahoma"/>
          <w:i/>
          <w:sz w:val="24"/>
          <w:szCs w:val="24"/>
        </w:rPr>
        <w:t xml:space="preserve"> (2024)</w:t>
      </w:r>
    </w:p>
    <w:p w14:paraId="0A5326EC" w14:textId="77777777" w:rsidR="00C65CC6" w:rsidRPr="00863A17" w:rsidRDefault="004C7E36" w:rsidP="003C1D2F">
      <w:pPr>
        <w:pStyle w:val="Heading2"/>
        <w:spacing w:before="0" w:after="240" w:line="240" w:lineRule="auto"/>
        <w:rPr>
          <w:rFonts w:cs="Tahoma"/>
          <w:b/>
          <w:color w:val="000000"/>
          <w:szCs w:val="24"/>
          <w:lang w:val="en-US"/>
        </w:rPr>
      </w:pPr>
      <w:bookmarkStart w:id="35" w:name="_Toc166607897"/>
      <w:bookmarkStart w:id="36" w:name="_Toc181022186"/>
      <w:bookmarkEnd w:id="33"/>
      <w:bookmarkEnd w:id="34"/>
      <w:r w:rsidRPr="00863A17">
        <w:rPr>
          <w:rFonts w:cs="Tahoma"/>
          <w:b/>
          <w:color w:val="000000"/>
          <w:szCs w:val="24"/>
          <w:lang w:val="en-US"/>
        </w:rPr>
        <w:t>5.</w:t>
      </w:r>
      <w:r w:rsidR="00F05BD5">
        <w:rPr>
          <w:rFonts w:cs="Tahoma"/>
          <w:b/>
          <w:color w:val="000000"/>
          <w:szCs w:val="24"/>
          <w:lang w:val="en-US"/>
        </w:rPr>
        <w:t>3</w:t>
      </w:r>
      <w:r w:rsidRPr="00863A17">
        <w:rPr>
          <w:rFonts w:cs="Tahoma"/>
          <w:b/>
          <w:color w:val="000000"/>
          <w:szCs w:val="24"/>
          <w:lang w:val="en-US"/>
        </w:rPr>
        <w:tab/>
      </w:r>
      <w:r w:rsidR="00EF25BB" w:rsidRPr="00863A17">
        <w:rPr>
          <w:rFonts w:cs="Tahoma"/>
          <w:b/>
          <w:color w:val="000000"/>
          <w:szCs w:val="24"/>
          <w:lang w:val="en-US"/>
        </w:rPr>
        <w:t>Cross Rate Developments</w:t>
      </w:r>
      <w:bookmarkEnd w:id="35"/>
      <w:bookmarkEnd w:id="36"/>
      <w:r w:rsidR="00EF25BB" w:rsidRPr="00863A17">
        <w:rPr>
          <w:rFonts w:cs="Tahoma"/>
          <w:b/>
          <w:color w:val="000000"/>
          <w:szCs w:val="24"/>
          <w:lang w:val="en-US"/>
        </w:rPr>
        <w:t xml:space="preserve"> </w:t>
      </w:r>
    </w:p>
    <w:p w14:paraId="3308E4E8" w14:textId="384F1F7E" w:rsidR="00C65CC6" w:rsidRDefault="004C7E36" w:rsidP="004C7E36">
      <w:pPr>
        <w:ind w:left="720" w:hanging="720"/>
        <w:jc w:val="both"/>
        <w:rPr>
          <w:rFonts w:ascii="Tahoma" w:hAnsi="Tahoma" w:cs="Tahoma"/>
          <w:sz w:val="24"/>
          <w:szCs w:val="24"/>
          <w:lang w:val="en-US"/>
        </w:rPr>
      </w:pPr>
      <w:r w:rsidRPr="00863A17">
        <w:rPr>
          <w:rFonts w:ascii="Tahoma" w:hAnsi="Tahoma" w:cs="Tahoma"/>
          <w:sz w:val="24"/>
          <w:szCs w:val="24"/>
          <w:lang w:val="en-US"/>
        </w:rPr>
        <w:t>5.</w:t>
      </w:r>
      <w:r w:rsidR="00F05BD5">
        <w:rPr>
          <w:rFonts w:ascii="Tahoma" w:hAnsi="Tahoma" w:cs="Tahoma"/>
          <w:sz w:val="24"/>
          <w:szCs w:val="24"/>
          <w:lang w:val="en-US"/>
        </w:rPr>
        <w:t>3</w:t>
      </w:r>
      <w:r w:rsidRPr="00863A17">
        <w:rPr>
          <w:rFonts w:ascii="Tahoma" w:hAnsi="Tahoma" w:cs="Tahoma"/>
          <w:sz w:val="24"/>
          <w:szCs w:val="24"/>
          <w:lang w:val="en-US"/>
        </w:rPr>
        <w:t>.1</w:t>
      </w:r>
      <w:r w:rsidRPr="00863A17">
        <w:rPr>
          <w:rFonts w:ascii="Tahoma" w:hAnsi="Tahoma" w:cs="Tahoma"/>
          <w:sz w:val="24"/>
          <w:szCs w:val="24"/>
          <w:lang w:val="en-US"/>
        </w:rPr>
        <w:tab/>
      </w:r>
      <w:r w:rsidR="00652559">
        <w:rPr>
          <w:rFonts w:ascii="Tahoma" w:hAnsi="Tahoma" w:cs="Tahoma"/>
          <w:sz w:val="24"/>
          <w:szCs w:val="24"/>
          <w:lang w:val="en-US"/>
        </w:rPr>
        <w:t>T</w:t>
      </w:r>
      <w:r w:rsidR="00EF25BB" w:rsidRPr="002E6010">
        <w:rPr>
          <w:rFonts w:ascii="Tahoma" w:hAnsi="Tahoma" w:cs="Tahoma"/>
          <w:sz w:val="24"/>
          <w:szCs w:val="24"/>
          <w:lang w:val="en-US"/>
        </w:rPr>
        <w:t>he USD</w:t>
      </w:r>
      <w:r w:rsidR="00623F3A">
        <w:rPr>
          <w:rFonts w:ascii="Tahoma" w:hAnsi="Tahoma" w:cs="Tahoma"/>
          <w:sz w:val="24"/>
          <w:szCs w:val="24"/>
          <w:lang w:val="en-US"/>
        </w:rPr>
        <w:t xml:space="preserve"> lost</w:t>
      </w:r>
      <w:r w:rsidR="00C846A6">
        <w:rPr>
          <w:rFonts w:ascii="Tahoma" w:hAnsi="Tahoma" w:cs="Tahoma"/>
          <w:sz w:val="24"/>
          <w:szCs w:val="24"/>
          <w:lang w:val="en-US"/>
        </w:rPr>
        <w:t xml:space="preserve"> value</w:t>
      </w:r>
      <w:r w:rsidR="00623F3A">
        <w:rPr>
          <w:rFonts w:ascii="Tahoma" w:hAnsi="Tahoma" w:cs="Tahoma"/>
          <w:sz w:val="24"/>
          <w:szCs w:val="24"/>
          <w:lang w:val="en-US"/>
        </w:rPr>
        <w:t xml:space="preserve"> against the GBP, </w:t>
      </w:r>
      <w:r w:rsidR="00253FAC">
        <w:rPr>
          <w:rFonts w:ascii="Tahoma" w:hAnsi="Tahoma" w:cs="Tahoma"/>
          <w:sz w:val="24"/>
          <w:szCs w:val="24"/>
          <w:lang w:val="en-US"/>
        </w:rPr>
        <w:t>EUR</w:t>
      </w:r>
      <w:r w:rsidR="00623F3A">
        <w:rPr>
          <w:rFonts w:ascii="Tahoma" w:hAnsi="Tahoma" w:cs="Tahoma"/>
          <w:sz w:val="24"/>
          <w:szCs w:val="24"/>
          <w:lang w:val="en-US"/>
        </w:rPr>
        <w:t xml:space="preserve"> and ZAR</w:t>
      </w:r>
      <w:r w:rsidR="00C846A6">
        <w:rPr>
          <w:rFonts w:ascii="Tahoma" w:hAnsi="Tahoma" w:cs="Tahoma"/>
          <w:sz w:val="24"/>
          <w:szCs w:val="24"/>
          <w:lang w:val="en-US"/>
        </w:rPr>
        <w:t xml:space="preserve"> </w:t>
      </w:r>
      <w:r w:rsidR="00652559">
        <w:rPr>
          <w:rFonts w:ascii="Tahoma" w:hAnsi="Tahoma" w:cs="Tahoma"/>
          <w:sz w:val="24"/>
          <w:szCs w:val="24"/>
          <w:lang w:val="en-US"/>
        </w:rPr>
        <w:t>by 1.69%, 0.82% and 3.82 respectively</w:t>
      </w:r>
      <w:r w:rsidR="00DA75D2">
        <w:rPr>
          <w:rFonts w:ascii="Tahoma" w:hAnsi="Tahoma" w:cs="Tahoma"/>
          <w:sz w:val="24"/>
          <w:szCs w:val="24"/>
          <w:lang w:val="en-US"/>
        </w:rPr>
        <w:t>,</w:t>
      </w:r>
      <w:r w:rsidR="00C846A6">
        <w:rPr>
          <w:rFonts w:ascii="Tahoma" w:hAnsi="Tahoma" w:cs="Tahoma"/>
          <w:sz w:val="24"/>
          <w:szCs w:val="24"/>
          <w:lang w:val="en-US"/>
        </w:rPr>
        <w:t xml:space="preserve"> </w:t>
      </w:r>
      <w:r w:rsidR="001C439F">
        <w:rPr>
          <w:rFonts w:ascii="Tahoma" w:hAnsi="Tahoma" w:cs="Tahoma"/>
          <w:sz w:val="24"/>
          <w:szCs w:val="24"/>
          <w:lang w:val="en-US"/>
        </w:rPr>
        <w:t>month-</w:t>
      </w:r>
      <w:r w:rsidR="00C846A6">
        <w:rPr>
          <w:rFonts w:ascii="Tahoma" w:hAnsi="Tahoma" w:cs="Tahoma"/>
          <w:sz w:val="24"/>
          <w:szCs w:val="24"/>
          <w:lang w:val="en-US"/>
        </w:rPr>
        <w:t>o</w:t>
      </w:r>
      <w:r w:rsidR="001C439F">
        <w:rPr>
          <w:rFonts w:ascii="Tahoma" w:hAnsi="Tahoma" w:cs="Tahoma"/>
          <w:sz w:val="24"/>
          <w:szCs w:val="24"/>
          <w:lang w:val="en-US"/>
        </w:rPr>
        <w:t>n-month</w:t>
      </w:r>
      <w:r w:rsidR="00222F0C">
        <w:rPr>
          <w:rFonts w:ascii="Tahoma" w:hAnsi="Tahoma" w:cs="Tahoma"/>
          <w:sz w:val="24"/>
          <w:szCs w:val="24"/>
          <w:lang w:val="en-US"/>
        </w:rPr>
        <w:t xml:space="preserve"> </w:t>
      </w:r>
      <w:r w:rsidR="00623F3A">
        <w:rPr>
          <w:rFonts w:ascii="Tahoma" w:hAnsi="Tahoma" w:cs="Tahoma"/>
          <w:sz w:val="24"/>
          <w:szCs w:val="24"/>
          <w:lang w:val="en-US"/>
        </w:rPr>
        <w:t xml:space="preserve">(see Table 4). </w:t>
      </w:r>
      <w:r w:rsidR="00A74E0C">
        <w:rPr>
          <w:rFonts w:ascii="Tahoma" w:hAnsi="Tahoma" w:cs="Tahoma"/>
          <w:sz w:val="24"/>
          <w:szCs w:val="24"/>
          <w:lang w:val="en-US"/>
        </w:rPr>
        <w:t xml:space="preserve">The USD also lost against GBP, EUR and ZAR on year-to-date and year-on-year. </w:t>
      </w:r>
      <w:r w:rsidR="00E5681C">
        <w:rPr>
          <w:rFonts w:ascii="Tahoma" w:hAnsi="Tahoma" w:cs="Tahoma"/>
          <w:sz w:val="24"/>
          <w:szCs w:val="24"/>
          <w:lang w:val="en-US"/>
        </w:rPr>
        <w:t xml:space="preserve">The USD movements are </w:t>
      </w:r>
      <w:r w:rsidR="00E5681C">
        <w:rPr>
          <w:rFonts w:ascii="Tahoma" w:hAnsi="Tahoma" w:cs="Tahoma"/>
          <w:sz w:val="24"/>
          <w:szCs w:val="24"/>
          <w:lang w:val="en-US"/>
        </w:rPr>
        <w:lastRenderedPageBreak/>
        <w:t>attributed to the November 2024 US elections and</w:t>
      </w:r>
      <w:r w:rsidR="005C0350">
        <w:rPr>
          <w:rFonts w:ascii="Tahoma" w:hAnsi="Tahoma" w:cs="Tahoma"/>
          <w:sz w:val="24"/>
          <w:szCs w:val="24"/>
          <w:lang w:val="en-US"/>
        </w:rPr>
        <w:t xml:space="preserve"> </w:t>
      </w:r>
      <w:r w:rsidR="006F3264">
        <w:rPr>
          <w:rFonts w:ascii="Tahoma" w:hAnsi="Tahoma" w:cs="Tahoma"/>
          <w:sz w:val="24"/>
          <w:szCs w:val="24"/>
        </w:rPr>
        <w:t>rising recession risks</w:t>
      </w:r>
      <w:r w:rsidR="00E5681C">
        <w:rPr>
          <w:rFonts w:ascii="Tahoma" w:hAnsi="Tahoma" w:cs="Tahoma"/>
          <w:sz w:val="24"/>
          <w:szCs w:val="24"/>
        </w:rPr>
        <w:t xml:space="preserve">. </w:t>
      </w:r>
      <w:r w:rsidR="00B16DBC">
        <w:rPr>
          <w:rFonts w:ascii="Tahoma" w:hAnsi="Tahoma" w:cs="Tahoma"/>
          <w:sz w:val="24"/>
          <w:szCs w:val="24"/>
          <w:lang w:val="en-US"/>
        </w:rPr>
        <w:t xml:space="preserve">The </w:t>
      </w:r>
      <w:r w:rsidR="00A445AE">
        <w:rPr>
          <w:rFonts w:ascii="Tahoma" w:hAnsi="Tahoma" w:cs="Tahoma"/>
          <w:sz w:val="24"/>
          <w:szCs w:val="24"/>
          <w:lang w:val="en-US"/>
        </w:rPr>
        <w:t>depreciation</w:t>
      </w:r>
      <w:r w:rsidR="00B16DBC">
        <w:rPr>
          <w:rFonts w:ascii="Tahoma" w:hAnsi="Tahoma" w:cs="Tahoma"/>
          <w:sz w:val="24"/>
          <w:szCs w:val="24"/>
          <w:lang w:val="en-US"/>
        </w:rPr>
        <w:t xml:space="preserve"> of the USD versus the ZAR </w:t>
      </w:r>
      <w:r w:rsidR="00DA75D2">
        <w:rPr>
          <w:rFonts w:ascii="Tahoma" w:hAnsi="Tahoma" w:cs="Tahoma"/>
          <w:sz w:val="24"/>
          <w:szCs w:val="24"/>
          <w:lang w:val="en-US"/>
        </w:rPr>
        <w:t>boosts</w:t>
      </w:r>
      <w:r w:rsidR="00B16DBC">
        <w:rPr>
          <w:rFonts w:ascii="Tahoma" w:hAnsi="Tahoma" w:cs="Tahoma"/>
          <w:sz w:val="24"/>
          <w:szCs w:val="24"/>
          <w:lang w:val="en-US"/>
        </w:rPr>
        <w:t xml:space="preserve"> the country’s exports to South Africa.</w:t>
      </w:r>
    </w:p>
    <w:p w14:paraId="77426275" w14:textId="4E77FE89" w:rsidR="00E664AA" w:rsidRPr="00E664AA" w:rsidRDefault="003C1D2F" w:rsidP="00E664AA">
      <w:pPr>
        <w:pStyle w:val="ListofTables"/>
        <w:rPr>
          <w:lang w:val="en-US"/>
        </w:rPr>
      </w:pPr>
      <w:bookmarkStart w:id="37" w:name="_Toc164072365"/>
      <w:bookmarkStart w:id="38" w:name="_Toc166658892"/>
      <w:bookmarkStart w:id="39" w:name="_Toc181022049"/>
      <w:r w:rsidRPr="00863A17">
        <w:t xml:space="preserve">Table </w:t>
      </w:r>
      <w:r w:rsidR="00A72F1B">
        <w:t>4</w:t>
      </w:r>
      <w:r w:rsidRPr="00863A17">
        <w:t xml:space="preserve">: </w:t>
      </w:r>
      <w:r w:rsidRPr="00863A17">
        <w:rPr>
          <w:lang w:val="en-US"/>
        </w:rPr>
        <w:t xml:space="preserve">USD Exchange Rate Movements – </w:t>
      </w:r>
      <w:r w:rsidR="00642C66" w:rsidRPr="00863A17">
        <w:rPr>
          <w:lang w:val="en-US"/>
        </w:rPr>
        <w:t>Month</w:t>
      </w:r>
      <w:r w:rsidRPr="00863A17">
        <w:rPr>
          <w:lang w:val="en-US"/>
        </w:rPr>
        <w:t xml:space="preserve"> Ended </w:t>
      </w:r>
      <w:r w:rsidR="006C1DD6">
        <w:rPr>
          <w:lang w:val="en-US"/>
        </w:rPr>
        <w:t xml:space="preserve">30 </w:t>
      </w:r>
      <w:r w:rsidR="00630831">
        <w:rPr>
          <w:lang w:val="en-US"/>
        </w:rPr>
        <w:t>September</w:t>
      </w:r>
      <w:r w:rsidR="00DA75D2">
        <w:rPr>
          <w:lang w:val="en-US"/>
        </w:rPr>
        <w:t xml:space="preserve"> </w:t>
      </w:r>
      <w:r w:rsidRPr="00863A17">
        <w:rPr>
          <w:lang w:val="en-US"/>
        </w:rPr>
        <w:t>202</w:t>
      </w:r>
      <w:r w:rsidR="00642C66" w:rsidRPr="00863A17">
        <w:rPr>
          <w:lang w:val="en-US"/>
        </w:rPr>
        <w:t>4</w:t>
      </w:r>
      <w:bookmarkEnd w:id="37"/>
      <w:bookmarkEnd w:id="38"/>
      <w:bookmarkEnd w:id="39"/>
    </w:p>
    <w:p w14:paraId="48C81BF6" w14:textId="5A512764" w:rsidR="00E664AA" w:rsidRPr="00863A17" w:rsidRDefault="00F02064" w:rsidP="00CB6A80">
      <w:pPr>
        <w:spacing w:after="0"/>
        <w:rPr>
          <w:rFonts w:ascii="Tahoma" w:hAnsi="Tahoma" w:cs="Tahoma"/>
          <w:sz w:val="24"/>
          <w:szCs w:val="24"/>
          <w:lang w:val="en-US"/>
        </w:rPr>
      </w:pPr>
      <w:r w:rsidRPr="00824F12">
        <w:rPr>
          <w:noProof/>
        </w:rPr>
        <w:drawing>
          <wp:inline distT="0" distB="0" distL="0" distR="0" wp14:anchorId="496F8F73" wp14:editId="3FB693CE">
            <wp:extent cx="5734050" cy="12954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295400"/>
                    </a:xfrm>
                    <a:prstGeom prst="rect">
                      <a:avLst/>
                    </a:prstGeom>
                    <a:noFill/>
                    <a:ln>
                      <a:noFill/>
                    </a:ln>
                  </pic:spPr>
                </pic:pic>
              </a:graphicData>
            </a:graphic>
          </wp:inline>
        </w:drawing>
      </w:r>
    </w:p>
    <w:p w14:paraId="3FE59724" w14:textId="77777777" w:rsidR="00184FA3" w:rsidRPr="00863A17" w:rsidRDefault="004C7E36">
      <w:pPr>
        <w:rPr>
          <w:rFonts w:ascii="Tahoma" w:hAnsi="Tahoma" w:cs="Tahoma"/>
          <w:i/>
          <w:sz w:val="24"/>
          <w:szCs w:val="24"/>
          <w:lang w:val="en-US"/>
        </w:rPr>
      </w:pPr>
      <w:r w:rsidRPr="00863A17">
        <w:rPr>
          <w:rFonts w:ascii="Tahoma" w:hAnsi="Tahoma" w:cs="Tahoma"/>
          <w:i/>
          <w:sz w:val="24"/>
          <w:szCs w:val="24"/>
          <w:lang w:val="en-US"/>
        </w:rPr>
        <w:t xml:space="preserve">Source: </w:t>
      </w:r>
      <w:r w:rsidR="006F52AC" w:rsidRPr="00863A17">
        <w:rPr>
          <w:rFonts w:ascii="Tahoma" w:hAnsi="Tahoma" w:cs="Tahoma"/>
          <w:i/>
          <w:sz w:val="24"/>
          <w:szCs w:val="24"/>
          <w:lang w:val="en-US"/>
        </w:rPr>
        <w:t>RBZ</w:t>
      </w:r>
      <w:r w:rsidRPr="00863A17">
        <w:rPr>
          <w:rFonts w:ascii="Tahoma" w:hAnsi="Tahoma" w:cs="Tahoma"/>
          <w:i/>
          <w:sz w:val="24"/>
          <w:szCs w:val="24"/>
          <w:lang w:val="en-US"/>
        </w:rPr>
        <w:t xml:space="preserve"> (202</w:t>
      </w:r>
      <w:r w:rsidR="006F52AC" w:rsidRPr="00863A17">
        <w:rPr>
          <w:rFonts w:ascii="Tahoma" w:hAnsi="Tahoma" w:cs="Tahoma"/>
          <w:i/>
          <w:sz w:val="24"/>
          <w:szCs w:val="24"/>
          <w:lang w:val="en-US"/>
        </w:rPr>
        <w:t>4</w:t>
      </w:r>
      <w:r w:rsidRPr="00863A17">
        <w:rPr>
          <w:rFonts w:ascii="Tahoma" w:hAnsi="Tahoma" w:cs="Tahoma"/>
          <w:i/>
          <w:sz w:val="24"/>
          <w:szCs w:val="24"/>
          <w:lang w:val="en-US"/>
        </w:rPr>
        <w:t>)</w:t>
      </w:r>
    </w:p>
    <w:p w14:paraId="65E413B2" w14:textId="77777777" w:rsidR="00184FA3" w:rsidRPr="00A64F64" w:rsidRDefault="004C7E36" w:rsidP="003C1D2F">
      <w:pPr>
        <w:pStyle w:val="Heading1"/>
        <w:spacing w:before="0" w:after="240" w:line="240" w:lineRule="auto"/>
        <w:rPr>
          <w:rFonts w:cs="Tahoma"/>
          <w:bCs/>
          <w:color w:val="000000"/>
          <w:szCs w:val="24"/>
          <w:lang w:val="en-US"/>
        </w:rPr>
      </w:pPr>
      <w:bookmarkStart w:id="40" w:name="_Toc166607898"/>
      <w:bookmarkStart w:id="41" w:name="_Toc181022187"/>
      <w:r w:rsidRPr="00A64F64">
        <w:rPr>
          <w:rFonts w:cs="Tahoma"/>
          <w:bCs/>
          <w:color w:val="000000"/>
          <w:szCs w:val="24"/>
          <w:lang w:val="en-US"/>
        </w:rPr>
        <w:t>6.0</w:t>
      </w:r>
      <w:r w:rsidRPr="00A64F64">
        <w:rPr>
          <w:rFonts w:cs="Tahoma"/>
          <w:bCs/>
          <w:color w:val="000000"/>
          <w:szCs w:val="24"/>
          <w:lang w:val="en-US"/>
        </w:rPr>
        <w:tab/>
      </w:r>
      <w:r w:rsidR="00184FA3" w:rsidRPr="00A64F64">
        <w:rPr>
          <w:rFonts w:cs="Tahoma"/>
          <w:bCs/>
          <w:color w:val="000000"/>
          <w:szCs w:val="24"/>
          <w:lang w:val="en-US"/>
        </w:rPr>
        <w:t>Inflation Developments</w:t>
      </w:r>
      <w:bookmarkEnd w:id="40"/>
      <w:bookmarkEnd w:id="41"/>
      <w:r w:rsidR="00184FA3" w:rsidRPr="00A64F64">
        <w:rPr>
          <w:rFonts w:cs="Tahoma"/>
          <w:bCs/>
          <w:color w:val="000000"/>
          <w:szCs w:val="24"/>
          <w:lang w:val="en-US"/>
        </w:rPr>
        <w:t xml:space="preserve"> </w:t>
      </w:r>
    </w:p>
    <w:p w14:paraId="79D488C6" w14:textId="44BDB572" w:rsidR="005D4799" w:rsidRPr="00340BCF" w:rsidRDefault="00744659" w:rsidP="00340BCF">
      <w:pPr>
        <w:ind w:left="720" w:hanging="720"/>
        <w:jc w:val="both"/>
        <w:rPr>
          <w:rFonts w:ascii="Tahoma" w:hAnsi="Tahoma" w:cs="Tahoma"/>
          <w:sz w:val="24"/>
          <w:szCs w:val="24"/>
        </w:rPr>
      </w:pPr>
      <w:r w:rsidRPr="00744659">
        <w:rPr>
          <w:rFonts w:ascii="Tahoma" w:hAnsi="Tahoma" w:cs="Tahoma"/>
          <w:sz w:val="24"/>
          <w:szCs w:val="24"/>
        </w:rPr>
        <w:t>6.2</w:t>
      </w:r>
      <w:r w:rsidRPr="00744659">
        <w:rPr>
          <w:rFonts w:ascii="Tahoma" w:hAnsi="Tahoma" w:cs="Tahoma"/>
          <w:sz w:val="24"/>
          <w:szCs w:val="24"/>
        </w:rPr>
        <w:tab/>
      </w:r>
      <w:r w:rsidR="005C0350">
        <w:rPr>
          <w:rFonts w:ascii="Tahoma" w:hAnsi="Tahoma" w:cs="Tahoma"/>
          <w:sz w:val="24"/>
          <w:szCs w:val="24"/>
        </w:rPr>
        <w:t>ZWG</w:t>
      </w:r>
      <w:r w:rsidR="005C0350" w:rsidRPr="00744659">
        <w:rPr>
          <w:rFonts w:ascii="Tahoma" w:hAnsi="Tahoma" w:cs="Tahoma"/>
          <w:sz w:val="24"/>
          <w:szCs w:val="24"/>
        </w:rPr>
        <w:t xml:space="preserve"> inflation </w:t>
      </w:r>
      <w:r w:rsidR="005C0350">
        <w:rPr>
          <w:rFonts w:ascii="Tahoma" w:hAnsi="Tahoma" w:cs="Tahoma"/>
          <w:sz w:val="24"/>
          <w:szCs w:val="24"/>
        </w:rPr>
        <w:t xml:space="preserve">rose </w:t>
      </w:r>
      <w:r w:rsidR="00EC512C">
        <w:rPr>
          <w:rFonts w:ascii="Tahoma" w:hAnsi="Tahoma" w:cs="Tahoma"/>
          <w:sz w:val="24"/>
          <w:szCs w:val="24"/>
        </w:rPr>
        <w:t>from</w:t>
      </w:r>
      <w:r>
        <w:rPr>
          <w:rFonts w:ascii="Tahoma" w:hAnsi="Tahoma" w:cs="Tahoma"/>
          <w:sz w:val="24"/>
          <w:szCs w:val="24"/>
        </w:rPr>
        <w:t xml:space="preserve"> 1</w:t>
      </w:r>
      <w:r w:rsidRPr="00744659">
        <w:rPr>
          <w:rFonts w:ascii="Tahoma" w:hAnsi="Tahoma" w:cs="Tahoma"/>
          <w:sz w:val="24"/>
          <w:szCs w:val="24"/>
        </w:rPr>
        <w:t>.4%</w:t>
      </w:r>
      <w:r w:rsidR="00EC512C">
        <w:rPr>
          <w:rFonts w:ascii="Tahoma" w:hAnsi="Tahoma" w:cs="Tahoma"/>
          <w:sz w:val="24"/>
          <w:szCs w:val="24"/>
        </w:rPr>
        <w:t xml:space="preserve"> in August 2024</w:t>
      </w:r>
      <w:r w:rsidRPr="00744659">
        <w:rPr>
          <w:rFonts w:ascii="Tahoma" w:hAnsi="Tahoma" w:cs="Tahoma"/>
          <w:sz w:val="24"/>
          <w:szCs w:val="24"/>
        </w:rPr>
        <w:t xml:space="preserve"> up</w:t>
      </w:r>
      <w:r w:rsidR="00EC512C">
        <w:rPr>
          <w:rFonts w:ascii="Tahoma" w:hAnsi="Tahoma" w:cs="Tahoma"/>
          <w:sz w:val="24"/>
          <w:szCs w:val="24"/>
        </w:rPr>
        <w:t xml:space="preserve"> to 5.8% in September 2024 (more than tripled) </w:t>
      </w:r>
      <w:r w:rsidRPr="00744659">
        <w:rPr>
          <w:rFonts w:ascii="Tahoma" w:hAnsi="Tahoma" w:cs="Tahoma"/>
          <w:sz w:val="24"/>
          <w:szCs w:val="24"/>
        </w:rPr>
        <w:t xml:space="preserve">see Figure </w:t>
      </w:r>
      <w:r w:rsidR="00DA75D2">
        <w:rPr>
          <w:rFonts w:ascii="Tahoma" w:hAnsi="Tahoma" w:cs="Tahoma"/>
          <w:sz w:val="24"/>
          <w:szCs w:val="24"/>
        </w:rPr>
        <w:t>3</w:t>
      </w:r>
      <w:r w:rsidRPr="00744659">
        <w:rPr>
          <w:rFonts w:ascii="Tahoma" w:hAnsi="Tahoma" w:cs="Tahoma"/>
          <w:sz w:val="24"/>
          <w:szCs w:val="24"/>
        </w:rPr>
        <w:t xml:space="preserve">. </w:t>
      </w:r>
      <w:r w:rsidR="00BE5948">
        <w:rPr>
          <w:rFonts w:ascii="Tahoma" w:hAnsi="Tahoma" w:cs="Tahoma"/>
          <w:sz w:val="24"/>
          <w:szCs w:val="24"/>
        </w:rPr>
        <w:t>The sharp jump in ZWG inflation is attributed to the devaluation of the ZWG by the Reserve Bank of Zimbabwe of the 27</w:t>
      </w:r>
      <w:r w:rsidR="00BE5948" w:rsidRPr="00BE5948">
        <w:rPr>
          <w:rFonts w:ascii="Tahoma" w:hAnsi="Tahoma" w:cs="Tahoma"/>
          <w:sz w:val="24"/>
          <w:szCs w:val="24"/>
          <w:vertAlign w:val="superscript"/>
        </w:rPr>
        <w:t>th</w:t>
      </w:r>
      <w:r w:rsidR="00BE5948">
        <w:rPr>
          <w:rFonts w:ascii="Tahoma" w:hAnsi="Tahoma" w:cs="Tahoma"/>
          <w:sz w:val="24"/>
          <w:szCs w:val="24"/>
        </w:rPr>
        <w:t xml:space="preserve"> of September 2024</w:t>
      </w:r>
      <w:r w:rsidR="00B741A1">
        <w:rPr>
          <w:rFonts w:ascii="Tahoma" w:hAnsi="Tahoma" w:cs="Tahoma"/>
          <w:sz w:val="24"/>
          <w:szCs w:val="24"/>
        </w:rPr>
        <w:t xml:space="preserve"> which eroded about 70% of the ZWG purchasing power.</w:t>
      </w:r>
    </w:p>
    <w:p w14:paraId="69901075" w14:textId="77777777" w:rsidR="005F0769" w:rsidRDefault="005D4799" w:rsidP="00F05BD5">
      <w:pPr>
        <w:pStyle w:val="ListofFigures"/>
      </w:pPr>
      <w:bookmarkStart w:id="42" w:name="_Toc179990250"/>
      <w:r>
        <w:t xml:space="preserve">Figure </w:t>
      </w:r>
      <w:r w:rsidR="00CB2650">
        <w:t>3</w:t>
      </w:r>
      <w:r>
        <w:t>: Month-on-Month</w:t>
      </w:r>
      <w:r w:rsidR="000C78EC">
        <w:t xml:space="preserve"> ZWG</w:t>
      </w:r>
      <w:r>
        <w:t xml:space="preserve"> Inflation Outturn</w:t>
      </w:r>
      <w:bookmarkEnd w:id="42"/>
      <w:r>
        <w:t xml:space="preserve"> </w:t>
      </w:r>
    </w:p>
    <w:p w14:paraId="56D45482" w14:textId="75897022" w:rsidR="005F0769" w:rsidRDefault="00F02064" w:rsidP="005D4799">
      <w:pPr>
        <w:spacing w:after="0"/>
        <w:ind w:left="720" w:hanging="720"/>
        <w:jc w:val="both"/>
        <w:rPr>
          <w:rFonts w:ascii="Tahoma" w:hAnsi="Tahoma" w:cs="Tahoma"/>
          <w:sz w:val="24"/>
          <w:szCs w:val="24"/>
        </w:rPr>
      </w:pPr>
      <w:r w:rsidRPr="00C92BB8">
        <w:rPr>
          <w:noProof/>
        </w:rPr>
        <w:drawing>
          <wp:inline distT="0" distB="0" distL="0" distR="0" wp14:anchorId="57DF0432" wp14:editId="35E30069">
            <wp:extent cx="5732145" cy="2577465"/>
            <wp:effectExtent l="0" t="0" r="0" b="0"/>
            <wp:docPr id="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BAF0AB" w14:textId="77777777" w:rsidR="005F0769" w:rsidRDefault="005D4799" w:rsidP="005D4799">
      <w:pPr>
        <w:spacing w:after="0"/>
        <w:ind w:left="720" w:hanging="720"/>
        <w:jc w:val="both"/>
        <w:rPr>
          <w:rFonts w:ascii="Tahoma" w:hAnsi="Tahoma" w:cs="Tahoma"/>
          <w:i/>
          <w:sz w:val="24"/>
          <w:szCs w:val="24"/>
        </w:rPr>
      </w:pPr>
      <w:r w:rsidRPr="005D4799">
        <w:rPr>
          <w:rFonts w:ascii="Tahoma" w:hAnsi="Tahoma" w:cs="Tahoma"/>
          <w:i/>
          <w:sz w:val="24"/>
          <w:szCs w:val="24"/>
        </w:rPr>
        <w:t xml:space="preserve">Source: ZimStat (2024) </w:t>
      </w:r>
    </w:p>
    <w:p w14:paraId="60AFAA1C" w14:textId="77777777" w:rsidR="005D4799" w:rsidRPr="005D4799" w:rsidRDefault="005D4799" w:rsidP="005D4799">
      <w:pPr>
        <w:spacing w:after="0"/>
        <w:ind w:left="720" w:hanging="720"/>
        <w:jc w:val="both"/>
        <w:rPr>
          <w:rFonts w:ascii="Tahoma" w:hAnsi="Tahoma" w:cs="Tahoma"/>
          <w:sz w:val="24"/>
          <w:szCs w:val="24"/>
        </w:rPr>
      </w:pPr>
    </w:p>
    <w:p w14:paraId="4E1DD3C8" w14:textId="3CE6B56C" w:rsidR="00FC71BF" w:rsidRDefault="005F0769" w:rsidP="004C7E36">
      <w:pPr>
        <w:ind w:left="720" w:hanging="720"/>
        <w:jc w:val="both"/>
        <w:rPr>
          <w:rFonts w:ascii="Tahoma" w:hAnsi="Tahoma" w:cs="Tahoma"/>
          <w:sz w:val="24"/>
          <w:szCs w:val="24"/>
        </w:rPr>
      </w:pPr>
      <w:r>
        <w:rPr>
          <w:rFonts w:ascii="Tahoma" w:hAnsi="Tahoma" w:cs="Tahoma"/>
          <w:sz w:val="24"/>
          <w:szCs w:val="24"/>
        </w:rPr>
        <w:t>6.2</w:t>
      </w:r>
      <w:r w:rsidR="004C7E36" w:rsidRPr="00863A17">
        <w:rPr>
          <w:rFonts w:ascii="Tahoma" w:hAnsi="Tahoma" w:cs="Tahoma"/>
          <w:sz w:val="24"/>
          <w:szCs w:val="24"/>
        </w:rPr>
        <w:tab/>
      </w:r>
      <w:bookmarkStart w:id="43" w:name="_Hlk166606180"/>
      <w:r w:rsidR="00E76745">
        <w:rPr>
          <w:rFonts w:ascii="Tahoma" w:hAnsi="Tahoma" w:cs="Tahoma"/>
          <w:sz w:val="24"/>
          <w:szCs w:val="24"/>
        </w:rPr>
        <w:t>I</w:t>
      </w:r>
      <w:r w:rsidR="005C0350">
        <w:rPr>
          <w:rFonts w:ascii="Tahoma" w:hAnsi="Tahoma" w:cs="Tahoma"/>
          <w:sz w:val="24"/>
          <w:szCs w:val="24"/>
        </w:rPr>
        <w:t xml:space="preserve">n </w:t>
      </w:r>
      <w:r w:rsidR="00E76745">
        <w:rPr>
          <w:rFonts w:ascii="Tahoma" w:hAnsi="Tahoma" w:cs="Tahoma"/>
          <w:sz w:val="24"/>
          <w:szCs w:val="24"/>
        </w:rPr>
        <w:t>September 2024</w:t>
      </w:r>
      <w:r w:rsidR="005C0350">
        <w:rPr>
          <w:rFonts w:ascii="Tahoma" w:hAnsi="Tahoma" w:cs="Tahoma"/>
          <w:sz w:val="24"/>
          <w:szCs w:val="24"/>
        </w:rPr>
        <w:t xml:space="preserve">, </w:t>
      </w:r>
      <w:r w:rsidR="000C2AA3">
        <w:rPr>
          <w:rFonts w:ascii="Tahoma" w:hAnsi="Tahoma" w:cs="Tahoma"/>
          <w:sz w:val="24"/>
          <w:szCs w:val="24"/>
        </w:rPr>
        <w:t xml:space="preserve">weighted </w:t>
      </w:r>
      <w:r w:rsidR="00B45B57">
        <w:rPr>
          <w:rFonts w:ascii="Tahoma" w:hAnsi="Tahoma" w:cs="Tahoma"/>
          <w:sz w:val="24"/>
          <w:szCs w:val="24"/>
        </w:rPr>
        <w:t>inflation</w:t>
      </w:r>
      <w:r w:rsidR="00C1543E">
        <w:rPr>
          <w:rFonts w:ascii="Tahoma" w:hAnsi="Tahoma" w:cs="Tahoma"/>
          <w:sz w:val="24"/>
          <w:szCs w:val="24"/>
        </w:rPr>
        <w:t xml:space="preserve"> </w:t>
      </w:r>
      <w:r w:rsidR="005C0350">
        <w:rPr>
          <w:rFonts w:ascii="Tahoma" w:hAnsi="Tahoma" w:cs="Tahoma"/>
          <w:sz w:val="24"/>
          <w:szCs w:val="24"/>
        </w:rPr>
        <w:t xml:space="preserve">increased </w:t>
      </w:r>
      <w:r w:rsidR="00E76745">
        <w:rPr>
          <w:rFonts w:ascii="Tahoma" w:hAnsi="Tahoma" w:cs="Tahoma"/>
          <w:sz w:val="24"/>
          <w:szCs w:val="24"/>
        </w:rPr>
        <w:t>from</w:t>
      </w:r>
      <w:r w:rsidR="005C0350">
        <w:rPr>
          <w:rFonts w:ascii="Tahoma" w:hAnsi="Tahoma" w:cs="Tahoma"/>
          <w:sz w:val="24"/>
          <w:szCs w:val="24"/>
        </w:rPr>
        <w:t xml:space="preserve"> 0.4%</w:t>
      </w:r>
      <w:r w:rsidR="00E76745">
        <w:rPr>
          <w:rFonts w:ascii="Tahoma" w:hAnsi="Tahoma" w:cs="Tahoma"/>
          <w:sz w:val="24"/>
          <w:szCs w:val="24"/>
        </w:rPr>
        <w:t xml:space="preserve"> in August 2024 to 1.9% in September 2024</w:t>
      </w:r>
      <w:r w:rsidR="005C0350">
        <w:rPr>
          <w:rFonts w:ascii="Tahoma" w:hAnsi="Tahoma" w:cs="Tahoma"/>
          <w:sz w:val="24"/>
          <w:szCs w:val="24"/>
        </w:rPr>
        <w:t xml:space="preserve"> (</w:t>
      </w:r>
      <w:r w:rsidR="00670FF1" w:rsidRPr="00863A17">
        <w:rPr>
          <w:rFonts w:ascii="Tahoma" w:hAnsi="Tahoma" w:cs="Tahoma"/>
          <w:sz w:val="24"/>
          <w:szCs w:val="24"/>
        </w:rPr>
        <w:t xml:space="preserve">see Figure </w:t>
      </w:r>
      <w:r w:rsidR="00DA75D2">
        <w:rPr>
          <w:rFonts w:ascii="Tahoma" w:hAnsi="Tahoma" w:cs="Tahoma"/>
          <w:sz w:val="24"/>
          <w:szCs w:val="24"/>
        </w:rPr>
        <w:t>4</w:t>
      </w:r>
      <w:r w:rsidR="005C0350">
        <w:rPr>
          <w:rFonts w:ascii="Tahoma" w:hAnsi="Tahoma" w:cs="Tahoma"/>
          <w:sz w:val="24"/>
          <w:szCs w:val="24"/>
        </w:rPr>
        <w:t>)</w:t>
      </w:r>
      <w:r w:rsidR="00670FF1" w:rsidRPr="00863A17">
        <w:rPr>
          <w:rFonts w:ascii="Tahoma" w:hAnsi="Tahoma" w:cs="Tahoma"/>
          <w:sz w:val="24"/>
          <w:szCs w:val="24"/>
        </w:rPr>
        <w:t xml:space="preserve">. </w:t>
      </w:r>
    </w:p>
    <w:p w14:paraId="1769A7AE" w14:textId="77777777" w:rsidR="00DA75D2" w:rsidRDefault="00DA75D2" w:rsidP="004C7E36">
      <w:pPr>
        <w:ind w:left="720" w:hanging="720"/>
        <w:jc w:val="both"/>
        <w:rPr>
          <w:rFonts w:ascii="Tahoma" w:hAnsi="Tahoma" w:cs="Tahoma"/>
          <w:sz w:val="24"/>
          <w:szCs w:val="24"/>
        </w:rPr>
      </w:pPr>
    </w:p>
    <w:p w14:paraId="67F1DE71" w14:textId="77777777" w:rsidR="00DA75D2" w:rsidRDefault="00DA75D2" w:rsidP="004C7E36">
      <w:pPr>
        <w:ind w:left="720" w:hanging="720"/>
        <w:jc w:val="both"/>
        <w:rPr>
          <w:rFonts w:ascii="Tahoma" w:hAnsi="Tahoma" w:cs="Tahoma"/>
          <w:sz w:val="24"/>
          <w:szCs w:val="24"/>
        </w:rPr>
      </w:pPr>
    </w:p>
    <w:p w14:paraId="2E6001B1" w14:textId="77777777" w:rsidR="00DA75D2" w:rsidRDefault="00DA75D2" w:rsidP="004C7E36">
      <w:pPr>
        <w:ind w:left="720" w:hanging="720"/>
        <w:jc w:val="both"/>
        <w:rPr>
          <w:rFonts w:ascii="Tahoma" w:hAnsi="Tahoma" w:cs="Tahoma"/>
          <w:sz w:val="24"/>
          <w:szCs w:val="24"/>
        </w:rPr>
      </w:pPr>
    </w:p>
    <w:p w14:paraId="373A279C" w14:textId="77777777" w:rsidR="00DA75D2" w:rsidRPr="00863A17" w:rsidRDefault="00DA75D2" w:rsidP="004C7E36">
      <w:pPr>
        <w:ind w:left="720" w:hanging="720"/>
        <w:jc w:val="both"/>
        <w:rPr>
          <w:rFonts w:ascii="Tahoma" w:hAnsi="Tahoma" w:cs="Tahoma"/>
          <w:sz w:val="24"/>
          <w:szCs w:val="24"/>
        </w:rPr>
      </w:pPr>
    </w:p>
    <w:p w14:paraId="695270CD" w14:textId="77777777" w:rsidR="00474E3B" w:rsidRDefault="00FA3C4E" w:rsidP="00087E0F">
      <w:pPr>
        <w:pStyle w:val="ListofFigures"/>
      </w:pPr>
      <w:bookmarkStart w:id="44" w:name="_Toc179990251"/>
      <w:bookmarkEnd w:id="43"/>
      <w:r w:rsidRPr="00863A17">
        <w:lastRenderedPageBreak/>
        <w:t xml:space="preserve">Figure </w:t>
      </w:r>
      <w:r w:rsidR="00CB2650">
        <w:rPr>
          <w:bCs/>
        </w:rPr>
        <w:t>4</w:t>
      </w:r>
      <w:r w:rsidRPr="00863A17">
        <w:t xml:space="preserve">: </w:t>
      </w:r>
      <w:r w:rsidRPr="00863A17">
        <w:rPr>
          <w:lang w:val="en-US"/>
        </w:rPr>
        <w:t>Month</w:t>
      </w:r>
      <w:r w:rsidR="00FF7839" w:rsidRPr="00863A17">
        <w:rPr>
          <w:lang w:val="en-US"/>
        </w:rPr>
        <w:t>-</w:t>
      </w:r>
      <w:r w:rsidR="00670FF1" w:rsidRPr="00863A17">
        <w:rPr>
          <w:lang w:val="en-US"/>
        </w:rPr>
        <w:t>on</w:t>
      </w:r>
      <w:r w:rsidR="00FF7839" w:rsidRPr="00863A17">
        <w:rPr>
          <w:lang w:val="en-US"/>
        </w:rPr>
        <w:t>-</w:t>
      </w:r>
      <w:r w:rsidR="00670FF1" w:rsidRPr="00863A17">
        <w:rPr>
          <w:lang w:val="en-US"/>
        </w:rPr>
        <w:t>Month</w:t>
      </w:r>
      <w:r w:rsidR="000C78EC">
        <w:rPr>
          <w:lang w:val="en-US"/>
        </w:rPr>
        <w:t xml:space="preserve"> Weighted</w:t>
      </w:r>
      <w:r w:rsidRPr="00863A17">
        <w:rPr>
          <w:lang w:val="en-US"/>
        </w:rPr>
        <w:t xml:space="preserve"> Inflation Outturn</w:t>
      </w:r>
      <w:bookmarkEnd w:id="44"/>
    </w:p>
    <w:p w14:paraId="1ABE5DD0" w14:textId="6E5712EE" w:rsidR="00087E0F" w:rsidRPr="00863A17" w:rsidRDefault="00F02064" w:rsidP="004C7E36">
      <w:pPr>
        <w:spacing w:after="0"/>
        <w:rPr>
          <w:rFonts w:ascii="Tahoma" w:hAnsi="Tahoma" w:cs="Tahoma"/>
          <w:sz w:val="24"/>
          <w:szCs w:val="24"/>
          <w:lang w:val="en-US"/>
        </w:rPr>
      </w:pPr>
      <w:r w:rsidRPr="00C92BB8">
        <w:rPr>
          <w:noProof/>
        </w:rPr>
        <w:drawing>
          <wp:inline distT="0" distB="0" distL="0" distR="0" wp14:anchorId="21B0CEB4" wp14:editId="70DD2165">
            <wp:extent cx="5732145" cy="2493645"/>
            <wp:effectExtent l="0" t="0" r="0" b="0"/>
            <wp:docPr id="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421B946" w14:textId="77777777" w:rsidR="00474E3B" w:rsidRPr="00863A17" w:rsidRDefault="004C7E36" w:rsidP="00474E3B">
      <w:pPr>
        <w:rPr>
          <w:rFonts w:ascii="Tahoma" w:hAnsi="Tahoma" w:cs="Tahoma"/>
          <w:i/>
          <w:sz w:val="24"/>
          <w:szCs w:val="24"/>
          <w:lang w:val="en-US"/>
        </w:rPr>
      </w:pPr>
      <w:r w:rsidRPr="00863A17">
        <w:rPr>
          <w:rFonts w:ascii="Tahoma" w:hAnsi="Tahoma" w:cs="Tahoma"/>
          <w:i/>
          <w:sz w:val="24"/>
          <w:szCs w:val="24"/>
          <w:lang w:val="en-US"/>
        </w:rPr>
        <w:t>Source: ZimStat (202</w:t>
      </w:r>
      <w:r w:rsidR="00FF16B2" w:rsidRPr="00863A17">
        <w:rPr>
          <w:rFonts w:ascii="Tahoma" w:hAnsi="Tahoma" w:cs="Tahoma"/>
          <w:i/>
          <w:sz w:val="24"/>
          <w:szCs w:val="24"/>
          <w:lang w:val="en-US"/>
        </w:rPr>
        <w:t>4</w:t>
      </w:r>
      <w:r w:rsidRPr="00863A17">
        <w:rPr>
          <w:rFonts w:ascii="Tahoma" w:hAnsi="Tahoma" w:cs="Tahoma"/>
          <w:i/>
          <w:sz w:val="24"/>
          <w:szCs w:val="24"/>
          <w:lang w:val="en-US"/>
        </w:rPr>
        <w:t>)</w:t>
      </w:r>
    </w:p>
    <w:p w14:paraId="6CCD7B8F" w14:textId="77777777" w:rsidR="00474E3B" w:rsidRPr="00863A17" w:rsidRDefault="004C7E36" w:rsidP="00F05BD5">
      <w:pPr>
        <w:ind w:left="720" w:hanging="720"/>
        <w:jc w:val="both"/>
        <w:rPr>
          <w:rFonts w:ascii="Tahoma" w:hAnsi="Tahoma" w:cs="Tahoma"/>
          <w:sz w:val="24"/>
          <w:szCs w:val="24"/>
          <w:lang w:val="en-US"/>
        </w:rPr>
      </w:pPr>
      <w:r w:rsidRPr="00863A17">
        <w:rPr>
          <w:rFonts w:ascii="Tahoma" w:hAnsi="Tahoma" w:cs="Tahoma"/>
          <w:sz w:val="24"/>
          <w:szCs w:val="24"/>
          <w:lang w:val="en-US"/>
        </w:rPr>
        <w:t>6.</w:t>
      </w:r>
      <w:r w:rsidR="005F0769">
        <w:rPr>
          <w:rFonts w:ascii="Tahoma" w:hAnsi="Tahoma" w:cs="Tahoma"/>
          <w:sz w:val="24"/>
          <w:szCs w:val="24"/>
          <w:lang w:val="en-US"/>
        </w:rPr>
        <w:t>3</w:t>
      </w:r>
      <w:r w:rsidRPr="00863A17">
        <w:rPr>
          <w:rFonts w:ascii="Tahoma" w:hAnsi="Tahoma" w:cs="Tahoma"/>
          <w:sz w:val="24"/>
          <w:szCs w:val="24"/>
          <w:lang w:val="en-US"/>
        </w:rPr>
        <w:tab/>
      </w:r>
      <w:r w:rsidR="00C456DD">
        <w:rPr>
          <w:rFonts w:ascii="Tahoma" w:hAnsi="Tahoma" w:cs="Tahoma"/>
          <w:sz w:val="24"/>
          <w:szCs w:val="24"/>
          <w:lang w:val="en-US"/>
        </w:rPr>
        <w:t>The main contributor</w:t>
      </w:r>
      <w:r w:rsidR="00F875D5">
        <w:rPr>
          <w:rFonts w:ascii="Tahoma" w:hAnsi="Tahoma" w:cs="Tahoma"/>
          <w:sz w:val="24"/>
          <w:szCs w:val="24"/>
          <w:lang w:val="en-US"/>
        </w:rPr>
        <w:t>s</w:t>
      </w:r>
      <w:r w:rsidR="00C456DD">
        <w:rPr>
          <w:rFonts w:ascii="Tahoma" w:hAnsi="Tahoma" w:cs="Tahoma"/>
          <w:sz w:val="24"/>
          <w:szCs w:val="24"/>
          <w:lang w:val="en-US"/>
        </w:rPr>
        <w:t xml:space="preserve"> to</w:t>
      </w:r>
      <w:r w:rsidR="008D6D88">
        <w:rPr>
          <w:rFonts w:ascii="Tahoma" w:hAnsi="Tahoma" w:cs="Tahoma"/>
          <w:sz w:val="24"/>
          <w:szCs w:val="24"/>
          <w:lang w:val="en-US"/>
        </w:rPr>
        <w:t xml:space="preserve"> both weighted and ZWG</w:t>
      </w:r>
      <w:r w:rsidR="00C456DD">
        <w:rPr>
          <w:rFonts w:ascii="Tahoma" w:hAnsi="Tahoma" w:cs="Tahoma"/>
          <w:sz w:val="24"/>
          <w:szCs w:val="24"/>
          <w:lang w:val="en-US"/>
        </w:rPr>
        <w:t xml:space="preserve"> inflation</w:t>
      </w:r>
      <w:r w:rsidR="00BA6BB3">
        <w:rPr>
          <w:rFonts w:ascii="Tahoma" w:hAnsi="Tahoma" w:cs="Tahoma"/>
          <w:sz w:val="24"/>
          <w:szCs w:val="24"/>
          <w:lang w:val="en-US"/>
        </w:rPr>
        <w:t xml:space="preserve"> in September 2024</w:t>
      </w:r>
      <w:r w:rsidR="00C456DD">
        <w:rPr>
          <w:rFonts w:ascii="Tahoma" w:hAnsi="Tahoma" w:cs="Tahoma"/>
          <w:sz w:val="24"/>
          <w:szCs w:val="24"/>
          <w:lang w:val="en-US"/>
        </w:rPr>
        <w:t xml:space="preserve"> </w:t>
      </w:r>
      <w:r w:rsidR="00BA6BB3">
        <w:rPr>
          <w:rFonts w:ascii="Tahoma" w:hAnsi="Tahoma" w:cs="Tahoma"/>
          <w:sz w:val="24"/>
          <w:szCs w:val="24"/>
          <w:lang w:val="en-US"/>
        </w:rPr>
        <w:t>remain</w:t>
      </w:r>
      <w:r w:rsidR="00F875D5">
        <w:rPr>
          <w:rFonts w:ascii="Tahoma" w:hAnsi="Tahoma" w:cs="Tahoma"/>
          <w:sz w:val="24"/>
          <w:szCs w:val="24"/>
          <w:lang w:val="en-US"/>
        </w:rPr>
        <w:t xml:space="preserve"> food and non-alcoholic beverages and housing</w:t>
      </w:r>
      <w:r w:rsidR="00C456DD">
        <w:rPr>
          <w:rFonts w:ascii="Tahoma" w:hAnsi="Tahoma" w:cs="Tahoma"/>
          <w:sz w:val="24"/>
          <w:szCs w:val="24"/>
          <w:lang w:val="en-US"/>
        </w:rPr>
        <w:t>, water, electri</w:t>
      </w:r>
      <w:r w:rsidR="00F875D5">
        <w:rPr>
          <w:rFonts w:ascii="Tahoma" w:hAnsi="Tahoma" w:cs="Tahoma"/>
          <w:sz w:val="24"/>
          <w:szCs w:val="24"/>
          <w:lang w:val="en-US"/>
        </w:rPr>
        <w:t>city, gas and other fuels with</w:t>
      </w:r>
      <w:r w:rsidR="00C456DD">
        <w:rPr>
          <w:rFonts w:ascii="Tahoma" w:hAnsi="Tahoma" w:cs="Tahoma"/>
          <w:sz w:val="24"/>
          <w:szCs w:val="24"/>
          <w:lang w:val="en-US"/>
        </w:rPr>
        <w:t xml:space="preserve"> weight</w:t>
      </w:r>
      <w:r w:rsidR="00F875D5">
        <w:rPr>
          <w:rFonts w:ascii="Tahoma" w:hAnsi="Tahoma" w:cs="Tahoma"/>
          <w:sz w:val="24"/>
          <w:szCs w:val="24"/>
          <w:lang w:val="en-US"/>
        </w:rPr>
        <w:t xml:space="preserve">s of 31.3 and 27.62 </w:t>
      </w:r>
      <w:r w:rsidR="00BA6BB3">
        <w:rPr>
          <w:rFonts w:ascii="Tahoma" w:hAnsi="Tahoma" w:cs="Tahoma"/>
          <w:sz w:val="24"/>
          <w:szCs w:val="24"/>
          <w:lang w:val="en-US"/>
        </w:rPr>
        <w:t>respectively</w:t>
      </w:r>
      <w:r w:rsidR="005C0350">
        <w:rPr>
          <w:rFonts w:ascii="Tahoma" w:hAnsi="Tahoma" w:cs="Tahoma"/>
          <w:sz w:val="24"/>
          <w:szCs w:val="24"/>
          <w:lang w:val="en-US"/>
        </w:rPr>
        <w:t xml:space="preserve"> (see Table 5)</w:t>
      </w:r>
      <w:r w:rsidR="00F875D5">
        <w:rPr>
          <w:rFonts w:ascii="Tahoma" w:hAnsi="Tahoma" w:cs="Tahoma"/>
          <w:sz w:val="24"/>
          <w:szCs w:val="24"/>
          <w:lang w:val="en-US"/>
        </w:rPr>
        <w:t>.</w:t>
      </w:r>
      <w:r w:rsidR="00EC0618">
        <w:rPr>
          <w:rFonts w:ascii="Tahoma" w:hAnsi="Tahoma" w:cs="Tahoma"/>
          <w:sz w:val="24"/>
          <w:szCs w:val="24"/>
          <w:lang w:val="en-US"/>
        </w:rPr>
        <w:t xml:space="preserve"> </w:t>
      </w:r>
    </w:p>
    <w:p w14:paraId="220A0194" w14:textId="77777777" w:rsidR="00364947" w:rsidRDefault="003C1D2F" w:rsidP="00F05BD5">
      <w:pPr>
        <w:pStyle w:val="ListofTables"/>
        <w:spacing w:after="240"/>
      </w:pPr>
      <w:bookmarkStart w:id="45" w:name="_Toc164072366"/>
      <w:bookmarkStart w:id="46" w:name="_Toc166658893"/>
      <w:bookmarkStart w:id="47" w:name="_Toc181022050"/>
      <w:r w:rsidRPr="00863A17">
        <w:t xml:space="preserve">Table </w:t>
      </w:r>
      <w:r w:rsidR="00632011">
        <w:t>5</w:t>
      </w:r>
      <w:r w:rsidRPr="00863A17">
        <w:t xml:space="preserve">: </w:t>
      </w:r>
      <w:r w:rsidR="0008600D">
        <w:t xml:space="preserve">Monthly </w:t>
      </w:r>
      <w:r w:rsidRPr="00863A17">
        <w:rPr>
          <w:lang w:val="en-US"/>
        </w:rPr>
        <w:t xml:space="preserve">Inflation </w:t>
      </w:r>
      <w:r w:rsidR="00DF0401">
        <w:rPr>
          <w:lang w:val="en-US"/>
        </w:rPr>
        <w:t xml:space="preserve">for </w:t>
      </w:r>
      <w:r w:rsidR="00BA6BB3">
        <w:rPr>
          <w:lang w:val="en-US"/>
        </w:rPr>
        <w:t>September</w:t>
      </w:r>
      <w:r w:rsidRPr="00863A17">
        <w:rPr>
          <w:lang w:val="en-US"/>
        </w:rPr>
        <w:t xml:space="preserve"> 202</w:t>
      </w:r>
      <w:r w:rsidR="002525BF" w:rsidRPr="00863A17">
        <w:rPr>
          <w:lang w:val="en-US"/>
        </w:rPr>
        <w:t>4</w:t>
      </w:r>
      <w:bookmarkEnd w:id="45"/>
      <w:bookmarkEnd w:id="46"/>
      <w:bookmarkEnd w:id="47"/>
    </w:p>
    <w:p w14:paraId="74EB6281" w14:textId="7A1DC964" w:rsidR="001C152E" w:rsidRPr="00863A17" w:rsidRDefault="00F02064" w:rsidP="004C7E36">
      <w:pPr>
        <w:spacing w:after="0"/>
        <w:rPr>
          <w:rFonts w:ascii="Tahoma" w:hAnsi="Tahoma" w:cs="Tahoma"/>
          <w:sz w:val="24"/>
          <w:szCs w:val="24"/>
          <w:lang w:val="en-US"/>
        </w:rPr>
      </w:pPr>
      <w:r w:rsidRPr="00BA6BB3">
        <w:rPr>
          <w:noProof/>
        </w:rPr>
        <w:drawing>
          <wp:inline distT="0" distB="0" distL="0" distR="0" wp14:anchorId="16F68F62" wp14:editId="22FA5F11">
            <wp:extent cx="5724525" cy="28098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14:paraId="052EE39B" w14:textId="77777777" w:rsidR="00D81672" w:rsidRPr="00863A17" w:rsidRDefault="00D81672">
      <w:pPr>
        <w:rPr>
          <w:rFonts w:ascii="Tahoma" w:hAnsi="Tahoma" w:cs="Tahoma"/>
          <w:i/>
          <w:sz w:val="24"/>
          <w:szCs w:val="24"/>
          <w:lang w:val="en-US"/>
        </w:rPr>
      </w:pPr>
      <w:r w:rsidRPr="00863A17">
        <w:rPr>
          <w:rFonts w:ascii="Tahoma" w:hAnsi="Tahoma" w:cs="Tahoma"/>
          <w:i/>
          <w:sz w:val="24"/>
          <w:szCs w:val="24"/>
          <w:lang w:val="en-US"/>
        </w:rPr>
        <w:t>Source</w:t>
      </w:r>
      <w:r w:rsidR="004C7E36" w:rsidRPr="00863A17">
        <w:rPr>
          <w:rFonts w:ascii="Tahoma" w:hAnsi="Tahoma" w:cs="Tahoma"/>
          <w:i/>
          <w:sz w:val="24"/>
          <w:szCs w:val="24"/>
          <w:lang w:val="en-US"/>
        </w:rPr>
        <w:t>: ZimStat (202</w:t>
      </w:r>
      <w:r w:rsidR="00386A89" w:rsidRPr="00863A17">
        <w:rPr>
          <w:rFonts w:ascii="Tahoma" w:hAnsi="Tahoma" w:cs="Tahoma"/>
          <w:i/>
          <w:sz w:val="24"/>
          <w:szCs w:val="24"/>
          <w:lang w:val="en-US"/>
        </w:rPr>
        <w:t>4</w:t>
      </w:r>
      <w:r w:rsidR="004C7E36" w:rsidRPr="00863A17">
        <w:rPr>
          <w:rFonts w:ascii="Tahoma" w:hAnsi="Tahoma" w:cs="Tahoma"/>
          <w:i/>
          <w:sz w:val="24"/>
          <w:szCs w:val="24"/>
          <w:lang w:val="en-US"/>
        </w:rPr>
        <w:t>)</w:t>
      </w:r>
    </w:p>
    <w:p w14:paraId="72DE64C8" w14:textId="77777777" w:rsidR="00184FA3" w:rsidRPr="00A64F64" w:rsidRDefault="00184FA3" w:rsidP="003D0C8C">
      <w:pPr>
        <w:pStyle w:val="Heading1"/>
        <w:numPr>
          <w:ilvl w:val="0"/>
          <w:numId w:val="6"/>
        </w:numPr>
        <w:spacing w:before="0" w:after="240" w:line="240" w:lineRule="auto"/>
        <w:rPr>
          <w:rFonts w:cs="Tahoma"/>
          <w:bCs/>
          <w:color w:val="000000"/>
          <w:szCs w:val="24"/>
          <w:lang w:val="en-US"/>
        </w:rPr>
      </w:pPr>
      <w:bookmarkStart w:id="48" w:name="_Toc166607899"/>
      <w:bookmarkStart w:id="49" w:name="_Toc181022188"/>
      <w:r w:rsidRPr="00A64F64">
        <w:rPr>
          <w:rFonts w:cs="Tahoma"/>
          <w:bCs/>
          <w:color w:val="000000"/>
          <w:szCs w:val="24"/>
          <w:lang w:val="en-US"/>
        </w:rPr>
        <w:t>Monetary Developments</w:t>
      </w:r>
      <w:bookmarkEnd w:id="48"/>
      <w:bookmarkEnd w:id="49"/>
      <w:r w:rsidRPr="00A64F64">
        <w:rPr>
          <w:rFonts w:cs="Tahoma"/>
          <w:bCs/>
          <w:color w:val="000000"/>
          <w:szCs w:val="24"/>
          <w:lang w:val="en-US"/>
        </w:rPr>
        <w:t xml:space="preserve"> </w:t>
      </w:r>
    </w:p>
    <w:p w14:paraId="58CD44B1" w14:textId="77777777" w:rsidR="003D0C8C" w:rsidRPr="003D0C8C" w:rsidRDefault="003D0C8C" w:rsidP="003D0C8C">
      <w:pPr>
        <w:pStyle w:val="Heading2"/>
        <w:spacing w:before="0" w:after="240" w:line="240" w:lineRule="auto"/>
        <w:rPr>
          <w:rFonts w:cs="Tahoma"/>
          <w:b/>
          <w:color w:val="000000"/>
          <w:szCs w:val="24"/>
          <w:lang w:val="en-US"/>
        </w:rPr>
      </w:pPr>
      <w:bookmarkStart w:id="50" w:name="_Toc166607900"/>
      <w:bookmarkStart w:id="51" w:name="_Toc181022189"/>
      <w:r w:rsidRPr="003D0C8C">
        <w:rPr>
          <w:rFonts w:cs="Tahoma"/>
          <w:b/>
          <w:color w:val="000000"/>
          <w:szCs w:val="24"/>
          <w:lang w:val="en-US"/>
        </w:rPr>
        <w:t>7.1</w:t>
      </w:r>
      <w:r w:rsidRPr="003D0C8C">
        <w:rPr>
          <w:rFonts w:cs="Tahoma"/>
          <w:b/>
          <w:color w:val="000000"/>
          <w:szCs w:val="24"/>
          <w:lang w:val="en-US"/>
        </w:rPr>
        <w:tab/>
        <w:t>Money Supply</w:t>
      </w:r>
      <w:bookmarkEnd w:id="50"/>
      <w:bookmarkEnd w:id="51"/>
      <w:r w:rsidR="00CF7A33">
        <w:rPr>
          <w:rFonts w:cs="Tahoma"/>
          <w:b/>
          <w:color w:val="000000"/>
          <w:szCs w:val="24"/>
          <w:lang w:val="en-US"/>
        </w:rPr>
        <w:t xml:space="preserve"> </w:t>
      </w:r>
    </w:p>
    <w:p w14:paraId="55D113D7" w14:textId="55AA9973" w:rsidR="000A50AA" w:rsidRDefault="004C7E36" w:rsidP="005C0350">
      <w:pPr>
        <w:spacing w:after="0"/>
        <w:ind w:left="720" w:hanging="720"/>
        <w:jc w:val="both"/>
        <w:rPr>
          <w:rFonts w:ascii="Tahoma" w:hAnsi="Tahoma" w:cs="Tahoma"/>
          <w:sz w:val="24"/>
          <w:szCs w:val="24"/>
          <w:lang w:val="en-US"/>
        </w:rPr>
      </w:pPr>
      <w:r w:rsidRPr="00CB6A80">
        <w:rPr>
          <w:rFonts w:ascii="Tahoma" w:hAnsi="Tahoma" w:cs="Tahoma"/>
          <w:sz w:val="24"/>
          <w:szCs w:val="24"/>
          <w:lang w:val="en-US"/>
        </w:rPr>
        <w:t>7.1</w:t>
      </w:r>
      <w:r w:rsidR="00FA7297" w:rsidRPr="00CB6A80">
        <w:rPr>
          <w:rFonts w:ascii="Tahoma" w:hAnsi="Tahoma" w:cs="Tahoma"/>
          <w:sz w:val="24"/>
          <w:szCs w:val="24"/>
          <w:lang w:val="en-US"/>
        </w:rPr>
        <w:t>.</w:t>
      </w:r>
      <w:r w:rsidR="003D0C8C">
        <w:rPr>
          <w:rFonts w:ascii="Tahoma" w:hAnsi="Tahoma" w:cs="Tahoma"/>
          <w:sz w:val="24"/>
          <w:szCs w:val="24"/>
          <w:lang w:val="en-US"/>
        </w:rPr>
        <w:t>1</w:t>
      </w:r>
      <w:r w:rsidRPr="00CB6A80">
        <w:rPr>
          <w:rFonts w:ascii="Tahoma" w:hAnsi="Tahoma" w:cs="Tahoma"/>
          <w:sz w:val="24"/>
          <w:szCs w:val="24"/>
          <w:lang w:val="en-US"/>
        </w:rPr>
        <w:tab/>
      </w:r>
      <w:bookmarkStart w:id="52" w:name="_Hlk179978693"/>
      <w:r w:rsidR="003D514B">
        <w:rPr>
          <w:rFonts w:ascii="Tahoma" w:hAnsi="Tahoma" w:cs="Tahoma"/>
          <w:sz w:val="24"/>
          <w:szCs w:val="24"/>
          <w:lang w:val="en-US"/>
        </w:rPr>
        <w:t>B</w:t>
      </w:r>
      <w:r w:rsidR="00C15011">
        <w:rPr>
          <w:rFonts w:ascii="Tahoma" w:hAnsi="Tahoma" w:cs="Tahoma"/>
          <w:sz w:val="24"/>
          <w:szCs w:val="24"/>
          <w:lang w:val="en-US"/>
        </w:rPr>
        <w:t>road money stock stood at ZW</w:t>
      </w:r>
      <w:r w:rsidR="00CD06BB">
        <w:rPr>
          <w:rFonts w:ascii="Tahoma" w:hAnsi="Tahoma" w:cs="Tahoma"/>
          <w:sz w:val="24"/>
          <w:szCs w:val="24"/>
          <w:lang w:val="en-US"/>
        </w:rPr>
        <w:t>G4</w:t>
      </w:r>
      <w:r w:rsidR="003D514B">
        <w:rPr>
          <w:rFonts w:ascii="Tahoma" w:hAnsi="Tahoma" w:cs="Tahoma"/>
          <w:sz w:val="24"/>
          <w:szCs w:val="24"/>
          <w:lang w:val="en-US"/>
        </w:rPr>
        <w:t>5</w:t>
      </w:r>
      <w:r w:rsidR="00CD06BB">
        <w:rPr>
          <w:rFonts w:ascii="Tahoma" w:hAnsi="Tahoma" w:cs="Tahoma"/>
          <w:sz w:val="24"/>
          <w:szCs w:val="24"/>
          <w:lang w:val="en-US"/>
        </w:rPr>
        <w:t>.</w:t>
      </w:r>
      <w:r w:rsidR="003D514B">
        <w:rPr>
          <w:rFonts w:ascii="Tahoma" w:hAnsi="Tahoma" w:cs="Tahoma"/>
          <w:sz w:val="24"/>
          <w:szCs w:val="24"/>
          <w:lang w:val="en-US"/>
        </w:rPr>
        <w:t>98</w:t>
      </w:r>
      <w:r w:rsidR="00CD06BB">
        <w:rPr>
          <w:rFonts w:ascii="Tahoma" w:hAnsi="Tahoma" w:cs="Tahoma"/>
          <w:sz w:val="24"/>
          <w:szCs w:val="24"/>
          <w:lang w:val="en-US"/>
        </w:rPr>
        <w:t xml:space="preserve"> billion</w:t>
      </w:r>
      <w:r w:rsidR="00303E26">
        <w:rPr>
          <w:rFonts w:ascii="Tahoma" w:hAnsi="Tahoma" w:cs="Tahoma"/>
          <w:sz w:val="24"/>
          <w:szCs w:val="24"/>
          <w:lang w:val="en-US"/>
        </w:rPr>
        <w:t xml:space="preserve"> in</w:t>
      </w:r>
      <w:r w:rsidR="006508CC">
        <w:rPr>
          <w:rFonts w:ascii="Tahoma" w:hAnsi="Tahoma" w:cs="Tahoma"/>
          <w:sz w:val="24"/>
          <w:szCs w:val="24"/>
          <w:lang w:val="en-US"/>
        </w:rPr>
        <w:t xml:space="preserve"> July</w:t>
      </w:r>
      <w:r w:rsidR="00303E26">
        <w:rPr>
          <w:rFonts w:ascii="Tahoma" w:hAnsi="Tahoma" w:cs="Tahoma"/>
          <w:sz w:val="24"/>
          <w:szCs w:val="24"/>
          <w:lang w:val="en-US"/>
        </w:rPr>
        <w:t xml:space="preserve"> 2024</w:t>
      </w:r>
      <w:r w:rsidR="005C0350">
        <w:rPr>
          <w:rFonts w:ascii="Tahoma" w:hAnsi="Tahoma" w:cs="Tahoma"/>
          <w:sz w:val="24"/>
          <w:szCs w:val="24"/>
          <w:lang w:val="en-US"/>
        </w:rPr>
        <w:t>, representing a</w:t>
      </w:r>
      <w:r w:rsidR="003D514B">
        <w:rPr>
          <w:rFonts w:ascii="Tahoma" w:hAnsi="Tahoma" w:cs="Tahoma"/>
          <w:sz w:val="24"/>
          <w:szCs w:val="24"/>
          <w:lang w:val="en-US"/>
        </w:rPr>
        <w:t xml:space="preserve"> 7.6</w:t>
      </w:r>
      <w:r w:rsidR="00BF0451">
        <w:rPr>
          <w:rFonts w:ascii="Tahoma" w:hAnsi="Tahoma" w:cs="Tahoma"/>
          <w:sz w:val="24"/>
          <w:szCs w:val="24"/>
          <w:lang w:val="en-US"/>
        </w:rPr>
        <w:t xml:space="preserve">% </w:t>
      </w:r>
      <w:r w:rsidR="003D514B">
        <w:rPr>
          <w:rFonts w:ascii="Tahoma" w:hAnsi="Tahoma" w:cs="Tahoma"/>
          <w:sz w:val="24"/>
          <w:szCs w:val="24"/>
          <w:lang w:val="en-US"/>
        </w:rPr>
        <w:t>increase</w:t>
      </w:r>
      <w:r w:rsidR="005C0350">
        <w:rPr>
          <w:rFonts w:ascii="Tahoma" w:hAnsi="Tahoma" w:cs="Tahoma"/>
          <w:sz w:val="24"/>
          <w:szCs w:val="24"/>
          <w:lang w:val="en-US"/>
        </w:rPr>
        <w:t xml:space="preserve"> from the </w:t>
      </w:r>
      <w:r w:rsidR="00BF0451">
        <w:rPr>
          <w:rFonts w:ascii="Tahoma" w:hAnsi="Tahoma" w:cs="Tahoma"/>
          <w:sz w:val="24"/>
          <w:szCs w:val="24"/>
          <w:lang w:val="en-US"/>
        </w:rPr>
        <w:t>ZWG4</w:t>
      </w:r>
      <w:r w:rsidR="003D514B">
        <w:rPr>
          <w:rFonts w:ascii="Tahoma" w:hAnsi="Tahoma" w:cs="Tahoma"/>
          <w:sz w:val="24"/>
          <w:szCs w:val="24"/>
          <w:lang w:val="en-US"/>
        </w:rPr>
        <w:t>2</w:t>
      </w:r>
      <w:r w:rsidR="00BF0451">
        <w:rPr>
          <w:rFonts w:ascii="Tahoma" w:hAnsi="Tahoma" w:cs="Tahoma"/>
          <w:sz w:val="24"/>
          <w:szCs w:val="24"/>
          <w:lang w:val="en-US"/>
        </w:rPr>
        <w:t>.</w:t>
      </w:r>
      <w:r w:rsidR="003D514B">
        <w:rPr>
          <w:rFonts w:ascii="Tahoma" w:hAnsi="Tahoma" w:cs="Tahoma"/>
          <w:sz w:val="24"/>
          <w:szCs w:val="24"/>
          <w:lang w:val="en-US"/>
        </w:rPr>
        <w:t>7</w:t>
      </w:r>
      <w:r w:rsidR="00BF0451">
        <w:rPr>
          <w:rFonts w:ascii="Tahoma" w:hAnsi="Tahoma" w:cs="Tahoma"/>
          <w:sz w:val="24"/>
          <w:szCs w:val="24"/>
          <w:lang w:val="en-US"/>
        </w:rPr>
        <w:t xml:space="preserve">3 billion </w:t>
      </w:r>
      <w:r w:rsidR="005C0350">
        <w:rPr>
          <w:rFonts w:ascii="Tahoma" w:hAnsi="Tahoma" w:cs="Tahoma"/>
          <w:sz w:val="24"/>
          <w:szCs w:val="24"/>
          <w:lang w:val="en-US"/>
        </w:rPr>
        <w:t>recorded in</w:t>
      </w:r>
      <w:r w:rsidR="00BF0451">
        <w:rPr>
          <w:rFonts w:ascii="Tahoma" w:hAnsi="Tahoma" w:cs="Tahoma"/>
          <w:sz w:val="24"/>
          <w:szCs w:val="24"/>
          <w:lang w:val="en-US"/>
        </w:rPr>
        <w:t xml:space="preserve"> </w:t>
      </w:r>
      <w:r w:rsidR="003D514B">
        <w:rPr>
          <w:rFonts w:ascii="Tahoma" w:hAnsi="Tahoma" w:cs="Tahoma"/>
          <w:sz w:val="24"/>
          <w:szCs w:val="24"/>
          <w:lang w:val="en-US"/>
        </w:rPr>
        <w:t>June</w:t>
      </w:r>
      <w:r w:rsidR="00F0619B">
        <w:rPr>
          <w:rFonts w:ascii="Tahoma" w:hAnsi="Tahoma" w:cs="Tahoma"/>
          <w:sz w:val="24"/>
          <w:szCs w:val="24"/>
          <w:lang w:val="en-US"/>
        </w:rPr>
        <w:t xml:space="preserve"> 202</w:t>
      </w:r>
      <w:r w:rsidR="00BF0451">
        <w:rPr>
          <w:rFonts w:ascii="Tahoma" w:hAnsi="Tahoma" w:cs="Tahoma"/>
          <w:sz w:val="24"/>
          <w:szCs w:val="24"/>
          <w:lang w:val="en-US"/>
        </w:rPr>
        <w:t>4</w:t>
      </w:r>
      <w:r w:rsidR="005C0350">
        <w:rPr>
          <w:rFonts w:ascii="Tahoma" w:hAnsi="Tahoma" w:cs="Tahoma"/>
          <w:sz w:val="24"/>
          <w:szCs w:val="24"/>
          <w:lang w:val="en-US"/>
        </w:rPr>
        <w:t xml:space="preserve"> </w:t>
      </w:r>
      <w:r w:rsidR="003D514B">
        <w:rPr>
          <w:rFonts w:ascii="Tahoma" w:hAnsi="Tahoma" w:cs="Tahoma"/>
          <w:sz w:val="24"/>
          <w:szCs w:val="24"/>
          <w:lang w:val="en-US"/>
        </w:rPr>
        <w:t>(RBZ July 2024 Monthly Economic Review),</w:t>
      </w:r>
      <w:r w:rsidR="001D2904">
        <w:rPr>
          <w:rFonts w:ascii="Tahoma" w:hAnsi="Tahoma" w:cs="Tahoma"/>
          <w:sz w:val="24"/>
          <w:szCs w:val="24"/>
          <w:lang w:val="en-US"/>
        </w:rPr>
        <w:t xml:space="preserve"> while in July 2023</w:t>
      </w:r>
      <w:r w:rsidR="005C0350">
        <w:rPr>
          <w:rFonts w:ascii="Tahoma" w:hAnsi="Tahoma" w:cs="Tahoma"/>
          <w:sz w:val="24"/>
          <w:szCs w:val="24"/>
          <w:lang w:val="en-US"/>
        </w:rPr>
        <w:t xml:space="preserve">, </w:t>
      </w:r>
      <w:r w:rsidR="00BF0451">
        <w:rPr>
          <w:rFonts w:ascii="Tahoma" w:hAnsi="Tahoma" w:cs="Tahoma"/>
          <w:sz w:val="24"/>
          <w:szCs w:val="24"/>
          <w:lang w:val="en-US"/>
        </w:rPr>
        <w:t xml:space="preserve">broad money supply </w:t>
      </w:r>
      <w:r w:rsidR="005C0350">
        <w:rPr>
          <w:rFonts w:ascii="Tahoma" w:hAnsi="Tahoma" w:cs="Tahoma"/>
          <w:sz w:val="24"/>
          <w:szCs w:val="24"/>
          <w:lang w:val="en-US"/>
        </w:rPr>
        <w:t xml:space="preserve">stood at </w:t>
      </w:r>
      <w:r w:rsidR="00BF0451">
        <w:rPr>
          <w:rFonts w:ascii="Tahoma" w:hAnsi="Tahoma" w:cs="Tahoma"/>
          <w:sz w:val="24"/>
          <w:szCs w:val="24"/>
          <w:lang w:val="en-US"/>
        </w:rPr>
        <w:t>ZWG5.</w:t>
      </w:r>
      <w:r w:rsidR="001D2904">
        <w:rPr>
          <w:rFonts w:ascii="Tahoma" w:hAnsi="Tahoma" w:cs="Tahoma"/>
          <w:sz w:val="24"/>
          <w:szCs w:val="24"/>
          <w:lang w:val="en-US"/>
        </w:rPr>
        <w:t>2</w:t>
      </w:r>
      <w:r w:rsidR="00BF0451">
        <w:rPr>
          <w:rFonts w:ascii="Tahoma" w:hAnsi="Tahoma" w:cs="Tahoma"/>
          <w:sz w:val="24"/>
          <w:szCs w:val="24"/>
          <w:lang w:val="en-US"/>
        </w:rPr>
        <w:t xml:space="preserve"> billion</w:t>
      </w:r>
      <w:r w:rsidR="001D2904">
        <w:rPr>
          <w:rFonts w:ascii="Tahoma" w:hAnsi="Tahoma" w:cs="Tahoma"/>
          <w:sz w:val="24"/>
          <w:szCs w:val="24"/>
          <w:lang w:val="en-US"/>
        </w:rPr>
        <w:t xml:space="preserve"> (see Figure </w:t>
      </w:r>
      <w:r w:rsidR="00DA75D2">
        <w:rPr>
          <w:rFonts w:ascii="Tahoma" w:hAnsi="Tahoma" w:cs="Tahoma"/>
          <w:sz w:val="24"/>
          <w:szCs w:val="24"/>
          <w:lang w:val="en-US"/>
        </w:rPr>
        <w:t>5</w:t>
      </w:r>
      <w:r w:rsidR="001D2904">
        <w:rPr>
          <w:rFonts w:ascii="Tahoma" w:hAnsi="Tahoma" w:cs="Tahoma"/>
          <w:sz w:val="24"/>
          <w:szCs w:val="24"/>
          <w:lang w:val="en-US"/>
        </w:rPr>
        <w:t>)</w:t>
      </w:r>
      <w:r w:rsidR="005C0350">
        <w:rPr>
          <w:rFonts w:ascii="Tahoma" w:hAnsi="Tahoma" w:cs="Tahoma"/>
          <w:sz w:val="24"/>
          <w:szCs w:val="24"/>
          <w:lang w:val="en-US"/>
        </w:rPr>
        <w:t xml:space="preserve">. </w:t>
      </w:r>
      <w:r w:rsidR="00F57AA6">
        <w:rPr>
          <w:rFonts w:ascii="Tahoma" w:hAnsi="Tahoma" w:cs="Tahoma"/>
          <w:sz w:val="24"/>
          <w:szCs w:val="24"/>
          <w:lang w:val="en-US"/>
        </w:rPr>
        <w:t xml:space="preserve">Broad </w:t>
      </w:r>
      <w:r w:rsidR="00CD06BB">
        <w:rPr>
          <w:rFonts w:ascii="Tahoma" w:hAnsi="Tahoma" w:cs="Tahoma"/>
          <w:sz w:val="24"/>
          <w:szCs w:val="24"/>
          <w:lang w:val="en-US"/>
        </w:rPr>
        <w:t xml:space="preserve">money supply </w:t>
      </w:r>
      <w:r w:rsidR="00303E26">
        <w:rPr>
          <w:rFonts w:ascii="Tahoma" w:hAnsi="Tahoma" w:cs="Tahoma"/>
          <w:sz w:val="24"/>
          <w:szCs w:val="24"/>
          <w:lang w:val="en-US"/>
        </w:rPr>
        <w:t>was comprised</w:t>
      </w:r>
      <w:r w:rsidR="00CD06BB">
        <w:rPr>
          <w:rFonts w:ascii="Tahoma" w:hAnsi="Tahoma" w:cs="Tahoma"/>
          <w:sz w:val="24"/>
          <w:szCs w:val="24"/>
          <w:lang w:val="en-US"/>
        </w:rPr>
        <w:t xml:space="preserve"> of </w:t>
      </w:r>
      <w:r w:rsidR="00D054EE">
        <w:rPr>
          <w:rFonts w:ascii="Tahoma" w:hAnsi="Tahoma" w:cs="Tahoma"/>
          <w:sz w:val="24"/>
          <w:szCs w:val="24"/>
          <w:lang w:val="en-US"/>
        </w:rPr>
        <w:t>68.81</w:t>
      </w:r>
      <w:r w:rsidR="00F57AA6">
        <w:rPr>
          <w:rFonts w:ascii="Tahoma" w:hAnsi="Tahoma" w:cs="Tahoma"/>
          <w:sz w:val="24"/>
          <w:szCs w:val="24"/>
          <w:lang w:val="en-US"/>
        </w:rPr>
        <w:t xml:space="preserve">% </w:t>
      </w:r>
      <w:r w:rsidR="00F57AA6">
        <w:rPr>
          <w:rFonts w:ascii="Tahoma" w:hAnsi="Tahoma" w:cs="Tahoma"/>
          <w:sz w:val="24"/>
          <w:szCs w:val="24"/>
          <w:lang w:val="en-US"/>
        </w:rPr>
        <w:lastRenderedPageBreak/>
        <w:t>foreign currency</w:t>
      </w:r>
      <w:r w:rsidR="00CD06BB">
        <w:rPr>
          <w:rFonts w:ascii="Tahoma" w:hAnsi="Tahoma" w:cs="Tahoma"/>
          <w:sz w:val="24"/>
          <w:szCs w:val="24"/>
          <w:lang w:val="en-US"/>
        </w:rPr>
        <w:t xml:space="preserve"> transferable</w:t>
      </w:r>
      <w:r w:rsidR="00F57AA6">
        <w:rPr>
          <w:rFonts w:ascii="Tahoma" w:hAnsi="Tahoma" w:cs="Tahoma"/>
          <w:sz w:val="24"/>
          <w:szCs w:val="24"/>
          <w:lang w:val="en-US"/>
        </w:rPr>
        <w:t xml:space="preserve"> deposits</w:t>
      </w:r>
      <w:r w:rsidR="00CD06BB">
        <w:rPr>
          <w:rFonts w:ascii="Tahoma" w:hAnsi="Tahoma" w:cs="Tahoma"/>
          <w:sz w:val="24"/>
          <w:szCs w:val="24"/>
          <w:lang w:val="en-US"/>
        </w:rPr>
        <w:t>, 0.1</w:t>
      </w:r>
      <w:r w:rsidR="00D054EE">
        <w:rPr>
          <w:rFonts w:ascii="Tahoma" w:hAnsi="Tahoma" w:cs="Tahoma"/>
          <w:sz w:val="24"/>
          <w:szCs w:val="24"/>
          <w:lang w:val="en-US"/>
        </w:rPr>
        <w:t>3</w:t>
      </w:r>
      <w:r w:rsidR="00CD06BB">
        <w:rPr>
          <w:rFonts w:ascii="Tahoma" w:hAnsi="Tahoma" w:cs="Tahoma"/>
          <w:sz w:val="24"/>
          <w:szCs w:val="24"/>
          <w:lang w:val="en-US"/>
        </w:rPr>
        <w:t>% currency in circulation, 0.0</w:t>
      </w:r>
      <w:r w:rsidR="00D054EE">
        <w:rPr>
          <w:rFonts w:ascii="Tahoma" w:hAnsi="Tahoma" w:cs="Tahoma"/>
          <w:sz w:val="24"/>
          <w:szCs w:val="24"/>
          <w:lang w:val="en-US"/>
        </w:rPr>
        <w:t>4</w:t>
      </w:r>
      <w:r w:rsidR="00CD06BB">
        <w:rPr>
          <w:rFonts w:ascii="Tahoma" w:hAnsi="Tahoma" w:cs="Tahoma"/>
          <w:sz w:val="24"/>
          <w:szCs w:val="24"/>
          <w:lang w:val="en-US"/>
        </w:rPr>
        <w:t xml:space="preserve">% NCDs, </w:t>
      </w:r>
      <w:r w:rsidR="0023673D">
        <w:rPr>
          <w:rFonts w:ascii="Tahoma" w:hAnsi="Tahoma" w:cs="Tahoma"/>
          <w:sz w:val="24"/>
          <w:szCs w:val="24"/>
          <w:lang w:val="en-US"/>
        </w:rPr>
        <w:t>and 1.</w:t>
      </w:r>
      <w:r w:rsidR="00D054EE">
        <w:rPr>
          <w:rFonts w:ascii="Tahoma" w:hAnsi="Tahoma" w:cs="Tahoma"/>
          <w:sz w:val="24"/>
          <w:szCs w:val="24"/>
          <w:lang w:val="en-US"/>
        </w:rPr>
        <w:t>01</w:t>
      </w:r>
      <w:r w:rsidR="0023673D">
        <w:rPr>
          <w:rFonts w:ascii="Tahoma" w:hAnsi="Tahoma" w:cs="Tahoma"/>
          <w:sz w:val="24"/>
          <w:szCs w:val="24"/>
          <w:lang w:val="en-US"/>
        </w:rPr>
        <w:t>% local currency time, 7.</w:t>
      </w:r>
      <w:r w:rsidR="00D054EE">
        <w:rPr>
          <w:rFonts w:ascii="Tahoma" w:hAnsi="Tahoma" w:cs="Tahoma"/>
          <w:sz w:val="24"/>
          <w:szCs w:val="24"/>
          <w:lang w:val="en-US"/>
        </w:rPr>
        <w:t>45</w:t>
      </w:r>
      <w:r w:rsidR="0023673D">
        <w:rPr>
          <w:rFonts w:ascii="Tahoma" w:hAnsi="Tahoma" w:cs="Tahoma"/>
          <w:sz w:val="24"/>
          <w:szCs w:val="24"/>
          <w:lang w:val="en-US"/>
        </w:rPr>
        <w:t>% foreign currency</w:t>
      </w:r>
      <w:r w:rsidR="00CD06BB">
        <w:rPr>
          <w:rFonts w:ascii="Tahoma" w:hAnsi="Tahoma" w:cs="Tahoma"/>
          <w:sz w:val="24"/>
          <w:szCs w:val="24"/>
          <w:lang w:val="en-US"/>
        </w:rPr>
        <w:t xml:space="preserve"> time deposits and 2</w:t>
      </w:r>
      <w:r w:rsidR="00D054EE">
        <w:rPr>
          <w:rFonts w:ascii="Tahoma" w:hAnsi="Tahoma" w:cs="Tahoma"/>
          <w:sz w:val="24"/>
          <w:szCs w:val="24"/>
          <w:lang w:val="en-US"/>
        </w:rPr>
        <w:t>2.56</w:t>
      </w:r>
      <w:r w:rsidR="00CD06BB">
        <w:rPr>
          <w:rFonts w:ascii="Tahoma" w:hAnsi="Tahoma" w:cs="Tahoma"/>
          <w:sz w:val="24"/>
          <w:szCs w:val="24"/>
          <w:lang w:val="en-US"/>
        </w:rPr>
        <w:t>% local currency transferable.</w:t>
      </w:r>
      <w:r w:rsidR="00F57AA6">
        <w:rPr>
          <w:rFonts w:ascii="Tahoma" w:hAnsi="Tahoma" w:cs="Tahoma"/>
          <w:sz w:val="24"/>
          <w:szCs w:val="24"/>
          <w:lang w:val="en-US"/>
        </w:rPr>
        <w:t xml:space="preserve"> </w:t>
      </w:r>
      <w:bookmarkEnd w:id="52"/>
    </w:p>
    <w:p w14:paraId="50F2FB44" w14:textId="77777777" w:rsidR="005C0350" w:rsidRDefault="005C0350" w:rsidP="00F05BD5">
      <w:pPr>
        <w:spacing w:after="0"/>
        <w:ind w:left="720" w:hanging="720"/>
        <w:jc w:val="both"/>
        <w:rPr>
          <w:rFonts w:ascii="Tahoma" w:hAnsi="Tahoma" w:cs="Tahoma"/>
          <w:sz w:val="24"/>
          <w:szCs w:val="24"/>
          <w:lang w:val="en-US"/>
        </w:rPr>
      </w:pPr>
    </w:p>
    <w:p w14:paraId="149E4994" w14:textId="77777777" w:rsidR="000A50AA" w:rsidRPr="00E70553" w:rsidRDefault="000A50AA" w:rsidP="00F05BD5">
      <w:pPr>
        <w:pStyle w:val="ListofFigures"/>
      </w:pPr>
      <w:bookmarkStart w:id="53" w:name="_Toc179990252"/>
      <w:r w:rsidRPr="00E70553">
        <w:t xml:space="preserve">Figure </w:t>
      </w:r>
      <w:r w:rsidR="00CB2650">
        <w:t>5</w:t>
      </w:r>
      <w:r w:rsidR="005C0350">
        <w:t>:</w:t>
      </w:r>
      <w:r w:rsidRPr="00E70553">
        <w:t xml:space="preserve"> Broad Money (M3) Supply</w:t>
      </w:r>
      <w:bookmarkEnd w:id="53"/>
    </w:p>
    <w:p w14:paraId="17797F7F" w14:textId="2918D6E9" w:rsidR="000A50AA" w:rsidRDefault="00F02064" w:rsidP="00C36C70">
      <w:pPr>
        <w:spacing w:after="0"/>
        <w:ind w:left="720" w:hanging="720"/>
        <w:jc w:val="both"/>
        <w:rPr>
          <w:noProof/>
          <w:lang w:eastAsia="en-ZW"/>
        </w:rPr>
      </w:pPr>
      <w:r w:rsidRPr="00C92BB8">
        <w:rPr>
          <w:noProof/>
        </w:rPr>
        <w:drawing>
          <wp:inline distT="0" distB="0" distL="0" distR="0" wp14:anchorId="0BE75ABA" wp14:editId="45C0EF57">
            <wp:extent cx="5732145" cy="3267075"/>
            <wp:effectExtent l="0" t="0" r="1905" b="9525"/>
            <wp:docPr id="1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B1CDE9D" w14:textId="77777777" w:rsidR="00C36C70" w:rsidRDefault="00C36C70" w:rsidP="00C36C70">
      <w:pPr>
        <w:spacing w:after="0"/>
        <w:ind w:left="720" w:hanging="720"/>
        <w:jc w:val="both"/>
        <w:rPr>
          <w:rFonts w:ascii="Tahoma" w:hAnsi="Tahoma" w:cs="Tahoma"/>
          <w:i/>
          <w:noProof/>
          <w:sz w:val="24"/>
          <w:szCs w:val="24"/>
          <w:lang w:eastAsia="en-ZW"/>
        </w:rPr>
      </w:pPr>
      <w:r w:rsidRPr="00C36C70">
        <w:rPr>
          <w:rFonts w:ascii="Tahoma" w:hAnsi="Tahoma" w:cs="Tahoma"/>
          <w:i/>
          <w:noProof/>
          <w:sz w:val="24"/>
          <w:szCs w:val="24"/>
          <w:lang w:eastAsia="en-ZW"/>
        </w:rPr>
        <w:t>Source: RBZ (2024)</w:t>
      </w:r>
    </w:p>
    <w:p w14:paraId="690FE7C9" w14:textId="77777777" w:rsidR="00DA75D2" w:rsidRDefault="00DA75D2" w:rsidP="00C36C70">
      <w:pPr>
        <w:spacing w:after="0"/>
        <w:ind w:left="720" w:hanging="720"/>
        <w:jc w:val="both"/>
        <w:rPr>
          <w:rFonts w:ascii="Tahoma" w:hAnsi="Tahoma" w:cs="Tahoma"/>
          <w:i/>
          <w:noProof/>
          <w:sz w:val="24"/>
          <w:szCs w:val="24"/>
          <w:lang w:eastAsia="en-ZW"/>
        </w:rPr>
      </w:pPr>
    </w:p>
    <w:p w14:paraId="0D94FEB6" w14:textId="77777777" w:rsidR="00C36C70" w:rsidRPr="00FE4A95" w:rsidRDefault="005D2E94" w:rsidP="00FE4A95">
      <w:pPr>
        <w:pStyle w:val="Heading2"/>
        <w:spacing w:before="0" w:after="240" w:line="240" w:lineRule="auto"/>
        <w:rPr>
          <w:rFonts w:cs="Tahoma"/>
          <w:b/>
          <w:color w:val="000000"/>
          <w:szCs w:val="24"/>
          <w:lang w:val="en-US"/>
        </w:rPr>
      </w:pPr>
      <w:bookmarkStart w:id="54" w:name="_Toc181022190"/>
      <w:r>
        <w:rPr>
          <w:rFonts w:cs="Tahoma"/>
          <w:b/>
          <w:color w:val="000000"/>
          <w:szCs w:val="24"/>
          <w:lang w:val="en-US"/>
        </w:rPr>
        <w:t>7.2</w:t>
      </w:r>
      <w:r w:rsidR="00D6287E">
        <w:rPr>
          <w:rFonts w:cs="Tahoma"/>
          <w:b/>
          <w:color w:val="000000"/>
          <w:szCs w:val="24"/>
          <w:lang w:val="en-US"/>
        </w:rPr>
        <w:tab/>
        <w:t>Interest Rates</w:t>
      </w:r>
      <w:bookmarkEnd w:id="54"/>
      <w:r>
        <w:rPr>
          <w:rFonts w:cs="Tahoma"/>
          <w:b/>
          <w:color w:val="000000"/>
          <w:szCs w:val="24"/>
          <w:lang w:val="en-US"/>
        </w:rPr>
        <w:t xml:space="preserve"> </w:t>
      </w:r>
    </w:p>
    <w:p w14:paraId="27FC3F25" w14:textId="5898A2D4" w:rsidR="00E65FAE" w:rsidRDefault="005D2E94" w:rsidP="00CB6A80">
      <w:pPr>
        <w:ind w:left="720" w:hanging="720"/>
        <w:jc w:val="both"/>
        <w:rPr>
          <w:rFonts w:ascii="Tahoma" w:hAnsi="Tahoma" w:cs="Tahoma"/>
          <w:sz w:val="24"/>
          <w:szCs w:val="24"/>
          <w:lang w:val="en-US"/>
        </w:rPr>
      </w:pPr>
      <w:r>
        <w:rPr>
          <w:rFonts w:ascii="Tahoma" w:hAnsi="Tahoma" w:cs="Tahoma"/>
          <w:sz w:val="24"/>
          <w:szCs w:val="24"/>
          <w:lang w:val="en-US"/>
        </w:rPr>
        <w:t>7.1.1</w:t>
      </w:r>
      <w:r w:rsidR="00866209">
        <w:rPr>
          <w:rFonts w:ascii="Tahoma" w:hAnsi="Tahoma" w:cs="Tahoma"/>
          <w:sz w:val="24"/>
          <w:szCs w:val="24"/>
          <w:lang w:val="en-US"/>
        </w:rPr>
        <w:tab/>
      </w:r>
      <w:bookmarkStart w:id="55" w:name="_Hlk179978750"/>
      <w:bookmarkStart w:id="56" w:name="_Hlk166606487"/>
      <w:r w:rsidR="00866209">
        <w:rPr>
          <w:rFonts w:ascii="Tahoma" w:hAnsi="Tahoma" w:cs="Tahoma"/>
          <w:sz w:val="24"/>
          <w:szCs w:val="24"/>
          <w:lang w:val="en-US"/>
        </w:rPr>
        <w:t>According to the RBZ</w:t>
      </w:r>
      <w:r w:rsidR="004D4BEA">
        <w:rPr>
          <w:rFonts w:ascii="Tahoma" w:hAnsi="Tahoma" w:cs="Tahoma"/>
          <w:sz w:val="24"/>
          <w:szCs w:val="24"/>
          <w:lang w:val="en-US"/>
        </w:rPr>
        <w:t xml:space="preserve"> </w:t>
      </w:r>
      <w:r w:rsidR="00825B6E">
        <w:rPr>
          <w:rFonts w:ascii="Tahoma" w:hAnsi="Tahoma" w:cs="Tahoma"/>
          <w:sz w:val="24"/>
          <w:szCs w:val="24"/>
          <w:lang w:val="en-US"/>
        </w:rPr>
        <w:t>September</w:t>
      </w:r>
      <w:r w:rsidR="004D4BEA">
        <w:rPr>
          <w:rFonts w:ascii="Tahoma" w:hAnsi="Tahoma" w:cs="Tahoma"/>
          <w:sz w:val="24"/>
          <w:szCs w:val="24"/>
          <w:lang w:val="en-US"/>
        </w:rPr>
        <w:t xml:space="preserve"> 2024 Weekly Economic Highlights</w:t>
      </w:r>
      <w:r w:rsidR="00866209">
        <w:rPr>
          <w:rFonts w:ascii="Tahoma" w:hAnsi="Tahoma" w:cs="Tahoma"/>
          <w:sz w:val="24"/>
          <w:szCs w:val="24"/>
          <w:lang w:val="en-US"/>
        </w:rPr>
        <w:t>, the average commercial bank deposit rates for savings</w:t>
      </w:r>
      <w:r w:rsidR="00F51F34">
        <w:rPr>
          <w:rFonts w:ascii="Tahoma" w:hAnsi="Tahoma" w:cs="Tahoma"/>
          <w:sz w:val="24"/>
          <w:szCs w:val="24"/>
          <w:lang w:val="en-US"/>
        </w:rPr>
        <w:t xml:space="preserve"> </w:t>
      </w:r>
      <w:r w:rsidR="00DA75D2">
        <w:rPr>
          <w:rFonts w:ascii="Tahoma" w:hAnsi="Tahoma" w:cs="Tahoma"/>
          <w:sz w:val="24"/>
          <w:szCs w:val="24"/>
          <w:lang w:val="en-US"/>
        </w:rPr>
        <w:t>remain</w:t>
      </w:r>
      <w:r w:rsidR="00F51F34">
        <w:rPr>
          <w:rFonts w:ascii="Tahoma" w:hAnsi="Tahoma" w:cs="Tahoma"/>
          <w:sz w:val="24"/>
          <w:szCs w:val="24"/>
          <w:lang w:val="en-US"/>
        </w:rPr>
        <w:t xml:space="preserve"> unchanged</w:t>
      </w:r>
      <w:r w:rsidR="00866209">
        <w:rPr>
          <w:rFonts w:ascii="Tahoma" w:hAnsi="Tahoma" w:cs="Tahoma"/>
          <w:sz w:val="24"/>
          <w:szCs w:val="24"/>
          <w:lang w:val="en-US"/>
        </w:rPr>
        <w:t xml:space="preserve"> rang</w:t>
      </w:r>
      <w:r w:rsidR="00F51F34">
        <w:rPr>
          <w:rFonts w:ascii="Tahoma" w:hAnsi="Tahoma" w:cs="Tahoma"/>
          <w:sz w:val="24"/>
          <w:szCs w:val="24"/>
          <w:lang w:val="en-US"/>
        </w:rPr>
        <w:t>ing</w:t>
      </w:r>
      <w:r w:rsidR="00866209">
        <w:rPr>
          <w:rFonts w:ascii="Tahoma" w:hAnsi="Tahoma" w:cs="Tahoma"/>
          <w:sz w:val="24"/>
          <w:szCs w:val="24"/>
          <w:lang w:val="en-US"/>
        </w:rPr>
        <w:t xml:space="preserve"> from 3.75% to 3.88%</w:t>
      </w:r>
      <w:r w:rsidR="00F51F34">
        <w:rPr>
          <w:rFonts w:ascii="Tahoma" w:hAnsi="Tahoma" w:cs="Tahoma"/>
          <w:sz w:val="24"/>
          <w:szCs w:val="24"/>
          <w:lang w:val="en-US"/>
        </w:rPr>
        <w:t xml:space="preserve"> for ZWG</w:t>
      </w:r>
      <w:r w:rsidR="00866209">
        <w:rPr>
          <w:rFonts w:ascii="Tahoma" w:hAnsi="Tahoma" w:cs="Tahoma"/>
          <w:sz w:val="24"/>
          <w:szCs w:val="24"/>
          <w:lang w:val="en-US"/>
        </w:rPr>
        <w:t xml:space="preserve"> while for foreign currency rang</w:t>
      </w:r>
      <w:r w:rsidR="00F51F34">
        <w:rPr>
          <w:rFonts w:ascii="Tahoma" w:hAnsi="Tahoma" w:cs="Tahoma"/>
          <w:sz w:val="24"/>
          <w:szCs w:val="24"/>
          <w:lang w:val="en-US"/>
        </w:rPr>
        <w:t>ing</w:t>
      </w:r>
      <w:r w:rsidR="00866209">
        <w:rPr>
          <w:rFonts w:ascii="Tahoma" w:hAnsi="Tahoma" w:cs="Tahoma"/>
          <w:sz w:val="24"/>
          <w:szCs w:val="24"/>
          <w:lang w:val="en-US"/>
        </w:rPr>
        <w:t xml:space="preserve"> from 1.53% to 1.86%.</w:t>
      </w:r>
      <w:r w:rsidR="00637666">
        <w:rPr>
          <w:rFonts w:ascii="Tahoma" w:hAnsi="Tahoma" w:cs="Tahoma"/>
          <w:sz w:val="24"/>
          <w:szCs w:val="24"/>
          <w:lang w:val="en-US"/>
        </w:rPr>
        <w:t xml:space="preserve"> The commercial banks weighted lending rates for both individuals and corporates are shown in Table 6</w:t>
      </w:r>
      <w:bookmarkEnd w:id="55"/>
      <w:r w:rsidR="00637666">
        <w:rPr>
          <w:rFonts w:ascii="Tahoma" w:hAnsi="Tahoma" w:cs="Tahoma"/>
          <w:sz w:val="24"/>
          <w:szCs w:val="24"/>
          <w:lang w:val="en-US"/>
        </w:rPr>
        <w:t>.</w:t>
      </w:r>
      <w:r w:rsidR="0044325B">
        <w:rPr>
          <w:rFonts w:ascii="Tahoma" w:hAnsi="Tahoma" w:cs="Tahoma"/>
          <w:sz w:val="24"/>
          <w:szCs w:val="24"/>
          <w:lang w:val="en-US"/>
        </w:rPr>
        <w:t xml:space="preserve"> </w:t>
      </w:r>
    </w:p>
    <w:p w14:paraId="130F3CAB" w14:textId="77777777" w:rsidR="00B14F38" w:rsidRDefault="007C3F2A" w:rsidP="00E17B28">
      <w:pPr>
        <w:pStyle w:val="ListofTables"/>
        <w:rPr>
          <w:lang w:val="en-US"/>
        </w:rPr>
      </w:pPr>
      <w:bookmarkStart w:id="57" w:name="_Toc181022051"/>
      <w:r>
        <w:rPr>
          <w:lang w:val="en-US"/>
        </w:rPr>
        <w:t>Table 6</w:t>
      </w:r>
      <w:r w:rsidR="00B14F38" w:rsidRPr="004853CA">
        <w:rPr>
          <w:lang w:val="en-US"/>
        </w:rPr>
        <w:t xml:space="preserve">: Interest Rates </w:t>
      </w:r>
      <w:r w:rsidR="006878D3">
        <w:rPr>
          <w:lang w:val="en-US"/>
        </w:rPr>
        <w:t>a</w:t>
      </w:r>
      <w:r w:rsidR="00B14F38" w:rsidRPr="004853CA">
        <w:rPr>
          <w:lang w:val="en-US"/>
        </w:rPr>
        <w:t xml:space="preserve">s </w:t>
      </w:r>
      <w:proofErr w:type="gramStart"/>
      <w:r w:rsidR="006878D3">
        <w:rPr>
          <w:lang w:val="en-US"/>
        </w:rPr>
        <w:t>a</w:t>
      </w:r>
      <w:r w:rsidR="00B14F38" w:rsidRPr="004853CA">
        <w:rPr>
          <w:lang w:val="en-US"/>
        </w:rPr>
        <w:t>t</w:t>
      </w:r>
      <w:proofErr w:type="gramEnd"/>
      <w:r w:rsidR="00B14F38" w:rsidRPr="004853CA">
        <w:rPr>
          <w:lang w:val="en-US"/>
        </w:rPr>
        <w:t xml:space="preserve"> </w:t>
      </w:r>
      <w:r w:rsidR="00D42BC4">
        <w:rPr>
          <w:lang w:val="en-US"/>
        </w:rPr>
        <w:t>20</w:t>
      </w:r>
      <w:r w:rsidR="00B14F38" w:rsidRPr="004853CA">
        <w:rPr>
          <w:lang w:val="en-US"/>
        </w:rPr>
        <w:t xml:space="preserve"> </w:t>
      </w:r>
      <w:r w:rsidR="00D42BC4">
        <w:rPr>
          <w:lang w:val="en-US"/>
        </w:rPr>
        <w:t>September</w:t>
      </w:r>
      <w:r w:rsidR="00B14F38" w:rsidRPr="004853CA">
        <w:rPr>
          <w:lang w:val="en-US"/>
        </w:rPr>
        <w:t xml:space="preserve"> 2024</w:t>
      </w:r>
      <w:bookmarkEnd w:id="57"/>
    </w:p>
    <w:p w14:paraId="4A9737E0" w14:textId="77777777" w:rsidR="00DF4D1B" w:rsidRPr="00DF4D1B" w:rsidRDefault="00DF4D1B" w:rsidP="00DF4D1B">
      <w:pPr>
        <w:pStyle w:val="Caption"/>
        <w:rPr>
          <w:i w:val="0"/>
          <w:iCs w:val="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7"/>
        <w:gridCol w:w="2092"/>
        <w:gridCol w:w="1685"/>
        <w:gridCol w:w="1822"/>
      </w:tblGrid>
      <w:tr w:rsidR="008B04E7" w:rsidRPr="003E7EEF" w14:paraId="4E9C3D29" w14:textId="77777777" w:rsidTr="00293EBD">
        <w:tc>
          <w:tcPr>
            <w:tcW w:w="5637" w:type="dxa"/>
            <w:gridSpan w:val="2"/>
            <w:shd w:val="clear" w:color="auto" w:fill="auto"/>
          </w:tcPr>
          <w:p w14:paraId="2647585B" w14:textId="77777777" w:rsidR="008B04E7" w:rsidRPr="00812D86" w:rsidRDefault="00812D86" w:rsidP="00812D86">
            <w:pPr>
              <w:spacing w:after="0" w:line="240" w:lineRule="auto"/>
              <w:jc w:val="center"/>
              <w:rPr>
                <w:rFonts w:ascii="Tahoma" w:eastAsia="Times New Roman" w:hAnsi="Tahoma" w:cs="Tahoma"/>
                <w:b/>
                <w:bCs/>
                <w:sz w:val="24"/>
                <w:szCs w:val="24"/>
              </w:rPr>
            </w:pPr>
            <w:r w:rsidRPr="00812D86">
              <w:rPr>
                <w:rFonts w:ascii="Tahoma" w:eastAsia="Times New Roman" w:hAnsi="Tahoma" w:cs="Tahoma"/>
                <w:b/>
                <w:bCs/>
                <w:sz w:val="24"/>
                <w:szCs w:val="24"/>
              </w:rPr>
              <w:t>C</w:t>
            </w:r>
            <w:r>
              <w:rPr>
                <w:rFonts w:ascii="Tahoma" w:eastAsia="Times New Roman" w:hAnsi="Tahoma" w:cs="Tahoma"/>
                <w:b/>
                <w:bCs/>
                <w:sz w:val="24"/>
                <w:szCs w:val="24"/>
              </w:rPr>
              <w:t>lassification</w:t>
            </w:r>
          </w:p>
        </w:tc>
        <w:tc>
          <w:tcPr>
            <w:tcW w:w="1701" w:type="dxa"/>
            <w:shd w:val="clear" w:color="auto" w:fill="auto"/>
          </w:tcPr>
          <w:p w14:paraId="1A155595" w14:textId="77777777" w:rsidR="008B04E7" w:rsidRPr="00F05BD5" w:rsidRDefault="008B04E7" w:rsidP="003E7EEF">
            <w:pPr>
              <w:spacing w:after="0" w:line="240" w:lineRule="auto"/>
              <w:rPr>
                <w:rFonts w:ascii="Tahoma" w:eastAsia="Times New Roman" w:hAnsi="Tahoma" w:cs="Tahoma"/>
                <w:b/>
                <w:bCs/>
                <w:sz w:val="24"/>
                <w:szCs w:val="24"/>
              </w:rPr>
            </w:pPr>
            <w:r w:rsidRPr="00F05BD5">
              <w:rPr>
                <w:rFonts w:ascii="Tahoma" w:eastAsia="Times New Roman" w:hAnsi="Tahoma" w:cs="Tahoma"/>
                <w:b/>
                <w:bCs/>
                <w:sz w:val="24"/>
                <w:szCs w:val="24"/>
              </w:rPr>
              <w:t>Minimum (%)</w:t>
            </w:r>
          </w:p>
        </w:tc>
        <w:tc>
          <w:tcPr>
            <w:tcW w:w="1842" w:type="dxa"/>
            <w:shd w:val="clear" w:color="auto" w:fill="auto"/>
          </w:tcPr>
          <w:p w14:paraId="3F80E349" w14:textId="77777777" w:rsidR="008B04E7" w:rsidRPr="00F05BD5" w:rsidRDefault="008B04E7" w:rsidP="003E7EEF">
            <w:pPr>
              <w:spacing w:after="0" w:line="240" w:lineRule="auto"/>
              <w:rPr>
                <w:rFonts w:ascii="Tahoma" w:eastAsia="Times New Roman" w:hAnsi="Tahoma" w:cs="Tahoma"/>
                <w:b/>
                <w:bCs/>
                <w:sz w:val="24"/>
                <w:szCs w:val="24"/>
              </w:rPr>
            </w:pPr>
            <w:r w:rsidRPr="00F05BD5">
              <w:rPr>
                <w:rFonts w:ascii="Tahoma" w:eastAsia="Times New Roman" w:hAnsi="Tahoma" w:cs="Tahoma"/>
                <w:b/>
                <w:bCs/>
                <w:sz w:val="24"/>
                <w:szCs w:val="24"/>
              </w:rPr>
              <w:t>Maximum (%)</w:t>
            </w:r>
          </w:p>
        </w:tc>
      </w:tr>
      <w:tr w:rsidR="00D50A5E" w:rsidRPr="003E7EEF" w14:paraId="562D646A" w14:textId="77777777" w:rsidTr="003E7EEF">
        <w:trPr>
          <w:trHeight w:val="277"/>
        </w:trPr>
        <w:tc>
          <w:tcPr>
            <w:tcW w:w="3510" w:type="dxa"/>
            <w:vMerge w:val="restart"/>
            <w:shd w:val="clear" w:color="auto" w:fill="auto"/>
          </w:tcPr>
          <w:p w14:paraId="5AE33F56" w14:textId="77777777" w:rsidR="00D50A5E" w:rsidRPr="003E7EEF" w:rsidRDefault="00D50A5E" w:rsidP="003E7EEF">
            <w:pPr>
              <w:spacing w:after="0" w:line="240" w:lineRule="auto"/>
              <w:rPr>
                <w:rFonts w:ascii="Tahoma" w:eastAsia="Times New Roman" w:hAnsi="Tahoma" w:cs="Tahoma"/>
                <w:sz w:val="24"/>
                <w:szCs w:val="24"/>
              </w:rPr>
            </w:pPr>
            <w:r w:rsidRPr="003E7EEF">
              <w:rPr>
                <w:rFonts w:ascii="Tahoma" w:eastAsia="Times New Roman" w:hAnsi="Tahoma" w:cs="Tahoma"/>
                <w:sz w:val="24"/>
                <w:szCs w:val="24"/>
              </w:rPr>
              <w:t>Average Commercial Bank Deposit Rates</w:t>
            </w:r>
          </w:p>
        </w:tc>
        <w:tc>
          <w:tcPr>
            <w:tcW w:w="2127" w:type="dxa"/>
            <w:shd w:val="clear" w:color="auto" w:fill="auto"/>
          </w:tcPr>
          <w:p w14:paraId="5B01A03B" w14:textId="77777777" w:rsidR="00D50A5E" w:rsidRPr="003E7EEF" w:rsidRDefault="00D50A5E" w:rsidP="003E7EEF">
            <w:pPr>
              <w:spacing w:after="0" w:line="240" w:lineRule="auto"/>
              <w:rPr>
                <w:rFonts w:ascii="Tahoma" w:eastAsia="Times New Roman" w:hAnsi="Tahoma" w:cs="Tahoma"/>
                <w:sz w:val="24"/>
                <w:szCs w:val="24"/>
              </w:rPr>
            </w:pPr>
            <w:r w:rsidRPr="003E7EEF">
              <w:rPr>
                <w:rFonts w:ascii="Tahoma" w:eastAsia="Times New Roman" w:hAnsi="Tahoma" w:cs="Tahoma"/>
                <w:sz w:val="24"/>
                <w:szCs w:val="24"/>
              </w:rPr>
              <w:t>Local Currency</w:t>
            </w:r>
          </w:p>
        </w:tc>
        <w:tc>
          <w:tcPr>
            <w:tcW w:w="1701" w:type="dxa"/>
            <w:shd w:val="clear" w:color="auto" w:fill="auto"/>
          </w:tcPr>
          <w:p w14:paraId="686CD70A" w14:textId="77777777" w:rsidR="00D50A5E" w:rsidRPr="003E7EEF" w:rsidRDefault="00D50A5E" w:rsidP="003E7EEF">
            <w:pPr>
              <w:spacing w:after="0" w:line="240" w:lineRule="auto"/>
              <w:rPr>
                <w:rFonts w:ascii="Tahoma" w:eastAsia="Times New Roman" w:hAnsi="Tahoma" w:cs="Tahoma"/>
                <w:sz w:val="24"/>
                <w:szCs w:val="24"/>
              </w:rPr>
            </w:pPr>
            <w:r w:rsidRPr="003E7EEF">
              <w:rPr>
                <w:rFonts w:ascii="Tahoma" w:eastAsia="Times New Roman" w:hAnsi="Tahoma" w:cs="Tahoma"/>
                <w:sz w:val="24"/>
                <w:szCs w:val="24"/>
              </w:rPr>
              <w:t>3.75</w:t>
            </w:r>
          </w:p>
        </w:tc>
        <w:tc>
          <w:tcPr>
            <w:tcW w:w="1842" w:type="dxa"/>
            <w:shd w:val="clear" w:color="auto" w:fill="auto"/>
          </w:tcPr>
          <w:p w14:paraId="32829225" w14:textId="77777777" w:rsidR="00D50A5E" w:rsidRPr="003E7EEF" w:rsidRDefault="00D50A5E" w:rsidP="003E7EEF">
            <w:pPr>
              <w:spacing w:after="0" w:line="240" w:lineRule="auto"/>
              <w:rPr>
                <w:rFonts w:ascii="Tahoma" w:eastAsia="Times New Roman" w:hAnsi="Tahoma" w:cs="Tahoma"/>
                <w:sz w:val="24"/>
                <w:szCs w:val="24"/>
              </w:rPr>
            </w:pPr>
            <w:r w:rsidRPr="003E7EEF">
              <w:rPr>
                <w:rFonts w:ascii="Tahoma" w:eastAsia="Times New Roman" w:hAnsi="Tahoma" w:cs="Tahoma"/>
                <w:sz w:val="24"/>
                <w:szCs w:val="24"/>
              </w:rPr>
              <w:t>3.88</w:t>
            </w:r>
          </w:p>
        </w:tc>
      </w:tr>
      <w:tr w:rsidR="00D50A5E" w:rsidRPr="003E7EEF" w14:paraId="6C28F539" w14:textId="77777777" w:rsidTr="003E7EEF">
        <w:tc>
          <w:tcPr>
            <w:tcW w:w="3510" w:type="dxa"/>
            <w:vMerge/>
            <w:shd w:val="clear" w:color="auto" w:fill="auto"/>
          </w:tcPr>
          <w:p w14:paraId="26722195" w14:textId="77777777" w:rsidR="00D50A5E" w:rsidRPr="003E7EEF" w:rsidRDefault="00D50A5E" w:rsidP="003E7EEF">
            <w:pPr>
              <w:spacing w:after="0" w:line="240" w:lineRule="auto"/>
              <w:rPr>
                <w:rFonts w:ascii="Tahoma" w:eastAsia="Times New Roman" w:hAnsi="Tahoma" w:cs="Tahoma"/>
                <w:sz w:val="24"/>
                <w:szCs w:val="24"/>
              </w:rPr>
            </w:pPr>
          </w:p>
        </w:tc>
        <w:tc>
          <w:tcPr>
            <w:tcW w:w="2127" w:type="dxa"/>
            <w:shd w:val="clear" w:color="auto" w:fill="auto"/>
          </w:tcPr>
          <w:p w14:paraId="037F1A43" w14:textId="77777777" w:rsidR="00D50A5E" w:rsidRPr="003E7EEF" w:rsidRDefault="00D50A5E" w:rsidP="003E7EEF">
            <w:pPr>
              <w:spacing w:after="0" w:line="240" w:lineRule="auto"/>
              <w:rPr>
                <w:rFonts w:ascii="Tahoma" w:eastAsia="Times New Roman" w:hAnsi="Tahoma" w:cs="Tahoma"/>
                <w:sz w:val="24"/>
                <w:szCs w:val="24"/>
              </w:rPr>
            </w:pPr>
            <w:r w:rsidRPr="003E7EEF">
              <w:rPr>
                <w:rFonts w:ascii="Tahoma" w:eastAsia="Times New Roman" w:hAnsi="Tahoma" w:cs="Tahoma"/>
                <w:sz w:val="24"/>
                <w:szCs w:val="24"/>
              </w:rPr>
              <w:t>Foreign Currency</w:t>
            </w:r>
          </w:p>
        </w:tc>
        <w:tc>
          <w:tcPr>
            <w:tcW w:w="1701" w:type="dxa"/>
            <w:shd w:val="clear" w:color="auto" w:fill="auto"/>
          </w:tcPr>
          <w:p w14:paraId="3E1F3A9B" w14:textId="77777777" w:rsidR="00D50A5E" w:rsidRPr="003E7EEF" w:rsidRDefault="00D50A5E" w:rsidP="003E7EEF">
            <w:pPr>
              <w:spacing w:after="0" w:line="240" w:lineRule="auto"/>
              <w:rPr>
                <w:rFonts w:ascii="Tahoma" w:eastAsia="Times New Roman" w:hAnsi="Tahoma" w:cs="Tahoma"/>
                <w:sz w:val="24"/>
                <w:szCs w:val="24"/>
              </w:rPr>
            </w:pPr>
            <w:r w:rsidRPr="003E7EEF">
              <w:rPr>
                <w:rFonts w:ascii="Tahoma" w:eastAsia="Times New Roman" w:hAnsi="Tahoma" w:cs="Tahoma"/>
                <w:sz w:val="24"/>
                <w:szCs w:val="24"/>
              </w:rPr>
              <w:t>1.53</w:t>
            </w:r>
          </w:p>
        </w:tc>
        <w:tc>
          <w:tcPr>
            <w:tcW w:w="1842" w:type="dxa"/>
            <w:shd w:val="clear" w:color="auto" w:fill="auto"/>
          </w:tcPr>
          <w:p w14:paraId="4F1823F9" w14:textId="77777777" w:rsidR="00D50A5E" w:rsidRPr="003E7EEF" w:rsidRDefault="00D50A5E" w:rsidP="003E7EEF">
            <w:pPr>
              <w:spacing w:after="0" w:line="240" w:lineRule="auto"/>
              <w:rPr>
                <w:rFonts w:ascii="Tahoma" w:eastAsia="Times New Roman" w:hAnsi="Tahoma" w:cs="Tahoma"/>
                <w:sz w:val="24"/>
                <w:szCs w:val="24"/>
              </w:rPr>
            </w:pPr>
            <w:r w:rsidRPr="003E7EEF">
              <w:rPr>
                <w:rFonts w:ascii="Tahoma" w:eastAsia="Times New Roman" w:hAnsi="Tahoma" w:cs="Tahoma"/>
                <w:sz w:val="24"/>
                <w:szCs w:val="24"/>
              </w:rPr>
              <w:t>1.86</w:t>
            </w:r>
          </w:p>
        </w:tc>
      </w:tr>
      <w:tr w:rsidR="00D50A5E" w:rsidRPr="003E7EEF" w14:paraId="1AD8475F" w14:textId="77777777" w:rsidTr="003E7EEF">
        <w:trPr>
          <w:trHeight w:val="288"/>
        </w:trPr>
        <w:tc>
          <w:tcPr>
            <w:tcW w:w="3510" w:type="dxa"/>
            <w:vMerge w:val="restart"/>
            <w:shd w:val="clear" w:color="auto" w:fill="auto"/>
          </w:tcPr>
          <w:p w14:paraId="7A548FE1" w14:textId="77777777" w:rsidR="00D50A5E" w:rsidRPr="003E7EEF" w:rsidRDefault="00D50A5E" w:rsidP="003E7EEF">
            <w:pPr>
              <w:spacing w:after="0" w:line="240" w:lineRule="auto"/>
              <w:rPr>
                <w:rFonts w:ascii="Tahoma" w:eastAsia="Times New Roman" w:hAnsi="Tahoma" w:cs="Tahoma"/>
                <w:sz w:val="24"/>
                <w:szCs w:val="24"/>
              </w:rPr>
            </w:pPr>
            <w:r w:rsidRPr="003E7EEF">
              <w:rPr>
                <w:rFonts w:ascii="Tahoma" w:eastAsia="Times New Roman" w:hAnsi="Tahoma" w:cs="Tahoma"/>
                <w:sz w:val="24"/>
                <w:szCs w:val="24"/>
              </w:rPr>
              <w:t>Commercial Bank</w:t>
            </w:r>
            <w:r w:rsidR="00575C43">
              <w:rPr>
                <w:rFonts w:ascii="Tahoma" w:eastAsia="Times New Roman" w:hAnsi="Tahoma" w:cs="Tahoma"/>
                <w:sz w:val="24"/>
                <w:szCs w:val="24"/>
              </w:rPr>
              <w:t>s</w:t>
            </w:r>
            <w:r w:rsidRPr="003E7EEF">
              <w:rPr>
                <w:rFonts w:ascii="Tahoma" w:eastAsia="Times New Roman" w:hAnsi="Tahoma" w:cs="Tahoma"/>
                <w:sz w:val="24"/>
                <w:szCs w:val="24"/>
              </w:rPr>
              <w:t xml:space="preserve"> Weighted Lending Rates</w:t>
            </w:r>
            <w:r w:rsidR="00AE68CA">
              <w:rPr>
                <w:rFonts w:ascii="Tahoma" w:eastAsia="Times New Roman" w:hAnsi="Tahoma" w:cs="Tahoma"/>
                <w:sz w:val="24"/>
                <w:szCs w:val="24"/>
              </w:rPr>
              <w:t xml:space="preserve"> (Forex)</w:t>
            </w:r>
          </w:p>
        </w:tc>
        <w:tc>
          <w:tcPr>
            <w:tcW w:w="2127" w:type="dxa"/>
            <w:shd w:val="clear" w:color="auto" w:fill="auto"/>
          </w:tcPr>
          <w:p w14:paraId="19209477" w14:textId="77777777" w:rsidR="00D50A5E" w:rsidRPr="003E7EEF" w:rsidRDefault="001F0303" w:rsidP="003E7EEF">
            <w:pPr>
              <w:spacing w:after="0" w:line="240" w:lineRule="auto"/>
              <w:rPr>
                <w:rFonts w:ascii="Tahoma" w:eastAsia="Times New Roman" w:hAnsi="Tahoma" w:cs="Tahoma"/>
                <w:sz w:val="24"/>
                <w:szCs w:val="24"/>
              </w:rPr>
            </w:pPr>
            <w:r>
              <w:rPr>
                <w:rFonts w:ascii="Tahoma" w:eastAsia="Times New Roman" w:hAnsi="Tahoma" w:cs="Tahoma"/>
                <w:sz w:val="24"/>
                <w:szCs w:val="24"/>
              </w:rPr>
              <w:t>Individuals</w:t>
            </w:r>
          </w:p>
        </w:tc>
        <w:tc>
          <w:tcPr>
            <w:tcW w:w="1701" w:type="dxa"/>
            <w:shd w:val="clear" w:color="auto" w:fill="auto"/>
          </w:tcPr>
          <w:p w14:paraId="11EC5819" w14:textId="77777777" w:rsidR="00D50A5E" w:rsidRPr="003E7EEF" w:rsidRDefault="00CF642B" w:rsidP="003E7EEF">
            <w:pPr>
              <w:spacing w:after="0" w:line="240" w:lineRule="auto"/>
              <w:rPr>
                <w:rFonts w:ascii="Tahoma" w:eastAsia="Times New Roman" w:hAnsi="Tahoma" w:cs="Tahoma"/>
                <w:sz w:val="24"/>
                <w:szCs w:val="24"/>
              </w:rPr>
            </w:pPr>
            <w:r>
              <w:rPr>
                <w:rFonts w:ascii="Tahoma" w:eastAsia="Times New Roman" w:hAnsi="Tahoma" w:cs="Tahoma"/>
                <w:sz w:val="24"/>
                <w:szCs w:val="24"/>
              </w:rPr>
              <w:t>10.85</w:t>
            </w:r>
          </w:p>
        </w:tc>
        <w:tc>
          <w:tcPr>
            <w:tcW w:w="1842" w:type="dxa"/>
            <w:shd w:val="clear" w:color="auto" w:fill="auto"/>
          </w:tcPr>
          <w:p w14:paraId="32FC79C5" w14:textId="77777777" w:rsidR="00D50A5E" w:rsidRPr="003E7EEF" w:rsidRDefault="00CF642B" w:rsidP="003E7EEF">
            <w:pPr>
              <w:spacing w:after="0" w:line="240" w:lineRule="auto"/>
              <w:rPr>
                <w:rFonts w:ascii="Tahoma" w:eastAsia="Times New Roman" w:hAnsi="Tahoma" w:cs="Tahoma"/>
                <w:sz w:val="24"/>
                <w:szCs w:val="24"/>
              </w:rPr>
            </w:pPr>
            <w:r>
              <w:rPr>
                <w:rFonts w:ascii="Tahoma" w:eastAsia="Times New Roman" w:hAnsi="Tahoma" w:cs="Tahoma"/>
                <w:sz w:val="24"/>
                <w:szCs w:val="24"/>
              </w:rPr>
              <w:t>14.93</w:t>
            </w:r>
          </w:p>
        </w:tc>
      </w:tr>
      <w:tr w:rsidR="00D50A5E" w:rsidRPr="003E7EEF" w14:paraId="15136975" w14:textId="77777777" w:rsidTr="003E7EEF">
        <w:tc>
          <w:tcPr>
            <w:tcW w:w="3510" w:type="dxa"/>
            <w:vMerge/>
            <w:shd w:val="clear" w:color="auto" w:fill="auto"/>
          </w:tcPr>
          <w:p w14:paraId="7636C1F4" w14:textId="77777777" w:rsidR="00D50A5E" w:rsidRPr="003E7EEF" w:rsidRDefault="00D50A5E" w:rsidP="003E7EEF">
            <w:pPr>
              <w:spacing w:after="0" w:line="240" w:lineRule="auto"/>
              <w:rPr>
                <w:rFonts w:ascii="Tahoma" w:eastAsia="Times New Roman" w:hAnsi="Tahoma" w:cs="Tahoma"/>
                <w:sz w:val="24"/>
                <w:szCs w:val="24"/>
              </w:rPr>
            </w:pPr>
          </w:p>
        </w:tc>
        <w:tc>
          <w:tcPr>
            <w:tcW w:w="2127" w:type="dxa"/>
            <w:shd w:val="clear" w:color="auto" w:fill="auto"/>
          </w:tcPr>
          <w:p w14:paraId="2DBBA18E" w14:textId="77777777" w:rsidR="00D50A5E" w:rsidRPr="003E7EEF" w:rsidRDefault="001F0303" w:rsidP="003E7EEF">
            <w:pPr>
              <w:spacing w:after="0" w:line="240" w:lineRule="auto"/>
              <w:rPr>
                <w:rFonts w:ascii="Tahoma" w:eastAsia="Times New Roman" w:hAnsi="Tahoma" w:cs="Tahoma"/>
                <w:sz w:val="24"/>
                <w:szCs w:val="24"/>
              </w:rPr>
            </w:pPr>
            <w:r>
              <w:rPr>
                <w:rFonts w:ascii="Tahoma" w:eastAsia="Times New Roman" w:hAnsi="Tahoma" w:cs="Tahoma"/>
                <w:sz w:val="24"/>
                <w:szCs w:val="24"/>
              </w:rPr>
              <w:t>Corporates</w:t>
            </w:r>
          </w:p>
        </w:tc>
        <w:tc>
          <w:tcPr>
            <w:tcW w:w="1701" w:type="dxa"/>
            <w:shd w:val="clear" w:color="auto" w:fill="auto"/>
          </w:tcPr>
          <w:p w14:paraId="12319E6E" w14:textId="77777777" w:rsidR="00D50A5E" w:rsidRPr="003E7EEF" w:rsidRDefault="00CF642B" w:rsidP="003E7EEF">
            <w:pPr>
              <w:spacing w:after="0" w:line="240" w:lineRule="auto"/>
              <w:rPr>
                <w:rFonts w:ascii="Tahoma" w:eastAsia="Times New Roman" w:hAnsi="Tahoma" w:cs="Tahoma"/>
                <w:sz w:val="24"/>
                <w:szCs w:val="24"/>
              </w:rPr>
            </w:pPr>
            <w:r>
              <w:rPr>
                <w:rFonts w:ascii="Tahoma" w:eastAsia="Times New Roman" w:hAnsi="Tahoma" w:cs="Tahoma"/>
                <w:sz w:val="24"/>
                <w:szCs w:val="24"/>
              </w:rPr>
              <w:t>9.57</w:t>
            </w:r>
          </w:p>
        </w:tc>
        <w:tc>
          <w:tcPr>
            <w:tcW w:w="1842" w:type="dxa"/>
            <w:shd w:val="clear" w:color="auto" w:fill="auto"/>
          </w:tcPr>
          <w:p w14:paraId="14978D46" w14:textId="77777777" w:rsidR="00D50A5E" w:rsidRPr="003E7EEF" w:rsidRDefault="00D50A5E" w:rsidP="003E7EEF">
            <w:pPr>
              <w:spacing w:after="0" w:line="240" w:lineRule="auto"/>
              <w:rPr>
                <w:rFonts w:ascii="Tahoma" w:eastAsia="Times New Roman" w:hAnsi="Tahoma" w:cs="Tahoma"/>
                <w:sz w:val="24"/>
                <w:szCs w:val="24"/>
              </w:rPr>
            </w:pPr>
            <w:r w:rsidRPr="003E7EEF">
              <w:rPr>
                <w:rFonts w:ascii="Tahoma" w:eastAsia="Times New Roman" w:hAnsi="Tahoma" w:cs="Tahoma"/>
                <w:sz w:val="24"/>
                <w:szCs w:val="24"/>
              </w:rPr>
              <w:t>1</w:t>
            </w:r>
            <w:r w:rsidR="00CF642B">
              <w:rPr>
                <w:rFonts w:ascii="Tahoma" w:eastAsia="Times New Roman" w:hAnsi="Tahoma" w:cs="Tahoma"/>
                <w:sz w:val="24"/>
                <w:szCs w:val="24"/>
              </w:rPr>
              <w:t>5.09</w:t>
            </w:r>
          </w:p>
        </w:tc>
      </w:tr>
      <w:tr w:rsidR="00DF4D1B" w:rsidRPr="003E7EEF" w14:paraId="5365CF59" w14:textId="77777777" w:rsidTr="003E7EEF">
        <w:tc>
          <w:tcPr>
            <w:tcW w:w="3510" w:type="dxa"/>
            <w:vMerge w:val="restart"/>
            <w:shd w:val="clear" w:color="auto" w:fill="auto"/>
          </w:tcPr>
          <w:p w14:paraId="24C17BBB" w14:textId="77777777" w:rsidR="00DF4D1B" w:rsidRPr="003E7EEF" w:rsidRDefault="00AE68CA" w:rsidP="003E7EEF">
            <w:pPr>
              <w:spacing w:after="0" w:line="240" w:lineRule="auto"/>
              <w:rPr>
                <w:rFonts w:ascii="Tahoma" w:eastAsia="Times New Roman" w:hAnsi="Tahoma" w:cs="Tahoma"/>
                <w:sz w:val="24"/>
                <w:szCs w:val="24"/>
              </w:rPr>
            </w:pPr>
            <w:r>
              <w:rPr>
                <w:rFonts w:ascii="Tahoma" w:eastAsia="Times New Roman" w:hAnsi="Tahoma" w:cs="Tahoma"/>
                <w:sz w:val="24"/>
                <w:szCs w:val="24"/>
              </w:rPr>
              <w:t>Commercial Banks Weighted Lending Rates (ZWG)</w:t>
            </w:r>
          </w:p>
        </w:tc>
        <w:tc>
          <w:tcPr>
            <w:tcW w:w="2127" w:type="dxa"/>
            <w:shd w:val="clear" w:color="auto" w:fill="auto"/>
          </w:tcPr>
          <w:p w14:paraId="2DB480B0" w14:textId="77777777" w:rsidR="00DF4D1B" w:rsidRPr="003E7EEF" w:rsidRDefault="001F0303" w:rsidP="003E7EEF">
            <w:pPr>
              <w:spacing w:after="0" w:line="240" w:lineRule="auto"/>
              <w:rPr>
                <w:rFonts w:ascii="Tahoma" w:eastAsia="Times New Roman" w:hAnsi="Tahoma" w:cs="Tahoma"/>
                <w:sz w:val="24"/>
                <w:szCs w:val="24"/>
              </w:rPr>
            </w:pPr>
            <w:r>
              <w:rPr>
                <w:rFonts w:ascii="Tahoma" w:eastAsia="Times New Roman" w:hAnsi="Tahoma" w:cs="Tahoma"/>
                <w:sz w:val="24"/>
                <w:szCs w:val="24"/>
              </w:rPr>
              <w:t>Individuals</w:t>
            </w:r>
          </w:p>
        </w:tc>
        <w:tc>
          <w:tcPr>
            <w:tcW w:w="1701" w:type="dxa"/>
            <w:shd w:val="clear" w:color="auto" w:fill="auto"/>
          </w:tcPr>
          <w:p w14:paraId="00B9ABEB" w14:textId="77777777" w:rsidR="00DF4D1B" w:rsidRPr="003E7EEF" w:rsidRDefault="00CF642B" w:rsidP="003E7EEF">
            <w:pPr>
              <w:spacing w:after="0" w:line="240" w:lineRule="auto"/>
              <w:rPr>
                <w:rFonts w:ascii="Tahoma" w:eastAsia="Times New Roman" w:hAnsi="Tahoma" w:cs="Tahoma"/>
                <w:sz w:val="24"/>
                <w:szCs w:val="24"/>
              </w:rPr>
            </w:pPr>
            <w:r>
              <w:rPr>
                <w:rFonts w:ascii="Tahoma" w:eastAsia="Times New Roman" w:hAnsi="Tahoma" w:cs="Tahoma"/>
                <w:sz w:val="24"/>
                <w:szCs w:val="24"/>
              </w:rPr>
              <w:t>24.31</w:t>
            </w:r>
          </w:p>
        </w:tc>
        <w:tc>
          <w:tcPr>
            <w:tcW w:w="1842" w:type="dxa"/>
            <w:shd w:val="clear" w:color="auto" w:fill="auto"/>
          </w:tcPr>
          <w:p w14:paraId="6E0510E3" w14:textId="77777777" w:rsidR="00DF4D1B" w:rsidRPr="003E7EEF" w:rsidRDefault="00CF642B" w:rsidP="003E7EEF">
            <w:pPr>
              <w:spacing w:after="0" w:line="240" w:lineRule="auto"/>
              <w:rPr>
                <w:rFonts w:ascii="Tahoma" w:eastAsia="Times New Roman" w:hAnsi="Tahoma" w:cs="Tahoma"/>
                <w:sz w:val="24"/>
                <w:szCs w:val="24"/>
              </w:rPr>
            </w:pPr>
            <w:r>
              <w:rPr>
                <w:rFonts w:ascii="Tahoma" w:eastAsia="Times New Roman" w:hAnsi="Tahoma" w:cs="Tahoma"/>
                <w:sz w:val="24"/>
                <w:szCs w:val="24"/>
              </w:rPr>
              <w:t>30.45</w:t>
            </w:r>
          </w:p>
        </w:tc>
      </w:tr>
      <w:tr w:rsidR="00DF4D1B" w:rsidRPr="003E7EEF" w14:paraId="3A714BA7" w14:textId="77777777" w:rsidTr="003E7EEF">
        <w:tc>
          <w:tcPr>
            <w:tcW w:w="3510" w:type="dxa"/>
            <w:vMerge/>
            <w:shd w:val="clear" w:color="auto" w:fill="auto"/>
          </w:tcPr>
          <w:p w14:paraId="03D06A85" w14:textId="77777777" w:rsidR="00DF4D1B" w:rsidRPr="003E7EEF" w:rsidRDefault="00DF4D1B" w:rsidP="003E7EEF">
            <w:pPr>
              <w:spacing w:after="0" w:line="240" w:lineRule="auto"/>
              <w:rPr>
                <w:rFonts w:ascii="Tahoma" w:eastAsia="Times New Roman" w:hAnsi="Tahoma" w:cs="Tahoma"/>
                <w:sz w:val="24"/>
                <w:szCs w:val="24"/>
              </w:rPr>
            </w:pPr>
          </w:p>
        </w:tc>
        <w:tc>
          <w:tcPr>
            <w:tcW w:w="2127" w:type="dxa"/>
            <w:shd w:val="clear" w:color="auto" w:fill="auto"/>
          </w:tcPr>
          <w:p w14:paraId="6D9313FB" w14:textId="77777777" w:rsidR="00DF4D1B" w:rsidRPr="003E7EEF" w:rsidRDefault="001F0303" w:rsidP="003E7EEF">
            <w:pPr>
              <w:spacing w:after="0" w:line="240" w:lineRule="auto"/>
              <w:rPr>
                <w:rFonts w:ascii="Tahoma" w:eastAsia="Times New Roman" w:hAnsi="Tahoma" w:cs="Tahoma"/>
                <w:sz w:val="24"/>
                <w:szCs w:val="24"/>
              </w:rPr>
            </w:pPr>
            <w:r>
              <w:rPr>
                <w:rFonts w:ascii="Tahoma" w:eastAsia="Times New Roman" w:hAnsi="Tahoma" w:cs="Tahoma"/>
                <w:sz w:val="24"/>
                <w:szCs w:val="24"/>
              </w:rPr>
              <w:t>Corporates</w:t>
            </w:r>
          </w:p>
        </w:tc>
        <w:tc>
          <w:tcPr>
            <w:tcW w:w="1701" w:type="dxa"/>
            <w:shd w:val="clear" w:color="auto" w:fill="auto"/>
          </w:tcPr>
          <w:p w14:paraId="3E726FB5" w14:textId="77777777" w:rsidR="00DF4D1B" w:rsidRPr="003E7EEF" w:rsidRDefault="00CF642B" w:rsidP="003E7EEF">
            <w:pPr>
              <w:spacing w:after="0" w:line="240" w:lineRule="auto"/>
              <w:rPr>
                <w:rFonts w:ascii="Tahoma" w:eastAsia="Times New Roman" w:hAnsi="Tahoma" w:cs="Tahoma"/>
                <w:sz w:val="24"/>
                <w:szCs w:val="24"/>
              </w:rPr>
            </w:pPr>
            <w:r>
              <w:rPr>
                <w:rFonts w:ascii="Tahoma" w:eastAsia="Times New Roman" w:hAnsi="Tahoma" w:cs="Tahoma"/>
                <w:sz w:val="24"/>
                <w:szCs w:val="24"/>
              </w:rPr>
              <w:t>23.99</w:t>
            </w:r>
          </w:p>
        </w:tc>
        <w:tc>
          <w:tcPr>
            <w:tcW w:w="1842" w:type="dxa"/>
            <w:shd w:val="clear" w:color="auto" w:fill="auto"/>
          </w:tcPr>
          <w:p w14:paraId="47343F68" w14:textId="77777777" w:rsidR="00DF4D1B" w:rsidRPr="003E7EEF" w:rsidRDefault="00CF642B" w:rsidP="003E7EEF">
            <w:pPr>
              <w:spacing w:after="0" w:line="240" w:lineRule="auto"/>
              <w:rPr>
                <w:rFonts w:ascii="Tahoma" w:eastAsia="Times New Roman" w:hAnsi="Tahoma" w:cs="Tahoma"/>
                <w:sz w:val="24"/>
                <w:szCs w:val="24"/>
              </w:rPr>
            </w:pPr>
            <w:r>
              <w:rPr>
                <w:rFonts w:ascii="Tahoma" w:eastAsia="Times New Roman" w:hAnsi="Tahoma" w:cs="Tahoma"/>
                <w:sz w:val="24"/>
                <w:szCs w:val="24"/>
              </w:rPr>
              <w:t>32.78</w:t>
            </w:r>
          </w:p>
        </w:tc>
      </w:tr>
    </w:tbl>
    <w:p w14:paraId="27701B76" w14:textId="77777777" w:rsidR="00D50A5E" w:rsidRPr="004853CA" w:rsidRDefault="004853CA" w:rsidP="004853CA">
      <w:pPr>
        <w:jc w:val="both"/>
        <w:rPr>
          <w:rFonts w:ascii="Tahoma" w:eastAsia="Times New Roman" w:hAnsi="Tahoma" w:cs="Tahoma"/>
          <w:i/>
          <w:kern w:val="0"/>
          <w:sz w:val="24"/>
          <w:szCs w:val="24"/>
          <w:lang w:eastAsia="en-ZW"/>
        </w:rPr>
      </w:pPr>
      <w:r w:rsidRPr="004853CA">
        <w:rPr>
          <w:rFonts w:ascii="Tahoma" w:eastAsia="Times New Roman" w:hAnsi="Tahoma" w:cs="Tahoma"/>
          <w:i/>
          <w:kern w:val="0"/>
          <w:sz w:val="24"/>
          <w:szCs w:val="24"/>
          <w:lang w:eastAsia="en-ZW"/>
        </w:rPr>
        <w:t>Source: RBZ (2024)</w:t>
      </w:r>
    </w:p>
    <w:bookmarkEnd w:id="56"/>
    <w:p w14:paraId="12DA56E3" w14:textId="77777777" w:rsidR="004514A3" w:rsidRDefault="00A1045C" w:rsidP="004514A3">
      <w:pPr>
        <w:spacing w:line="240" w:lineRule="auto"/>
        <w:ind w:left="720" w:hanging="720"/>
        <w:jc w:val="both"/>
        <w:rPr>
          <w:rFonts w:ascii="Tahoma" w:hAnsi="Tahoma" w:cs="Tahoma"/>
          <w:sz w:val="24"/>
          <w:szCs w:val="24"/>
        </w:rPr>
      </w:pPr>
      <w:r>
        <w:rPr>
          <w:rFonts w:ascii="Tahoma" w:hAnsi="Tahoma" w:cs="Tahoma"/>
          <w:sz w:val="24"/>
          <w:szCs w:val="24"/>
        </w:rPr>
        <w:lastRenderedPageBreak/>
        <w:t>7.1.2</w:t>
      </w:r>
      <w:r>
        <w:rPr>
          <w:rFonts w:ascii="Tahoma" w:hAnsi="Tahoma" w:cs="Tahoma"/>
          <w:sz w:val="24"/>
          <w:szCs w:val="24"/>
        </w:rPr>
        <w:tab/>
      </w:r>
      <w:bookmarkStart w:id="58" w:name="_Hlk179978781"/>
      <w:r w:rsidRPr="00A1045C">
        <w:rPr>
          <w:rFonts w:ascii="Tahoma" w:hAnsi="Tahoma" w:cs="Tahoma"/>
          <w:sz w:val="24"/>
          <w:szCs w:val="24"/>
        </w:rPr>
        <w:t>Low deposit rates for both local and foreign currency reduce</w:t>
      </w:r>
      <w:r w:rsidR="005527BF">
        <w:rPr>
          <w:rFonts w:ascii="Tahoma" w:hAnsi="Tahoma" w:cs="Tahoma"/>
          <w:sz w:val="24"/>
          <w:szCs w:val="24"/>
        </w:rPr>
        <w:t xml:space="preserve"> the incentive to save thereby leading to reduced investment</w:t>
      </w:r>
      <w:r w:rsidR="00FA61F1">
        <w:rPr>
          <w:rFonts w:ascii="Tahoma" w:hAnsi="Tahoma" w:cs="Tahoma"/>
          <w:sz w:val="24"/>
          <w:szCs w:val="24"/>
        </w:rPr>
        <w:t xml:space="preserve"> and circulation of money</w:t>
      </w:r>
      <w:r w:rsidR="005527BF">
        <w:rPr>
          <w:rFonts w:ascii="Tahoma" w:hAnsi="Tahoma" w:cs="Tahoma"/>
          <w:sz w:val="24"/>
          <w:szCs w:val="24"/>
        </w:rPr>
        <w:t xml:space="preserve"> in the economy.</w:t>
      </w:r>
    </w:p>
    <w:p w14:paraId="5D43EDD9" w14:textId="6253D52F" w:rsidR="00A1045C" w:rsidRDefault="00A1045C" w:rsidP="00992519">
      <w:pPr>
        <w:spacing w:line="240" w:lineRule="auto"/>
        <w:ind w:left="720" w:hanging="720"/>
        <w:jc w:val="both"/>
        <w:rPr>
          <w:rFonts w:ascii="Tahoma" w:hAnsi="Tahoma" w:cs="Tahoma"/>
          <w:sz w:val="24"/>
          <w:szCs w:val="24"/>
        </w:rPr>
      </w:pPr>
      <w:r>
        <w:rPr>
          <w:rFonts w:ascii="Tahoma" w:hAnsi="Tahoma" w:cs="Tahoma"/>
          <w:sz w:val="24"/>
          <w:szCs w:val="24"/>
        </w:rPr>
        <w:t>7.1.3</w:t>
      </w:r>
      <w:r>
        <w:rPr>
          <w:rFonts w:ascii="Tahoma" w:hAnsi="Tahoma" w:cs="Tahoma"/>
          <w:sz w:val="24"/>
          <w:szCs w:val="24"/>
        </w:rPr>
        <w:tab/>
      </w:r>
      <w:r w:rsidR="00992519">
        <w:rPr>
          <w:rFonts w:ascii="Tahoma" w:hAnsi="Tahoma" w:cs="Tahoma"/>
          <w:sz w:val="24"/>
          <w:szCs w:val="24"/>
        </w:rPr>
        <w:t>H</w:t>
      </w:r>
      <w:r w:rsidRPr="00A1045C">
        <w:rPr>
          <w:rFonts w:ascii="Tahoma" w:hAnsi="Tahoma" w:cs="Tahoma"/>
          <w:sz w:val="24"/>
          <w:szCs w:val="24"/>
        </w:rPr>
        <w:t>igh</w:t>
      </w:r>
      <w:r w:rsidR="00992519">
        <w:rPr>
          <w:rFonts w:ascii="Tahoma" w:hAnsi="Tahoma" w:cs="Tahoma"/>
          <w:sz w:val="24"/>
          <w:szCs w:val="24"/>
        </w:rPr>
        <w:t>er</w:t>
      </w:r>
      <w:r w:rsidRPr="00A1045C">
        <w:rPr>
          <w:rFonts w:ascii="Tahoma" w:hAnsi="Tahoma" w:cs="Tahoma"/>
          <w:sz w:val="24"/>
          <w:szCs w:val="24"/>
        </w:rPr>
        <w:t xml:space="preserve"> lending rates </w:t>
      </w:r>
      <w:r w:rsidR="00992519">
        <w:rPr>
          <w:rFonts w:ascii="Tahoma" w:hAnsi="Tahoma" w:cs="Tahoma"/>
          <w:sz w:val="24"/>
          <w:szCs w:val="24"/>
        </w:rPr>
        <w:t>for</w:t>
      </w:r>
      <w:r w:rsidR="002B60E5">
        <w:rPr>
          <w:rFonts w:ascii="Tahoma" w:hAnsi="Tahoma" w:cs="Tahoma"/>
          <w:sz w:val="24"/>
          <w:szCs w:val="24"/>
        </w:rPr>
        <w:t xml:space="preserve"> individuals compar</w:t>
      </w:r>
      <w:r w:rsidR="00DA75D2">
        <w:rPr>
          <w:rFonts w:ascii="Tahoma" w:hAnsi="Tahoma" w:cs="Tahoma"/>
          <w:sz w:val="24"/>
          <w:szCs w:val="24"/>
        </w:rPr>
        <w:t>ed</w:t>
      </w:r>
      <w:r w:rsidR="002B60E5">
        <w:rPr>
          <w:rFonts w:ascii="Tahoma" w:hAnsi="Tahoma" w:cs="Tahoma"/>
          <w:sz w:val="24"/>
          <w:szCs w:val="24"/>
        </w:rPr>
        <w:t xml:space="preserve"> to interest rates for corporates promotes borrowing for investment purposes than borrowing for consumption purposes.</w:t>
      </w:r>
      <w:r w:rsidR="00992519">
        <w:rPr>
          <w:rFonts w:ascii="Tahoma" w:hAnsi="Tahoma" w:cs="Tahoma"/>
          <w:sz w:val="24"/>
          <w:szCs w:val="24"/>
        </w:rPr>
        <w:t xml:space="preserve"> </w:t>
      </w:r>
      <w:r w:rsidR="00083E6C">
        <w:rPr>
          <w:rFonts w:ascii="Tahoma" w:hAnsi="Tahoma" w:cs="Tahoma"/>
          <w:sz w:val="24"/>
          <w:szCs w:val="24"/>
        </w:rPr>
        <w:t>However, lending rates for both ZWG and Forex are restrictive</w:t>
      </w:r>
      <w:r w:rsidR="008F5908">
        <w:rPr>
          <w:rFonts w:ascii="Tahoma" w:hAnsi="Tahoma" w:cs="Tahoma"/>
          <w:sz w:val="24"/>
          <w:szCs w:val="24"/>
        </w:rPr>
        <w:t xml:space="preserve"> since they translate to high cost of borrowing</w:t>
      </w:r>
      <w:r w:rsidR="002D7468">
        <w:rPr>
          <w:rFonts w:ascii="Tahoma" w:hAnsi="Tahoma" w:cs="Tahoma"/>
          <w:sz w:val="24"/>
          <w:szCs w:val="24"/>
        </w:rPr>
        <w:t>.</w:t>
      </w:r>
    </w:p>
    <w:p w14:paraId="12087E31" w14:textId="77777777" w:rsidR="00FA61F1" w:rsidRDefault="00FA61F1" w:rsidP="00340BCF">
      <w:pPr>
        <w:spacing w:line="240" w:lineRule="auto"/>
        <w:ind w:left="720" w:hanging="720"/>
        <w:jc w:val="both"/>
        <w:rPr>
          <w:rFonts w:ascii="Tahoma" w:hAnsi="Tahoma" w:cs="Tahoma"/>
          <w:sz w:val="24"/>
          <w:szCs w:val="24"/>
        </w:rPr>
      </w:pPr>
      <w:r>
        <w:rPr>
          <w:rFonts w:ascii="Tahoma" w:hAnsi="Tahoma" w:cs="Tahoma"/>
          <w:sz w:val="24"/>
          <w:szCs w:val="24"/>
        </w:rPr>
        <w:tab/>
        <w:t>The combination of low deposit rates and high lending rates promotes informal money market</w:t>
      </w:r>
      <w:r w:rsidR="00D016AA">
        <w:rPr>
          <w:rFonts w:ascii="Tahoma" w:hAnsi="Tahoma" w:cs="Tahoma"/>
          <w:sz w:val="24"/>
          <w:szCs w:val="24"/>
        </w:rPr>
        <w:t>,</w:t>
      </w:r>
      <w:r>
        <w:rPr>
          <w:rFonts w:ascii="Tahoma" w:hAnsi="Tahoma" w:cs="Tahoma"/>
          <w:sz w:val="24"/>
          <w:szCs w:val="24"/>
        </w:rPr>
        <w:t xml:space="preserve"> informal economy</w:t>
      </w:r>
      <w:r w:rsidR="00D016AA">
        <w:rPr>
          <w:rFonts w:ascii="Tahoma" w:hAnsi="Tahoma" w:cs="Tahoma"/>
          <w:sz w:val="24"/>
          <w:szCs w:val="24"/>
        </w:rPr>
        <w:t xml:space="preserve"> and reduced aggregate demand</w:t>
      </w:r>
      <w:r>
        <w:rPr>
          <w:rFonts w:ascii="Tahoma" w:hAnsi="Tahoma" w:cs="Tahoma"/>
          <w:sz w:val="24"/>
          <w:szCs w:val="24"/>
        </w:rPr>
        <w:t xml:space="preserve"> leading to sup</w:t>
      </w:r>
      <w:r w:rsidR="00B86E0B">
        <w:rPr>
          <w:rFonts w:ascii="Tahoma" w:hAnsi="Tahoma" w:cs="Tahoma"/>
          <w:sz w:val="24"/>
          <w:szCs w:val="24"/>
        </w:rPr>
        <w:t>p</w:t>
      </w:r>
      <w:r>
        <w:rPr>
          <w:rFonts w:ascii="Tahoma" w:hAnsi="Tahoma" w:cs="Tahoma"/>
          <w:sz w:val="24"/>
          <w:szCs w:val="24"/>
        </w:rPr>
        <w:t>ressed economic growth.</w:t>
      </w:r>
      <w:r w:rsidR="00000C72">
        <w:rPr>
          <w:rFonts w:ascii="Tahoma" w:hAnsi="Tahoma" w:cs="Tahoma"/>
          <w:sz w:val="24"/>
          <w:szCs w:val="24"/>
        </w:rPr>
        <w:t xml:space="preserve"> According to </w:t>
      </w:r>
      <w:r w:rsidR="00E934C0">
        <w:rPr>
          <w:rFonts w:ascii="Tahoma" w:hAnsi="Tahoma" w:cs="Tahoma"/>
          <w:sz w:val="24"/>
          <w:szCs w:val="24"/>
        </w:rPr>
        <w:t>Davies</w:t>
      </w:r>
      <w:r w:rsidR="00000C72">
        <w:rPr>
          <w:rFonts w:ascii="Tahoma" w:hAnsi="Tahoma" w:cs="Tahoma"/>
          <w:sz w:val="24"/>
          <w:szCs w:val="24"/>
        </w:rPr>
        <w:t xml:space="preserve"> </w:t>
      </w:r>
      <w:r w:rsidR="00000C72" w:rsidRPr="00000C72">
        <w:rPr>
          <w:rFonts w:ascii="Tahoma" w:hAnsi="Tahoma" w:cs="Tahoma"/>
          <w:i/>
          <w:iCs/>
          <w:sz w:val="24"/>
          <w:szCs w:val="24"/>
        </w:rPr>
        <w:t>et al</w:t>
      </w:r>
      <w:r w:rsidR="00000C72">
        <w:rPr>
          <w:rFonts w:ascii="Tahoma" w:hAnsi="Tahoma" w:cs="Tahoma"/>
          <w:sz w:val="24"/>
          <w:szCs w:val="24"/>
        </w:rPr>
        <w:t xml:space="preserve"> (2022), high lending rates have negative impact on the economy especially with high inflation rate, they make it difficult to access loans, disadvantages customers and makes it difficult to service loans.</w:t>
      </w:r>
      <w:bookmarkEnd w:id="58"/>
    </w:p>
    <w:p w14:paraId="6ADDE7E7" w14:textId="77777777" w:rsidR="004514A3" w:rsidRDefault="004514A3" w:rsidP="00F05BD5">
      <w:pPr>
        <w:spacing w:line="240" w:lineRule="auto"/>
        <w:ind w:left="720"/>
        <w:jc w:val="both"/>
        <w:rPr>
          <w:rFonts w:ascii="Tahoma" w:hAnsi="Tahoma" w:cs="Tahoma"/>
          <w:sz w:val="24"/>
          <w:szCs w:val="24"/>
        </w:rPr>
      </w:pPr>
    </w:p>
    <w:p w14:paraId="5E167B68" w14:textId="77777777" w:rsidR="00184FA3" w:rsidRPr="00A64F64" w:rsidRDefault="00F67469" w:rsidP="00022BFE">
      <w:pPr>
        <w:pStyle w:val="Heading1"/>
        <w:spacing w:before="0" w:after="240" w:line="240" w:lineRule="auto"/>
        <w:rPr>
          <w:rFonts w:cs="Tahoma"/>
          <w:bCs/>
          <w:color w:val="000000"/>
          <w:szCs w:val="24"/>
          <w:lang w:val="en-US"/>
        </w:rPr>
      </w:pPr>
      <w:bookmarkStart w:id="59" w:name="_Toc166607902"/>
      <w:bookmarkStart w:id="60" w:name="_Toc181022191"/>
      <w:r w:rsidRPr="00A64F64">
        <w:rPr>
          <w:rFonts w:cs="Tahoma"/>
          <w:bCs/>
          <w:color w:val="000000"/>
          <w:szCs w:val="24"/>
          <w:lang w:val="en-US"/>
        </w:rPr>
        <w:t>8.0</w:t>
      </w:r>
      <w:r w:rsidRPr="00A64F64">
        <w:rPr>
          <w:rFonts w:cs="Tahoma"/>
          <w:bCs/>
          <w:color w:val="000000"/>
          <w:szCs w:val="24"/>
          <w:lang w:val="en-US"/>
        </w:rPr>
        <w:tab/>
      </w:r>
      <w:r w:rsidR="00184FA3" w:rsidRPr="00A64F64">
        <w:rPr>
          <w:rFonts w:cs="Tahoma"/>
          <w:bCs/>
          <w:color w:val="000000"/>
          <w:szCs w:val="24"/>
          <w:lang w:val="en-US"/>
        </w:rPr>
        <w:t>Stock Market Developments</w:t>
      </w:r>
      <w:bookmarkEnd w:id="59"/>
      <w:bookmarkEnd w:id="60"/>
      <w:r w:rsidR="00184FA3" w:rsidRPr="00A64F64">
        <w:rPr>
          <w:rFonts w:cs="Tahoma"/>
          <w:bCs/>
          <w:color w:val="000000"/>
          <w:szCs w:val="24"/>
          <w:lang w:val="en-US"/>
        </w:rPr>
        <w:t xml:space="preserve"> </w:t>
      </w:r>
    </w:p>
    <w:p w14:paraId="1F89339A" w14:textId="77777777" w:rsidR="00184FA3" w:rsidRPr="00863A17" w:rsidRDefault="00F67469" w:rsidP="003C1D2F">
      <w:pPr>
        <w:pStyle w:val="Heading2"/>
        <w:spacing w:before="0" w:after="240" w:line="240" w:lineRule="auto"/>
        <w:rPr>
          <w:rFonts w:cs="Tahoma"/>
          <w:b/>
          <w:color w:val="000000"/>
          <w:szCs w:val="24"/>
          <w:lang w:val="en-US"/>
        </w:rPr>
      </w:pPr>
      <w:bookmarkStart w:id="61" w:name="_Toc166607903"/>
      <w:bookmarkStart w:id="62" w:name="_Toc181022192"/>
      <w:r w:rsidRPr="00863A17">
        <w:rPr>
          <w:rFonts w:cs="Tahoma"/>
          <w:b/>
          <w:color w:val="000000"/>
          <w:szCs w:val="24"/>
          <w:lang w:val="en-US"/>
        </w:rPr>
        <w:t>8.1</w:t>
      </w:r>
      <w:r w:rsidRPr="00863A17">
        <w:rPr>
          <w:rFonts w:cs="Tahoma"/>
          <w:b/>
          <w:color w:val="000000"/>
          <w:szCs w:val="24"/>
          <w:lang w:val="en-US"/>
        </w:rPr>
        <w:tab/>
      </w:r>
      <w:r w:rsidR="00184FA3" w:rsidRPr="00863A17">
        <w:rPr>
          <w:rFonts w:cs="Tahoma"/>
          <w:b/>
          <w:color w:val="000000"/>
          <w:szCs w:val="24"/>
          <w:lang w:val="en-US"/>
        </w:rPr>
        <w:t>Zimbabwe Stock Exchange</w:t>
      </w:r>
      <w:bookmarkEnd w:id="61"/>
      <w:bookmarkEnd w:id="62"/>
      <w:r w:rsidR="00184FA3" w:rsidRPr="00863A17">
        <w:rPr>
          <w:rFonts w:cs="Tahoma"/>
          <w:b/>
          <w:color w:val="000000"/>
          <w:szCs w:val="24"/>
          <w:lang w:val="en-US"/>
        </w:rPr>
        <w:t xml:space="preserve"> </w:t>
      </w:r>
    </w:p>
    <w:p w14:paraId="6D8D6738" w14:textId="77777777" w:rsidR="00F6081E" w:rsidRPr="00863A17" w:rsidRDefault="00F67469" w:rsidP="00F67469">
      <w:pPr>
        <w:ind w:left="720" w:hanging="720"/>
        <w:jc w:val="both"/>
        <w:rPr>
          <w:rFonts w:ascii="Tahoma" w:hAnsi="Tahoma" w:cs="Tahoma"/>
          <w:sz w:val="24"/>
          <w:szCs w:val="24"/>
          <w:lang w:val="en-US"/>
        </w:rPr>
      </w:pPr>
      <w:r w:rsidRPr="00863A17">
        <w:rPr>
          <w:rFonts w:ascii="Tahoma" w:hAnsi="Tahoma" w:cs="Tahoma"/>
          <w:sz w:val="24"/>
          <w:szCs w:val="24"/>
          <w:lang w:val="en-US"/>
        </w:rPr>
        <w:t>8.1.2</w:t>
      </w:r>
      <w:r w:rsidRPr="00863A17">
        <w:rPr>
          <w:rFonts w:ascii="Tahoma" w:hAnsi="Tahoma" w:cs="Tahoma"/>
          <w:sz w:val="24"/>
          <w:szCs w:val="24"/>
          <w:lang w:val="en-US"/>
        </w:rPr>
        <w:tab/>
      </w:r>
      <w:bookmarkStart w:id="63" w:name="_Hlk179978801"/>
      <w:r w:rsidR="006809E5">
        <w:rPr>
          <w:rFonts w:ascii="Tahoma" w:hAnsi="Tahoma" w:cs="Tahoma"/>
          <w:sz w:val="24"/>
          <w:szCs w:val="24"/>
          <w:lang w:val="en-US"/>
        </w:rPr>
        <w:t>In September 2024, ZSE recorded a bullish trend.</w:t>
      </w:r>
      <w:r w:rsidR="00BC1A8E">
        <w:rPr>
          <w:rFonts w:ascii="Tahoma" w:hAnsi="Tahoma" w:cs="Tahoma"/>
          <w:sz w:val="24"/>
          <w:szCs w:val="24"/>
          <w:lang w:val="en-US"/>
        </w:rPr>
        <w:t xml:space="preserve"> </w:t>
      </w:r>
      <w:r w:rsidR="00A1045C">
        <w:rPr>
          <w:rFonts w:ascii="Tahoma" w:hAnsi="Tahoma" w:cs="Tahoma"/>
          <w:sz w:val="24"/>
          <w:szCs w:val="24"/>
        </w:rPr>
        <w:t>A</w:t>
      </w:r>
      <w:r w:rsidR="00A1045C" w:rsidRPr="00863A17">
        <w:rPr>
          <w:rFonts w:ascii="Tahoma" w:hAnsi="Tahoma" w:cs="Tahoma"/>
          <w:sz w:val="24"/>
          <w:szCs w:val="24"/>
        </w:rPr>
        <w:t>ll</w:t>
      </w:r>
      <w:r w:rsidR="00A1045C">
        <w:rPr>
          <w:rFonts w:ascii="Tahoma" w:hAnsi="Tahoma" w:cs="Tahoma"/>
          <w:sz w:val="24"/>
          <w:szCs w:val="24"/>
        </w:rPr>
        <w:t>-</w:t>
      </w:r>
      <w:r w:rsidR="00A1045C" w:rsidRPr="00863A17">
        <w:rPr>
          <w:rFonts w:ascii="Tahoma" w:hAnsi="Tahoma" w:cs="Tahoma"/>
          <w:sz w:val="24"/>
          <w:szCs w:val="24"/>
        </w:rPr>
        <w:t>Share Index</w:t>
      </w:r>
      <w:r w:rsidR="006809E5">
        <w:rPr>
          <w:rFonts w:ascii="Tahoma" w:hAnsi="Tahoma" w:cs="Tahoma"/>
          <w:sz w:val="24"/>
          <w:szCs w:val="24"/>
        </w:rPr>
        <w:t xml:space="preserve">, top 10 index, value </w:t>
      </w:r>
      <w:r w:rsidR="00C817CC">
        <w:rPr>
          <w:rFonts w:ascii="Tahoma" w:hAnsi="Tahoma" w:cs="Tahoma"/>
          <w:sz w:val="24"/>
          <w:szCs w:val="24"/>
        </w:rPr>
        <w:t>traded,</w:t>
      </w:r>
      <w:r w:rsidR="00A1045C" w:rsidRPr="00863A17">
        <w:rPr>
          <w:rFonts w:ascii="Tahoma" w:hAnsi="Tahoma" w:cs="Tahoma"/>
          <w:sz w:val="24"/>
          <w:szCs w:val="24"/>
        </w:rPr>
        <w:t xml:space="preserve"> </w:t>
      </w:r>
      <w:r w:rsidR="004514A3">
        <w:rPr>
          <w:rFonts w:ascii="Tahoma" w:hAnsi="Tahoma" w:cs="Tahoma"/>
          <w:sz w:val="24"/>
          <w:szCs w:val="24"/>
        </w:rPr>
        <w:t xml:space="preserve">and market capitalization </w:t>
      </w:r>
      <w:r w:rsidR="00424F97">
        <w:rPr>
          <w:rFonts w:ascii="Tahoma" w:hAnsi="Tahoma" w:cs="Tahoma"/>
          <w:sz w:val="24"/>
          <w:szCs w:val="24"/>
        </w:rPr>
        <w:t>gained</w:t>
      </w:r>
      <w:r w:rsidR="00362187" w:rsidRPr="00863A17">
        <w:rPr>
          <w:rFonts w:ascii="Tahoma" w:hAnsi="Tahoma" w:cs="Tahoma"/>
          <w:sz w:val="24"/>
          <w:szCs w:val="24"/>
        </w:rPr>
        <w:t xml:space="preserve"> by </w:t>
      </w:r>
      <w:r w:rsidR="006809E5">
        <w:rPr>
          <w:rFonts w:ascii="Tahoma" w:hAnsi="Tahoma" w:cs="Tahoma"/>
          <w:sz w:val="24"/>
          <w:szCs w:val="24"/>
        </w:rPr>
        <w:t>21.41</w:t>
      </w:r>
      <w:r w:rsidR="00BC1A8E">
        <w:rPr>
          <w:rFonts w:ascii="Tahoma" w:hAnsi="Tahoma" w:cs="Tahoma"/>
          <w:sz w:val="24"/>
          <w:szCs w:val="24"/>
        </w:rPr>
        <w:t>%</w:t>
      </w:r>
      <w:r w:rsidR="006809E5">
        <w:rPr>
          <w:rFonts w:ascii="Tahoma" w:hAnsi="Tahoma" w:cs="Tahoma"/>
          <w:sz w:val="24"/>
          <w:szCs w:val="24"/>
        </w:rPr>
        <w:t>, 24.51% 268.98%</w:t>
      </w:r>
      <w:r w:rsidR="004514A3">
        <w:rPr>
          <w:rFonts w:ascii="Tahoma" w:hAnsi="Tahoma" w:cs="Tahoma"/>
          <w:sz w:val="24"/>
          <w:szCs w:val="24"/>
        </w:rPr>
        <w:t xml:space="preserve"> and</w:t>
      </w:r>
      <w:r w:rsidR="00424F97">
        <w:rPr>
          <w:rFonts w:ascii="Tahoma" w:hAnsi="Tahoma" w:cs="Tahoma"/>
          <w:sz w:val="24"/>
          <w:szCs w:val="24"/>
        </w:rPr>
        <w:t xml:space="preserve"> </w:t>
      </w:r>
      <w:r w:rsidR="006809E5">
        <w:rPr>
          <w:rFonts w:ascii="Tahoma" w:hAnsi="Tahoma" w:cs="Tahoma"/>
          <w:sz w:val="24"/>
          <w:szCs w:val="24"/>
        </w:rPr>
        <w:t>21.68</w:t>
      </w:r>
      <w:r w:rsidR="00424F97">
        <w:rPr>
          <w:rFonts w:ascii="Tahoma" w:hAnsi="Tahoma" w:cs="Tahoma"/>
          <w:sz w:val="24"/>
          <w:szCs w:val="24"/>
        </w:rPr>
        <w:t>%</w:t>
      </w:r>
      <w:r w:rsidR="004514A3">
        <w:rPr>
          <w:rFonts w:ascii="Tahoma" w:hAnsi="Tahoma" w:cs="Tahoma"/>
          <w:sz w:val="24"/>
          <w:szCs w:val="24"/>
        </w:rPr>
        <w:t>, respectively</w:t>
      </w:r>
      <w:r w:rsidR="005F5AF8">
        <w:rPr>
          <w:rFonts w:ascii="Tahoma" w:hAnsi="Tahoma" w:cs="Tahoma"/>
          <w:sz w:val="24"/>
          <w:szCs w:val="24"/>
        </w:rPr>
        <w:t>.</w:t>
      </w:r>
    </w:p>
    <w:p w14:paraId="64BDCC19" w14:textId="01FC9AAF" w:rsidR="00F6081E" w:rsidRPr="00863A17" w:rsidRDefault="00F67469" w:rsidP="00F67469">
      <w:pPr>
        <w:ind w:left="720" w:hanging="720"/>
        <w:jc w:val="both"/>
        <w:rPr>
          <w:rFonts w:ascii="Tahoma" w:hAnsi="Tahoma" w:cs="Tahoma"/>
          <w:sz w:val="24"/>
          <w:szCs w:val="24"/>
        </w:rPr>
      </w:pPr>
      <w:r w:rsidRPr="00863A17">
        <w:rPr>
          <w:rFonts w:ascii="Tahoma" w:hAnsi="Tahoma" w:cs="Tahoma"/>
          <w:sz w:val="24"/>
          <w:szCs w:val="24"/>
        </w:rPr>
        <w:t>8.1.3</w:t>
      </w:r>
      <w:r w:rsidRPr="00863A17">
        <w:rPr>
          <w:rFonts w:ascii="Tahoma" w:hAnsi="Tahoma" w:cs="Tahoma"/>
          <w:sz w:val="24"/>
          <w:szCs w:val="24"/>
        </w:rPr>
        <w:tab/>
      </w:r>
      <w:r w:rsidR="00505644">
        <w:rPr>
          <w:rFonts w:ascii="Tahoma" w:hAnsi="Tahoma" w:cs="Tahoma"/>
          <w:sz w:val="24"/>
          <w:szCs w:val="24"/>
        </w:rPr>
        <w:t>On</w:t>
      </w:r>
      <w:r w:rsidR="00FA2E40">
        <w:rPr>
          <w:rFonts w:ascii="Tahoma" w:hAnsi="Tahoma" w:cs="Tahoma"/>
          <w:sz w:val="24"/>
          <w:szCs w:val="24"/>
        </w:rPr>
        <w:t xml:space="preserve"> </w:t>
      </w:r>
      <w:r w:rsidR="00DA75D2">
        <w:rPr>
          <w:rFonts w:ascii="Tahoma" w:hAnsi="Tahoma" w:cs="Tahoma"/>
          <w:sz w:val="24"/>
          <w:szCs w:val="24"/>
        </w:rPr>
        <w:t>YtD</w:t>
      </w:r>
      <w:r w:rsidR="00130CC2">
        <w:rPr>
          <w:rFonts w:ascii="Tahoma" w:hAnsi="Tahoma" w:cs="Tahoma"/>
          <w:sz w:val="24"/>
          <w:szCs w:val="24"/>
        </w:rPr>
        <w:t xml:space="preserve"> and </w:t>
      </w:r>
      <w:r w:rsidR="00DA75D2">
        <w:rPr>
          <w:rFonts w:ascii="Tahoma" w:hAnsi="Tahoma" w:cs="Tahoma"/>
          <w:sz w:val="24"/>
          <w:szCs w:val="24"/>
        </w:rPr>
        <w:t>YoY</w:t>
      </w:r>
      <w:r w:rsidR="00130CC2">
        <w:rPr>
          <w:rFonts w:ascii="Tahoma" w:hAnsi="Tahoma" w:cs="Tahoma"/>
          <w:sz w:val="24"/>
          <w:szCs w:val="24"/>
        </w:rPr>
        <w:t>,</w:t>
      </w:r>
      <w:r w:rsidR="00542DE9">
        <w:rPr>
          <w:rFonts w:ascii="Tahoma" w:hAnsi="Tahoma" w:cs="Tahoma"/>
          <w:sz w:val="24"/>
          <w:szCs w:val="24"/>
        </w:rPr>
        <w:t xml:space="preserve"> all selected indices gained except value traded losing by 51.96% on a </w:t>
      </w:r>
      <w:r w:rsidR="00DA75D2">
        <w:rPr>
          <w:rFonts w:ascii="Tahoma" w:hAnsi="Tahoma" w:cs="Tahoma"/>
          <w:sz w:val="24"/>
          <w:szCs w:val="24"/>
        </w:rPr>
        <w:t>YtD</w:t>
      </w:r>
      <w:r w:rsidR="00542DE9">
        <w:rPr>
          <w:rFonts w:ascii="Tahoma" w:hAnsi="Tahoma" w:cs="Tahoma"/>
          <w:sz w:val="24"/>
          <w:szCs w:val="24"/>
        </w:rPr>
        <w:t xml:space="preserve"> basis, see Table 7</w:t>
      </w:r>
      <w:bookmarkEnd w:id="63"/>
      <w:r w:rsidR="00542DE9">
        <w:rPr>
          <w:rFonts w:ascii="Tahoma" w:hAnsi="Tahoma" w:cs="Tahoma"/>
          <w:sz w:val="24"/>
          <w:szCs w:val="24"/>
        </w:rPr>
        <w:t>.</w:t>
      </w:r>
      <w:r w:rsidR="00A1045C">
        <w:rPr>
          <w:rFonts w:ascii="Tahoma" w:hAnsi="Tahoma" w:cs="Tahoma"/>
          <w:sz w:val="24"/>
          <w:szCs w:val="24"/>
        </w:rPr>
        <w:t xml:space="preserve"> </w:t>
      </w:r>
    </w:p>
    <w:p w14:paraId="604BC58E" w14:textId="77777777" w:rsidR="00ED0A35" w:rsidRPr="00ED0A35" w:rsidRDefault="00595E97" w:rsidP="00ED0A35">
      <w:pPr>
        <w:pStyle w:val="ListofTables"/>
      </w:pPr>
      <w:bookmarkStart w:id="64" w:name="_Toc164072367"/>
      <w:bookmarkStart w:id="65" w:name="_Toc166658894"/>
      <w:bookmarkStart w:id="66" w:name="_Toc181022052"/>
      <w:r w:rsidRPr="0031015F">
        <w:t xml:space="preserve">Table </w:t>
      </w:r>
      <w:r w:rsidR="007C3F2A">
        <w:t>7</w:t>
      </w:r>
      <w:r w:rsidRPr="0031015F">
        <w:t xml:space="preserve">: Zimbabwe Stock </w:t>
      </w:r>
      <w:r w:rsidR="00D30418" w:rsidRPr="0031015F">
        <w:t xml:space="preserve">Exchange </w:t>
      </w:r>
      <w:r w:rsidRPr="0031015F">
        <w:t>Movements</w:t>
      </w:r>
      <w:bookmarkEnd w:id="64"/>
      <w:bookmarkEnd w:id="65"/>
      <w:bookmarkEnd w:id="66"/>
    </w:p>
    <w:p w14:paraId="55E6B6B2" w14:textId="206531FE" w:rsidR="00E24E7D" w:rsidRDefault="00F02064" w:rsidP="00427CDA">
      <w:pPr>
        <w:spacing w:after="0"/>
        <w:ind w:left="720" w:hanging="720"/>
        <w:jc w:val="both"/>
        <w:rPr>
          <w:rFonts w:ascii="Tahoma" w:hAnsi="Tahoma" w:cs="Tahoma"/>
          <w:sz w:val="24"/>
          <w:szCs w:val="24"/>
        </w:rPr>
      </w:pPr>
      <w:r w:rsidRPr="003C0D94">
        <w:rPr>
          <w:noProof/>
        </w:rPr>
        <w:drawing>
          <wp:inline distT="0" distB="0" distL="0" distR="0" wp14:anchorId="029A1B7B" wp14:editId="014A7488">
            <wp:extent cx="5734050" cy="109537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1095375"/>
                    </a:xfrm>
                    <a:prstGeom prst="rect">
                      <a:avLst/>
                    </a:prstGeom>
                    <a:noFill/>
                    <a:ln>
                      <a:noFill/>
                    </a:ln>
                  </pic:spPr>
                </pic:pic>
              </a:graphicData>
            </a:graphic>
          </wp:inline>
        </w:drawing>
      </w:r>
    </w:p>
    <w:p w14:paraId="0EFBA9E7" w14:textId="77777777" w:rsidR="00C56F60" w:rsidRPr="00C56F60" w:rsidRDefault="00C56F60" w:rsidP="00F67469">
      <w:pPr>
        <w:ind w:left="720" w:hanging="720"/>
        <w:jc w:val="both"/>
        <w:rPr>
          <w:rFonts w:ascii="Tahoma" w:hAnsi="Tahoma" w:cs="Tahoma"/>
          <w:i/>
          <w:iCs/>
          <w:sz w:val="24"/>
          <w:szCs w:val="24"/>
          <w:lang w:val="en-US"/>
        </w:rPr>
      </w:pPr>
      <w:r w:rsidRPr="00C56F60">
        <w:rPr>
          <w:rFonts w:ascii="Tahoma" w:hAnsi="Tahoma" w:cs="Tahoma"/>
          <w:i/>
          <w:iCs/>
          <w:sz w:val="24"/>
          <w:szCs w:val="24"/>
        </w:rPr>
        <w:t xml:space="preserve">Source: </w:t>
      </w:r>
      <w:r w:rsidR="00D31BED">
        <w:rPr>
          <w:rFonts w:ascii="Tahoma" w:hAnsi="Tahoma" w:cs="Tahoma"/>
          <w:i/>
          <w:iCs/>
          <w:sz w:val="24"/>
          <w:szCs w:val="24"/>
        </w:rPr>
        <w:t>ZSE</w:t>
      </w:r>
      <w:r w:rsidRPr="00C56F60">
        <w:rPr>
          <w:rFonts w:ascii="Tahoma" w:hAnsi="Tahoma" w:cs="Tahoma"/>
          <w:i/>
          <w:iCs/>
          <w:sz w:val="24"/>
          <w:szCs w:val="24"/>
        </w:rPr>
        <w:t xml:space="preserve"> (2024)</w:t>
      </w:r>
    </w:p>
    <w:p w14:paraId="67B1B139" w14:textId="77777777" w:rsidR="00184FA3" w:rsidRPr="00863A17" w:rsidRDefault="00F67469" w:rsidP="003C1D2F">
      <w:pPr>
        <w:pStyle w:val="Heading2"/>
        <w:spacing w:before="0" w:after="240" w:line="240" w:lineRule="auto"/>
        <w:rPr>
          <w:rFonts w:cs="Tahoma"/>
          <w:b/>
          <w:color w:val="000000"/>
          <w:szCs w:val="24"/>
          <w:lang w:val="en-US"/>
        </w:rPr>
      </w:pPr>
      <w:bookmarkStart w:id="67" w:name="_Toc166607904"/>
      <w:bookmarkStart w:id="68" w:name="_Toc181022193"/>
      <w:r w:rsidRPr="00863A17">
        <w:rPr>
          <w:rFonts w:cs="Tahoma"/>
          <w:b/>
          <w:color w:val="000000"/>
          <w:szCs w:val="24"/>
          <w:lang w:val="en-US"/>
        </w:rPr>
        <w:t>8.2</w:t>
      </w:r>
      <w:r w:rsidRPr="00863A17">
        <w:rPr>
          <w:rFonts w:cs="Tahoma"/>
          <w:b/>
          <w:color w:val="000000"/>
          <w:szCs w:val="24"/>
          <w:lang w:val="en-US"/>
        </w:rPr>
        <w:tab/>
      </w:r>
      <w:r w:rsidR="00184FA3" w:rsidRPr="00863A17">
        <w:rPr>
          <w:rFonts w:cs="Tahoma"/>
          <w:b/>
          <w:color w:val="000000"/>
          <w:szCs w:val="24"/>
          <w:lang w:val="en-US"/>
        </w:rPr>
        <w:t>Victoria Falls Stock Exchange</w:t>
      </w:r>
      <w:bookmarkEnd w:id="67"/>
      <w:bookmarkEnd w:id="68"/>
      <w:r w:rsidR="00184FA3" w:rsidRPr="00863A17">
        <w:rPr>
          <w:rFonts w:cs="Tahoma"/>
          <w:b/>
          <w:color w:val="000000"/>
          <w:szCs w:val="24"/>
          <w:lang w:val="en-US"/>
        </w:rPr>
        <w:t xml:space="preserve"> </w:t>
      </w:r>
    </w:p>
    <w:p w14:paraId="26E8BB4A" w14:textId="246E170A" w:rsidR="00427CDA" w:rsidRDefault="00F67469" w:rsidP="00D46304">
      <w:pPr>
        <w:ind w:left="720" w:hanging="720"/>
        <w:jc w:val="both"/>
        <w:rPr>
          <w:rFonts w:ascii="Tahoma" w:hAnsi="Tahoma" w:cs="Tahoma"/>
          <w:sz w:val="24"/>
          <w:szCs w:val="24"/>
          <w:lang w:val="en-US"/>
        </w:rPr>
      </w:pPr>
      <w:r w:rsidRPr="00863A17">
        <w:rPr>
          <w:rFonts w:ascii="Tahoma" w:hAnsi="Tahoma" w:cs="Tahoma"/>
          <w:sz w:val="24"/>
          <w:szCs w:val="24"/>
          <w:lang w:val="en-US"/>
        </w:rPr>
        <w:t>8.2.1</w:t>
      </w:r>
      <w:r w:rsidRPr="00863A17">
        <w:rPr>
          <w:rFonts w:ascii="Tahoma" w:hAnsi="Tahoma" w:cs="Tahoma"/>
          <w:sz w:val="24"/>
          <w:szCs w:val="24"/>
          <w:lang w:val="en-US"/>
        </w:rPr>
        <w:tab/>
      </w:r>
      <w:bookmarkStart w:id="69" w:name="_Hlk179978821"/>
      <w:r w:rsidR="005F5AF8">
        <w:rPr>
          <w:rFonts w:ascii="Tahoma" w:hAnsi="Tahoma" w:cs="Tahoma"/>
          <w:sz w:val="24"/>
          <w:szCs w:val="24"/>
          <w:lang w:val="en-US"/>
        </w:rPr>
        <w:t>T</w:t>
      </w:r>
      <w:r w:rsidR="00427CDA">
        <w:rPr>
          <w:rFonts w:ascii="Tahoma" w:hAnsi="Tahoma" w:cs="Tahoma"/>
          <w:sz w:val="24"/>
          <w:szCs w:val="24"/>
          <w:lang w:val="en-US"/>
        </w:rPr>
        <w:t>he V</w:t>
      </w:r>
      <w:r w:rsidR="00EE1EEF">
        <w:rPr>
          <w:rFonts w:ascii="Tahoma" w:hAnsi="Tahoma" w:cs="Tahoma"/>
          <w:sz w:val="24"/>
          <w:szCs w:val="24"/>
          <w:lang w:val="en-US"/>
        </w:rPr>
        <w:t>FEX market exhibited bullish sentiments in September 2024.</w:t>
      </w:r>
      <w:r w:rsidR="00427CDA">
        <w:rPr>
          <w:rFonts w:ascii="Tahoma" w:hAnsi="Tahoma" w:cs="Tahoma"/>
          <w:sz w:val="24"/>
          <w:szCs w:val="24"/>
          <w:lang w:val="en-US"/>
        </w:rPr>
        <w:t xml:space="preserve"> </w:t>
      </w:r>
      <w:r w:rsidR="004514A3">
        <w:rPr>
          <w:rFonts w:ascii="Tahoma" w:hAnsi="Tahoma" w:cs="Tahoma"/>
          <w:sz w:val="24"/>
          <w:szCs w:val="24"/>
          <w:lang w:val="en-US"/>
        </w:rPr>
        <w:t xml:space="preserve">All-Share </w:t>
      </w:r>
      <w:r w:rsidR="00CE5F58">
        <w:rPr>
          <w:rFonts w:ascii="Tahoma" w:hAnsi="Tahoma" w:cs="Tahoma"/>
          <w:sz w:val="24"/>
          <w:szCs w:val="24"/>
          <w:lang w:val="en-US"/>
        </w:rPr>
        <w:t>i</w:t>
      </w:r>
      <w:r w:rsidR="004514A3">
        <w:rPr>
          <w:rFonts w:ascii="Tahoma" w:hAnsi="Tahoma" w:cs="Tahoma"/>
          <w:sz w:val="24"/>
          <w:szCs w:val="24"/>
          <w:lang w:val="en-US"/>
        </w:rPr>
        <w:t>ndex</w:t>
      </w:r>
      <w:r w:rsidR="00CE5F58">
        <w:rPr>
          <w:rFonts w:ascii="Tahoma" w:hAnsi="Tahoma" w:cs="Tahoma"/>
          <w:sz w:val="24"/>
          <w:szCs w:val="24"/>
          <w:lang w:val="en-US"/>
        </w:rPr>
        <w:t xml:space="preserve"> and</w:t>
      </w:r>
      <w:r w:rsidR="00ED6A04">
        <w:rPr>
          <w:rFonts w:ascii="Tahoma" w:hAnsi="Tahoma" w:cs="Tahoma"/>
          <w:sz w:val="24"/>
          <w:szCs w:val="24"/>
          <w:lang w:val="en-US"/>
        </w:rPr>
        <w:t xml:space="preserve"> </w:t>
      </w:r>
      <w:r w:rsidR="009A28B6">
        <w:rPr>
          <w:rFonts w:ascii="Tahoma" w:hAnsi="Tahoma" w:cs="Tahoma"/>
          <w:sz w:val="24"/>
          <w:szCs w:val="24"/>
          <w:lang w:val="en-US"/>
        </w:rPr>
        <w:t>m</w:t>
      </w:r>
      <w:r w:rsidR="00ED6A04">
        <w:rPr>
          <w:rFonts w:ascii="Tahoma" w:hAnsi="Tahoma" w:cs="Tahoma"/>
          <w:sz w:val="24"/>
          <w:szCs w:val="24"/>
          <w:lang w:val="en-US"/>
        </w:rPr>
        <w:t xml:space="preserve">arket </w:t>
      </w:r>
      <w:r w:rsidR="009A28B6">
        <w:rPr>
          <w:rFonts w:ascii="Tahoma" w:hAnsi="Tahoma" w:cs="Tahoma"/>
          <w:sz w:val="24"/>
          <w:szCs w:val="24"/>
          <w:lang w:val="en-US"/>
        </w:rPr>
        <w:t>capitalization</w:t>
      </w:r>
      <w:r w:rsidR="003C53A3">
        <w:rPr>
          <w:rFonts w:ascii="Tahoma" w:hAnsi="Tahoma" w:cs="Tahoma"/>
          <w:sz w:val="24"/>
          <w:szCs w:val="24"/>
          <w:lang w:val="en-US"/>
        </w:rPr>
        <w:t xml:space="preserve"> </w:t>
      </w:r>
      <w:r w:rsidR="00CE5F58">
        <w:rPr>
          <w:rFonts w:ascii="Tahoma" w:hAnsi="Tahoma" w:cs="Tahoma"/>
          <w:sz w:val="24"/>
          <w:szCs w:val="24"/>
          <w:lang w:val="en-US"/>
        </w:rPr>
        <w:t>gained</w:t>
      </w:r>
      <w:r w:rsidR="003C53A3">
        <w:rPr>
          <w:rFonts w:ascii="Tahoma" w:hAnsi="Tahoma" w:cs="Tahoma"/>
          <w:sz w:val="24"/>
          <w:szCs w:val="24"/>
          <w:lang w:val="en-US"/>
        </w:rPr>
        <w:t xml:space="preserve"> by </w:t>
      </w:r>
      <w:r w:rsidR="00CE5F58">
        <w:rPr>
          <w:rFonts w:ascii="Tahoma" w:hAnsi="Tahoma" w:cs="Tahoma"/>
          <w:sz w:val="24"/>
          <w:szCs w:val="24"/>
          <w:lang w:val="en-US"/>
        </w:rPr>
        <w:t>1.76</w:t>
      </w:r>
      <w:r w:rsidR="003C53A3">
        <w:rPr>
          <w:rFonts w:ascii="Tahoma" w:hAnsi="Tahoma" w:cs="Tahoma"/>
          <w:sz w:val="24"/>
          <w:szCs w:val="24"/>
          <w:lang w:val="en-US"/>
        </w:rPr>
        <w:t>%</w:t>
      </w:r>
      <w:r w:rsidR="00CE5F58">
        <w:rPr>
          <w:rFonts w:ascii="Tahoma" w:hAnsi="Tahoma" w:cs="Tahoma"/>
          <w:sz w:val="24"/>
          <w:szCs w:val="24"/>
          <w:lang w:val="en-US"/>
        </w:rPr>
        <w:t xml:space="preserve"> and </w:t>
      </w:r>
      <w:r w:rsidR="00DA75D2">
        <w:rPr>
          <w:rFonts w:ascii="Tahoma" w:hAnsi="Tahoma" w:cs="Tahoma"/>
          <w:sz w:val="24"/>
          <w:szCs w:val="24"/>
          <w:lang w:val="en-US"/>
        </w:rPr>
        <w:t>2.16%</w:t>
      </w:r>
      <w:r w:rsidR="00ED6A04">
        <w:rPr>
          <w:rFonts w:ascii="Tahoma" w:hAnsi="Tahoma" w:cs="Tahoma"/>
          <w:sz w:val="24"/>
          <w:szCs w:val="24"/>
          <w:lang w:val="en-US"/>
        </w:rPr>
        <w:t xml:space="preserve"> respectively</w:t>
      </w:r>
      <w:r w:rsidR="00CE5F58">
        <w:rPr>
          <w:rFonts w:ascii="Tahoma" w:hAnsi="Tahoma" w:cs="Tahoma"/>
          <w:sz w:val="24"/>
          <w:szCs w:val="24"/>
          <w:lang w:val="en-US"/>
        </w:rPr>
        <w:t>, albeit value traded declining by 75.06%</w:t>
      </w:r>
      <w:r w:rsidR="00C40B41">
        <w:rPr>
          <w:rFonts w:ascii="Tahoma" w:hAnsi="Tahoma" w:cs="Tahoma"/>
          <w:sz w:val="24"/>
          <w:szCs w:val="24"/>
          <w:lang w:val="en-US"/>
        </w:rPr>
        <w:t xml:space="preserve"> reflecting a USD123626.48 slowdown from August to September 2024</w:t>
      </w:r>
      <w:r w:rsidR="00CE5F58">
        <w:rPr>
          <w:rFonts w:ascii="Tahoma" w:hAnsi="Tahoma" w:cs="Tahoma"/>
          <w:sz w:val="24"/>
          <w:szCs w:val="24"/>
          <w:lang w:val="en-US"/>
        </w:rPr>
        <w:t xml:space="preserve"> </w:t>
      </w:r>
      <w:r w:rsidR="00982A75">
        <w:rPr>
          <w:rFonts w:ascii="Tahoma" w:hAnsi="Tahoma" w:cs="Tahoma"/>
          <w:sz w:val="24"/>
          <w:szCs w:val="24"/>
          <w:lang w:val="en-US"/>
        </w:rPr>
        <w:t>(see Table 8</w:t>
      </w:r>
      <w:r w:rsidR="00410952">
        <w:rPr>
          <w:rFonts w:ascii="Tahoma" w:hAnsi="Tahoma" w:cs="Tahoma"/>
          <w:sz w:val="24"/>
          <w:szCs w:val="24"/>
          <w:lang w:val="en-US"/>
        </w:rPr>
        <w:t>)</w:t>
      </w:r>
      <w:r w:rsidR="004514A3">
        <w:rPr>
          <w:rFonts w:ascii="Tahoma" w:hAnsi="Tahoma" w:cs="Tahoma"/>
          <w:sz w:val="24"/>
          <w:szCs w:val="24"/>
          <w:lang w:val="en-US"/>
        </w:rPr>
        <w:t xml:space="preserve">. </w:t>
      </w:r>
    </w:p>
    <w:p w14:paraId="4965C8B8" w14:textId="2E76A590" w:rsidR="00F84FC8" w:rsidRPr="00863A17" w:rsidRDefault="00DC4765" w:rsidP="00906D64">
      <w:pPr>
        <w:ind w:left="720" w:hanging="720"/>
        <w:jc w:val="both"/>
        <w:rPr>
          <w:rFonts w:ascii="Tahoma" w:hAnsi="Tahoma" w:cs="Tahoma"/>
          <w:sz w:val="24"/>
          <w:szCs w:val="24"/>
          <w:lang w:val="en-US"/>
        </w:rPr>
      </w:pPr>
      <w:r w:rsidRPr="00863A17">
        <w:rPr>
          <w:rFonts w:ascii="Tahoma" w:hAnsi="Tahoma" w:cs="Tahoma"/>
          <w:sz w:val="24"/>
          <w:szCs w:val="24"/>
          <w:lang w:val="en-US"/>
        </w:rPr>
        <w:t xml:space="preserve"> </w:t>
      </w:r>
      <w:r w:rsidR="00F67469" w:rsidRPr="00863A17">
        <w:rPr>
          <w:rFonts w:ascii="Tahoma" w:hAnsi="Tahoma" w:cs="Tahoma"/>
          <w:sz w:val="24"/>
          <w:szCs w:val="24"/>
          <w:lang w:val="en-US"/>
        </w:rPr>
        <w:t>8.2.3</w:t>
      </w:r>
      <w:r w:rsidR="00F67469" w:rsidRPr="00863A17">
        <w:rPr>
          <w:rFonts w:ascii="Tahoma" w:hAnsi="Tahoma" w:cs="Tahoma"/>
          <w:sz w:val="24"/>
          <w:szCs w:val="24"/>
          <w:lang w:val="en-US"/>
        </w:rPr>
        <w:tab/>
      </w:r>
      <w:r w:rsidR="00FC08D7">
        <w:rPr>
          <w:rFonts w:ascii="Tahoma" w:hAnsi="Tahoma" w:cs="Tahoma"/>
          <w:sz w:val="24"/>
          <w:szCs w:val="24"/>
          <w:lang w:val="en-US"/>
        </w:rPr>
        <w:t>On</w:t>
      </w:r>
      <w:r w:rsidR="00427CDA">
        <w:rPr>
          <w:rFonts w:ascii="Tahoma" w:hAnsi="Tahoma" w:cs="Tahoma"/>
          <w:sz w:val="24"/>
          <w:szCs w:val="24"/>
          <w:lang w:val="en-US"/>
        </w:rPr>
        <w:t xml:space="preserve"> Y</w:t>
      </w:r>
      <w:r w:rsidR="00AC77F7">
        <w:rPr>
          <w:rFonts w:ascii="Tahoma" w:hAnsi="Tahoma" w:cs="Tahoma"/>
          <w:sz w:val="24"/>
          <w:szCs w:val="24"/>
          <w:lang w:val="en-US"/>
        </w:rPr>
        <w:t>tD</w:t>
      </w:r>
      <w:r w:rsidR="00194CA9">
        <w:rPr>
          <w:rFonts w:ascii="Tahoma" w:hAnsi="Tahoma" w:cs="Tahoma"/>
          <w:sz w:val="24"/>
          <w:szCs w:val="24"/>
          <w:lang w:val="en-US"/>
        </w:rPr>
        <w:t xml:space="preserve"> </w:t>
      </w:r>
      <w:r w:rsidR="00FC08D7">
        <w:rPr>
          <w:rFonts w:ascii="Tahoma" w:hAnsi="Tahoma" w:cs="Tahoma"/>
          <w:sz w:val="24"/>
          <w:szCs w:val="24"/>
          <w:lang w:val="en-US"/>
        </w:rPr>
        <w:t>basis,</w:t>
      </w:r>
      <w:r w:rsidR="00427CDA">
        <w:rPr>
          <w:rFonts w:ascii="Tahoma" w:hAnsi="Tahoma" w:cs="Tahoma"/>
          <w:sz w:val="24"/>
          <w:szCs w:val="24"/>
          <w:lang w:val="en-US"/>
        </w:rPr>
        <w:t xml:space="preserve"> </w:t>
      </w:r>
      <w:r w:rsidR="004514A3">
        <w:rPr>
          <w:rFonts w:ascii="Tahoma" w:hAnsi="Tahoma" w:cs="Tahoma"/>
          <w:sz w:val="24"/>
          <w:szCs w:val="24"/>
          <w:lang w:val="en-US"/>
        </w:rPr>
        <w:t>All-Share Index</w:t>
      </w:r>
      <w:r w:rsidR="009A28B6">
        <w:rPr>
          <w:rFonts w:ascii="Tahoma" w:hAnsi="Tahoma" w:cs="Tahoma"/>
          <w:sz w:val="24"/>
          <w:szCs w:val="24"/>
          <w:lang w:val="en-US"/>
        </w:rPr>
        <w:t xml:space="preserve"> and market capitalization gained</w:t>
      </w:r>
      <w:r w:rsidR="00194CA9">
        <w:rPr>
          <w:rFonts w:ascii="Tahoma" w:hAnsi="Tahoma" w:cs="Tahoma"/>
          <w:sz w:val="24"/>
          <w:szCs w:val="24"/>
          <w:lang w:val="en-US"/>
        </w:rPr>
        <w:t xml:space="preserve"> while value traded lost 84.73%. All share index and value traded gained while market capitalization </w:t>
      </w:r>
      <w:proofErr w:type="gramStart"/>
      <w:r w:rsidR="00194CA9">
        <w:rPr>
          <w:rFonts w:ascii="Tahoma" w:hAnsi="Tahoma" w:cs="Tahoma"/>
          <w:sz w:val="24"/>
          <w:szCs w:val="24"/>
          <w:lang w:val="en-US"/>
        </w:rPr>
        <w:t>lost,</w:t>
      </w:r>
      <w:proofErr w:type="gramEnd"/>
      <w:r w:rsidR="00194CA9">
        <w:rPr>
          <w:rFonts w:ascii="Tahoma" w:hAnsi="Tahoma" w:cs="Tahoma"/>
          <w:sz w:val="24"/>
          <w:szCs w:val="24"/>
          <w:lang w:val="en-US"/>
        </w:rPr>
        <w:t xml:space="preserve"> on </w:t>
      </w:r>
      <w:r w:rsidR="00DA75D2">
        <w:rPr>
          <w:rFonts w:ascii="Tahoma" w:hAnsi="Tahoma" w:cs="Tahoma"/>
          <w:sz w:val="24"/>
          <w:szCs w:val="24"/>
          <w:lang w:val="en-US"/>
        </w:rPr>
        <w:t>YoY</w:t>
      </w:r>
      <w:r w:rsidR="00194CA9">
        <w:rPr>
          <w:rFonts w:ascii="Tahoma" w:hAnsi="Tahoma" w:cs="Tahoma"/>
          <w:sz w:val="24"/>
          <w:szCs w:val="24"/>
          <w:lang w:val="en-US"/>
        </w:rPr>
        <w:t xml:space="preserve"> basis.</w:t>
      </w:r>
    </w:p>
    <w:p w14:paraId="60D21595" w14:textId="77777777" w:rsidR="00E57C56" w:rsidRDefault="00D30418" w:rsidP="00246949">
      <w:pPr>
        <w:pStyle w:val="ListofTables"/>
      </w:pPr>
      <w:bookmarkStart w:id="70" w:name="_Toc164072368"/>
      <w:bookmarkStart w:id="71" w:name="_Toc166658895"/>
      <w:bookmarkStart w:id="72" w:name="_Toc181022053"/>
      <w:bookmarkEnd w:id="69"/>
      <w:r w:rsidRPr="0031015F">
        <w:lastRenderedPageBreak/>
        <w:t xml:space="preserve">Table </w:t>
      </w:r>
      <w:r w:rsidR="007C3F2A">
        <w:t>8</w:t>
      </w:r>
      <w:r w:rsidRPr="0031015F">
        <w:t>: Victoria Falls Stock Exchange Movements</w:t>
      </w:r>
      <w:bookmarkEnd w:id="70"/>
      <w:bookmarkEnd w:id="71"/>
      <w:bookmarkEnd w:id="72"/>
    </w:p>
    <w:p w14:paraId="7692CDB1" w14:textId="21406BD4" w:rsidR="00AB0841" w:rsidRPr="00863A17" w:rsidRDefault="00F02064" w:rsidP="00FF0FB8">
      <w:pPr>
        <w:spacing w:after="0"/>
        <w:rPr>
          <w:rFonts w:ascii="Tahoma" w:hAnsi="Tahoma" w:cs="Tahoma"/>
          <w:sz w:val="24"/>
          <w:szCs w:val="24"/>
          <w:lang w:val="en-US"/>
        </w:rPr>
      </w:pPr>
      <w:r w:rsidRPr="00965A1C">
        <w:rPr>
          <w:noProof/>
        </w:rPr>
        <w:drawing>
          <wp:inline distT="0" distB="0" distL="0" distR="0" wp14:anchorId="6D1CE698" wp14:editId="23F5C2CE">
            <wp:extent cx="5734050" cy="1171575"/>
            <wp:effectExtent l="0" t="0" r="0"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1171575"/>
                    </a:xfrm>
                    <a:prstGeom prst="rect">
                      <a:avLst/>
                    </a:prstGeom>
                    <a:noFill/>
                    <a:ln>
                      <a:noFill/>
                    </a:ln>
                  </pic:spPr>
                </pic:pic>
              </a:graphicData>
            </a:graphic>
          </wp:inline>
        </w:drawing>
      </w:r>
    </w:p>
    <w:p w14:paraId="78E9F3F6" w14:textId="77777777" w:rsidR="00E36CF6" w:rsidRDefault="00E36CF6">
      <w:pPr>
        <w:rPr>
          <w:rFonts w:ascii="Tahoma" w:hAnsi="Tahoma" w:cs="Tahoma"/>
          <w:i/>
          <w:sz w:val="24"/>
          <w:szCs w:val="24"/>
          <w:lang w:val="en-US"/>
        </w:rPr>
      </w:pPr>
      <w:r w:rsidRPr="00863A17">
        <w:rPr>
          <w:rFonts w:ascii="Tahoma" w:hAnsi="Tahoma" w:cs="Tahoma"/>
          <w:i/>
          <w:sz w:val="24"/>
          <w:szCs w:val="24"/>
          <w:lang w:val="en-US"/>
        </w:rPr>
        <w:t>Source:</w:t>
      </w:r>
      <w:r w:rsidR="00F67469" w:rsidRPr="00863A17">
        <w:rPr>
          <w:rFonts w:ascii="Tahoma" w:hAnsi="Tahoma" w:cs="Tahoma"/>
          <w:i/>
          <w:sz w:val="24"/>
          <w:szCs w:val="24"/>
          <w:lang w:val="en-US"/>
        </w:rPr>
        <w:t xml:space="preserve"> </w:t>
      </w:r>
      <w:r w:rsidR="005F5AF8">
        <w:rPr>
          <w:rFonts w:ascii="Tahoma" w:hAnsi="Tahoma" w:cs="Tahoma"/>
          <w:i/>
          <w:sz w:val="24"/>
          <w:szCs w:val="24"/>
          <w:lang w:val="en-US"/>
        </w:rPr>
        <w:t>VFEX</w:t>
      </w:r>
      <w:r w:rsidR="00F5173C" w:rsidRPr="00863A17">
        <w:rPr>
          <w:rFonts w:ascii="Tahoma" w:hAnsi="Tahoma" w:cs="Tahoma"/>
          <w:i/>
          <w:sz w:val="24"/>
          <w:szCs w:val="24"/>
          <w:lang w:val="en-US"/>
        </w:rPr>
        <w:t xml:space="preserve"> </w:t>
      </w:r>
      <w:r w:rsidR="00F67469" w:rsidRPr="00863A17">
        <w:rPr>
          <w:rFonts w:ascii="Tahoma" w:hAnsi="Tahoma" w:cs="Tahoma"/>
          <w:i/>
          <w:sz w:val="24"/>
          <w:szCs w:val="24"/>
          <w:lang w:val="en-US"/>
        </w:rPr>
        <w:t>(</w:t>
      </w:r>
      <w:r w:rsidRPr="00863A17">
        <w:rPr>
          <w:rFonts w:ascii="Tahoma" w:hAnsi="Tahoma" w:cs="Tahoma"/>
          <w:i/>
          <w:sz w:val="24"/>
          <w:szCs w:val="24"/>
          <w:lang w:val="en-US"/>
        </w:rPr>
        <w:t>202</w:t>
      </w:r>
      <w:r w:rsidR="003F1F46" w:rsidRPr="00863A17">
        <w:rPr>
          <w:rFonts w:ascii="Tahoma" w:hAnsi="Tahoma" w:cs="Tahoma"/>
          <w:i/>
          <w:sz w:val="24"/>
          <w:szCs w:val="24"/>
          <w:lang w:val="en-US"/>
        </w:rPr>
        <w:t>4</w:t>
      </w:r>
      <w:r w:rsidR="00F67469" w:rsidRPr="00863A17">
        <w:rPr>
          <w:rFonts w:ascii="Tahoma" w:hAnsi="Tahoma" w:cs="Tahoma"/>
          <w:i/>
          <w:sz w:val="24"/>
          <w:szCs w:val="24"/>
          <w:lang w:val="en-US"/>
        </w:rPr>
        <w:t>)</w:t>
      </w:r>
      <w:r w:rsidRPr="00863A17">
        <w:rPr>
          <w:rFonts w:ascii="Tahoma" w:hAnsi="Tahoma" w:cs="Tahoma"/>
          <w:i/>
          <w:sz w:val="24"/>
          <w:szCs w:val="24"/>
          <w:lang w:val="en-US"/>
        </w:rPr>
        <w:t xml:space="preserve"> </w:t>
      </w:r>
    </w:p>
    <w:p w14:paraId="42411D87" w14:textId="77777777" w:rsidR="007E26B5" w:rsidRPr="007E26B5" w:rsidRDefault="007E26B5">
      <w:pPr>
        <w:rPr>
          <w:rFonts w:ascii="Tahoma" w:hAnsi="Tahoma" w:cs="Tahoma"/>
          <w:iCs/>
          <w:sz w:val="24"/>
          <w:szCs w:val="24"/>
          <w:lang w:val="en-US"/>
        </w:rPr>
      </w:pPr>
    </w:p>
    <w:p w14:paraId="571692F1" w14:textId="77777777" w:rsidR="00EF3AD6" w:rsidRPr="00A64F64" w:rsidRDefault="00FC703F" w:rsidP="004B15EE">
      <w:pPr>
        <w:pStyle w:val="Heading1"/>
        <w:spacing w:before="0" w:after="240" w:line="240" w:lineRule="auto"/>
        <w:rPr>
          <w:rFonts w:cs="Tahoma"/>
          <w:bCs/>
          <w:color w:val="000000"/>
          <w:szCs w:val="24"/>
          <w:lang w:val="en-US"/>
        </w:rPr>
      </w:pPr>
      <w:bookmarkStart w:id="73" w:name="_Toc166607905"/>
      <w:bookmarkStart w:id="74" w:name="_Toc181022194"/>
      <w:r w:rsidRPr="00A64F64">
        <w:rPr>
          <w:rFonts w:cs="Tahoma"/>
          <w:bCs/>
          <w:color w:val="000000"/>
          <w:szCs w:val="24"/>
          <w:lang w:val="en-US"/>
        </w:rPr>
        <w:t>9.0</w:t>
      </w:r>
      <w:r w:rsidRPr="00A64F64">
        <w:rPr>
          <w:rFonts w:cs="Tahoma"/>
          <w:bCs/>
          <w:color w:val="000000"/>
          <w:szCs w:val="24"/>
          <w:lang w:val="en-US"/>
        </w:rPr>
        <w:tab/>
        <w:t>Recommendations</w:t>
      </w:r>
      <w:bookmarkEnd w:id="73"/>
      <w:bookmarkEnd w:id="74"/>
      <w:r w:rsidRPr="00A64F64">
        <w:rPr>
          <w:rFonts w:cs="Tahoma"/>
          <w:bCs/>
          <w:color w:val="000000"/>
          <w:szCs w:val="24"/>
          <w:lang w:val="en-US"/>
        </w:rPr>
        <w:t xml:space="preserve"> </w:t>
      </w:r>
    </w:p>
    <w:p w14:paraId="18100BA8" w14:textId="77777777" w:rsidR="00790EF8" w:rsidRPr="00E83A04" w:rsidRDefault="00EC6C43" w:rsidP="00E83A04">
      <w:pPr>
        <w:ind w:left="720" w:hanging="720"/>
        <w:rPr>
          <w:rFonts w:ascii="Tahoma" w:hAnsi="Tahoma" w:cs="Tahoma"/>
          <w:sz w:val="24"/>
          <w:szCs w:val="24"/>
          <w:lang w:val="en-US"/>
        </w:rPr>
      </w:pPr>
      <w:r w:rsidRPr="00863A17">
        <w:rPr>
          <w:rFonts w:ascii="Tahoma" w:hAnsi="Tahoma" w:cs="Tahoma"/>
          <w:sz w:val="24"/>
          <w:szCs w:val="24"/>
          <w:lang w:val="en-US"/>
        </w:rPr>
        <w:t>9.1</w:t>
      </w:r>
      <w:r w:rsidR="00FC703F" w:rsidRPr="00863A17">
        <w:rPr>
          <w:rFonts w:ascii="Tahoma" w:hAnsi="Tahoma" w:cs="Tahoma"/>
          <w:sz w:val="24"/>
          <w:szCs w:val="24"/>
          <w:lang w:val="en-US"/>
        </w:rPr>
        <w:tab/>
        <w:t>The following reco</w:t>
      </w:r>
      <w:r w:rsidR="00A43C6F">
        <w:rPr>
          <w:rFonts w:ascii="Tahoma" w:hAnsi="Tahoma" w:cs="Tahoma"/>
          <w:sz w:val="24"/>
          <w:szCs w:val="24"/>
          <w:lang w:val="en-US"/>
        </w:rPr>
        <w:t>mmendations are being proposed:</w:t>
      </w:r>
    </w:p>
    <w:p w14:paraId="3A9BF948" w14:textId="6AC9B411" w:rsidR="0020788D" w:rsidRDefault="0020788D" w:rsidP="0020788D">
      <w:pPr>
        <w:pStyle w:val="ListParagraph"/>
        <w:ind w:hanging="720"/>
        <w:jc w:val="both"/>
        <w:rPr>
          <w:rFonts w:ascii="Tahoma" w:hAnsi="Tahoma" w:cs="Tahoma"/>
          <w:sz w:val="24"/>
          <w:szCs w:val="24"/>
        </w:rPr>
      </w:pPr>
      <w:r w:rsidRPr="0020788D">
        <w:rPr>
          <w:rFonts w:ascii="Tahoma" w:hAnsi="Tahoma" w:cs="Tahoma"/>
          <w:sz w:val="24"/>
          <w:szCs w:val="24"/>
        </w:rPr>
        <w:t>9.1.</w:t>
      </w:r>
      <w:r w:rsidR="0007510B">
        <w:rPr>
          <w:rFonts w:ascii="Tahoma" w:hAnsi="Tahoma" w:cs="Tahoma"/>
          <w:sz w:val="24"/>
          <w:szCs w:val="24"/>
        </w:rPr>
        <w:t>1</w:t>
      </w:r>
      <w:r w:rsidRPr="0020788D">
        <w:rPr>
          <w:rFonts w:ascii="Tahoma" w:hAnsi="Tahoma" w:cs="Tahoma"/>
          <w:sz w:val="24"/>
          <w:szCs w:val="24"/>
        </w:rPr>
        <w:tab/>
      </w:r>
      <w:r w:rsidR="001B195C">
        <w:rPr>
          <w:rFonts w:ascii="Tahoma" w:hAnsi="Tahoma" w:cs="Tahoma"/>
          <w:b/>
          <w:bCs/>
          <w:sz w:val="24"/>
          <w:szCs w:val="24"/>
        </w:rPr>
        <w:t>Improve Climate Change Preparedness Strategies</w:t>
      </w:r>
      <w:r w:rsidRPr="0020788D">
        <w:rPr>
          <w:rFonts w:ascii="Tahoma" w:hAnsi="Tahoma" w:cs="Tahoma"/>
          <w:sz w:val="24"/>
          <w:szCs w:val="24"/>
        </w:rPr>
        <w:t>:</w:t>
      </w:r>
      <w:r w:rsidR="001B195C">
        <w:rPr>
          <w:rFonts w:ascii="Tahoma" w:hAnsi="Tahoma" w:cs="Tahoma"/>
          <w:sz w:val="24"/>
          <w:szCs w:val="24"/>
        </w:rPr>
        <w:t xml:space="preserve"> The country</w:t>
      </w:r>
      <w:r w:rsidR="00250D1B">
        <w:rPr>
          <w:rFonts w:ascii="Tahoma" w:hAnsi="Tahoma" w:cs="Tahoma"/>
          <w:sz w:val="24"/>
          <w:szCs w:val="24"/>
        </w:rPr>
        <w:t xml:space="preserve"> should </w:t>
      </w:r>
      <w:r w:rsidR="00DD11EB">
        <w:rPr>
          <w:rFonts w:ascii="Tahoma" w:hAnsi="Tahoma" w:cs="Tahoma"/>
          <w:sz w:val="24"/>
          <w:szCs w:val="24"/>
        </w:rPr>
        <w:t>develop</w:t>
      </w:r>
      <w:r w:rsidR="00250D1B">
        <w:rPr>
          <w:rFonts w:ascii="Tahoma" w:hAnsi="Tahoma" w:cs="Tahoma"/>
          <w:sz w:val="24"/>
          <w:szCs w:val="24"/>
        </w:rPr>
        <w:t xml:space="preserve"> measures to reduce climate change such as investment in </w:t>
      </w:r>
      <w:r w:rsidR="001B195C">
        <w:rPr>
          <w:rFonts w:ascii="Tahoma" w:hAnsi="Tahoma" w:cs="Tahoma"/>
          <w:sz w:val="24"/>
          <w:szCs w:val="24"/>
        </w:rPr>
        <w:t>carbon sequestration, green infrastructure (smart cities), green finance,</w:t>
      </w:r>
      <w:r w:rsidR="00250D1B">
        <w:rPr>
          <w:rFonts w:ascii="Tahoma" w:hAnsi="Tahoma" w:cs="Tahoma"/>
          <w:sz w:val="24"/>
          <w:szCs w:val="24"/>
        </w:rPr>
        <w:t xml:space="preserve"> carbon credits,</w:t>
      </w:r>
      <w:r w:rsidR="001B195C">
        <w:rPr>
          <w:rFonts w:ascii="Tahoma" w:hAnsi="Tahoma" w:cs="Tahoma"/>
          <w:sz w:val="24"/>
          <w:szCs w:val="24"/>
        </w:rPr>
        <w:t xml:space="preserve"> renewable energy and </w:t>
      </w:r>
      <w:r w:rsidR="00250D1B">
        <w:rPr>
          <w:rFonts w:ascii="Tahoma" w:hAnsi="Tahoma" w:cs="Tahoma"/>
          <w:sz w:val="24"/>
          <w:szCs w:val="24"/>
        </w:rPr>
        <w:t xml:space="preserve">having </w:t>
      </w:r>
      <w:r w:rsidR="001B195C">
        <w:rPr>
          <w:rFonts w:ascii="Tahoma" w:hAnsi="Tahoma" w:cs="Tahoma"/>
          <w:sz w:val="24"/>
          <w:szCs w:val="24"/>
        </w:rPr>
        <w:t>national adaptation plan.</w:t>
      </w:r>
      <w:r w:rsidR="00250D1B">
        <w:rPr>
          <w:rFonts w:ascii="Tahoma" w:hAnsi="Tahoma" w:cs="Tahoma"/>
          <w:sz w:val="24"/>
          <w:szCs w:val="24"/>
        </w:rPr>
        <w:t xml:space="preserve"> </w:t>
      </w:r>
      <w:r w:rsidR="00DB3C2A">
        <w:rPr>
          <w:rFonts w:ascii="Tahoma" w:hAnsi="Tahoma" w:cs="Tahoma"/>
          <w:sz w:val="24"/>
          <w:szCs w:val="24"/>
        </w:rPr>
        <w:t xml:space="preserve">These strategies </w:t>
      </w:r>
      <w:r w:rsidR="00060BA3">
        <w:rPr>
          <w:rFonts w:ascii="Tahoma" w:hAnsi="Tahoma" w:cs="Tahoma"/>
          <w:sz w:val="24"/>
          <w:szCs w:val="24"/>
        </w:rPr>
        <w:t>reduce the effect of climate change on the country’s a</w:t>
      </w:r>
      <w:r w:rsidR="00DB3C2A">
        <w:rPr>
          <w:rFonts w:ascii="Tahoma" w:hAnsi="Tahoma" w:cs="Tahoma"/>
          <w:sz w:val="24"/>
          <w:szCs w:val="24"/>
        </w:rPr>
        <w:t>griculture sector</w:t>
      </w:r>
      <w:r w:rsidR="00DD11EB">
        <w:rPr>
          <w:rFonts w:ascii="Tahoma" w:hAnsi="Tahoma" w:cs="Tahoma"/>
          <w:sz w:val="24"/>
          <w:szCs w:val="24"/>
        </w:rPr>
        <w:t xml:space="preserve">, the </w:t>
      </w:r>
      <w:r w:rsidR="00060BA3">
        <w:rPr>
          <w:rFonts w:ascii="Tahoma" w:hAnsi="Tahoma" w:cs="Tahoma"/>
          <w:sz w:val="24"/>
          <w:szCs w:val="24"/>
        </w:rPr>
        <w:t>backbone</w:t>
      </w:r>
      <w:r w:rsidR="00DB3C2A">
        <w:rPr>
          <w:rFonts w:ascii="Tahoma" w:hAnsi="Tahoma" w:cs="Tahoma"/>
          <w:sz w:val="24"/>
          <w:szCs w:val="24"/>
        </w:rPr>
        <w:t xml:space="preserve"> of the economy</w:t>
      </w:r>
      <w:r w:rsidR="00DD11EB">
        <w:rPr>
          <w:rFonts w:ascii="Tahoma" w:hAnsi="Tahoma" w:cs="Tahoma"/>
          <w:sz w:val="24"/>
          <w:szCs w:val="24"/>
        </w:rPr>
        <w:t>.</w:t>
      </w:r>
    </w:p>
    <w:p w14:paraId="0CB7236A" w14:textId="77777777" w:rsidR="00790EF8" w:rsidRPr="0020788D" w:rsidRDefault="00790EF8" w:rsidP="0020788D">
      <w:pPr>
        <w:pStyle w:val="ListParagraph"/>
        <w:ind w:hanging="720"/>
        <w:jc w:val="both"/>
        <w:rPr>
          <w:rFonts w:ascii="Tahoma" w:hAnsi="Tahoma" w:cs="Tahoma"/>
          <w:sz w:val="24"/>
          <w:szCs w:val="24"/>
        </w:rPr>
      </w:pPr>
    </w:p>
    <w:p w14:paraId="68D64E55" w14:textId="122E6FC0" w:rsidR="0020788D" w:rsidRDefault="0020788D" w:rsidP="0020788D">
      <w:pPr>
        <w:pStyle w:val="ListParagraph"/>
        <w:ind w:hanging="720"/>
        <w:jc w:val="both"/>
        <w:rPr>
          <w:rFonts w:ascii="Tahoma" w:hAnsi="Tahoma" w:cs="Tahoma"/>
          <w:sz w:val="24"/>
          <w:szCs w:val="24"/>
        </w:rPr>
      </w:pPr>
      <w:r w:rsidRPr="0020788D">
        <w:rPr>
          <w:rFonts w:ascii="Tahoma" w:hAnsi="Tahoma" w:cs="Tahoma"/>
          <w:sz w:val="24"/>
          <w:szCs w:val="24"/>
        </w:rPr>
        <w:t>9.1.</w:t>
      </w:r>
      <w:r w:rsidR="009C724B">
        <w:rPr>
          <w:rFonts w:ascii="Tahoma" w:hAnsi="Tahoma" w:cs="Tahoma"/>
          <w:sz w:val="24"/>
          <w:szCs w:val="24"/>
        </w:rPr>
        <w:t>2</w:t>
      </w:r>
      <w:r w:rsidRPr="0020788D">
        <w:rPr>
          <w:rFonts w:ascii="Tahoma" w:hAnsi="Tahoma" w:cs="Tahoma"/>
          <w:sz w:val="24"/>
          <w:szCs w:val="24"/>
        </w:rPr>
        <w:tab/>
      </w:r>
      <w:r w:rsidR="0059695C">
        <w:rPr>
          <w:rFonts w:ascii="Tahoma" w:hAnsi="Tahoma" w:cs="Tahoma"/>
          <w:b/>
          <w:bCs/>
          <w:sz w:val="24"/>
          <w:szCs w:val="24"/>
        </w:rPr>
        <w:t>Mining Industry Enhancement</w:t>
      </w:r>
      <w:r w:rsidRPr="0020788D">
        <w:rPr>
          <w:rFonts w:ascii="Tahoma" w:hAnsi="Tahoma" w:cs="Tahoma"/>
          <w:sz w:val="24"/>
          <w:szCs w:val="24"/>
        </w:rPr>
        <w:t>:</w:t>
      </w:r>
      <w:r w:rsidR="00764844">
        <w:rPr>
          <w:rFonts w:ascii="Tahoma" w:hAnsi="Tahoma" w:cs="Tahoma"/>
          <w:sz w:val="24"/>
          <w:szCs w:val="24"/>
        </w:rPr>
        <w:t xml:space="preserve"> Given the rising demand and prices of minerals like gold, copper and aluminium in the international market, t</w:t>
      </w:r>
      <w:r w:rsidR="00790EF8">
        <w:rPr>
          <w:rFonts w:ascii="Tahoma" w:hAnsi="Tahoma" w:cs="Tahoma"/>
          <w:sz w:val="24"/>
          <w:szCs w:val="24"/>
        </w:rPr>
        <w:t>he country</w:t>
      </w:r>
      <w:r w:rsidRPr="0020788D">
        <w:rPr>
          <w:rFonts w:ascii="Tahoma" w:hAnsi="Tahoma" w:cs="Tahoma"/>
          <w:sz w:val="24"/>
          <w:szCs w:val="24"/>
        </w:rPr>
        <w:t xml:space="preserve"> should focus on enhancing </w:t>
      </w:r>
      <w:r w:rsidR="008F1CA6">
        <w:rPr>
          <w:rFonts w:ascii="Tahoma" w:hAnsi="Tahoma" w:cs="Tahoma"/>
          <w:sz w:val="24"/>
          <w:szCs w:val="24"/>
        </w:rPr>
        <w:t>value addition</w:t>
      </w:r>
      <w:r w:rsidRPr="0020788D">
        <w:rPr>
          <w:rFonts w:ascii="Tahoma" w:hAnsi="Tahoma" w:cs="Tahoma"/>
          <w:sz w:val="24"/>
          <w:szCs w:val="24"/>
        </w:rPr>
        <w:t xml:space="preserve"> of its</w:t>
      </w:r>
      <w:r w:rsidR="00764844">
        <w:rPr>
          <w:rFonts w:ascii="Tahoma" w:hAnsi="Tahoma" w:cs="Tahoma"/>
          <w:sz w:val="24"/>
          <w:szCs w:val="24"/>
        </w:rPr>
        <w:t xml:space="preserve"> minerals</w:t>
      </w:r>
      <w:r w:rsidRPr="0020788D">
        <w:rPr>
          <w:rFonts w:ascii="Tahoma" w:hAnsi="Tahoma" w:cs="Tahoma"/>
          <w:sz w:val="24"/>
          <w:szCs w:val="24"/>
        </w:rPr>
        <w:t xml:space="preserve"> exports</w:t>
      </w:r>
      <w:r w:rsidR="00764844">
        <w:rPr>
          <w:rFonts w:ascii="Tahoma" w:hAnsi="Tahoma" w:cs="Tahoma"/>
          <w:sz w:val="24"/>
          <w:szCs w:val="24"/>
        </w:rPr>
        <w:t>.</w:t>
      </w:r>
      <w:r w:rsidR="00B20D8D">
        <w:rPr>
          <w:rFonts w:ascii="Tahoma" w:hAnsi="Tahoma" w:cs="Tahoma"/>
          <w:sz w:val="24"/>
          <w:szCs w:val="24"/>
        </w:rPr>
        <w:t xml:space="preserve"> Th</w:t>
      </w:r>
      <w:r w:rsidR="008F1CA6">
        <w:rPr>
          <w:rFonts w:ascii="Tahoma" w:hAnsi="Tahoma" w:cs="Tahoma"/>
          <w:sz w:val="24"/>
          <w:szCs w:val="24"/>
        </w:rPr>
        <w:t>is</w:t>
      </w:r>
      <w:r w:rsidR="00B20D8D">
        <w:rPr>
          <w:rFonts w:ascii="Tahoma" w:hAnsi="Tahoma" w:cs="Tahoma"/>
          <w:sz w:val="24"/>
          <w:szCs w:val="24"/>
        </w:rPr>
        <w:t xml:space="preserve"> increase</w:t>
      </w:r>
      <w:r w:rsidR="008F1CA6">
        <w:rPr>
          <w:rFonts w:ascii="Tahoma" w:hAnsi="Tahoma" w:cs="Tahoma"/>
          <w:sz w:val="24"/>
          <w:szCs w:val="24"/>
        </w:rPr>
        <w:t>s</w:t>
      </w:r>
      <w:r w:rsidR="00B20D8D">
        <w:rPr>
          <w:rFonts w:ascii="Tahoma" w:hAnsi="Tahoma" w:cs="Tahoma"/>
          <w:sz w:val="24"/>
          <w:szCs w:val="24"/>
        </w:rPr>
        <w:t xml:space="preserve"> </w:t>
      </w:r>
      <w:r w:rsidR="008F1CA6">
        <w:rPr>
          <w:rFonts w:ascii="Tahoma" w:hAnsi="Tahoma" w:cs="Tahoma"/>
          <w:sz w:val="24"/>
          <w:szCs w:val="24"/>
        </w:rPr>
        <w:t xml:space="preserve">the country’s </w:t>
      </w:r>
      <w:r w:rsidR="00B20D8D">
        <w:rPr>
          <w:rFonts w:ascii="Tahoma" w:hAnsi="Tahoma" w:cs="Tahoma"/>
          <w:sz w:val="24"/>
          <w:szCs w:val="24"/>
        </w:rPr>
        <w:t>export revenue</w:t>
      </w:r>
      <w:r w:rsidR="002F6DA3">
        <w:rPr>
          <w:rFonts w:ascii="Tahoma" w:hAnsi="Tahoma" w:cs="Tahoma"/>
          <w:sz w:val="24"/>
          <w:szCs w:val="24"/>
        </w:rPr>
        <w:t>.</w:t>
      </w:r>
      <w:r w:rsidRPr="0020788D">
        <w:rPr>
          <w:rFonts w:ascii="Tahoma" w:hAnsi="Tahoma" w:cs="Tahoma"/>
          <w:sz w:val="24"/>
          <w:szCs w:val="24"/>
        </w:rPr>
        <w:t xml:space="preserve"> </w:t>
      </w:r>
    </w:p>
    <w:p w14:paraId="0087EEE5" w14:textId="77777777" w:rsidR="00790EF8" w:rsidRPr="0020788D" w:rsidRDefault="00790EF8" w:rsidP="0020788D">
      <w:pPr>
        <w:pStyle w:val="ListParagraph"/>
        <w:ind w:hanging="720"/>
        <w:jc w:val="both"/>
        <w:rPr>
          <w:rFonts w:ascii="Tahoma" w:hAnsi="Tahoma" w:cs="Tahoma"/>
          <w:sz w:val="24"/>
          <w:szCs w:val="24"/>
        </w:rPr>
      </w:pPr>
    </w:p>
    <w:p w14:paraId="79E47CC3" w14:textId="514D219E" w:rsidR="0020788D" w:rsidRDefault="0020788D" w:rsidP="0020788D">
      <w:pPr>
        <w:pStyle w:val="ListParagraph"/>
        <w:ind w:hanging="720"/>
        <w:jc w:val="both"/>
        <w:rPr>
          <w:rFonts w:ascii="Tahoma" w:hAnsi="Tahoma" w:cs="Tahoma"/>
          <w:sz w:val="24"/>
          <w:szCs w:val="24"/>
        </w:rPr>
      </w:pPr>
      <w:r w:rsidRPr="0020788D">
        <w:rPr>
          <w:rFonts w:ascii="Tahoma" w:hAnsi="Tahoma" w:cs="Tahoma"/>
          <w:sz w:val="24"/>
          <w:szCs w:val="24"/>
        </w:rPr>
        <w:t>9.1.</w:t>
      </w:r>
      <w:r w:rsidR="009C724B">
        <w:rPr>
          <w:rFonts w:ascii="Tahoma" w:hAnsi="Tahoma" w:cs="Tahoma"/>
          <w:sz w:val="24"/>
          <w:szCs w:val="24"/>
        </w:rPr>
        <w:t>3</w:t>
      </w:r>
      <w:r w:rsidRPr="0020788D">
        <w:rPr>
          <w:rFonts w:ascii="Tahoma" w:hAnsi="Tahoma" w:cs="Tahoma"/>
          <w:sz w:val="24"/>
          <w:szCs w:val="24"/>
        </w:rPr>
        <w:tab/>
      </w:r>
      <w:r w:rsidR="0098200F">
        <w:rPr>
          <w:rFonts w:ascii="Tahoma" w:hAnsi="Tahoma" w:cs="Tahoma"/>
          <w:b/>
          <w:bCs/>
          <w:sz w:val="24"/>
          <w:szCs w:val="24"/>
        </w:rPr>
        <w:t>Exchange Rate Control</w:t>
      </w:r>
      <w:r w:rsidRPr="0020788D">
        <w:rPr>
          <w:rFonts w:ascii="Tahoma" w:hAnsi="Tahoma" w:cs="Tahoma"/>
          <w:sz w:val="24"/>
          <w:szCs w:val="24"/>
        </w:rPr>
        <w:t>:</w:t>
      </w:r>
      <w:r w:rsidR="00235667">
        <w:rPr>
          <w:rFonts w:ascii="Tahoma" w:hAnsi="Tahoma" w:cs="Tahoma"/>
          <w:sz w:val="24"/>
          <w:szCs w:val="24"/>
        </w:rPr>
        <w:t xml:space="preserve"> </w:t>
      </w:r>
      <w:r w:rsidR="0098200F">
        <w:rPr>
          <w:rFonts w:ascii="Tahoma" w:hAnsi="Tahoma" w:cs="Tahoma"/>
          <w:sz w:val="24"/>
          <w:szCs w:val="24"/>
        </w:rPr>
        <w:t xml:space="preserve">The RBZ should let the exchange rate be determined on willing-buyer-willing-seller basis and prioritise on accumulating forex reserves and other special metal backing the ZWG for </w:t>
      </w:r>
      <w:r w:rsidR="00B42E80">
        <w:rPr>
          <w:rFonts w:ascii="Tahoma" w:hAnsi="Tahoma" w:cs="Tahoma"/>
          <w:sz w:val="24"/>
          <w:szCs w:val="24"/>
        </w:rPr>
        <w:t>strategic interventions purpose.</w:t>
      </w:r>
      <w:r w:rsidR="00235667">
        <w:rPr>
          <w:rFonts w:ascii="Tahoma" w:hAnsi="Tahoma" w:cs="Tahoma"/>
          <w:sz w:val="24"/>
          <w:szCs w:val="24"/>
        </w:rPr>
        <w:t xml:space="preserve"> The willing-buyer-willing-seller basis will </w:t>
      </w:r>
      <w:r w:rsidR="00DD11EB">
        <w:rPr>
          <w:rFonts w:ascii="Tahoma" w:hAnsi="Tahoma" w:cs="Tahoma"/>
          <w:sz w:val="24"/>
          <w:szCs w:val="24"/>
        </w:rPr>
        <w:t>eliminate</w:t>
      </w:r>
      <w:r w:rsidR="00235667">
        <w:rPr>
          <w:rFonts w:ascii="Tahoma" w:hAnsi="Tahoma" w:cs="Tahoma"/>
          <w:sz w:val="24"/>
          <w:szCs w:val="24"/>
        </w:rPr>
        <w:t xml:space="preserve"> the parallel market players since.</w:t>
      </w:r>
      <w:r w:rsidR="00BA495A">
        <w:rPr>
          <w:rFonts w:ascii="Tahoma" w:hAnsi="Tahoma" w:cs="Tahoma"/>
          <w:sz w:val="24"/>
          <w:szCs w:val="24"/>
        </w:rPr>
        <w:t xml:space="preserve"> Exchange rate being price of forex like price of commodities, exchange rate stabilisation will translate to price stability hence reduced ZWG inflation in the Economy.</w:t>
      </w:r>
    </w:p>
    <w:p w14:paraId="4D93402C" w14:textId="77777777" w:rsidR="00790EF8" w:rsidRPr="0020788D" w:rsidRDefault="00790EF8" w:rsidP="0020788D">
      <w:pPr>
        <w:pStyle w:val="ListParagraph"/>
        <w:ind w:hanging="720"/>
        <w:jc w:val="both"/>
        <w:rPr>
          <w:rFonts w:ascii="Tahoma" w:hAnsi="Tahoma" w:cs="Tahoma"/>
          <w:sz w:val="24"/>
          <w:szCs w:val="24"/>
        </w:rPr>
      </w:pPr>
    </w:p>
    <w:p w14:paraId="2511BC9D" w14:textId="68077831" w:rsidR="0020788D" w:rsidRDefault="0020788D" w:rsidP="0020788D">
      <w:pPr>
        <w:pStyle w:val="ListParagraph"/>
        <w:ind w:hanging="720"/>
        <w:jc w:val="both"/>
        <w:rPr>
          <w:rFonts w:ascii="Tahoma" w:hAnsi="Tahoma" w:cs="Tahoma"/>
          <w:sz w:val="24"/>
          <w:szCs w:val="24"/>
        </w:rPr>
      </w:pPr>
      <w:r w:rsidRPr="0020788D">
        <w:rPr>
          <w:rFonts w:ascii="Tahoma" w:hAnsi="Tahoma" w:cs="Tahoma"/>
          <w:sz w:val="24"/>
          <w:szCs w:val="24"/>
        </w:rPr>
        <w:t>9.1.</w:t>
      </w:r>
      <w:r w:rsidR="009C724B">
        <w:rPr>
          <w:rFonts w:ascii="Tahoma" w:hAnsi="Tahoma" w:cs="Tahoma"/>
          <w:sz w:val="24"/>
          <w:szCs w:val="24"/>
        </w:rPr>
        <w:t>4</w:t>
      </w:r>
      <w:r w:rsidRPr="0020788D">
        <w:rPr>
          <w:rFonts w:ascii="Tahoma" w:hAnsi="Tahoma" w:cs="Tahoma"/>
          <w:sz w:val="24"/>
          <w:szCs w:val="24"/>
        </w:rPr>
        <w:tab/>
      </w:r>
      <w:r w:rsidRPr="0020788D">
        <w:rPr>
          <w:rFonts w:ascii="Tahoma" w:hAnsi="Tahoma" w:cs="Tahoma"/>
          <w:b/>
          <w:bCs/>
          <w:sz w:val="24"/>
          <w:szCs w:val="24"/>
        </w:rPr>
        <w:t xml:space="preserve">Monetary Policy </w:t>
      </w:r>
      <w:r w:rsidR="007B1E38">
        <w:rPr>
          <w:rFonts w:ascii="Tahoma" w:hAnsi="Tahoma" w:cs="Tahoma"/>
          <w:b/>
          <w:bCs/>
          <w:sz w:val="24"/>
          <w:szCs w:val="24"/>
        </w:rPr>
        <w:t xml:space="preserve">and Fiscal Policy </w:t>
      </w:r>
      <w:r w:rsidR="00D11597">
        <w:rPr>
          <w:rFonts w:ascii="Tahoma" w:hAnsi="Tahoma" w:cs="Tahoma"/>
          <w:b/>
          <w:bCs/>
          <w:sz w:val="24"/>
          <w:szCs w:val="24"/>
        </w:rPr>
        <w:t>realignment</w:t>
      </w:r>
      <w:r w:rsidRPr="0020788D">
        <w:rPr>
          <w:rFonts w:ascii="Tahoma" w:hAnsi="Tahoma" w:cs="Tahoma"/>
          <w:sz w:val="24"/>
          <w:szCs w:val="24"/>
        </w:rPr>
        <w:t xml:space="preserve">: </w:t>
      </w:r>
      <w:r w:rsidR="007B1E38">
        <w:rPr>
          <w:rFonts w:ascii="Tahoma" w:hAnsi="Tahoma" w:cs="Tahoma"/>
          <w:sz w:val="24"/>
          <w:szCs w:val="24"/>
        </w:rPr>
        <w:t>Th</w:t>
      </w:r>
      <w:r w:rsidR="00DD11EB">
        <w:rPr>
          <w:rFonts w:ascii="Tahoma" w:hAnsi="Tahoma" w:cs="Tahoma"/>
          <w:sz w:val="24"/>
          <w:szCs w:val="24"/>
        </w:rPr>
        <w:t>ere is need for realignment of monetary and fiscal polic</w:t>
      </w:r>
      <w:r w:rsidR="00CA1E59">
        <w:rPr>
          <w:rFonts w:ascii="Tahoma" w:hAnsi="Tahoma" w:cs="Tahoma"/>
          <w:sz w:val="24"/>
          <w:szCs w:val="24"/>
        </w:rPr>
        <w:t xml:space="preserve">ies to </w:t>
      </w:r>
      <w:r w:rsidR="00CF05A5">
        <w:rPr>
          <w:rFonts w:ascii="Tahoma" w:hAnsi="Tahoma" w:cs="Tahoma"/>
          <w:sz w:val="24"/>
          <w:szCs w:val="24"/>
        </w:rPr>
        <w:t>promote fiscal discipline and policy consistency in the economy which will subsequently boost confidence, investment and economic growth.</w:t>
      </w:r>
    </w:p>
    <w:p w14:paraId="347DAAB4" w14:textId="77777777" w:rsidR="00790EF8" w:rsidRPr="0020788D" w:rsidRDefault="00790EF8" w:rsidP="0020788D">
      <w:pPr>
        <w:pStyle w:val="ListParagraph"/>
        <w:ind w:hanging="720"/>
        <w:jc w:val="both"/>
        <w:rPr>
          <w:rFonts w:ascii="Tahoma" w:hAnsi="Tahoma" w:cs="Tahoma"/>
          <w:sz w:val="24"/>
          <w:szCs w:val="24"/>
        </w:rPr>
      </w:pPr>
    </w:p>
    <w:p w14:paraId="3248A9EC" w14:textId="3299DD4E" w:rsidR="00790EF8" w:rsidRPr="0020788D" w:rsidRDefault="0020788D" w:rsidP="0020788D">
      <w:pPr>
        <w:pStyle w:val="ListParagraph"/>
        <w:ind w:hanging="720"/>
        <w:jc w:val="both"/>
        <w:rPr>
          <w:rFonts w:ascii="Tahoma" w:hAnsi="Tahoma" w:cs="Tahoma"/>
          <w:sz w:val="24"/>
          <w:szCs w:val="24"/>
        </w:rPr>
      </w:pPr>
      <w:r w:rsidRPr="0020788D">
        <w:rPr>
          <w:rFonts w:ascii="Tahoma" w:hAnsi="Tahoma" w:cs="Tahoma"/>
          <w:sz w:val="24"/>
          <w:szCs w:val="24"/>
        </w:rPr>
        <w:t>9.1.</w:t>
      </w:r>
      <w:r w:rsidR="009C724B">
        <w:rPr>
          <w:rFonts w:ascii="Tahoma" w:hAnsi="Tahoma" w:cs="Tahoma"/>
          <w:sz w:val="24"/>
          <w:szCs w:val="24"/>
        </w:rPr>
        <w:t>5</w:t>
      </w:r>
      <w:r w:rsidRPr="0020788D">
        <w:rPr>
          <w:rFonts w:ascii="Tahoma" w:hAnsi="Tahoma" w:cs="Tahoma"/>
          <w:sz w:val="24"/>
          <w:szCs w:val="24"/>
        </w:rPr>
        <w:tab/>
      </w:r>
      <w:r w:rsidRPr="0020788D">
        <w:rPr>
          <w:rFonts w:ascii="Tahoma" w:hAnsi="Tahoma" w:cs="Tahoma"/>
          <w:b/>
          <w:bCs/>
          <w:sz w:val="24"/>
          <w:szCs w:val="24"/>
        </w:rPr>
        <w:t>Interest Rate Polic</w:t>
      </w:r>
      <w:r w:rsidR="00E31210">
        <w:rPr>
          <w:rFonts w:ascii="Tahoma" w:hAnsi="Tahoma" w:cs="Tahoma"/>
          <w:b/>
          <w:bCs/>
          <w:sz w:val="24"/>
          <w:szCs w:val="24"/>
        </w:rPr>
        <w:t>y</w:t>
      </w:r>
      <w:r w:rsidR="00E83A04">
        <w:rPr>
          <w:rFonts w:ascii="Tahoma" w:hAnsi="Tahoma" w:cs="Tahoma"/>
          <w:b/>
          <w:bCs/>
          <w:sz w:val="24"/>
          <w:szCs w:val="24"/>
        </w:rPr>
        <w:t xml:space="preserve"> Adjustment</w:t>
      </w:r>
      <w:r w:rsidRPr="0020788D">
        <w:rPr>
          <w:rFonts w:ascii="Tahoma" w:hAnsi="Tahoma" w:cs="Tahoma"/>
          <w:sz w:val="24"/>
          <w:szCs w:val="24"/>
        </w:rPr>
        <w:t xml:space="preserve">: </w:t>
      </w:r>
      <w:r w:rsidR="00CA1E59" w:rsidRPr="00CA1E59">
        <w:rPr>
          <w:rFonts w:ascii="Tahoma" w:hAnsi="Tahoma" w:cs="Tahoma"/>
          <w:sz w:val="24"/>
          <w:szCs w:val="24"/>
        </w:rPr>
        <w:t>The low deposit interest rates discourage savings, while high lending rates limit borrowing for investment. Introducing incentives for savings accounts or lowering lending rates could stimulate investment in productive sectors, improving economic growth prospects without exacerbating inflationary pressures.</w:t>
      </w:r>
    </w:p>
    <w:p w14:paraId="57442BDF" w14:textId="183427B1" w:rsidR="00790EF8" w:rsidRPr="00CA1E59" w:rsidRDefault="0020788D" w:rsidP="00CA1E59">
      <w:pPr>
        <w:pStyle w:val="ListParagraph"/>
        <w:ind w:hanging="720"/>
        <w:jc w:val="both"/>
        <w:rPr>
          <w:rFonts w:ascii="Tahoma" w:hAnsi="Tahoma" w:cs="Tahoma"/>
          <w:sz w:val="24"/>
          <w:szCs w:val="24"/>
        </w:rPr>
      </w:pPr>
      <w:r w:rsidRPr="0020788D">
        <w:rPr>
          <w:rFonts w:ascii="Tahoma" w:hAnsi="Tahoma" w:cs="Tahoma"/>
          <w:sz w:val="24"/>
          <w:szCs w:val="24"/>
        </w:rPr>
        <w:lastRenderedPageBreak/>
        <w:t>9.1.</w:t>
      </w:r>
      <w:r w:rsidR="009C724B">
        <w:rPr>
          <w:rFonts w:ascii="Tahoma" w:hAnsi="Tahoma" w:cs="Tahoma"/>
          <w:sz w:val="24"/>
          <w:szCs w:val="24"/>
        </w:rPr>
        <w:t>6</w:t>
      </w:r>
      <w:r w:rsidRPr="0020788D">
        <w:rPr>
          <w:rFonts w:ascii="Tahoma" w:hAnsi="Tahoma" w:cs="Tahoma"/>
          <w:sz w:val="24"/>
          <w:szCs w:val="24"/>
        </w:rPr>
        <w:tab/>
      </w:r>
      <w:r w:rsidR="00CA1E59" w:rsidRPr="00CA1E59">
        <w:rPr>
          <w:rFonts w:ascii="Tahoma" w:hAnsi="Tahoma" w:cs="Tahoma"/>
          <w:b/>
          <w:bCs/>
          <w:sz w:val="24"/>
          <w:szCs w:val="24"/>
        </w:rPr>
        <w:t>Support Trade Growth by Addressing Trade Deficits</w:t>
      </w:r>
      <w:r w:rsidR="00CA1E59">
        <w:rPr>
          <w:rFonts w:ascii="Tahoma" w:hAnsi="Tahoma" w:cs="Tahoma"/>
          <w:b/>
          <w:bCs/>
          <w:sz w:val="24"/>
          <w:szCs w:val="24"/>
        </w:rPr>
        <w:t xml:space="preserve">: </w:t>
      </w:r>
      <w:r w:rsidR="00CA1E59" w:rsidRPr="00CA1E59">
        <w:rPr>
          <w:rFonts w:ascii="Tahoma" w:hAnsi="Tahoma" w:cs="Tahoma"/>
          <w:sz w:val="24"/>
          <w:szCs w:val="24"/>
        </w:rPr>
        <w:t>With an increased trade deficit in July 2024, targeted trade policies to increase exports and manage imports are critical. Expanding export-focused support for sectors with high foreign demand, like mining, and reducing reliance on imports, especially for staple goods, could narrow the deficit and support Zimbabwe’s balance of payments.</w:t>
      </w:r>
    </w:p>
    <w:p w14:paraId="6D53EC17" w14:textId="1D133C9E" w:rsidR="00250A42" w:rsidRDefault="0020788D" w:rsidP="00250A42">
      <w:pPr>
        <w:pStyle w:val="ListParagraph"/>
        <w:ind w:hanging="720"/>
        <w:jc w:val="both"/>
        <w:rPr>
          <w:rFonts w:ascii="Tahoma" w:hAnsi="Tahoma" w:cs="Tahoma"/>
          <w:sz w:val="24"/>
          <w:szCs w:val="24"/>
        </w:rPr>
      </w:pPr>
      <w:r w:rsidRPr="0020788D">
        <w:rPr>
          <w:rFonts w:ascii="Tahoma" w:hAnsi="Tahoma" w:cs="Tahoma"/>
          <w:sz w:val="24"/>
          <w:szCs w:val="24"/>
        </w:rPr>
        <w:t>9.1.</w:t>
      </w:r>
      <w:r w:rsidR="009C724B">
        <w:rPr>
          <w:rFonts w:ascii="Tahoma" w:hAnsi="Tahoma" w:cs="Tahoma"/>
          <w:sz w:val="24"/>
          <w:szCs w:val="24"/>
        </w:rPr>
        <w:t>7</w:t>
      </w:r>
      <w:r w:rsidRPr="0020788D">
        <w:rPr>
          <w:rFonts w:ascii="Tahoma" w:hAnsi="Tahoma" w:cs="Tahoma"/>
          <w:sz w:val="24"/>
          <w:szCs w:val="24"/>
        </w:rPr>
        <w:tab/>
      </w:r>
      <w:r w:rsidR="00250A42" w:rsidRPr="0020788D">
        <w:rPr>
          <w:rFonts w:ascii="Tahoma" w:hAnsi="Tahoma" w:cs="Tahoma"/>
          <w:b/>
          <w:bCs/>
          <w:sz w:val="24"/>
          <w:szCs w:val="24"/>
        </w:rPr>
        <w:t>Stock Market Development</w:t>
      </w:r>
      <w:r w:rsidR="00250A42" w:rsidRPr="0020788D">
        <w:rPr>
          <w:rFonts w:ascii="Tahoma" w:hAnsi="Tahoma" w:cs="Tahoma"/>
          <w:sz w:val="24"/>
          <w:szCs w:val="24"/>
        </w:rPr>
        <w:t>:</w:t>
      </w:r>
      <w:r w:rsidR="00250A42">
        <w:rPr>
          <w:rFonts w:ascii="Tahoma" w:hAnsi="Tahoma" w:cs="Tahoma"/>
          <w:sz w:val="24"/>
          <w:szCs w:val="24"/>
        </w:rPr>
        <w:t xml:space="preserve"> </w:t>
      </w:r>
      <w:r w:rsidR="008F1CA6">
        <w:rPr>
          <w:rFonts w:ascii="Tahoma" w:hAnsi="Tahoma" w:cs="Tahoma"/>
          <w:sz w:val="24"/>
          <w:szCs w:val="24"/>
        </w:rPr>
        <w:t>There is need to upgrade trade</w:t>
      </w:r>
      <w:r w:rsidR="008F1CA6">
        <w:rPr>
          <w:rFonts w:ascii="Tahoma" w:hAnsi="Tahoma" w:cs="Tahoma"/>
          <w:sz w:val="24"/>
          <w:szCs w:val="24"/>
        </w:rPr>
        <w:t xml:space="preserve"> infrastructure through investing modern trading systems and technologies</w:t>
      </w:r>
      <w:r w:rsidR="008F1CA6">
        <w:rPr>
          <w:rFonts w:ascii="Tahoma" w:hAnsi="Tahoma" w:cs="Tahoma"/>
          <w:sz w:val="24"/>
          <w:szCs w:val="24"/>
        </w:rPr>
        <w:t xml:space="preserve"> on </w:t>
      </w:r>
      <w:r w:rsidR="00250A42">
        <w:rPr>
          <w:rFonts w:ascii="Tahoma" w:hAnsi="Tahoma" w:cs="Tahoma"/>
          <w:sz w:val="24"/>
          <w:szCs w:val="24"/>
        </w:rPr>
        <w:t xml:space="preserve">ZSE and VFEX. </w:t>
      </w:r>
      <w:r w:rsidR="00250A42" w:rsidRPr="0020788D">
        <w:rPr>
          <w:rFonts w:ascii="Tahoma" w:hAnsi="Tahoma" w:cs="Tahoma"/>
          <w:sz w:val="24"/>
          <w:szCs w:val="24"/>
        </w:rPr>
        <w:t xml:space="preserve"> </w:t>
      </w:r>
      <w:r w:rsidR="00250A42">
        <w:rPr>
          <w:rFonts w:ascii="Tahoma" w:hAnsi="Tahoma" w:cs="Tahoma"/>
          <w:sz w:val="24"/>
          <w:szCs w:val="24"/>
        </w:rPr>
        <w:t>To promote participation, ZSE and VFEX must increase investor education and awareness to increase financial literacy to current and potential investors.</w:t>
      </w:r>
    </w:p>
    <w:p w14:paraId="479525A4" w14:textId="77777777" w:rsidR="0020788D" w:rsidRPr="0020788D" w:rsidRDefault="0020788D" w:rsidP="0020788D">
      <w:pPr>
        <w:pStyle w:val="ListParagraph"/>
        <w:ind w:hanging="720"/>
        <w:jc w:val="both"/>
        <w:rPr>
          <w:rFonts w:ascii="Tahoma" w:hAnsi="Tahoma" w:cs="Tahoma"/>
          <w:sz w:val="24"/>
          <w:szCs w:val="24"/>
        </w:rPr>
      </w:pPr>
    </w:p>
    <w:p w14:paraId="3FD1E503" w14:textId="77777777" w:rsidR="0020788D" w:rsidRPr="0020788D" w:rsidRDefault="0020788D" w:rsidP="00F05BD5"/>
    <w:p w14:paraId="724B7529" w14:textId="77777777" w:rsidR="00790EF8" w:rsidRDefault="00790EF8" w:rsidP="00F05BD5">
      <w:pPr>
        <w:rPr>
          <w:lang w:val="en-US"/>
        </w:rPr>
      </w:pPr>
    </w:p>
    <w:p w14:paraId="53DA9443" w14:textId="77777777" w:rsidR="00790EF8" w:rsidRDefault="00790EF8" w:rsidP="00F05BD5">
      <w:pPr>
        <w:rPr>
          <w:lang w:val="en-US"/>
        </w:rPr>
      </w:pPr>
    </w:p>
    <w:p w14:paraId="0376BD9D" w14:textId="77777777" w:rsidR="00790EF8" w:rsidRDefault="00790EF8" w:rsidP="00F05BD5">
      <w:pPr>
        <w:rPr>
          <w:lang w:val="en-US"/>
        </w:rPr>
      </w:pPr>
    </w:p>
    <w:p w14:paraId="7D54D964" w14:textId="77777777" w:rsidR="00790EF8" w:rsidRDefault="00790EF8" w:rsidP="00F05BD5">
      <w:pPr>
        <w:rPr>
          <w:lang w:val="en-US"/>
        </w:rPr>
      </w:pPr>
    </w:p>
    <w:p w14:paraId="3B24DBB9" w14:textId="77777777" w:rsidR="00790EF8" w:rsidRDefault="00790EF8" w:rsidP="00F05BD5">
      <w:pPr>
        <w:rPr>
          <w:lang w:val="en-US"/>
        </w:rPr>
      </w:pPr>
    </w:p>
    <w:p w14:paraId="100E0E91" w14:textId="77777777" w:rsidR="00811E5E" w:rsidRDefault="00790EF8" w:rsidP="00F05BD5">
      <w:pPr>
        <w:pStyle w:val="Heading1"/>
        <w:spacing w:before="0" w:after="240"/>
      </w:pPr>
      <w:r>
        <w:rPr>
          <w:rFonts w:cs="Tahoma"/>
          <w:szCs w:val="24"/>
          <w:lang w:val="en-US"/>
        </w:rPr>
        <w:br w:type="page"/>
      </w:r>
      <w:bookmarkStart w:id="75" w:name="_Toc181022195"/>
      <w:r w:rsidR="003C7C0E">
        <w:lastRenderedPageBreak/>
        <w:t>10.0 References</w:t>
      </w:r>
      <w:bookmarkEnd w:id="75"/>
    </w:p>
    <w:p w14:paraId="065199A9" w14:textId="77777777" w:rsidR="0017300E" w:rsidRPr="0017300E" w:rsidRDefault="0017300E" w:rsidP="0017300E">
      <w:pPr>
        <w:pStyle w:val="Bibliography"/>
        <w:ind w:left="720" w:hanging="720"/>
        <w:rPr>
          <w:rFonts w:ascii="Tahoma" w:hAnsi="Tahoma" w:cs="Tahoma"/>
          <w:noProof/>
          <w:kern w:val="0"/>
          <w:sz w:val="24"/>
          <w:szCs w:val="24"/>
          <w:lang w:val="en-GB"/>
        </w:rPr>
      </w:pPr>
      <w:r w:rsidRPr="0017300E">
        <w:rPr>
          <w:rFonts w:ascii="Tahoma" w:hAnsi="Tahoma" w:cs="Tahoma"/>
          <w:noProof/>
          <w:sz w:val="24"/>
          <w:szCs w:val="24"/>
          <w:lang w:val="en-GB"/>
        </w:rPr>
        <w:t xml:space="preserve">Davies, J. T. (2022). The Effects of High Lending Interest rates on SMEs in Sierra Leone: A Glance at Lenders' Perspectives. </w:t>
      </w:r>
      <w:r w:rsidRPr="0017300E">
        <w:rPr>
          <w:rFonts w:ascii="Tahoma" w:hAnsi="Tahoma" w:cs="Tahoma"/>
          <w:i/>
          <w:iCs/>
          <w:noProof/>
          <w:sz w:val="24"/>
          <w:szCs w:val="24"/>
          <w:lang w:val="en-GB"/>
        </w:rPr>
        <w:t>American Journal of economics</w:t>
      </w:r>
      <w:r w:rsidRPr="0017300E">
        <w:rPr>
          <w:rFonts w:ascii="Tahoma" w:hAnsi="Tahoma" w:cs="Tahoma"/>
          <w:noProof/>
          <w:sz w:val="24"/>
          <w:szCs w:val="24"/>
          <w:lang w:val="en-GB"/>
        </w:rPr>
        <w:t>, Vol 12(1) 20-29.</w:t>
      </w:r>
    </w:p>
    <w:p w14:paraId="038098BA" w14:textId="77777777" w:rsidR="0017300E" w:rsidRPr="0017300E" w:rsidRDefault="0017300E" w:rsidP="0017300E">
      <w:pPr>
        <w:pStyle w:val="Bibliography"/>
        <w:ind w:left="720" w:hanging="720"/>
        <w:rPr>
          <w:rFonts w:ascii="Tahoma" w:hAnsi="Tahoma" w:cs="Tahoma"/>
          <w:noProof/>
          <w:sz w:val="24"/>
          <w:szCs w:val="24"/>
          <w:lang w:val="en-GB"/>
        </w:rPr>
      </w:pPr>
      <w:r w:rsidRPr="0017300E">
        <w:rPr>
          <w:rFonts w:ascii="Tahoma" w:hAnsi="Tahoma" w:cs="Tahoma"/>
          <w:noProof/>
          <w:sz w:val="24"/>
          <w:szCs w:val="24"/>
          <w:lang w:val="en-GB"/>
        </w:rPr>
        <w:t xml:space="preserve">RBZ. (2024). </w:t>
      </w:r>
      <w:r w:rsidRPr="0017300E">
        <w:rPr>
          <w:rFonts w:ascii="Tahoma" w:hAnsi="Tahoma" w:cs="Tahoma"/>
          <w:i/>
          <w:iCs/>
          <w:noProof/>
          <w:sz w:val="24"/>
          <w:szCs w:val="24"/>
          <w:lang w:val="en-GB"/>
        </w:rPr>
        <w:t>Exchange Rates</w:t>
      </w:r>
      <w:r w:rsidRPr="0017300E">
        <w:rPr>
          <w:rFonts w:ascii="Tahoma" w:hAnsi="Tahoma" w:cs="Tahoma"/>
          <w:noProof/>
          <w:sz w:val="24"/>
          <w:szCs w:val="24"/>
          <w:lang w:val="en-GB"/>
        </w:rPr>
        <w:t>. Retrieved from Reserve Bank of Zimbabwe: https://www.rbz.co.zw/index.php/research/markets/exchange-rates</w:t>
      </w:r>
    </w:p>
    <w:p w14:paraId="776FD11D" w14:textId="77777777" w:rsidR="0017300E" w:rsidRPr="0017300E" w:rsidRDefault="0017300E" w:rsidP="0017300E">
      <w:pPr>
        <w:pStyle w:val="Bibliography"/>
        <w:ind w:left="720" w:hanging="720"/>
        <w:rPr>
          <w:rFonts w:ascii="Tahoma" w:hAnsi="Tahoma" w:cs="Tahoma"/>
          <w:noProof/>
          <w:sz w:val="24"/>
          <w:szCs w:val="24"/>
          <w:lang w:val="en-GB"/>
        </w:rPr>
      </w:pPr>
      <w:r w:rsidRPr="0017300E">
        <w:rPr>
          <w:rFonts w:ascii="Tahoma" w:hAnsi="Tahoma" w:cs="Tahoma"/>
          <w:noProof/>
          <w:sz w:val="24"/>
          <w:szCs w:val="24"/>
          <w:lang w:val="en-GB"/>
        </w:rPr>
        <w:t xml:space="preserve">Reserve Bank of Zimbabwe. (2024). </w:t>
      </w:r>
      <w:r w:rsidRPr="0017300E">
        <w:rPr>
          <w:rFonts w:ascii="Tahoma" w:hAnsi="Tahoma" w:cs="Tahoma"/>
          <w:i/>
          <w:iCs/>
          <w:noProof/>
          <w:sz w:val="24"/>
          <w:szCs w:val="24"/>
          <w:lang w:val="en-GB"/>
        </w:rPr>
        <w:t>Monthly Economic Review: June 2024.</w:t>
      </w:r>
      <w:r w:rsidRPr="0017300E">
        <w:rPr>
          <w:rFonts w:ascii="Tahoma" w:hAnsi="Tahoma" w:cs="Tahoma"/>
          <w:noProof/>
          <w:sz w:val="24"/>
          <w:szCs w:val="24"/>
          <w:lang w:val="en-GB"/>
        </w:rPr>
        <w:t xml:space="preserve"> RBZ.</w:t>
      </w:r>
    </w:p>
    <w:p w14:paraId="17B6328F" w14:textId="77777777" w:rsidR="0017300E" w:rsidRPr="0017300E" w:rsidRDefault="0017300E" w:rsidP="0017300E">
      <w:pPr>
        <w:pStyle w:val="Bibliography"/>
        <w:ind w:left="720" w:hanging="720"/>
        <w:rPr>
          <w:rFonts w:ascii="Tahoma" w:hAnsi="Tahoma" w:cs="Tahoma"/>
          <w:noProof/>
          <w:sz w:val="24"/>
          <w:szCs w:val="24"/>
          <w:lang w:val="en-GB"/>
        </w:rPr>
      </w:pPr>
      <w:r w:rsidRPr="0017300E">
        <w:rPr>
          <w:rFonts w:ascii="Tahoma" w:hAnsi="Tahoma" w:cs="Tahoma"/>
          <w:noProof/>
          <w:sz w:val="24"/>
          <w:szCs w:val="24"/>
          <w:lang w:val="en-GB"/>
        </w:rPr>
        <w:t xml:space="preserve">Reserve Bank of Zimbabwe. (2024). </w:t>
      </w:r>
      <w:r w:rsidRPr="0017300E">
        <w:rPr>
          <w:rFonts w:ascii="Tahoma" w:hAnsi="Tahoma" w:cs="Tahoma"/>
          <w:i/>
          <w:iCs/>
          <w:noProof/>
          <w:sz w:val="24"/>
          <w:szCs w:val="24"/>
          <w:lang w:val="en-GB"/>
        </w:rPr>
        <w:t>Weekly Economic Highlights. Vol. 26 No. 33.</w:t>
      </w:r>
      <w:r w:rsidRPr="0017300E">
        <w:rPr>
          <w:rFonts w:ascii="Tahoma" w:hAnsi="Tahoma" w:cs="Tahoma"/>
          <w:noProof/>
          <w:sz w:val="24"/>
          <w:szCs w:val="24"/>
          <w:lang w:val="en-GB"/>
        </w:rPr>
        <w:t xml:space="preserve"> RBZ.</w:t>
      </w:r>
    </w:p>
    <w:p w14:paraId="43BE5684" w14:textId="77777777" w:rsidR="0017300E" w:rsidRPr="0017300E" w:rsidRDefault="0017300E" w:rsidP="0017300E">
      <w:pPr>
        <w:pStyle w:val="Bibliography"/>
        <w:ind w:left="720" w:hanging="720"/>
        <w:rPr>
          <w:rFonts w:ascii="Tahoma" w:hAnsi="Tahoma" w:cs="Tahoma"/>
          <w:noProof/>
          <w:sz w:val="24"/>
          <w:szCs w:val="24"/>
          <w:lang w:val="en-GB"/>
        </w:rPr>
      </w:pPr>
      <w:r w:rsidRPr="0017300E">
        <w:rPr>
          <w:rFonts w:ascii="Tahoma" w:hAnsi="Tahoma" w:cs="Tahoma"/>
          <w:noProof/>
          <w:sz w:val="24"/>
          <w:szCs w:val="24"/>
          <w:lang w:val="en-GB"/>
        </w:rPr>
        <w:t xml:space="preserve">Trading Economics. (2024). </w:t>
      </w:r>
      <w:r w:rsidRPr="0017300E">
        <w:rPr>
          <w:rFonts w:ascii="Tahoma" w:hAnsi="Tahoma" w:cs="Tahoma"/>
          <w:i/>
          <w:iCs/>
          <w:noProof/>
          <w:sz w:val="24"/>
          <w:szCs w:val="24"/>
          <w:lang w:val="en-GB"/>
        </w:rPr>
        <w:t>Commodities</w:t>
      </w:r>
      <w:r w:rsidRPr="0017300E">
        <w:rPr>
          <w:rFonts w:ascii="Tahoma" w:hAnsi="Tahoma" w:cs="Tahoma"/>
          <w:noProof/>
          <w:sz w:val="24"/>
          <w:szCs w:val="24"/>
          <w:lang w:val="en-GB"/>
        </w:rPr>
        <w:t>. Retrieved from Trading Economics: https://tradingeconomics.com/commodity/crude-oil</w:t>
      </w:r>
    </w:p>
    <w:p w14:paraId="7809D320" w14:textId="77777777" w:rsidR="0017300E" w:rsidRPr="0017300E" w:rsidRDefault="0017300E" w:rsidP="0017300E">
      <w:pPr>
        <w:pStyle w:val="Bibliography"/>
        <w:ind w:left="720" w:hanging="720"/>
        <w:rPr>
          <w:rFonts w:ascii="Tahoma" w:hAnsi="Tahoma" w:cs="Tahoma"/>
          <w:noProof/>
          <w:sz w:val="24"/>
          <w:szCs w:val="24"/>
          <w:lang w:val="en-GB"/>
        </w:rPr>
      </w:pPr>
      <w:r w:rsidRPr="0017300E">
        <w:rPr>
          <w:rFonts w:ascii="Tahoma" w:hAnsi="Tahoma" w:cs="Tahoma"/>
          <w:noProof/>
          <w:sz w:val="24"/>
          <w:szCs w:val="24"/>
          <w:lang w:val="en-GB"/>
        </w:rPr>
        <w:t xml:space="preserve">UN. (2024). </w:t>
      </w:r>
      <w:r w:rsidRPr="0017300E">
        <w:rPr>
          <w:rFonts w:ascii="Tahoma" w:hAnsi="Tahoma" w:cs="Tahoma"/>
          <w:i/>
          <w:iCs/>
          <w:noProof/>
          <w:sz w:val="24"/>
          <w:szCs w:val="24"/>
          <w:lang w:val="en-GB"/>
        </w:rPr>
        <w:t>World Economic Situation and Prospects, September 2024.</w:t>
      </w:r>
      <w:r w:rsidRPr="0017300E">
        <w:rPr>
          <w:rFonts w:ascii="Tahoma" w:hAnsi="Tahoma" w:cs="Tahoma"/>
          <w:noProof/>
          <w:sz w:val="24"/>
          <w:szCs w:val="24"/>
          <w:lang w:val="en-GB"/>
        </w:rPr>
        <w:t xml:space="preserve"> United Nations.</w:t>
      </w:r>
    </w:p>
    <w:p w14:paraId="2BF57647" w14:textId="77777777" w:rsidR="0017300E" w:rsidRPr="0017300E" w:rsidRDefault="0017300E" w:rsidP="0017300E">
      <w:pPr>
        <w:pStyle w:val="Bibliography"/>
        <w:ind w:left="720" w:hanging="720"/>
        <w:rPr>
          <w:rFonts w:ascii="Tahoma" w:hAnsi="Tahoma" w:cs="Tahoma"/>
          <w:noProof/>
          <w:sz w:val="24"/>
          <w:szCs w:val="24"/>
          <w:lang w:val="en-GB"/>
        </w:rPr>
      </w:pPr>
      <w:r w:rsidRPr="0017300E">
        <w:rPr>
          <w:rFonts w:ascii="Tahoma" w:hAnsi="Tahoma" w:cs="Tahoma"/>
          <w:noProof/>
          <w:sz w:val="24"/>
          <w:szCs w:val="24"/>
          <w:lang w:val="en-GB"/>
        </w:rPr>
        <w:t xml:space="preserve">VFEX. (2024). </w:t>
      </w:r>
      <w:r w:rsidRPr="0017300E">
        <w:rPr>
          <w:rFonts w:ascii="Tahoma" w:hAnsi="Tahoma" w:cs="Tahoma"/>
          <w:i/>
          <w:iCs/>
          <w:noProof/>
          <w:sz w:val="24"/>
          <w:szCs w:val="24"/>
          <w:lang w:val="en-GB"/>
        </w:rPr>
        <w:t>Main Dashboard</w:t>
      </w:r>
      <w:r w:rsidRPr="0017300E">
        <w:rPr>
          <w:rFonts w:ascii="Tahoma" w:hAnsi="Tahoma" w:cs="Tahoma"/>
          <w:noProof/>
          <w:sz w:val="24"/>
          <w:szCs w:val="24"/>
          <w:lang w:val="en-GB"/>
        </w:rPr>
        <w:t>. Retrieved from Victoria Falls Stock Exchange: https://www.vfex.exchange/</w:t>
      </w:r>
    </w:p>
    <w:p w14:paraId="02C73AD1" w14:textId="77777777" w:rsidR="0017300E" w:rsidRPr="0017300E" w:rsidRDefault="0017300E" w:rsidP="0017300E">
      <w:pPr>
        <w:pStyle w:val="Bibliography"/>
        <w:ind w:left="720" w:hanging="720"/>
        <w:rPr>
          <w:rFonts w:ascii="Tahoma" w:hAnsi="Tahoma" w:cs="Tahoma"/>
          <w:noProof/>
          <w:sz w:val="24"/>
          <w:szCs w:val="24"/>
          <w:lang w:val="en-GB"/>
        </w:rPr>
      </w:pPr>
      <w:r w:rsidRPr="0017300E">
        <w:rPr>
          <w:rFonts w:ascii="Tahoma" w:hAnsi="Tahoma" w:cs="Tahoma"/>
          <w:noProof/>
          <w:sz w:val="24"/>
          <w:szCs w:val="24"/>
          <w:lang w:val="en-GB"/>
        </w:rPr>
        <w:t xml:space="preserve">W. (2024). </w:t>
      </w:r>
      <w:r w:rsidRPr="0017300E">
        <w:rPr>
          <w:rFonts w:ascii="Tahoma" w:hAnsi="Tahoma" w:cs="Tahoma"/>
          <w:i/>
          <w:iCs/>
          <w:noProof/>
          <w:sz w:val="24"/>
          <w:szCs w:val="24"/>
          <w:lang w:val="en-GB"/>
        </w:rPr>
        <w:t>W.</w:t>
      </w:r>
      <w:r w:rsidRPr="0017300E">
        <w:rPr>
          <w:rFonts w:ascii="Tahoma" w:hAnsi="Tahoma" w:cs="Tahoma"/>
          <w:noProof/>
          <w:sz w:val="24"/>
          <w:szCs w:val="24"/>
          <w:lang w:val="en-GB"/>
        </w:rPr>
        <w:t xml:space="preserve"> Retrieved from https://thedocs.worldbank.org/en/doc/bae48ff2fefc5a869546775b3f010735-0500062021/related/mpo-zwe.pdf</w:t>
      </w:r>
    </w:p>
    <w:p w14:paraId="3028202B" w14:textId="77777777" w:rsidR="0017300E" w:rsidRPr="0017300E" w:rsidRDefault="0017300E" w:rsidP="0017300E">
      <w:pPr>
        <w:pStyle w:val="Bibliography"/>
        <w:ind w:left="720" w:hanging="720"/>
        <w:rPr>
          <w:rFonts w:ascii="Tahoma" w:hAnsi="Tahoma" w:cs="Tahoma"/>
          <w:noProof/>
          <w:sz w:val="24"/>
          <w:szCs w:val="24"/>
          <w:lang w:val="en-GB"/>
        </w:rPr>
      </w:pPr>
      <w:r w:rsidRPr="0017300E">
        <w:rPr>
          <w:rFonts w:ascii="Tahoma" w:hAnsi="Tahoma" w:cs="Tahoma"/>
          <w:noProof/>
          <w:sz w:val="24"/>
          <w:szCs w:val="24"/>
          <w:lang w:val="en-GB"/>
        </w:rPr>
        <w:t xml:space="preserve">WEF. (2024). </w:t>
      </w:r>
      <w:r w:rsidRPr="0017300E">
        <w:rPr>
          <w:rFonts w:ascii="Tahoma" w:hAnsi="Tahoma" w:cs="Tahoma"/>
          <w:i/>
          <w:iCs/>
          <w:noProof/>
          <w:sz w:val="24"/>
          <w:szCs w:val="24"/>
          <w:lang w:val="en-GB"/>
        </w:rPr>
        <w:t>Chief Economist Outlook September 2024.</w:t>
      </w:r>
      <w:r w:rsidRPr="0017300E">
        <w:rPr>
          <w:rFonts w:ascii="Tahoma" w:hAnsi="Tahoma" w:cs="Tahoma"/>
          <w:noProof/>
          <w:sz w:val="24"/>
          <w:szCs w:val="24"/>
          <w:lang w:val="en-GB"/>
        </w:rPr>
        <w:t xml:space="preserve"> World Economic Forum.</w:t>
      </w:r>
    </w:p>
    <w:p w14:paraId="0E66ECF7" w14:textId="77777777" w:rsidR="0017300E" w:rsidRPr="0017300E" w:rsidRDefault="0017300E" w:rsidP="0017300E">
      <w:pPr>
        <w:pStyle w:val="Bibliography"/>
        <w:ind w:left="720" w:hanging="720"/>
        <w:rPr>
          <w:rFonts w:ascii="Tahoma" w:hAnsi="Tahoma" w:cs="Tahoma"/>
          <w:noProof/>
          <w:sz w:val="24"/>
          <w:szCs w:val="24"/>
          <w:lang w:val="en-GB"/>
        </w:rPr>
      </w:pPr>
      <w:r w:rsidRPr="0017300E">
        <w:rPr>
          <w:rFonts w:ascii="Tahoma" w:hAnsi="Tahoma" w:cs="Tahoma"/>
          <w:noProof/>
          <w:sz w:val="24"/>
          <w:szCs w:val="24"/>
          <w:lang w:val="en-GB"/>
        </w:rPr>
        <w:t xml:space="preserve">World Bank. (2024). </w:t>
      </w:r>
      <w:r w:rsidRPr="0017300E">
        <w:rPr>
          <w:rFonts w:ascii="Tahoma" w:hAnsi="Tahoma" w:cs="Tahoma"/>
          <w:i/>
          <w:iCs/>
          <w:noProof/>
          <w:sz w:val="24"/>
          <w:szCs w:val="24"/>
          <w:lang w:val="en-GB"/>
        </w:rPr>
        <w:t>MPO Zimbabwe</w:t>
      </w:r>
      <w:r w:rsidRPr="0017300E">
        <w:rPr>
          <w:rFonts w:ascii="Tahoma" w:hAnsi="Tahoma" w:cs="Tahoma"/>
          <w:noProof/>
          <w:sz w:val="24"/>
          <w:szCs w:val="24"/>
          <w:lang w:val="en-GB"/>
        </w:rPr>
        <w:t>. Retrieved from World Bank: https://thedocs.worldbank.org/en/doc/bae48ff2fefc5a869546775b3f010735-0500062021/related/mpo-zwe.pdf</w:t>
      </w:r>
    </w:p>
    <w:p w14:paraId="1D9D73F5" w14:textId="77777777" w:rsidR="0017300E" w:rsidRPr="0017300E" w:rsidRDefault="0017300E" w:rsidP="0017300E">
      <w:pPr>
        <w:pStyle w:val="Bibliography"/>
        <w:ind w:left="720" w:hanging="720"/>
        <w:rPr>
          <w:rFonts w:ascii="Tahoma" w:hAnsi="Tahoma" w:cs="Tahoma"/>
          <w:noProof/>
          <w:sz w:val="24"/>
          <w:szCs w:val="24"/>
          <w:lang w:val="en-GB"/>
        </w:rPr>
      </w:pPr>
      <w:r w:rsidRPr="0017300E">
        <w:rPr>
          <w:rFonts w:ascii="Tahoma" w:hAnsi="Tahoma" w:cs="Tahoma"/>
          <w:noProof/>
          <w:sz w:val="24"/>
          <w:szCs w:val="24"/>
          <w:lang w:val="en-GB"/>
        </w:rPr>
        <w:t xml:space="preserve">ZimStat. (2024). </w:t>
      </w:r>
      <w:r w:rsidRPr="0017300E">
        <w:rPr>
          <w:rFonts w:ascii="Tahoma" w:hAnsi="Tahoma" w:cs="Tahoma"/>
          <w:i/>
          <w:iCs/>
          <w:noProof/>
          <w:sz w:val="24"/>
          <w:szCs w:val="24"/>
          <w:lang w:val="en-GB"/>
        </w:rPr>
        <w:t>Inflation Rates</w:t>
      </w:r>
      <w:r w:rsidRPr="0017300E">
        <w:rPr>
          <w:rFonts w:ascii="Tahoma" w:hAnsi="Tahoma" w:cs="Tahoma"/>
          <w:noProof/>
          <w:sz w:val="24"/>
          <w:szCs w:val="24"/>
          <w:lang w:val="en-GB"/>
        </w:rPr>
        <w:t>. Retrieved from Zimbabwe Statistics Agency: https://www.zimstat.co.zw/</w:t>
      </w:r>
    </w:p>
    <w:p w14:paraId="3C7648A2" w14:textId="77777777" w:rsidR="0017300E" w:rsidRPr="0017300E" w:rsidRDefault="0017300E" w:rsidP="0017300E">
      <w:pPr>
        <w:pStyle w:val="Bibliography"/>
        <w:ind w:left="720" w:hanging="720"/>
        <w:rPr>
          <w:rFonts w:ascii="Tahoma" w:hAnsi="Tahoma" w:cs="Tahoma"/>
          <w:noProof/>
          <w:sz w:val="24"/>
          <w:szCs w:val="24"/>
          <w:lang w:val="en-GB"/>
        </w:rPr>
      </w:pPr>
      <w:r w:rsidRPr="0017300E">
        <w:rPr>
          <w:rFonts w:ascii="Tahoma" w:hAnsi="Tahoma" w:cs="Tahoma"/>
          <w:noProof/>
          <w:sz w:val="24"/>
          <w:szCs w:val="24"/>
          <w:lang w:val="en-GB"/>
        </w:rPr>
        <w:t xml:space="preserve">ZSE. (2024). </w:t>
      </w:r>
      <w:r w:rsidRPr="0017300E">
        <w:rPr>
          <w:rFonts w:ascii="Tahoma" w:hAnsi="Tahoma" w:cs="Tahoma"/>
          <w:i/>
          <w:iCs/>
          <w:noProof/>
          <w:sz w:val="24"/>
          <w:szCs w:val="24"/>
          <w:lang w:val="en-GB"/>
        </w:rPr>
        <w:t>Main Dashboard</w:t>
      </w:r>
      <w:r w:rsidRPr="0017300E">
        <w:rPr>
          <w:rFonts w:ascii="Tahoma" w:hAnsi="Tahoma" w:cs="Tahoma"/>
          <w:noProof/>
          <w:sz w:val="24"/>
          <w:szCs w:val="24"/>
          <w:lang w:val="en-GB"/>
        </w:rPr>
        <w:t>. Retrieved from Zimbabwe Stock Exchange: https://www.zse.co.zw/</w:t>
      </w:r>
    </w:p>
    <w:p w14:paraId="20CD4565" w14:textId="77777777" w:rsidR="0017300E" w:rsidRDefault="0017300E" w:rsidP="0017300E">
      <w:pPr>
        <w:rPr>
          <w:rFonts w:ascii="Tahoma" w:hAnsi="Tahoma" w:cs="Tahoma"/>
          <w:sz w:val="24"/>
          <w:szCs w:val="24"/>
        </w:rPr>
      </w:pPr>
    </w:p>
    <w:p w14:paraId="5EBF0897" w14:textId="77777777" w:rsidR="00DA75D2" w:rsidRDefault="00DA75D2" w:rsidP="0017300E">
      <w:pPr>
        <w:rPr>
          <w:rFonts w:ascii="Tahoma" w:hAnsi="Tahoma" w:cs="Tahoma"/>
          <w:sz w:val="24"/>
          <w:szCs w:val="24"/>
        </w:rPr>
      </w:pPr>
    </w:p>
    <w:p w14:paraId="45B1FD5D" w14:textId="77777777" w:rsidR="00DA75D2" w:rsidRDefault="00DA75D2" w:rsidP="0017300E">
      <w:pPr>
        <w:rPr>
          <w:rFonts w:ascii="Tahoma" w:hAnsi="Tahoma" w:cs="Tahoma"/>
          <w:sz w:val="24"/>
          <w:szCs w:val="24"/>
        </w:rPr>
      </w:pPr>
    </w:p>
    <w:p w14:paraId="0534290C" w14:textId="77777777" w:rsidR="00DA75D2" w:rsidRPr="0017300E" w:rsidRDefault="00DA75D2" w:rsidP="0017300E">
      <w:pPr>
        <w:rPr>
          <w:rFonts w:ascii="Tahoma" w:hAnsi="Tahoma" w:cs="Tahoma"/>
          <w:sz w:val="24"/>
          <w:szCs w:val="24"/>
        </w:rPr>
      </w:pPr>
    </w:p>
    <w:p w14:paraId="7DEC05A9" w14:textId="77777777" w:rsidR="009C724B" w:rsidRPr="0008009F" w:rsidRDefault="009C724B" w:rsidP="009C724B">
      <w:pPr>
        <w:pStyle w:val="ListParagraph"/>
        <w:ind w:left="0"/>
        <w:jc w:val="right"/>
        <w:rPr>
          <w:rFonts w:ascii="Tahoma" w:hAnsi="Tahoma" w:cs="Tahoma"/>
          <w:sz w:val="24"/>
          <w:szCs w:val="24"/>
          <w:lang w:val="en-US"/>
        </w:rPr>
      </w:pPr>
      <w:r w:rsidRPr="0008009F">
        <w:rPr>
          <w:rFonts w:ascii="Tahoma" w:hAnsi="Tahoma" w:cs="Tahoma"/>
          <w:b/>
          <w:iCs/>
          <w:sz w:val="24"/>
          <w:szCs w:val="24"/>
          <w:lang w:val="en-US"/>
        </w:rPr>
        <w:t>NECF Secretariat, 202</w:t>
      </w:r>
      <w:r>
        <w:rPr>
          <w:rFonts w:ascii="Tahoma" w:hAnsi="Tahoma" w:cs="Tahoma"/>
          <w:b/>
          <w:iCs/>
          <w:sz w:val="24"/>
          <w:szCs w:val="24"/>
          <w:lang w:val="en-US"/>
        </w:rPr>
        <w:t>4</w:t>
      </w:r>
    </w:p>
    <w:p w14:paraId="62A219A8" w14:textId="77777777" w:rsidR="00EF3AD6" w:rsidRPr="0017300E" w:rsidRDefault="00EF3AD6" w:rsidP="0017300E">
      <w:pPr>
        <w:pStyle w:val="ListParagraph"/>
        <w:ind w:left="0"/>
        <w:rPr>
          <w:rFonts w:ascii="Tahoma" w:hAnsi="Tahoma" w:cs="Tahoma"/>
          <w:sz w:val="24"/>
          <w:szCs w:val="24"/>
          <w:lang w:val="en-US"/>
        </w:rPr>
      </w:pPr>
    </w:p>
    <w:sectPr w:rsidR="00EF3AD6" w:rsidRPr="0017300E" w:rsidSect="006D22C2">
      <w:head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4CADD" w14:textId="77777777" w:rsidR="00623240" w:rsidRDefault="00623240" w:rsidP="00654F03">
      <w:pPr>
        <w:spacing w:after="0" w:line="240" w:lineRule="auto"/>
      </w:pPr>
      <w:r>
        <w:separator/>
      </w:r>
    </w:p>
    <w:p w14:paraId="17875688" w14:textId="77777777" w:rsidR="00623240" w:rsidRDefault="00623240"/>
    <w:p w14:paraId="3E0F5581" w14:textId="77777777" w:rsidR="00623240" w:rsidRDefault="00623240" w:rsidP="00D751E8"/>
  </w:endnote>
  <w:endnote w:type="continuationSeparator" w:id="0">
    <w:p w14:paraId="344BF47E" w14:textId="77777777" w:rsidR="00623240" w:rsidRDefault="00623240" w:rsidP="00654F03">
      <w:pPr>
        <w:spacing w:after="0" w:line="240" w:lineRule="auto"/>
      </w:pPr>
      <w:r>
        <w:continuationSeparator/>
      </w:r>
    </w:p>
    <w:p w14:paraId="60EF611C" w14:textId="77777777" w:rsidR="00623240" w:rsidRDefault="00623240"/>
    <w:p w14:paraId="5A6D591F" w14:textId="77777777" w:rsidR="00623240" w:rsidRDefault="00623240" w:rsidP="00D751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021816"/>
      <w:docPartObj>
        <w:docPartGallery w:val="Page Numbers (Bottom of Page)"/>
        <w:docPartUnique/>
      </w:docPartObj>
    </w:sdtPr>
    <w:sdtEndPr>
      <w:rPr>
        <w:color w:val="7F7F7F" w:themeColor="background1" w:themeShade="7F"/>
        <w:spacing w:val="60"/>
      </w:rPr>
    </w:sdtEndPr>
    <w:sdtContent>
      <w:p w14:paraId="2F890C00" w14:textId="48869281" w:rsidR="00DD11EB" w:rsidRDefault="00DD11E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NECF</w:t>
        </w:r>
      </w:p>
    </w:sdtContent>
  </w:sdt>
  <w:p w14:paraId="22693AFE" w14:textId="77777777" w:rsidR="006E77DB" w:rsidRDefault="006E7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47E62" w14:textId="77777777" w:rsidR="00623240" w:rsidRDefault="00623240" w:rsidP="00654F03">
      <w:pPr>
        <w:spacing w:after="0" w:line="240" w:lineRule="auto"/>
      </w:pPr>
      <w:r>
        <w:separator/>
      </w:r>
    </w:p>
    <w:p w14:paraId="53F17B33" w14:textId="77777777" w:rsidR="00623240" w:rsidRDefault="00623240"/>
    <w:p w14:paraId="72102845" w14:textId="77777777" w:rsidR="00623240" w:rsidRDefault="00623240" w:rsidP="00D751E8"/>
  </w:footnote>
  <w:footnote w:type="continuationSeparator" w:id="0">
    <w:p w14:paraId="3A747144" w14:textId="77777777" w:rsidR="00623240" w:rsidRDefault="00623240" w:rsidP="00654F03">
      <w:pPr>
        <w:spacing w:after="0" w:line="240" w:lineRule="auto"/>
      </w:pPr>
      <w:r>
        <w:continuationSeparator/>
      </w:r>
    </w:p>
    <w:p w14:paraId="202A0077" w14:textId="77777777" w:rsidR="00623240" w:rsidRDefault="00623240"/>
    <w:p w14:paraId="0660A901" w14:textId="77777777" w:rsidR="00623240" w:rsidRDefault="00623240" w:rsidP="00D751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9601D" w14:textId="77777777" w:rsidR="006E77DB" w:rsidRDefault="006E7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B558A"/>
    <w:multiLevelType w:val="multilevel"/>
    <w:tmpl w:val="E7CCFA1C"/>
    <w:lvl w:ilvl="0">
      <w:start w:val="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26AB1E4E"/>
    <w:multiLevelType w:val="hybridMultilevel"/>
    <w:tmpl w:val="A120BE0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A4B3C36"/>
    <w:multiLevelType w:val="multilevel"/>
    <w:tmpl w:val="5BFEB694"/>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394137F8"/>
    <w:multiLevelType w:val="hybridMultilevel"/>
    <w:tmpl w:val="E1B8DD8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65960895"/>
    <w:multiLevelType w:val="hybridMultilevel"/>
    <w:tmpl w:val="D0AAC91E"/>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7DD101F2"/>
    <w:multiLevelType w:val="hybridMultilevel"/>
    <w:tmpl w:val="9D2E818C"/>
    <w:lvl w:ilvl="0" w:tplc="3009000F">
      <w:start w:val="1"/>
      <w:numFmt w:val="decimal"/>
      <w:lvlText w:val="%1."/>
      <w:lvlJc w:val="left"/>
      <w:pPr>
        <w:ind w:left="720" w:hanging="360"/>
      </w:pPr>
    </w:lvl>
    <w:lvl w:ilvl="1" w:tplc="3009000F">
      <w:start w:val="1"/>
      <w:numFmt w:val="decimal"/>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276525412">
    <w:abstractNumId w:val="4"/>
  </w:num>
  <w:num w:numId="2" w16cid:durableId="964235752">
    <w:abstractNumId w:val="5"/>
  </w:num>
  <w:num w:numId="3" w16cid:durableId="711418081">
    <w:abstractNumId w:val="1"/>
  </w:num>
  <w:num w:numId="4" w16cid:durableId="1725716578">
    <w:abstractNumId w:val="2"/>
  </w:num>
  <w:num w:numId="5" w16cid:durableId="1586262076">
    <w:abstractNumId w:val="3"/>
  </w:num>
  <w:num w:numId="6" w16cid:durableId="23378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48"/>
    <w:rsid w:val="0000057F"/>
    <w:rsid w:val="00000C72"/>
    <w:rsid w:val="00001AB7"/>
    <w:rsid w:val="00003AB2"/>
    <w:rsid w:val="00004DDD"/>
    <w:rsid w:val="000063E5"/>
    <w:rsid w:val="00006C30"/>
    <w:rsid w:val="00010505"/>
    <w:rsid w:val="00010C2D"/>
    <w:rsid w:val="000123EE"/>
    <w:rsid w:val="000129B7"/>
    <w:rsid w:val="00013442"/>
    <w:rsid w:val="0001510C"/>
    <w:rsid w:val="00020012"/>
    <w:rsid w:val="00022BFE"/>
    <w:rsid w:val="00026A42"/>
    <w:rsid w:val="0003098D"/>
    <w:rsid w:val="00030CEE"/>
    <w:rsid w:val="00031044"/>
    <w:rsid w:val="000312F5"/>
    <w:rsid w:val="000313AF"/>
    <w:rsid w:val="00031E9A"/>
    <w:rsid w:val="0003253B"/>
    <w:rsid w:val="000338D4"/>
    <w:rsid w:val="0003407B"/>
    <w:rsid w:val="000346FD"/>
    <w:rsid w:val="0003672E"/>
    <w:rsid w:val="000376E5"/>
    <w:rsid w:val="0004125F"/>
    <w:rsid w:val="00041EA2"/>
    <w:rsid w:val="00043173"/>
    <w:rsid w:val="000469C1"/>
    <w:rsid w:val="00046B8A"/>
    <w:rsid w:val="00047DEA"/>
    <w:rsid w:val="000534B5"/>
    <w:rsid w:val="00056BC8"/>
    <w:rsid w:val="00056C3C"/>
    <w:rsid w:val="00056CEF"/>
    <w:rsid w:val="00060BA3"/>
    <w:rsid w:val="0006371A"/>
    <w:rsid w:val="00064B59"/>
    <w:rsid w:val="00066B05"/>
    <w:rsid w:val="00070950"/>
    <w:rsid w:val="00071182"/>
    <w:rsid w:val="0007119B"/>
    <w:rsid w:val="00071565"/>
    <w:rsid w:val="000732CC"/>
    <w:rsid w:val="000735EE"/>
    <w:rsid w:val="00074C3E"/>
    <w:rsid w:val="0007507E"/>
    <w:rsid w:val="0007510B"/>
    <w:rsid w:val="0008009F"/>
    <w:rsid w:val="00081C1C"/>
    <w:rsid w:val="00083ABE"/>
    <w:rsid w:val="00083E6C"/>
    <w:rsid w:val="0008600D"/>
    <w:rsid w:val="00086539"/>
    <w:rsid w:val="00086A1B"/>
    <w:rsid w:val="00086F82"/>
    <w:rsid w:val="0008784D"/>
    <w:rsid w:val="00087AC2"/>
    <w:rsid w:val="00087E0F"/>
    <w:rsid w:val="00090D37"/>
    <w:rsid w:val="00096221"/>
    <w:rsid w:val="0009768B"/>
    <w:rsid w:val="000A2C99"/>
    <w:rsid w:val="000A50AA"/>
    <w:rsid w:val="000A5880"/>
    <w:rsid w:val="000B0224"/>
    <w:rsid w:val="000B0C38"/>
    <w:rsid w:val="000B183B"/>
    <w:rsid w:val="000B4023"/>
    <w:rsid w:val="000B622D"/>
    <w:rsid w:val="000B63CE"/>
    <w:rsid w:val="000B6AA5"/>
    <w:rsid w:val="000B790A"/>
    <w:rsid w:val="000C07CA"/>
    <w:rsid w:val="000C1657"/>
    <w:rsid w:val="000C29DA"/>
    <w:rsid w:val="000C2AA3"/>
    <w:rsid w:val="000C2D96"/>
    <w:rsid w:val="000C3268"/>
    <w:rsid w:val="000C412D"/>
    <w:rsid w:val="000C447C"/>
    <w:rsid w:val="000C78EC"/>
    <w:rsid w:val="000D22EE"/>
    <w:rsid w:val="000D2543"/>
    <w:rsid w:val="000D4C34"/>
    <w:rsid w:val="000D5212"/>
    <w:rsid w:val="000E0195"/>
    <w:rsid w:val="000E3511"/>
    <w:rsid w:val="000E455D"/>
    <w:rsid w:val="000F316D"/>
    <w:rsid w:val="000F32A6"/>
    <w:rsid w:val="000F38C3"/>
    <w:rsid w:val="000F392D"/>
    <w:rsid w:val="000F54F6"/>
    <w:rsid w:val="000F7929"/>
    <w:rsid w:val="000F7BEA"/>
    <w:rsid w:val="001016F9"/>
    <w:rsid w:val="00101BC7"/>
    <w:rsid w:val="00101D9E"/>
    <w:rsid w:val="001029E1"/>
    <w:rsid w:val="00103E4D"/>
    <w:rsid w:val="00104DFE"/>
    <w:rsid w:val="00106B15"/>
    <w:rsid w:val="00106B69"/>
    <w:rsid w:val="0011131C"/>
    <w:rsid w:val="00111B0D"/>
    <w:rsid w:val="0011335B"/>
    <w:rsid w:val="00115C8C"/>
    <w:rsid w:val="00117473"/>
    <w:rsid w:val="0012148A"/>
    <w:rsid w:val="001217A1"/>
    <w:rsid w:val="00122C08"/>
    <w:rsid w:val="00123F0C"/>
    <w:rsid w:val="00126920"/>
    <w:rsid w:val="00130CC2"/>
    <w:rsid w:val="00132EAF"/>
    <w:rsid w:val="00133F55"/>
    <w:rsid w:val="00134E84"/>
    <w:rsid w:val="001354A1"/>
    <w:rsid w:val="00137BB3"/>
    <w:rsid w:val="00145C78"/>
    <w:rsid w:val="00146AB0"/>
    <w:rsid w:val="00146D0A"/>
    <w:rsid w:val="00146D2D"/>
    <w:rsid w:val="00150B6E"/>
    <w:rsid w:val="00152241"/>
    <w:rsid w:val="00152873"/>
    <w:rsid w:val="00160959"/>
    <w:rsid w:val="00161D6E"/>
    <w:rsid w:val="00165790"/>
    <w:rsid w:val="00165A7C"/>
    <w:rsid w:val="00170788"/>
    <w:rsid w:val="0017160E"/>
    <w:rsid w:val="00171A37"/>
    <w:rsid w:val="00172873"/>
    <w:rsid w:val="0017300E"/>
    <w:rsid w:val="0017376E"/>
    <w:rsid w:val="00174CBF"/>
    <w:rsid w:val="00181085"/>
    <w:rsid w:val="001810AD"/>
    <w:rsid w:val="001840D4"/>
    <w:rsid w:val="00184FA3"/>
    <w:rsid w:val="0018530E"/>
    <w:rsid w:val="0018664B"/>
    <w:rsid w:val="00187582"/>
    <w:rsid w:val="00190FD1"/>
    <w:rsid w:val="001910FB"/>
    <w:rsid w:val="00193B40"/>
    <w:rsid w:val="001946C3"/>
    <w:rsid w:val="00194CA9"/>
    <w:rsid w:val="00197CDC"/>
    <w:rsid w:val="001A0156"/>
    <w:rsid w:val="001A02C9"/>
    <w:rsid w:val="001A488A"/>
    <w:rsid w:val="001B195C"/>
    <w:rsid w:val="001B3048"/>
    <w:rsid w:val="001B5A7B"/>
    <w:rsid w:val="001B5C7B"/>
    <w:rsid w:val="001B624E"/>
    <w:rsid w:val="001C152E"/>
    <w:rsid w:val="001C160D"/>
    <w:rsid w:val="001C3F65"/>
    <w:rsid w:val="001C439F"/>
    <w:rsid w:val="001C46C6"/>
    <w:rsid w:val="001C6200"/>
    <w:rsid w:val="001C6748"/>
    <w:rsid w:val="001D0A18"/>
    <w:rsid w:val="001D2904"/>
    <w:rsid w:val="001D30EF"/>
    <w:rsid w:val="001E6283"/>
    <w:rsid w:val="001E6E33"/>
    <w:rsid w:val="001F0303"/>
    <w:rsid w:val="001F1A94"/>
    <w:rsid w:val="001F2D81"/>
    <w:rsid w:val="001F4FFB"/>
    <w:rsid w:val="002019B5"/>
    <w:rsid w:val="00201F25"/>
    <w:rsid w:val="0020440A"/>
    <w:rsid w:val="00206550"/>
    <w:rsid w:val="0020788D"/>
    <w:rsid w:val="00210685"/>
    <w:rsid w:val="00211AC2"/>
    <w:rsid w:val="002120A6"/>
    <w:rsid w:val="002121D9"/>
    <w:rsid w:val="0021269E"/>
    <w:rsid w:val="00222F0C"/>
    <w:rsid w:val="00223152"/>
    <w:rsid w:val="00223F21"/>
    <w:rsid w:val="00224681"/>
    <w:rsid w:val="0022734D"/>
    <w:rsid w:val="0023127A"/>
    <w:rsid w:val="00231396"/>
    <w:rsid w:val="00235667"/>
    <w:rsid w:val="0023673D"/>
    <w:rsid w:val="0023756F"/>
    <w:rsid w:val="0024058F"/>
    <w:rsid w:val="00241F4E"/>
    <w:rsid w:val="00242F69"/>
    <w:rsid w:val="00243665"/>
    <w:rsid w:val="00243C51"/>
    <w:rsid w:val="002448A6"/>
    <w:rsid w:val="00244E77"/>
    <w:rsid w:val="00245A55"/>
    <w:rsid w:val="00245AD4"/>
    <w:rsid w:val="002461D6"/>
    <w:rsid w:val="00246949"/>
    <w:rsid w:val="00247F83"/>
    <w:rsid w:val="00250A42"/>
    <w:rsid w:val="00250D1B"/>
    <w:rsid w:val="002525BF"/>
    <w:rsid w:val="0025382A"/>
    <w:rsid w:val="00253E89"/>
    <w:rsid w:val="00253FAC"/>
    <w:rsid w:val="00254DF0"/>
    <w:rsid w:val="0025517A"/>
    <w:rsid w:val="002555BE"/>
    <w:rsid w:val="0025612B"/>
    <w:rsid w:val="002569B2"/>
    <w:rsid w:val="002653B7"/>
    <w:rsid w:val="00265AEC"/>
    <w:rsid w:val="002668B7"/>
    <w:rsid w:val="002739B4"/>
    <w:rsid w:val="00280519"/>
    <w:rsid w:val="00281635"/>
    <w:rsid w:val="00281EE3"/>
    <w:rsid w:val="00286562"/>
    <w:rsid w:val="00286DD4"/>
    <w:rsid w:val="00287F5F"/>
    <w:rsid w:val="00291B44"/>
    <w:rsid w:val="002934CA"/>
    <w:rsid w:val="00293EBD"/>
    <w:rsid w:val="00293F04"/>
    <w:rsid w:val="0029429F"/>
    <w:rsid w:val="00296FDF"/>
    <w:rsid w:val="002A3CAC"/>
    <w:rsid w:val="002B11BD"/>
    <w:rsid w:val="002B2341"/>
    <w:rsid w:val="002B2FE8"/>
    <w:rsid w:val="002B60E5"/>
    <w:rsid w:val="002B6209"/>
    <w:rsid w:val="002B637D"/>
    <w:rsid w:val="002B7529"/>
    <w:rsid w:val="002B7F4B"/>
    <w:rsid w:val="002C46A0"/>
    <w:rsid w:val="002C6020"/>
    <w:rsid w:val="002D0E61"/>
    <w:rsid w:val="002D3344"/>
    <w:rsid w:val="002D3BAB"/>
    <w:rsid w:val="002D42BB"/>
    <w:rsid w:val="002D4758"/>
    <w:rsid w:val="002D478F"/>
    <w:rsid w:val="002D4973"/>
    <w:rsid w:val="002D7468"/>
    <w:rsid w:val="002D7D4E"/>
    <w:rsid w:val="002E1398"/>
    <w:rsid w:val="002E3ED2"/>
    <w:rsid w:val="002E6010"/>
    <w:rsid w:val="002F1286"/>
    <w:rsid w:val="002F1AD6"/>
    <w:rsid w:val="002F3502"/>
    <w:rsid w:val="002F6DA3"/>
    <w:rsid w:val="00300BB3"/>
    <w:rsid w:val="003015C7"/>
    <w:rsid w:val="003016BC"/>
    <w:rsid w:val="00303E26"/>
    <w:rsid w:val="00307F4A"/>
    <w:rsid w:val="0031015F"/>
    <w:rsid w:val="003120EE"/>
    <w:rsid w:val="00313C3E"/>
    <w:rsid w:val="0031428C"/>
    <w:rsid w:val="00314D22"/>
    <w:rsid w:val="00320F64"/>
    <w:rsid w:val="00324047"/>
    <w:rsid w:val="00324070"/>
    <w:rsid w:val="00325ECA"/>
    <w:rsid w:val="003270C4"/>
    <w:rsid w:val="00331834"/>
    <w:rsid w:val="003318ED"/>
    <w:rsid w:val="00332F5E"/>
    <w:rsid w:val="00335FD6"/>
    <w:rsid w:val="00340BCF"/>
    <w:rsid w:val="00352C0D"/>
    <w:rsid w:val="00354CAD"/>
    <w:rsid w:val="00355310"/>
    <w:rsid w:val="00360073"/>
    <w:rsid w:val="00362187"/>
    <w:rsid w:val="003642DC"/>
    <w:rsid w:val="00364947"/>
    <w:rsid w:val="00370049"/>
    <w:rsid w:val="00374FDC"/>
    <w:rsid w:val="003756E7"/>
    <w:rsid w:val="00377FEB"/>
    <w:rsid w:val="00380DDB"/>
    <w:rsid w:val="00382F7E"/>
    <w:rsid w:val="00385A53"/>
    <w:rsid w:val="00386A89"/>
    <w:rsid w:val="00392F38"/>
    <w:rsid w:val="003944CA"/>
    <w:rsid w:val="00395F28"/>
    <w:rsid w:val="003976F2"/>
    <w:rsid w:val="003A19AF"/>
    <w:rsid w:val="003A3074"/>
    <w:rsid w:val="003A52BC"/>
    <w:rsid w:val="003A5A87"/>
    <w:rsid w:val="003A5E3C"/>
    <w:rsid w:val="003B500E"/>
    <w:rsid w:val="003B6963"/>
    <w:rsid w:val="003C07C8"/>
    <w:rsid w:val="003C0D94"/>
    <w:rsid w:val="003C1D2F"/>
    <w:rsid w:val="003C31F7"/>
    <w:rsid w:val="003C3CA1"/>
    <w:rsid w:val="003C53A3"/>
    <w:rsid w:val="003C5DC8"/>
    <w:rsid w:val="003C7C0E"/>
    <w:rsid w:val="003D080C"/>
    <w:rsid w:val="003D0C8C"/>
    <w:rsid w:val="003D1B81"/>
    <w:rsid w:val="003D3E43"/>
    <w:rsid w:val="003D514B"/>
    <w:rsid w:val="003D7035"/>
    <w:rsid w:val="003D7E2A"/>
    <w:rsid w:val="003E051C"/>
    <w:rsid w:val="003E2138"/>
    <w:rsid w:val="003E301F"/>
    <w:rsid w:val="003E7C62"/>
    <w:rsid w:val="003E7EEF"/>
    <w:rsid w:val="003F123A"/>
    <w:rsid w:val="003F1F46"/>
    <w:rsid w:val="003F476D"/>
    <w:rsid w:val="0040072A"/>
    <w:rsid w:val="0040272E"/>
    <w:rsid w:val="0040512D"/>
    <w:rsid w:val="004052E4"/>
    <w:rsid w:val="00405F3C"/>
    <w:rsid w:val="00410952"/>
    <w:rsid w:val="004149E4"/>
    <w:rsid w:val="0041518E"/>
    <w:rsid w:val="0041581E"/>
    <w:rsid w:val="00417DAD"/>
    <w:rsid w:val="00421D20"/>
    <w:rsid w:val="00424868"/>
    <w:rsid w:val="00424F97"/>
    <w:rsid w:val="00427C53"/>
    <w:rsid w:val="00427CDA"/>
    <w:rsid w:val="00430808"/>
    <w:rsid w:val="00431F13"/>
    <w:rsid w:val="00437A2F"/>
    <w:rsid w:val="00437E4E"/>
    <w:rsid w:val="00442387"/>
    <w:rsid w:val="0044325B"/>
    <w:rsid w:val="00443D80"/>
    <w:rsid w:val="00445ADE"/>
    <w:rsid w:val="004477A2"/>
    <w:rsid w:val="004514A3"/>
    <w:rsid w:val="00453CD8"/>
    <w:rsid w:val="004542F6"/>
    <w:rsid w:val="00455958"/>
    <w:rsid w:val="00455BB9"/>
    <w:rsid w:val="004563C8"/>
    <w:rsid w:val="0045689A"/>
    <w:rsid w:val="004600C3"/>
    <w:rsid w:val="00460D78"/>
    <w:rsid w:val="0046189B"/>
    <w:rsid w:val="004624DA"/>
    <w:rsid w:val="00466CF2"/>
    <w:rsid w:val="00467E7F"/>
    <w:rsid w:val="0047159F"/>
    <w:rsid w:val="00474E3B"/>
    <w:rsid w:val="004761DA"/>
    <w:rsid w:val="00476766"/>
    <w:rsid w:val="00477E68"/>
    <w:rsid w:val="0048248B"/>
    <w:rsid w:val="0048263C"/>
    <w:rsid w:val="0048370E"/>
    <w:rsid w:val="0048527C"/>
    <w:rsid w:val="004853CA"/>
    <w:rsid w:val="004874EA"/>
    <w:rsid w:val="00491236"/>
    <w:rsid w:val="004914BB"/>
    <w:rsid w:val="00491F1C"/>
    <w:rsid w:val="00492502"/>
    <w:rsid w:val="00494824"/>
    <w:rsid w:val="00495C20"/>
    <w:rsid w:val="00496A39"/>
    <w:rsid w:val="004A636E"/>
    <w:rsid w:val="004B15EE"/>
    <w:rsid w:val="004B2536"/>
    <w:rsid w:val="004B3B72"/>
    <w:rsid w:val="004B3C36"/>
    <w:rsid w:val="004C5BDE"/>
    <w:rsid w:val="004C5EBF"/>
    <w:rsid w:val="004C6210"/>
    <w:rsid w:val="004C7E36"/>
    <w:rsid w:val="004D0F9B"/>
    <w:rsid w:val="004D2836"/>
    <w:rsid w:val="004D32BD"/>
    <w:rsid w:val="004D35AC"/>
    <w:rsid w:val="004D4BEA"/>
    <w:rsid w:val="004D4E48"/>
    <w:rsid w:val="004D577F"/>
    <w:rsid w:val="004E37A1"/>
    <w:rsid w:val="004E5ABD"/>
    <w:rsid w:val="004E5DF5"/>
    <w:rsid w:val="004E71C0"/>
    <w:rsid w:val="004F153F"/>
    <w:rsid w:val="004F4308"/>
    <w:rsid w:val="004F47ED"/>
    <w:rsid w:val="004F680D"/>
    <w:rsid w:val="00505644"/>
    <w:rsid w:val="00510A42"/>
    <w:rsid w:val="0051154E"/>
    <w:rsid w:val="00512965"/>
    <w:rsid w:val="005135DD"/>
    <w:rsid w:val="00514497"/>
    <w:rsid w:val="00515620"/>
    <w:rsid w:val="00516FE0"/>
    <w:rsid w:val="00520398"/>
    <w:rsid w:val="00525461"/>
    <w:rsid w:val="005306BE"/>
    <w:rsid w:val="00530EE9"/>
    <w:rsid w:val="00531A3E"/>
    <w:rsid w:val="00532CBC"/>
    <w:rsid w:val="00533363"/>
    <w:rsid w:val="005358BF"/>
    <w:rsid w:val="00535D08"/>
    <w:rsid w:val="00535EF4"/>
    <w:rsid w:val="005360D6"/>
    <w:rsid w:val="00542DE9"/>
    <w:rsid w:val="00543B7F"/>
    <w:rsid w:val="00546CD8"/>
    <w:rsid w:val="00550A4C"/>
    <w:rsid w:val="00550C96"/>
    <w:rsid w:val="005527BF"/>
    <w:rsid w:val="00555C23"/>
    <w:rsid w:val="005621AD"/>
    <w:rsid w:val="00562318"/>
    <w:rsid w:val="005632D6"/>
    <w:rsid w:val="00563B95"/>
    <w:rsid w:val="005645F7"/>
    <w:rsid w:val="00564B53"/>
    <w:rsid w:val="005652FF"/>
    <w:rsid w:val="00567040"/>
    <w:rsid w:val="0056797E"/>
    <w:rsid w:val="005708CC"/>
    <w:rsid w:val="00572287"/>
    <w:rsid w:val="0057438A"/>
    <w:rsid w:val="00575C43"/>
    <w:rsid w:val="0057611D"/>
    <w:rsid w:val="00576A12"/>
    <w:rsid w:val="00577520"/>
    <w:rsid w:val="00582AA6"/>
    <w:rsid w:val="005833C4"/>
    <w:rsid w:val="00594BC4"/>
    <w:rsid w:val="00595E97"/>
    <w:rsid w:val="00596876"/>
    <w:rsid w:val="0059695C"/>
    <w:rsid w:val="00597BF2"/>
    <w:rsid w:val="005A041F"/>
    <w:rsid w:val="005A05DE"/>
    <w:rsid w:val="005A1CCE"/>
    <w:rsid w:val="005A42D0"/>
    <w:rsid w:val="005A44FC"/>
    <w:rsid w:val="005A77BC"/>
    <w:rsid w:val="005A7E05"/>
    <w:rsid w:val="005B02E0"/>
    <w:rsid w:val="005B491C"/>
    <w:rsid w:val="005B5A9A"/>
    <w:rsid w:val="005B616A"/>
    <w:rsid w:val="005B67F0"/>
    <w:rsid w:val="005C0350"/>
    <w:rsid w:val="005C05AB"/>
    <w:rsid w:val="005C07A4"/>
    <w:rsid w:val="005C14E0"/>
    <w:rsid w:val="005C2848"/>
    <w:rsid w:val="005C6375"/>
    <w:rsid w:val="005D1A74"/>
    <w:rsid w:val="005D2E94"/>
    <w:rsid w:val="005D4799"/>
    <w:rsid w:val="005D76CA"/>
    <w:rsid w:val="005E3EC9"/>
    <w:rsid w:val="005E45D1"/>
    <w:rsid w:val="005E7FCC"/>
    <w:rsid w:val="005F0769"/>
    <w:rsid w:val="005F16B4"/>
    <w:rsid w:val="005F1D93"/>
    <w:rsid w:val="005F2050"/>
    <w:rsid w:val="005F29F5"/>
    <w:rsid w:val="005F30E0"/>
    <w:rsid w:val="005F45A5"/>
    <w:rsid w:val="005F4E8D"/>
    <w:rsid w:val="005F5AF8"/>
    <w:rsid w:val="005F76C6"/>
    <w:rsid w:val="00601473"/>
    <w:rsid w:val="00601F9E"/>
    <w:rsid w:val="006046B2"/>
    <w:rsid w:val="00605582"/>
    <w:rsid w:val="00606C6F"/>
    <w:rsid w:val="00610CF9"/>
    <w:rsid w:val="006147E3"/>
    <w:rsid w:val="0062024E"/>
    <w:rsid w:val="00621AD9"/>
    <w:rsid w:val="00623240"/>
    <w:rsid w:val="00623F3A"/>
    <w:rsid w:val="00624B94"/>
    <w:rsid w:val="006258C5"/>
    <w:rsid w:val="006271AB"/>
    <w:rsid w:val="006307F6"/>
    <w:rsid w:val="00630831"/>
    <w:rsid w:val="00632011"/>
    <w:rsid w:val="00632EC8"/>
    <w:rsid w:val="0063529F"/>
    <w:rsid w:val="00637666"/>
    <w:rsid w:val="00637AE0"/>
    <w:rsid w:val="00642C66"/>
    <w:rsid w:val="00642E80"/>
    <w:rsid w:val="0064604B"/>
    <w:rsid w:val="00647E48"/>
    <w:rsid w:val="00647FF8"/>
    <w:rsid w:val="006503EF"/>
    <w:rsid w:val="006508CC"/>
    <w:rsid w:val="00652559"/>
    <w:rsid w:val="00653B58"/>
    <w:rsid w:val="00654F03"/>
    <w:rsid w:val="00656EBE"/>
    <w:rsid w:val="0065787E"/>
    <w:rsid w:val="00660AE3"/>
    <w:rsid w:val="0066487F"/>
    <w:rsid w:val="00665449"/>
    <w:rsid w:val="0066679D"/>
    <w:rsid w:val="006671C9"/>
    <w:rsid w:val="00670A4D"/>
    <w:rsid w:val="00670F3B"/>
    <w:rsid w:val="00670FF1"/>
    <w:rsid w:val="00672D6D"/>
    <w:rsid w:val="00673D93"/>
    <w:rsid w:val="00675296"/>
    <w:rsid w:val="00676C2B"/>
    <w:rsid w:val="006809E5"/>
    <w:rsid w:val="00681642"/>
    <w:rsid w:val="00682520"/>
    <w:rsid w:val="00684D03"/>
    <w:rsid w:val="006878D3"/>
    <w:rsid w:val="0068792E"/>
    <w:rsid w:val="00694B57"/>
    <w:rsid w:val="00697921"/>
    <w:rsid w:val="006A126A"/>
    <w:rsid w:val="006A16E0"/>
    <w:rsid w:val="006A397F"/>
    <w:rsid w:val="006A3BF9"/>
    <w:rsid w:val="006A505B"/>
    <w:rsid w:val="006A628E"/>
    <w:rsid w:val="006A6773"/>
    <w:rsid w:val="006B3019"/>
    <w:rsid w:val="006B3D94"/>
    <w:rsid w:val="006B5677"/>
    <w:rsid w:val="006B5C5F"/>
    <w:rsid w:val="006B6F31"/>
    <w:rsid w:val="006C1DD6"/>
    <w:rsid w:val="006C744B"/>
    <w:rsid w:val="006D1B5C"/>
    <w:rsid w:val="006D22C2"/>
    <w:rsid w:val="006D4D2B"/>
    <w:rsid w:val="006D57D8"/>
    <w:rsid w:val="006D7B79"/>
    <w:rsid w:val="006E3327"/>
    <w:rsid w:val="006E4498"/>
    <w:rsid w:val="006E5CA8"/>
    <w:rsid w:val="006E5F38"/>
    <w:rsid w:val="006E77DB"/>
    <w:rsid w:val="006F1347"/>
    <w:rsid w:val="006F3264"/>
    <w:rsid w:val="006F52AC"/>
    <w:rsid w:val="006F66BD"/>
    <w:rsid w:val="006F6A12"/>
    <w:rsid w:val="006F7725"/>
    <w:rsid w:val="00700AAA"/>
    <w:rsid w:val="00710140"/>
    <w:rsid w:val="00711F6D"/>
    <w:rsid w:val="0071392A"/>
    <w:rsid w:val="007141D0"/>
    <w:rsid w:val="00714516"/>
    <w:rsid w:val="00715890"/>
    <w:rsid w:val="007161E9"/>
    <w:rsid w:val="00716F4B"/>
    <w:rsid w:val="007209A1"/>
    <w:rsid w:val="00721162"/>
    <w:rsid w:val="00721CC2"/>
    <w:rsid w:val="00723630"/>
    <w:rsid w:val="007245DF"/>
    <w:rsid w:val="0073192D"/>
    <w:rsid w:val="00731D17"/>
    <w:rsid w:val="00732393"/>
    <w:rsid w:val="00732CDB"/>
    <w:rsid w:val="0074450F"/>
    <w:rsid w:val="00744659"/>
    <w:rsid w:val="00744B31"/>
    <w:rsid w:val="0074576F"/>
    <w:rsid w:val="00745D87"/>
    <w:rsid w:val="00746F8E"/>
    <w:rsid w:val="00747DDF"/>
    <w:rsid w:val="00750E65"/>
    <w:rsid w:val="0075234A"/>
    <w:rsid w:val="0075270F"/>
    <w:rsid w:val="0075339B"/>
    <w:rsid w:val="00761C54"/>
    <w:rsid w:val="007625FE"/>
    <w:rsid w:val="0076325F"/>
    <w:rsid w:val="00763A9E"/>
    <w:rsid w:val="00764844"/>
    <w:rsid w:val="0076540F"/>
    <w:rsid w:val="0077058D"/>
    <w:rsid w:val="00770EBD"/>
    <w:rsid w:val="007723FC"/>
    <w:rsid w:val="00773D98"/>
    <w:rsid w:val="007746E2"/>
    <w:rsid w:val="0077695D"/>
    <w:rsid w:val="007778EE"/>
    <w:rsid w:val="00780641"/>
    <w:rsid w:val="00781066"/>
    <w:rsid w:val="007829BA"/>
    <w:rsid w:val="007841AD"/>
    <w:rsid w:val="00790899"/>
    <w:rsid w:val="00790EF8"/>
    <w:rsid w:val="00792B1A"/>
    <w:rsid w:val="00793F8C"/>
    <w:rsid w:val="00794057"/>
    <w:rsid w:val="00796FAC"/>
    <w:rsid w:val="007A33C0"/>
    <w:rsid w:val="007A3D03"/>
    <w:rsid w:val="007A3E1D"/>
    <w:rsid w:val="007A7031"/>
    <w:rsid w:val="007A7388"/>
    <w:rsid w:val="007B1E38"/>
    <w:rsid w:val="007B3539"/>
    <w:rsid w:val="007B3908"/>
    <w:rsid w:val="007B3F1B"/>
    <w:rsid w:val="007B43A5"/>
    <w:rsid w:val="007B4687"/>
    <w:rsid w:val="007B4DB8"/>
    <w:rsid w:val="007C0100"/>
    <w:rsid w:val="007C0EE4"/>
    <w:rsid w:val="007C3AF3"/>
    <w:rsid w:val="007C3F2A"/>
    <w:rsid w:val="007C558F"/>
    <w:rsid w:val="007C6C40"/>
    <w:rsid w:val="007C738E"/>
    <w:rsid w:val="007D2866"/>
    <w:rsid w:val="007D2FF3"/>
    <w:rsid w:val="007D36F8"/>
    <w:rsid w:val="007D5EB6"/>
    <w:rsid w:val="007E1E9C"/>
    <w:rsid w:val="007E26B5"/>
    <w:rsid w:val="007E39CC"/>
    <w:rsid w:val="007E5259"/>
    <w:rsid w:val="007E5DEF"/>
    <w:rsid w:val="007F0AE8"/>
    <w:rsid w:val="007F2795"/>
    <w:rsid w:val="007F2AD2"/>
    <w:rsid w:val="007F4864"/>
    <w:rsid w:val="007F731D"/>
    <w:rsid w:val="007F7CE4"/>
    <w:rsid w:val="008012AA"/>
    <w:rsid w:val="00804E08"/>
    <w:rsid w:val="00807514"/>
    <w:rsid w:val="0081139C"/>
    <w:rsid w:val="00811E5E"/>
    <w:rsid w:val="00812D86"/>
    <w:rsid w:val="00815F2D"/>
    <w:rsid w:val="008174D1"/>
    <w:rsid w:val="00817BA6"/>
    <w:rsid w:val="008237EF"/>
    <w:rsid w:val="00823AEF"/>
    <w:rsid w:val="00824F12"/>
    <w:rsid w:val="00825361"/>
    <w:rsid w:val="008256D2"/>
    <w:rsid w:val="00825B6E"/>
    <w:rsid w:val="00826D84"/>
    <w:rsid w:val="008274AE"/>
    <w:rsid w:val="00830FD6"/>
    <w:rsid w:val="00835057"/>
    <w:rsid w:val="00835B9A"/>
    <w:rsid w:val="008372AF"/>
    <w:rsid w:val="00840D04"/>
    <w:rsid w:val="00842AA1"/>
    <w:rsid w:val="00843009"/>
    <w:rsid w:val="00846A2F"/>
    <w:rsid w:val="008474B3"/>
    <w:rsid w:val="00850A2A"/>
    <w:rsid w:val="00851D39"/>
    <w:rsid w:val="008522A9"/>
    <w:rsid w:val="00853E84"/>
    <w:rsid w:val="0085444B"/>
    <w:rsid w:val="00857FD6"/>
    <w:rsid w:val="00860F23"/>
    <w:rsid w:val="0086152C"/>
    <w:rsid w:val="00863A17"/>
    <w:rsid w:val="00866209"/>
    <w:rsid w:val="008663C5"/>
    <w:rsid w:val="00867523"/>
    <w:rsid w:val="00872EF1"/>
    <w:rsid w:val="008767BC"/>
    <w:rsid w:val="00880BE0"/>
    <w:rsid w:val="0088180C"/>
    <w:rsid w:val="008865D2"/>
    <w:rsid w:val="008904B8"/>
    <w:rsid w:val="00891F8B"/>
    <w:rsid w:val="0089508C"/>
    <w:rsid w:val="00897CB3"/>
    <w:rsid w:val="008A0F87"/>
    <w:rsid w:val="008A3AD2"/>
    <w:rsid w:val="008A6BBF"/>
    <w:rsid w:val="008A7422"/>
    <w:rsid w:val="008B04E7"/>
    <w:rsid w:val="008B12BC"/>
    <w:rsid w:val="008B17C7"/>
    <w:rsid w:val="008B1AC1"/>
    <w:rsid w:val="008B2E08"/>
    <w:rsid w:val="008B450A"/>
    <w:rsid w:val="008B578C"/>
    <w:rsid w:val="008B582A"/>
    <w:rsid w:val="008B5A07"/>
    <w:rsid w:val="008C11EB"/>
    <w:rsid w:val="008C157D"/>
    <w:rsid w:val="008C1656"/>
    <w:rsid w:val="008C5898"/>
    <w:rsid w:val="008C7178"/>
    <w:rsid w:val="008C7B6C"/>
    <w:rsid w:val="008D0614"/>
    <w:rsid w:val="008D6D88"/>
    <w:rsid w:val="008E1069"/>
    <w:rsid w:val="008E12C7"/>
    <w:rsid w:val="008E4B72"/>
    <w:rsid w:val="008F1C4F"/>
    <w:rsid w:val="008F1CA6"/>
    <w:rsid w:val="008F4843"/>
    <w:rsid w:val="008F5908"/>
    <w:rsid w:val="0090162B"/>
    <w:rsid w:val="00902C42"/>
    <w:rsid w:val="00902FBD"/>
    <w:rsid w:val="0090418A"/>
    <w:rsid w:val="00906D64"/>
    <w:rsid w:val="00913A1B"/>
    <w:rsid w:val="00916161"/>
    <w:rsid w:val="0091755A"/>
    <w:rsid w:val="009176AF"/>
    <w:rsid w:val="00920BA3"/>
    <w:rsid w:val="009241BD"/>
    <w:rsid w:val="009271BB"/>
    <w:rsid w:val="00930242"/>
    <w:rsid w:val="0093090F"/>
    <w:rsid w:val="009319C9"/>
    <w:rsid w:val="0093372C"/>
    <w:rsid w:val="00934D46"/>
    <w:rsid w:val="009379B9"/>
    <w:rsid w:val="00943A82"/>
    <w:rsid w:val="0094561A"/>
    <w:rsid w:val="00945E19"/>
    <w:rsid w:val="00946E24"/>
    <w:rsid w:val="00952886"/>
    <w:rsid w:val="0095350E"/>
    <w:rsid w:val="00953C1E"/>
    <w:rsid w:val="009555CB"/>
    <w:rsid w:val="009610A0"/>
    <w:rsid w:val="00963BCE"/>
    <w:rsid w:val="00965A1C"/>
    <w:rsid w:val="009705F8"/>
    <w:rsid w:val="00972E0C"/>
    <w:rsid w:val="009744EB"/>
    <w:rsid w:val="00974680"/>
    <w:rsid w:val="00975533"/>
    <w:rsid w:val="009760E3"/>
    <w:rsid w:val="009766D1"/>
    <w:rsid w:val="00976EA8"/>
    <w:rsid w:val="00977371"/>
    <w:rsid w:val="00980031"/>
    <w:rsid w:val="0098200F"/>
    <w:rsid w:val="00982A75"/>
    <w:rsid w:val="00982CFF"/>
    <w:rsid w:val="00984949"/>
    <w:rsid w:val="00985D76"/>
    <w:rsid w:val="009871D5"/>
    <w:rsid w:val="00990B3E"/>
    <w:rsid w:val="0099115D"/>
    <w:rsid w:val="009916D5"/>
    <w:rsid w:val="00991FA8"/>
    <w:rsid w:val="00992519"/>
    <w:rsid w:val="00997574"/>
    <w:rsid w:val="00997E78"/>
    <w:rsid w:val="009A1C8E"/>
    <w:rsid w:val="009A23A4"/>
    <w:rsid w:val="009A28B6"/>
    <w:rsid w:val="009B03F6"/>
    <w:rsid w:val="009B052B"/>
    <w:rsid w:val="009B2E51"/>
    <w:rsid w:val="009B650C"/>
    <w:rsid w:val="009B75D9"/>
    <w:rsid w:val="009C0034"/>
    <w:rsid w:val="009C3F8A"/>
    <w:rsid w:val="009C5B15"/>
    <w:rsid w:val="009C724B"/>
    <w:rsid w:val="009D2297"/>
    <w:rsid w:val="009D2B26"/>
    <w:rsid w:val="009D3EE9"/>
    <w:rsid w:val="009D4508"/>
    <w:rsid w:val="009D473A"/>
    <w:rsid w:val="009E0AFC"/>
    <w:rsid w:val="009E0D68"/>
    <w:rsid w:val="009E1523"/>
    <w:rsid w:val="009E206D"/>
    <w:rsid w:val="009E324E"/>
    <w:rsid w:val="009E4A5D"/>
    <w:rsid w:val="009E5E72"/>
    <w:rsid w:val="009E62AF"/>
    <w:rsid w:val="009F03CB"/>
    <w:rsid w:val="009F0698"/>
    <w:rsid w:val="009F1FF3"/>
    <w:rsid w:val="009F4C6F"/>
    <w:rsid w:val="009F5CE5"/>
    <w:rsid w:val="009F6949"/>
    <w:rsid w:val="009F69E5"/>
    <w:rsid w:val="009F6F2D"/>
    <w:rsid w:val="009F795E"/>
    <w:rsid w:val="009F7A4B"/>
    <w:rsid w:val="00A02DA1"/>
    <w:rsid w:val="00A03033"/>
    <w:rsid w:val="00A0364A"/>
    <w:rsid w:val="00A054C3"/>
    <w:rsid w:val="00A05A61"/>
    <w:rsid w:val="00A1045C"/>
    <w:rsid w:val="00A12048"/>
    <w:rsid w:val="00A123CC"/>
    <w:rsid w:val="00A13732"/>
    <w:rsid w:val="00A1478A"/>
    <w:rsid w:val="00A15789"/>
    <w:rsid w:val="00A16BE8"/>
    <w:rsid w:val="00A21CB5"/>
    <w:rsid w:val="00A2259D"/>
    <w:rsid w:val="00A23DC9"/>
    <w:rsid w:val="00A26B7B"/>
    <w:rsid w:val="00A31AE0"/>
    <w:rsid w:val="00A31AEF"/>
    <w:rsid w:val="00A3277F"/>
    <w:rsid w:val="00A43157"/>
    <w:rsid w:val="00A43C6F"/>
    <w:rsid w:val="00A4420E"/>
    <w:rsid w:val="00A445AE"/>
    <w:rsid w:val="00A44AC7"/>
    <w:rsid w:val="00A4641E"/>
    <w:rsid w:val="00A501EF"/>
    <w:rsid w:val="00A51547"/>
    <w:rsid w:val="00A521E9"/>
    <w:rsid w:val="00A54384"/>
    <w:rsid w:val="00A55EE7"/>
    <w:rsid w:val="00A571B2"/>
    <w:rsid w:val="00A5720C"/>
    <w:rsid w:val="00A5731E"/>
    <w:rsid w:val="00A57724"/>
    <w:rsid w:val="00A60CE8"/>
    <w:rsid w:val="00A61A16"/>
    <w:rsid w:val="00A63272"/>
    <w:rsid w:val="00A64F64"/>
    <w:rsid w:val="00A6586D"/>
    <w:rsid w:val="00A65D00"/>
    <w:rsid w:val="00A669AD"/>
    <w:rsid w:val="00A72F1B"/>
    <w:rsid w:val="00A741D6"/>
    <w:rsid w:val="00A7445A"/>
    <w:rsid w:val="00A74A5F"/>
    <w:rsid w:val="00A74E0C"/>
    <w:rsid w:val="00A758E2"/>
    <w:rsid w:val="00A761D1"/>
    <w:rsid w:val="00A76401"/>
    <w:rsid w:val="00A76C61"/>
    <w:rsid w:val="00A7764C"/>
    <w:rsid w:val="00A77B48"/>
    <w:rsid w:val="00A820F1"/>
    <w:rsid w:val="00A82135"/>
    <w:rsid w:val="00A8286A"/>
    <w:rsid w:val="00A82F07"/>
    <w:rsid w:val="00A86549"/>
    <w:rsid w:val="00A866F0"/>
    <w:rsid w:val="00A90DAA"/>
    <w:rsid w:val="00A913CF"/>
    <w:rsid w:val="00A92BE1"/>
    <w:rsid w:val="00A92C33"/>
    <w:rsid w:val="00A92D2C"/>
    <w:rsid w:val="00A92D41"/>
    <w:rsid w:val="00A937B8"/>
    <w:rsid w:val="00AA0759"/>
    <w:rsid w:val="00AA284A"/>
    <w:rsid w:val="00AA3A3B"/>
    <w:rsid w:val="00AA4A6E"/>
    <w:rsid w:val="00AB0841"/>
    <w:rsid w:val="00AB0BD6"/>
    <w:rsid w:val="00AB120F"/>
    <w:rsid w:val="00AB4D3A"/>
    <w:rsid w:val="00AB665D"/>
    <w:rsid w:val="00AB7531"/>
    <w:rsid w:val="00AB7F32"/>
    <w:rsid w:val="00AC0D70"/>
    <w:rsid w:val="00AC2CDA"/>
    <w:rsid w:val="00AC3249"/>
    <w:rsid w:val="00AC3BAD"/>
    <w:rsid w:val="00AC4BB6"/>
    <w:rsid w:val="00AC62CB"/>
    <w:rsid w:val="00AC77F7"/>
    <w:rsid w:val="00AD05AA"/>
    <w:rsid w:val="00AD55C5"/>
    <w:rsid w:val="00AD7826"/>
    <w:rsid w:val="00AE068D"/>
    <w:rsid w:val="00AE4A62"/>
    <w:rsid w:val="00AE4C1F"/>
    <w:rsid w:val="00AE4C4E"/>
    <w:rsid w:val="00AE68CA"/>
    <w:rsid w:val="00AF19B8"/>
    <w:rsid w:val="00AF211E"/>
    <w:rsid w:val="00AF44CA"/>
    <w:rsid w:val="00AF6FB2"/>
    <w:rsid w:val="00B00382"/>
    <w:rsid w:val="00B02A7C"/>
    <w:rsid w:val="00B0635A"/>
    <w:rsid w:val="00B10BB2"/>
    <w:rsid w:val="00B1273E"/>
    <w:rsid w:val="00B13388"/>
    <w:rsid w:val="00B14F38"/>
    <w:rsid w:val="00B1678A"/>
    <w:rsid w:val="00B16DBC"/>
    <w:rsid w:val="00B17B93"/>
    <w:rsid w:val="00B20D8D"/>
    <w:rsid w:val="00B20E1F"/>
    <w:rsid w:val="00B2171F"/>
    <w:rsid w:val="00B21A1F"/>
    <w:rsid w:val="00B25DF2"/>
    <w:rsid w:val="00B268D1"/>
    <w:rsid w:val="00B30DA8"/>
    <w:rsid w:val="00B32FF3"/>
    <w:rsid w:val="00B353E8"/>
    <w:rsid w:val="00B357AC"/>
    <w:rsid w:val="00B36D27"/>
    <w:rsid w:val="00B36FB5"/>
    <w:rsid w:val="00B37BF8"/>
    <w:rsid w:val="00B37DC1"/>
    <w:rsid w:val="00B42282"/>
    <w:rsid w:val="00B42E80"/>
    <w:rsid w:val="00B459DB"/>
    <w:rsid w:val="00B45B57"/>
    <w:rsid w:val="00B500DB"/>
    <w:rsid w:val="00B501A2"/>
    <w:rsid w:val="00B52354"/>
    <w:rsid w:val="00B52B54"/>
    <w:rsid w:val="00B533D2"/>
    <w:rsid w:val="00B54741"/>
    <w:rsid w:val="00B57B19"/>
    <w:rsid w:val="00B646B4"/>
    <w:rsid w:val="00B64D24"/>
    <w:rsid w:val="00B65977"/>
    <w:rsid w:val="00B66407"/>
    <w:rsid w:val="00B673FB"/>
    <w:rsid w:val="00B741A1"/>
    <w:rsid w:val="00B74727"/>
    <w:rsid w:val="00B80293"/>
    <w:rsid w:val="00B80637"/>
    <w:rsid w:val="00B80EA7"/>
    <w:rsid w:val="00B83700"/>
    <w:rsid w:val="00B860C5"/>
    <w:rsid w:val="00B86E0B"/>
    <w:rsid w:val="00B90E60"/>
    <w:rsid w:val="00B90F27"/>
    <w:rsid w:val="00B91522"/>
    <w:rsid w:val="00B934DF"/>
    <w:rsid w:val="00B93EEE"/>
    <w:rsid w:val="00B968F0"/>
    <w:rsid w:val="00B97DEF"/>
    <w:rsid w:val="00BA281B"/>
    <w:rsid w:val="00BA3693"/>
    <w:rsid w:val="00BA495A"/>
    <w:rsid w:val="00BA580D"/>
    <w:rsid w:val="00BA6525"/>
    <w:rsid w:val="00BA6671"/>
    <w:rsid w:val="00BA6BB3"/>
    <w:rsid w:val="00BB097C"/>
    <w:rsid w:val="00BB6E27"/>
    <w:rsid w:val="00BC1A8E"/>
    <w:rsid w:val="00BC1F33"/>
    <w:rsid w:val="00BC4213"/>
    <w:rsid w:val="00BC5636"/>
    <w:rsid w:val="00BC5A90"/>
    <w:rsid w:val="00BC5E57"/>
    <w:rsid w:val="00BC6C25"/>
    <w:rsid w:val="00BD09BA"/>
    <w:rsid w:val="00BD45F4"/>
    <w:rsid w:val="00BD710B"/>
    <w:rsid w:val="00BD72A6"/>
    <w:rsid w:val="00BD7421"/>
    <w:rsid w:val="00BE1203"/>
    <w:rsid w:val="00BE12FE"/>
    <w:rsid w:val="00BE1F73"/>
    <w:rsid w:val="00BE25EC"/>
    <w:rsid w:val="00BE4E14"/>
    <w:rsid w:val="00BE5948"/>
    <w:rsid w:val="00BE64E8"/>
    <w:rsid w:val="00BF02CC"/>
    <w:rsid w:val="00BF0451"/>
    <w:rsid w:val="00BF058F"/>
    <w:rsid w:val="00BF3E47"/>
    <w:rsid w:val="00BF7149"/>
    <w:rsid w:val="00C00CE3"/>
    <w:rsid w:val="00C03AF8"/>
    <w:rsid w:val="00C06295"/>
    <w:rsid w:val="00C07FC0"/>
    <w:rsid w:val="00C10419"/>
    <w:rsid w:val="00C13C50"/>
    <w:rsid w:val="00C15011"/>
    <w:rsid w:val="00C1543E"/>
    <w:rsid w:val="00C15442"/>
    <w:rsid w:val="00C15AC0"/>
    <w:rsid w:val="00C15C2B"/>
    <w:rsid w:val="00C22B1B"/>
    <w:rsid w:val="00C25C31"/>
    <w:rsid w:val="00C262AF"/>
    <w:rsid w:val="00C26C2E"/>
    <w:rsid w:val="00C26D0C"/>
    <w:rsid w:val="00C27B1C"/>
    <w:rsid w:val="00C3466F"/>
    <w:rsid w:val="00C35A81"/>
    <w:rsid w:val="00C36C70"/>
    <w:rsid w:val="00C37681"/>
    <w:rsid w:val="00C40B41"/>
    <w:rsid w:val="00C43994"/>
    <w:rsid w:val="00C4486D"/>
    <w:rsid w:val="00C456DD"/>
    <w:rsid w:val="00C473FA"/>
    <w:rsid w:val="00C50076"/>
    <w:rsid w:val="00C505A0"/>
    <w:rsid w:val="00C52811"/>
    <w:rsid w:val="00C52828"/>
    <w:rsid w:val="00C52C3C"/>
    <w:rsid w:val="00C52D80"/>
    <w:rsid w:val="00C5355A"/>
    <w:rsid w:val="00C539D8"/>
    <w:rsid w:val="00C53CFC"/>
    <w:rsid w:val="00C53DD7"/>
    <w:rsid w:val="00C54991"/>
    <w:rsid w:val="00C54DA2"/>
    <w:rsid w:val="00C56F60"/>
    <w:rsid w:val="00C629A1"/>
    <w:rsid w:val="00C6411B"/>
    <w:rsid w:val="00C65CC6"/>
    <w:rsid w:val="00C66097"/>
    <w:rsid w:val="00C67132"/>
    <w:rsid w:val="00C67198"/>
    <w:rsid w:val="00C675CD"/>
    <w:rsid w:val="00C71CF1"/>
    <w:rsid w:val="00C73B5B"/>
    <w:rsid w:val="00C73F3A"/>
    <w:rsid w:val="00C74887"/>
    <w:rsid w:val="00C75970"/>
    <w:rsid w:val="00C766D0"/>
    <w:rsid w:val="00C817CC"/>
    <w:rsid w:val="00C82267"/>
    <w:rsid w:val="00C82689"/>
    <w:rsid w:val="00C840CA"/>
    <w:rsid w:val="00C846A6"/>
    <w:rsid w:val="00C8553D"/>
    <w:rsid w:val="00C87EA9"/>
    <w:rsid w:val="00C928AA"/>
    <w:rsid w:val="00C928EA"/>
    <w:rsid w:val="00C93843"/>
    <w:rsid w:val="00C94F65"/>
    <w:rsid w:val="00C95D38"/>
    <w:rsid w:val="00CA0358"/>
    <w:rsid w:val="00CA19E2"/>
    <w:rsid w:val="00CA1E59"/>
    <w:rsid w:val="00CB0647"/>
    <w:rsid w:val="00CB2650"/>
    <w:rsid w:val="00CB6A80"/>
    <w:rsid w:val="00CB73B4"/>
    <w:rsid w:val="00CB78E8"/>
    <w:rsid w:val="00CC0A83"/>
    <w:rsid w:val="00CC1429"/>
    <w:rsid w:val="00CC34C5"/>
    <w:rsid w:val="00CC5796"/>
    <w:rsid w:val="00CC5C99"/>
    <w:rsid w:val="00CD06BB"/>
    <w:rsid w:val="00CD41A9"/>
    <w:rsid w:val="00CD54F7"/>
    <w:rsid w:val="00CD7410"/>
    <w:rsid w:val="00CE55D3"/>
    <w:rsid w:val="00CE5F58"/>
    <w:rsid w:val="00CE68CE"/>
    <w:rsid w:val="00CF05A5"/>
    <w:rsid w:val="00CF1F80"/>
    <w:rsid w:val="00CF366C"/>
    <w:rsid w:val="00CF510F"/>
    <w:rsid w:val="00CF53E2"/>
    <w:rsid w:val="00CF642B"/>
    <w:rsid w:val="00CF7A33"/>
    <w:rsid w:val="00D0095B"/>
    <w:rsid w:val="00D016AA"/>
    <w:rsid w:val="00D02F71"/>
    <w:rsid w:val="00D04600"/>
    <w:rsid w:val="00D054EE"/>
    <w:rsid w:val="00D075FF"/>
    <w:rsid w:val="00D10063"/>
    <w:rsid w:val="00D10CF7"/>
    <w:rsid w:val="00D11597"/>
    <w:rsid w:val="00D23E29"/>
    <w:rsid w:val="00D24E19"/>
    <w:rsid w:val="00D250BF"/>
    <w:rsid w:val="00D2512D"/>
    <w:rsid w:val="00D275B9"/>
    <w:rsid w:val="00D30418"/>
    <w:rsid w:val="00D31BED"/>
    <w:rsid w:val="00D36E5D"/>
    <w:rsid w:val="00D37A58"/>
    <w:rsid w:val="00D37B9E"/>
    <w:rsid w:val="00D4107C"/>
    <w:rsid w:val="00D41EFE"/>
    <w:rsid w:val="00D42BC4"/>
    <w:rsid w:val="00D42FB8"/>
    <w:rsid w:val="00D439AB"/>
    <w:rsid w:val="00D4512C"/>
    <w:rsid w:val="00D46304"/>
    <w:rsid w:val="00D46F37"/>
    <w:rsid w:val="00D471E4"/>
    <w:rsid w:val="00D478BF"/>
    <w:rsid w:val="00D50A5E"/>
    <w:rsid w:val="00D51501"/>
    <w:rsid w:val="00D51BD2"/>
    <w:rsid w:val="00D5422A"/>
    <w:rsid w:val="00D5747C"/>
    <w:rsid w:val="00D60E8F"/>
    <w:rsid w:val="00D6287E"/>
    <w:rsid w:val="00D63077"/>
    <w:rsid w:val="00D64D53"/>
    <w:rsid w:val="00D66089"/>
    <w:rsid w:val="00D66735"/>
    <w:rsid w:val="00D67263"/>
    <w:rsid w:val="00D70A94"/>
    <w:rsid w:val="00D724A7"/>
    <w:rsid w:val="00D746AA"/>
    <w:rsid w:val="00D74B46"/>
    <w:rsid w:val="00D7503A"/>
    <w:rsid w:val="00D751E8"/>
    <w:rsid w:val="00D75883"/>
    <w:rsid w:val="00D761E3"/>
    <w:rsid w:val="00D767B8"/>
    <w:rsid w:val="00D811C9"/>
    <w:rsid w:val="00D81672"/>
    <w:rsid w:val="00D8200D"/>
    <w:rsid w:val="00D849E0"/>
    <w:rsid w:val="00D84A1F"/>
    <w:rsid w:val="00D861FB"/>
    <w:rsid w:val="00D87988"/>
    <w:rsid w:val="00D87BD3"/>
    <w:rsid w:val="00D90198"/>
    <w:rsid w:val="00D9193B"/>
    <w:rsid w:val="00D91A7C"/>
    <w:rsid w:val="00D93647"/>
    <w:rsid w:val="00D93B0D"/>
    <w:rsid w:val="00D93E18"/>
    <w:rsid w:val="00D95FE1"/>
    <w:rsid w:val="00D9640B"/>
    <w:rsid w:val="00D97A60"/>
    <w:rsid w:val="00DA29D2"/>
    <w:rsid w:val="00DA2C89"/>
    <w:rsid w:val="00DA33E4"/>
    <w:rsid w:val="00DA458A"/>
    <w:rsid w:val="00DA4812"/>
    <w:rsid w:val="00DA5ADC"/>
    <w:rsid w:val="00DA6063"/>
    <w:rsid w:val="00DA75D2"/>
    <w:rsid w:val="00DB2373"/>
    <w:rsid w:val="00DB2E6D"/>
    <w:rsid w:val="00DB2E84"/>
    <w:rsid w:val="00DB3C2A"/>
    <w:rsid w:val="00DB40B1"/>
    <w:rsid w:val="00DB437E"/>
    <w:rsid w:val="00DB4775"/>
    <w:rsid w:val="00DB4BB9"/>
    <w:rsid w:val="00DB67ED"/>
    <w:rsid w:val="00DB7120"/>
    <w:rsid w:val="00DC04A4"/>
    <w:rsid w:val="00DC4765"/>
    <w:rsid w:val="00DC5CBE"/>
    <w:rsid w:val="00DC6D5C"/>
    <w:rsid w:val="00DC7AC6"/>
    <w:rsid w:val="00DC7E5C"/>
    <w:rsid w:val="00DC7FB3"/>
    <w:rsid w:val="00DD11EB"/>
    <w:rsid w:val="00DD3406"/>
    <w:rsid w:val="00DE49CE"/>
    <w:rsid w:val="00DE5B29"/>
    <w:rsid w:val="00DE61F7"/>
    <w:rsid w:val="00DF01A6"/>
    <w:rsid w:val="00DF0399"/>
    <w:rsid w:val="00DF0401"/>
    <w:rsid w:val="00DF0F77"/>
    <w:rsid w:val="00DF45B9"/>
    <w:rsid w:val="00DF46D7"/>
    <w:rsid w:val="00DF4D1B"/>
    <w:rsid w:val="00E0023D"/>
    <w:rsid w:val="00E00EB5"/>
    <w:rsid w:val="00E01071"/>
    <w:rsid w:val="00E01DCE"/>
    <w:rsid w:val="00E05277"/>
    <w:rsid w:val="00E05443"/>
    <w:rsid w:val="00E05AFB"/>
    <w:rsid w:val="00E100AD"/>
    <w:rsid w:val="00E103FD"/>
    <w:rsid w:val="00E12824"/>
    <w:rsid w:val="00E12C8C"/>
    <w:rsid w:val="00E12D13"/>
    <w:rsid w:val="00E148D0"/>
    <w:rsid w:val="00E1754A"/>
    <w:rsid w:val="00E176F5"/>
    <w:rsid w:val="00E1788E"/>
    <w:rsid w:val="00E17B28"/>
    <w:rsid w:val="00E21FB8"/>
    <w:rsid w:val="00E220C4"/>
    <w:rsid w:val="00E22B52"/>
    <w:rsid w:val="00E24D4D"/>
    <w:rsid w:val="00E24E7D"/>
    <w:rsid w:val="00E25542"/>
    <w:rsid w:val="00E25CB0"/>
    <w:rsid w:val="00E25E5A"/>
    <w:rsid w:val="00E31148"/>
    <w:rsid w:val="00E31210"/>
    <w:rsid w:val="00E32789"/>
    <w:rsid w:val="00E32B87"/>
    <w:rsid w:val="00E35C9E"/>
    <w:rsid w:val="00E36073"/>
    <w:rsid w:val="00E36299"/>
    <w:rsid w:val="00E367E0"/>
    <w:rsid w:val="00E36CF6"/>
    <w:rsid w:val="00E4218B"/>
    <w:rsid w:val="00E44341"/>
    <w:rsid w:val="00E44B27"/>
    <w:rsid w:val="00E53413"/>
    <w:rsid w:val="00E5407F"/>
    <w:rsid w:val="00E54A43"/>
    <w:rsid w:val="00E5681C"/>
    <w:rsid w:val="00E57953"/>
    <w:rsid w:val="00E57C56"/>
    <w:rsid w:val="00E62FD6"/>
    <w:rsid w:val="00E63C0D"/>
    <w:rsid w:val="00E645F0"/>
    <w:rsid w:val="00E65332"/>
    <w:rsid w:val="00E65B67"/>
    <w:rsid w:val="00E65FAE"/>
    <w:rsid w:val="00E65FDE"/>
    <w:rsid w:val="00E664AA"/>
    <w:rsid w:val="00E70553"/>
    <w:rsid w:val="00E709C2"/>
    <w:rsid w:val="00E71AD8"/>
    <w:rsid w:val="00E71E67"/>
    <w:rsid w:val="00E724A6"/>
    <w:rsid w:val="00E7419F"/>
    <w:rsid w:val="00E76009"/>
    <w:rsid w:val="00E76745"/>
    <w:rsid w:val="00E76846"/>
    <w:rsid w:val="00E80DFA"/>
    <w:rsid w:val="00E821BC"/>
    <w:rsid w:val="00E83A04"/>
    <w:rsid w:val="00E83BE5"/>
    <w:rsid w:val="00E861B5"/>
    <w:rsid w:val="00E90960"/>
    <w:rsid w:val="00E90F26"/>
    <w:rsid w:val="00E923FE"/>
    <w:rsid w:val="00E93420"/>
    <w:rsid w:val="00E934C0"/>
    <w:rsid w:val="00E943B5"/>
    <w:rsid w:val="00EA13CB"/>
    <w:rsid w:val="00EA59EC"/>
    <w:rsid w:val="00EA7D21"/>
    <w:rsid w:val="00EB0818"/>
    <w:rsid w:val="00EB0D9F"/>
    <w:rsid w:val="00EB16D2"/>
    <w:rsid w:val="00EB1B60"/>
    <w:rsid w:val="00EB1E82"/>
    <w:rsid w:val="00EB3B35"/>
    <w:rsid w:val="00EC05CD"/>
    <w:rsid w:val="00EC0618"/>
    <w:rsid w:val="00EC074A"/>
    <w:rsid w:val="00EC35B9"/>
    <w:rsid w:val="00EC512C"/>
    <w:rsid w:val="00EC6C43"/>
    <w:rsid w:val="00EC7280"/>
    <w:rsid w:val="00EC7B62"/>
    <w:rsid w:val="00ED0A35"/>
    <w:rsid w:val="00ED18BB"/>
    <w:rsid w:val="00ED3991"/>
    <w:rsid w:val="00ED6A04"/>
    <w:rsid w:val="00EE1EEF"/>
    <w:rsid w:val="00EE2480"/>
    <w:rsid w:val="00EE339B"/>
    <w:rsid w:val="00EE5E37"/>
    <w:rsid w:val="00EE6387"/>
    <w:rsid w:val="00EE71C0"/>
    <w:rsid w:val="00EF0A5F"/>
    <w:rsid w:val="00EF0F8C"/>
    <w:rsid w:val="00EF15A0"/>
    <w:rsid w:val="00EF25BB"/>
    <w:rsid w:val="00EF3588"/>
    <w:rsid w:val="00EF37FE"/>
    <w:rsid w:val="00EF38D0"/>
    <w:rsid w:val="00EF3AD6"/>
    <w:rsid w:val="00EF48FE"/>
    <w:rsid w:val="00F008A4"/>
    <w:rsid w:val="00F00CB6"/>
    <w:rsid w:val="00F02064"/>
    <w:rsid w:val="00F022D2"/>
    <w:rsid w:val="00F03170"/>
    <w:rsid w:val="00F03F6C"/>
    <w:rsid w:val="00F04170"/>
    <w:rsid w:val="00F05BD5"/>
    <w:rsid w:val="00F0619B"/>
    <w:rsid w:val="00F06BF0"/>
    <w:rsid w:val="00F1031C"/>
    <w:rsid w:val="00F16CEF"/>
    <w:rsid w:val="00F16F6C"/>
    <w:rsid w:val="00F226F3"/>
    <w:rsid w:val="00F22A6E"/>
    <w:rsid w:val="00F233ED"/>
    <w:rsid w:val="00F24206"/>
    <w:rsid w:val="00F24D1D"/>
    <w:rsid w:val="00F27F0F"/>
    <w:rsid w:val="00F335FD"/>
    <w:rsid w:val="00F340C5"/>
    <w:rsid w:val="00F44EFC"/>
    <w:rsid w:val="00F46929"/>
    <w:rsid w:val="00F4708E"/>
    <w:rsid w:val="00F471BC"/>
    <w:rsid w:val="00F50599"/>
    <w:rsid w:val="00F50A35"/>
    <w:rsid w:val="00F5173C"/>
    <w:rsid w:val="00F51CA1"/>
    <w:rsid w:val="00F51F34"/>
    <w:rsid w:val="00F5266F"/>
    <w:rsid w:val="00F53DB2"/>
    <w:rsid w:val="00F5598A"/>
    <w:rsid w:val="00F570D8"/>
    <w:rsid w:val="00F57AA6"/>
    <w:rsid w:val="00F57D6B"/>
    <w:rsid w:val="00F6081E"/>
    <w:rsid w:val="00F6183C"/>
    <w:rsid w:val="00F6371C"/>
    <w:rsid w:val="00F64E19"/>
    <w:rsid w:val="00F65CAE"/>
    <w:rsid w:val="00F67469"/>
    <w:rsid w:val="00F71C25"/>
    <w:rsid w:val="00F740B6"/>
    <w:rsid w:val="00F7468F"/>
    <w:rsid w:val="00F80F39"/>
    <w:rsid w:val="00F80F54"/>
    <w:rsid w:val="00F84DF8"/>
    <w:rsid w:val="00F84FC8"/>
    <w:rsid w:val="00F863CE"/>
    <w:rsid w:val="00F875D5"/>
    <w:rsid w:val="00F8761B"/>
    <w:rsid w:val="00F905F1"/>
    <w:rsid w:val="00F9212A"/>
    <w:rsid w:val="00F94586"/>
    <w:rsid w:val="00F94945"/>
    <w:rsid w:val="00F94CB3"/>
    <w:rsid w:val="00F95202"/>
    <w:rsid w:val="00FA2E40"/>
    <w:rsid w:val="00FA366A"/>
    <w:rsid w:val="00FA3C4E"/>
    <w:rsid w:val="00FA61F1"/>
    <w:rsid w:val="00FA7297"/>
    <w:rsid w:val="00FA7739"/>
    <w:rsid w:val="00FB01B7"/>
    <w:rsid w:val="00FB01E1"/>
    <w:rsid w:val="00FB6E90"/>
    <w:rsid w:val="00FC08D7"/>
    <w:rsid w:val="00FC1C6C"/>
    <w:rsid w:val="00FC4690"/>
    <w:rsid w:val="00FC703F"/>
    <w:rsid w:val="00FC71BF"/>
    <w:rsid w:val="00FC73A2"/>
    <w:rsid w:val="00FC73FE"/>
    <w:rsid w:val="00FC7C5C"/>
    <w:rsid w:val="00FD0116"/>
    <w:rsid w:val="00FD537C"/>
    <w:rsid w:val="00FD5EE2"/>
    <w:rsid w:val="00FD7F0C"/>
    <w:rsid w:val="00FE055F"/>
    <w:rsid w:val="00FE31EE"/>
    <w:rsid w:val="00FE4782"/>
    <w:rsid w:val="00FE4A95"/>
    <w:rsid w:val="00FE6C9F"/>
    <w:rsid w:val="00FF0FB8"/>
    <w:rsid w:val="00FF16B2"/>
    <w:rsid w:val="00FF2011"/>
    <w:rsid w:val="00FF25A3"/>
    <w:rsid w:val="00FF51C6"/>
    <w:rsid w:val="00FF7839"/>
    <w:rsid w:val="00FF7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E729D"/>
  <w15:chartTrackingRefBased/>
  <w15:docId w15:val="{1BF4F067-6103-410A-B355-B0CF314C6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659"/>
    <w:pPr>
      <w:spacing w:after="160" w:line="259" w:lineRule="auto"/>
    </w:pPr>
    <w:rPr>
      <w:kern w:val="2"/>
      <w:sz w:val="22"/>
      <w:szCs w:val="22"/>
      <w:lang w:val="en-ZW" w:eastAsia="en-US"/>
    </w:rPr>
  </w:style>
  <w:style w:type="paragraph" w:styleId="Heading1">
    <w:name w:val="heading 1"/>
    <w:basedOn w:val="Normal"/>
    <w:next w:val="Normal"/>
    <w:link w:val="Heading1Char"/>
    <w:uiPriority w:val="9"/>
    <w:qFormat/>
    <w:rsid w:val="004542F6"/>
    <w:pPr>
      <w:keepNext/>
      <w:keepLines/>
      <w:spacing w:before="240" w:after="0"/>
      <w:outlineLvl w:val="0"/>
    </w:pPr>
    <w:rPr>
      <w:rFonts w:ascii="Tahoma" w:eastAsia="Times New Roman" w:hAnsi="Tahoma"/>
      <w:b/>
      <w:sz w:val="24"/>
      <w:szCs w:val="32"/>
    </w:rPr>
  </w:style>
  <w:style w:type="paragraph" w:styleId="Heading2">
    <w:name w:val="heading 2"/>
    <w:basedOn w:val="Normal"/>
    <w:next w:val="Normal"/>
    <w:link w:val="Heading2Char"/>
    <w:uiPriority w:val="9"/>
    <w:unhideWhenUsed/>
    <w:qFormat/>
    <w:rsid w:val="00EE6387"/>
    <w:pPr>
      <w:keepNext/>
      <w:keepLines/>
      <w:spacing w:before="40" w:after="0"/>
      <w:outlineLvl w:val="1"/>
    </w:pPr>
    <w:rPr>
      <w:rFonts w:ascii="Tahoma" w:eastAsia="Times New Roman" w:hAnsi="Tahoma"/>
      <w:sz w:val="24"/>
      <w:szCs w:val="26"/>
    </w:rPr>
  </w:style>
  <w:style w:type="paragraph" w:styleId="Heading3">
    <w:name w:val="heading 3"/>
    <w:basedOn w:val="Normal"/>
    <w:next w:val="Normal"/>
    <w:link w:val="Heading3Char"/>
    <w:uiPriority w:val="9"/>
    <w:unhideWhenUsed/>
    <w:qFormat/>
    <w:rsid w:val="00721CC2"/>
    <w:pPr>
      <w:keepNext/>
      <w:spacing w:before="240" w:after="60"/>
      <w:outlineLvl w:val="2"/>
    </w:pPr>
    <w:rPr>
      <w:rFonts w:ascii="Tahoma" w:eastAsia="Times New Roman" w:hAnsi="Tahoma"/>
      <w:b/>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311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654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F03"/>
  </w:style>
  <w:style w:type="paragraph" w:styleId="Footer">
    <w:name w:val="footer"/>
    <w:basedOn w:val="Normal"/>
    <w:link w:val="FooterChar"/>
    <w:uiPriority w:val="99"/>
    <w:unhideWhenUsed/>
    <w:rsid w:val="00654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F03"/>
  </w:style>
  <w:style w:type="character" w:customStyle="1" w:styleId="Heading1Char">
    <w:name w:val="Heading 1 Char"/>
    <w:link w:val="Heading1"/>
    <w:uiPriority w:val="9"/>
    <w:rsid w:val="004542F6"/>
    <w:rPr>
      <w:rFonts w:ascii="Tahoma" w:eastAsia="Times New Roman" w:hAnsi="Tahoma"/>
      <w:b/>
      <w:kern w:val="2"/>
      <w:sz w:val="24"/>
      <w:szCs w:val="32"/>
      <w:lang w:eastAsia="en-US"/>
    </w:rPr>
  </w:style>
  <w:style w:type="character" w:customStyle="1" w:styleId="Heading2Char">
    <w:name w:val="Heading 2 Char"/>
    <w:link w:val="Heading2"/>
    <w:uiPriority w:val="9"/>
    <w:rsid w:val="00EE6387"/>
    <w:rPr>
      <w:rFonts w:ascii="Tahoma" w:eastAsia="Times New Roman" w:hAnsi="Tahoma"/>
      <w:kern w:val="2"/>
      <w:sz w:val="24"/>
      <w:szCs w:val="26"/>
      <w:lang w:eastAsia="en-US"/>
    </w:rPr>
  </w:style>
  <w:style w:type="paragraph" w:styleId="Caption">
    <w:name w:val="caption"/>
    <w:basedOn w:val="Normal"/>
    <w:next w:val="Normal"/>
    <w:uiPriority w:val="35"/>
    <w:unhideWhenUsed/>
    <w:qFormat/>
    <w:rsid w:val="00BC5A90"/>
    <w:pPr>
      <w:spacing w:after="200" w:line="240" w:lineRule="auto"/>
    </w:pPr>
    <w:rPr>
      <w:i/>
      <w:iCs/>
      <w:color w:val="44546A"/>
      <w:sz w:val="18"/>
      <w:szCs w:val="18"/>
    </w:rPr>
  </w:style>
  <w:style w:type="paragraph" w:styleId="TableofFigures">
    <w:name w:val="table of figures"/>
    <w:basedOn w:val="Normal"/>
    <w:next w:val="Normal"/>
    <w:uiPriority w:val="99"/>
    <w:unhideWhenUsed/>
    <w:rsid w:val="003C1D2F"/>
    <w:pPr>
      <w:spacing w:after="0"/>
    </w:pPr>
  </w:style>
  <w:style w:type="character" w:styleId="Hyperlink">
    <w:name w:val="Hyperlink"/>
    <w:uiPriority w:val="99"/>
    <w:unhideWhenUsed/>
    <w:rsid w:val="003C1D2F"/>
    <w:rPr>
      <w:color w:val="0563C1"/>
      <w:u w:val="single"/>
    </w:rPr>
  </w:style>
  <w:style w:type="paragraph" w:styleId="TOCHeading">
    <w:name w:val="TOC Heading"/>
    <w:basedOn w:val="Heading1"/>
    <w:next w:val="Normal"/>
    <w:uiPriority w:val="39"/>
    <w:unhideWhenUsed/>
    <w:qFormat/>
    <w:rsid w:val="00DA458A"/>
    <w:pPr>
      <w:outlineLvl w:val="9"/>
    </w:pPr>
    <w:rPr>
      <w:kern w:val="0"/>
      <w:lang w:val="en-US"/>
    </w:rPr>
  </w:style>
  <w:style w:type="paragraph" w:styleId="TOC1">
    <w:name w:val="toc 1"/>
    <w:basedOn w:val="Normal"/>
    <w:next w:val="Normal"/>
    <w:autoRedefine/>
    <w:uiPriority w:val="39"/>
    <w:unhideWhenUsed/>
    <w:rsid w:val="00C07FC0"/>
    <w:pPr>
      <w:spacing w:after="100"/>
    </w:pPr>
  </w:style>
  <w:style w:type="paragraph" w:styleId="TOC2">
    <w:name w:val="toc 2"/>
    <w:basedOn w:val="Normal"/>
    <w:next w:val="Normal"/>
    <w:autoRedefine/>
    <w:uiPriority w:val="39"/>
    <w:unhideWhenUsed/>
    <w:rsid w:val="00D46F37"/>
    <w:pPr>
      <w:tabs>
        <w:tab w:val="left" w:pos="880"/>
        <w:tab w:val="right" w:leader="dot" w:pos="9016"/>
      </w:tabs>
      <w:spacing w:after="100"/>
      <w:ind w:left="220"/>
    </w:pPr>
    <w:rPr>
      <w:rFonts w:ascii="Tahoma" w:hAnsi="Tahoma" w:cs="Tahoma"/>
      <w:b/>
      <w:noProof/>
      <w:sz w:val="24"/>
      <w:szCs w:val="24"/>
      <w:lang w:val="en-US"/>
    </w:rPr>
  </w:style>
  <w:style w:type="paragraph" w:styleId="ListParagraph">
    <w:name w:val="List Paragraph"/>
    <w:basedOn w:val="Normal"/>
    <w:uiPriority w:val="34"/>
    <w:qFormat/>
    <w:rsid w:val="00FC703F"/>
    <w:pPr>
      <w:ind w:left="720"/>
      <w:contextualSpacing/>
    </w:pPr>
  </w:style>
  <w:style w:type="paragraph" w:styleId="Revision">
    <w:name w:val="Revision"/>
    <w:hidden/>
    <w:uiPriority w:val="99"/>
    <w:semiHidden/>
    <w:rsid w:val="00300BB3"/>
    <w:rPr>
      <w:kern w:val="2"/>
      <w:sz w:val="22"/>
      <w:szCs w:val="22"/>
      <w:lang w:val="en-ZW" w:eastAsia="en-US"/>
    </w:rPr>
  </w:style>
  <w:style w:type="character" w:styleId="CommentReference">
    <w:name w:val="annotation reference"/>
    <w:uiPriority w:val="99"/>
    <w:semiHidden/>
    <w:unhideWhenUsed/>
    <w:rsid w:val="00300BB3"/>
    <w:rPr>
      <w:sz w:val="16"/>
      <w:szCs w:val="16"/>
    </w:rPr>
  </w:style>
  <w:style w:type="paragraph" w:styleId="CommentText">
    <w:name w:val="annotation text"/>
    <w:basedOn w:val="Normal"/>
    <w:link w:val="CommentTextChar"/>
    <w:uiPriority w:val="99"/>
    <w:unhideWhenUsed/>
    <w:rsid w:val="00300BB3"/>
    <w:pPr>
      <w:spacing w:line="240" w:lineRule="auto"/>
    </w:pPr>
    <w:rPr>
      <w:sz w:val="20"/>
      <w:szCs w:val="20"/>
    </w:rPr>
  </w:style>
  <w:style w:type="character" w:customStyle="1" w:styleId="CommentTextChar">
    <w:name w:val="Comment Text Char"/>
    <w:link w:val="CommentText"/>
    <w:uiPriority w:val="99"/>
    <w:rsid w:val="00300BB3"/>
    <w:rPr>
      <w:sz w:val="20"/>
      <w:szCs w:val="20"/>
    </w:rPr>
  </w:style>
  <w:style w:type="paragraph" w:styleId="CommentSubject">
    <w:name w:val="annotation subject"/>
    <w:basedOn w:val="CommentText"/>
    <w:next w:val="CommentText"/>
    <w:link w:val="CommentSubjectChar"/>
    <w:uiPriority w:val="99"/>
    <w:semiHidden/>
    <w:unhideWhenUsed/>
    <w:rsid w:val="00300BB3"/>
    <w:rPr>
      <w:b/>
      <w:bCs/>
    </w:rPr>
  </w:style>
  <w:style w:type="character" w:customStyle="1" w:styleId="CommentSubjectChar">
    <w:name w:val="Comment Subject Char"/>
    <w:link w:val="CommentSubject"/>
    <w:uiPriority w:val="99"/>
    <w:semiHidden/>
    <w:rsid w:val="00300BB3"/>
    <w:rPr>
      <w:b/>
      <w:bCs/>
      <w:sz w:val="20"/>
      <w:szCs w:val="20"/>
    </w:rPr>
  </w:style>
  <w:style w:type="paragraph" w:styleId="BalloonText">
    <w:name w:val="Balloon Text"/>
    <w:basedOn w:val="Normal"/>
    <w:link w:val="BalloonTextChar"/>
    <w:uiPriority w:val="99"/>
    <w:semiHidden/>
    <w:unhideWhenUsed/>
    <w:rsid w:val="0069792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97921"/>
    <w:rPr>
      <w:rFonts w:ascii="Segoe UI" w:hAnsi="Segoe UI" w:cs="Segoe UI"/>
      <w:kern w:val="2"/>
      <w:sz w:val="18"/>
      <w:szCs w:val="18"/>
      <w:lang w:eastAsia="en-US"/>
    </w:rPr>
  </w:style>
  <w:style w:type="paragraph" w:styleId="NoSpacing">
    <w:name w:val="No Spacing"/>
    <w:uiPriority w:val="1"/>
    <w:qFormat/>
    <w:rsid w:val="00721CC2"/>
    <w:rPr>
      <w:rFonts w:ascii="Tahoma" w:hAnsi="Tahoma"/>
      <w:b/>
      <w:kern w:val="2"/>
      <w:sz w:val="24"/>
      <w:szCs w:val="22"/>
      <w:lang w:val="en-ZW" w:eastAsia="en-US"/>
    </w:rPr>
  </w:style>
  <w:style w:type="table" w:styleId="PlainTable1">
    <w:name w:val="Plain Table 1"/>
    <w:basedOn w:val="TableNormal"/>
    <w:uiPriority w:val="41"/>
    <w:rsid w:val="00DC5CBE"/>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3Char">
    <w:name w:val="Heading 3 Char"/>
    <w:link w:val="Heading3"/>
    <w:uiPriority w:val="9"/>
    <w:rsid w:val="00721CC2"/>
    <w:rPr>
      <w:rFonts w:ascii="Tahoma" w:eastAsia="Times New Roman" w:hAnsi="Tahoma" w:cs="Times New Roman"/>
      <w:b/>
      <w:bCs/>
      <w:kern w:val="2"/>
      <w:sz w:val="24"/>
      <w:szCs w:val="26"/>
      <w:lang w:eastAsia="en-US"/>
    </w:rPr>
  </w:style>
  <w:style w:type="paragraph" w:customStyle="1" w:styleId="ListofFigures">
    <w:name w:val="List of Figures"/>
    <w:basedOn w:val="Caption"/>
    <w:next w:val="Caption"/>
    <w:qFormat/>
    <w:rsid w:val="00750E65"/>
    <w:pPr>
      <w:tabs>
        <w:tab w:val="right" w:leader="dot" w:pos="9016"/>
      </w:tabs>
    </w:pPr>
    <w:rPr>
      <w:rFonts w:ascii="Tahoma" w:hAnsi="Tahoma" w:cs="Tahoma"/>
      <w:b/>
      <w:i w:val="0"/>
      <w:noProof/>
      <w:color w:val="auto"/>
      <w:sz w:val="24"/>
    </w:rPr>
  </w:style>
  <w:style w:type="paragraph" w:customStyle="1" w:styleId="ListofTables">
    <w:name w:val="List of Tables"/>
    <w:basedOn w:val="Caption"/>
    <w:next w:val="Caption"/>
    <w:qFormat/>
    <w:rsid w:val="0001510C"/>
    <w:pPr>
      <w:keepNext/>
      <w:spacing w:after="0"/>
    </w:pPr>
    <w:rPr>
      <w:rFonts w:ascii="Tahoma" w:hAnsi="Tahoma" w:cs="Tahoma"/>
      <w:b/>
      <w:i w:val="0"/>
      <w:color w:val="auto"/>
      <w:sz w:val="24"/>
      <w:szCs w:val="24"/>
    </w:rPr>
  </w:style>
  <w:style w:type="paragraph" w:styleId="Bibliography">
    <w:name w:val="Bibliography"/>
    <w:basedOn w:val="Normal"/>
    <w:next w:val="Normal"/>
    <w:uiPriority w:val="37"/>
    <w:unhideWhenUsed/>
    <w:rsid w:val="003C7C0E"/>
  </w:style>
  <w:style w:type="paragraph" w:styleId="NormalWeb">
    <w:name w:val="Normal (Web)"/>
    <w:basedOn w:val="Normal"/>
    <w:uiPriority w:val="99"/>
    <w:semiHidden/>
    <w:unhideWhenUsed/>
    <w:rsid w:val="0020788D"/>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45601">
      <w:bodyDiv w:val="1"/>
      <w:marLeft w:val="0"/>
      <w:marRight w:val="0"/>
      <w:marTop w:val="0"/>
      <w:marBottom w:val="0"/>
      <w:divBdr>
        <w:top w:val="none" w:sz="0" w:space="0" w:color="auto"/>
        <w:left w:val="none" w:sz="0" w:space="0" w:color="auto"/>
        <w:bottom w:val="none" w:sz="0" w:space="0" w:color="auto"/>
        <w:right w:val="none" w:sz="0" w:space="0" w:color="auto"/>
      </w:divBdr>
    </w:div>
    <w:div w:id="168833991">
      <w:bodyDiv w:val="1"/>
      <w:marLeft w:val="0"/>
      <w:marRight w:val="0"/>
      <w:marTop w:val="0"/>
      <w:marBottom w:val="0"/>
      <w:divBdr>
        <w:top w:val="none" w:sz="0" w:space="0" w:color="auto"/>
        <w:left w:val="none" w:sz="0" w:space="0" w:color="auto"/>
        <w:bottom w:val="none" w:sz="0" w:space="0" w:color="auto"/>
        <w:right w:val="none" w:sz="0" w:space="0" w:color="auto"/>
      </w:divBdr>
    </w:div>
    <w:div w:id="276839923">
      <w:bodyDiv w:val="1"/>
      <w:marLeft w:val="0"/>
      <w:marRight w:val="0"/>
      <w:marTop w:val="0"/>
      <w:marBottom w:val="0"/>
      <w:divBdr>
        <w:top w:val="none" w:sz="0" w:space="0" w:color="auto"/>
        <w:left w:val="none" w:sz="0" w:space="0" w:color="auto"/>
        <w:bottom w:val="none" w:sz="0" w:space="0" w:color="auto"/>
        <w:right w:val="none" w:sz="0" w:space="0" w:color="auto"/>
      </w:divBdr>
    </w:div>
    <w:div w:id="302542723">
      <w:bodyDiv w:val="1"/>
      <w:marLeft w:val="0"/>
      <w:marRight w:val="0"/>
      <w:marTop w:val="0"/>
      <w:marBottom w:val="0"/>
      <w:divBdr>
        <w:top w:val="none" w:sz="0" w:space="0" w:color="auto"/>
        <w:left w:val="none" w:sz="0" w:space="0" w:color="auto"/>
        <w:bottom w:val="none" w:sz="0" w:space="0" w:color="auto"/>
        <w:right w:val="none" w:sz="0" w:space="0" w:color="auto"/>
      </w:divBdr>
    </w:div>
    <w:div w:id="352079526">
      <w:bodyDiv w:val="1"/>
      <w:marLeft w:val="0"/>
      <w:marRight w:val="0"/>
      <w:marTop w:val="0"/>
      <w:marBottom w:val="0"/>
      <w:divBdr>
        <w:top w:val="none" w:sz="0" w:space="0" w:color="auto"/>
        <w:left w:val="none" w:sz="0" w:space="0" w:color="auto"/>
        <w:bottom w:val="none" w:sz="0" w:space="0" w:color="auto"/>
        <w:right w:val="none" w:sz="0" w:space="0" w:color="auto"/>
      </w:divBdr>
    </w:div>
    <w:div w:id="370351089">
      <w:bodyDiv w:val="1"/>
      <w:marLeft w:val="0"/>
      <w:marRight w:val="0"/>
      <w:marTop w:val="0"/>
      <w:marBottom w:val="0"/>
      <w:divBdr>
        <w:top w:val="none" w:sz="0" w:space="0" w:color="auto"/>
        <w:left w:val="none" w:sz="0" w:space="0" w:color="auto"/>
        <w:bottom w:val="none" w:sz="0" w:space="0" w:color="auto"/>
        <w:right w:val="none" w:sz="0" w:space="0" w:color="auto"/>
      </w:divBdr>
    </w:div>
    <w:div w:id="404883050">
      <w:bodyDiv w:val="1"/>
      <w:marLeft w:val="0"/>
      <w:marRight w:val="0"/>
      <w:marTop w:val="0"/>
      <w:marBottom w:val="0"/>
      <w:divBdr>
        <w:top w:val="none" w:sz="0" w:space="0" w:color="auto"/>
        <w:left w:val="none" w:sz="0" w:space="0" w:color="auto"/>
        <w:bottom w:val="none" w:sz="0" w:space="0" w:color="auto"/>
        <w:right w:val="none" w:sz="0" w:space="0" w:color="auto"/>
      </w:divBdr>
    </w:div>
    <w:div w:id="420298280">
      <w:bodyDiv w:val="1"/>
      <w:marLeft w:val="0"/>
      <w:marRight w:val="0"/>
      <w:marTop w:val="0"/>
      <w:marBottom w:val="0"/>
      <w:divBdr>
        <w:top w:val="none" w:sz="0" w:space="0" w:color="auto"/>
        <w:left w:val="none" w:sz="0" w:space="0" w:color="auto"/>
        <w:bottom w:val="none" w:sz="0" w:space="0" w:color="auto"/>
        <w:right w:val="none" w:sz="0" w:space="0" w:color="auto"/>
      </w:divBdr>
    </w:div>
    <w:div w:id="498892672">
      <w:bodyDiv w:val="1"/>
      <w:marLeft w:val="0"/>
      <w:marRight w:val="0"/>
      <w:marTop w:val="0"/>
      <w:marBottom w:val="0"/>
      <w:divBdr>
        <w:top w:val="none" w:sz="0" w:space="0" w:color="auto"/>
        <w:left w:val="none" w:sz="0" w:space="0" w:color="auto"/>
        <w:bottom w:val="none" w:sz="0" w:space="0" w:color="auto"/>
        <w:right w:val="none" w:sz="0" w:space="0" w:color="auto"/>
      </w:divBdr>
    </w:div>
    <w:div w:id="509834341">
      <w:bodyDiv w:val="1"/>
      <w:marLeft w:val="0"/>
      <w:marRight w:val="0"/>
      <w:marTop w:val="0"/>
      <w:marBottom w:val="0"/>
      <w:divBdr>
        <w:top w:val="none" w:sz="0" w:space="0" w:color="auto"/>
        <w:left w:val="none" w:sz="0" w:space="0" w:color="auto"/>
        <w:bottom w:val="none" w:sz="0" w:space="0" w:color="auto"/>
        <w:right w:val="none" w:sz="0" w:space="0" w:color="auto"/>
      </w:divBdr>
    </w:div>
    <w:div w:id="517933771">
      <w:bodyDiv w:val="1"/>
      <w:marLeft w:val="0"/>
      <w:marRight w:val="0"/>
      <w:marTop w:val="0"/>
      <w:marBottom w:val="0"/>
      <w:divBdr>
        <w:top w:val="none" w:sz="0" w:space="0" w:color="auto"/>
        <w:left w:val="none" w:sz="0" w:space="0" w:color="auto"/>
        <w:bottom w:val="none" w:sz="0" w:space="0" w:color="auto"/>
        <w:right w:val="none" w:sz="0" w:space="0" w:color="auto"/>
      </w:divBdr>
    </w:div>
    <w:div w:id="540635561">
      <w:bodyDiv w:val="1"/>
      <w:marLeft w:val="0"/>
      <w:marRight w:val="0"/>
      <w:marTop w:val="0"/>
      <w:marBottom w:val="0"/>
      <w:divBdr>
        <w:top w:val="none" w:sz="0" w:space="0" w:color="auto"/>
        <w:left w:val="none" w:sz="0" w:space="0" w:color="auto"/>
        <w:bottom w:val="none" w:sz="0" w:space="0" w:color="auto"/>
        <w:right w:val="none" w:sz="0" w:space="0" w:color="auto"/>
      </w:divBdr>
    </w:div>
    <w:div w:id="562762955">
      <w:bodyDiv w:val="1"/>
      <w:marLeft w:val="0"/>
      <w:marRight w:val="0"/>
      <w:marTop w:val="0"/>
      <w:marBottom w:val="0"/>
      <w:divBdr>
        <w:top w:val="none" w:sz="0" w:space="0" w:color="auto"/>
        <w:left w:val="none" w:sz="0" w:space="0" w:color="auto"/>
        <w:bottom w:val="none" w:sz="0" w:space="0" w:color="auto"/>
        <w:right w:val="none" w:sz="0" w:space="0" w:color="auto"/>
      </w:divBdr>
    </w:div>
    <w:div w:id="636909022">
      <w:bodyDiv w:val="1"/>
      <w:marLeft w:val="0"/>
      <w:marRight w:val="0"/>
      <w:marTop w:val="0"/>
      <w:marBottom w:val="0"/>
      <w:divBdr>
        <w:top w:val="none" w:sz="0" w:space="0" w:color="auto"/>
        <w:left w:val="none" w:sz="0" w:space="0" w:color="auto"/>
        <w:bottom w:val="none" w:sz="0" w:space="0" w:color="auto"/>
        <w:right w:val="none" w:sz="0" w:space="0" w:color="auto"/>
      </w:divBdr>
    </w:div>
    <w:div w:id="666250830">
      <w:bodyDiv w:val="1"/>
      <w:marLeft w:val="0"/>
      <w:marRight w:val="0"/>
      <w:marTop w:val="0"/>
      <w:marBottom w:val="0"/>
      <w:divBdr>
        <w:top w:val="none" w:sz="0" w:space="0" w:color="auto"/>
        <w:left w:val="none" w:sz="0" w:space="0" w:color="auto"/>
        <w:bottom w:val="none" w:sz="0" w:space="0" w:color="auto"/>
        <w:right w:val="none" w:sz="0" w:space="0" w:color="auto"/>
      </w:divBdr>
    </w:div>
    <w:div w:id="699284679">
      <w:bodyDiv w:val="1"/>
      <w:marLeft w:val="0"/>
      <w:marRight w:val="0"/>
      <w:marTop w:val="0"/>
      <w:marBottom w:val="0"/>
      <w:divBdr>
        <w:top w:val="none" w:sz="0" w:space="0" w:color="auto"/>
        <w:left w:val="none" w:sz="0" w:space="0" w:color="auto"/>
        <w:bottom w:val="none" w:sz="0" w:space="0" w:color="auto"/>
        <w:right w:val="none" w:sz="0" w:space="0" w:color="auto"/>
      </w:divBdr>
    </w:div>
    <w:div w:id="749349085">
      <w:bodyDiv w:val="1"/>
      <w:marLeft w:val="0"/>
      <w:marRight w:val="0"/>
      <w:marTop w:val="0"/>
      <w:marBottom w:val="0"/>
      <w:divBdr>
        <w:top w:val="none" w:sz="0" w:space="0" w:color="auto"/>
        <w:left w:val="none" w:sz="0" w:space="0" w:color="auto"/>
        <w:bottom w:val="none" w:sz="0" w:space="0" w:color="auto"/>
        <w:right w:val="none" w:sz="0" w:space="0" w:color="auto"/>
      </w:divBdr>
    </w:div>
    <w:div w:id="766267803">
      <w:bodyDiv w:val="1"/>
      <w:marLeft w:val="0"/>
      <w:marRight w:val="0"/>
      <w:marTop w:val="0"/>
      <w:marBottom w:val="0"/>
      <w:divBdr>
        <w:top w:val="none" w:sz="0" w:space="0" w:color="auto"/>
        <w:left w:val="none" w:sz="0" w:space="0" w:color="auto"/>
        <w:bottom w:val="none" w:sz="0" w:space="0" w:color="auto"/>
        <w:right w:val="none" w:sz="0" w:space="0" w:color="auto"/>
      </w:divBdr>
    </w:div>
    <w:div w:id="857887673">
      <w:bodyDiv w:val="1"/>
      <w:marLeft w:val="0"/>
      <w:marRight w:val="0"/>
      <w:marTop w:val="0"/>
      <w:marBottom w:val="0"/>
      <w:divBdr>
        <w:top w:val="none" w:sz="0" w:space="0" w:color="auto"/>
        <w:left w:val="none" w:sz="0" w:space="0" w:color="auto"/>
        <w:bottom w:val="none" w:sz="0" w:space="0" w:color="auto"/>
        <w:right w:val="none" w:sz="0" w:space="0" w:color="auto"/>
      </w:divBdr>
    </w:div>
    <w:div w:id="898830225">
      <w:bodyDiv w:val="1"/>
      <w:marLeft w:val="0"/>
      <w:marRight w:val="0"/>
      <w:marTop w:val="0"/>
      <w:marBottom w:val="0"/>
      <w:divBdr>
        <w:top w:val="none" w:sz="0" w:space="0" w:color="auto"/>
        <w:left w:val="none" w:sz="0" w:space="0" w:color="auto"/>
        <w:bottom w:val="none" w:sz="0" w:space="0" w:color="auto"/>
        <w:right w:val="none" w:sz="0" w:space="0" w:color="auto"/>
      </w:divBdr>
    </w:div>
    <w:div w:id="966933962">
      <w:bodyDiv w:val="1"/>
      <w:marLeft w:val="0"/>
      <w:marRight w:val="0"/>
      <w:marTop w:val="0"/>
      <w:marBottom w:val="0"/>
      <w:divBdr>
        <w:top w:val="none" w:sz="0" w:space="0" w:color="auto"/>
        <w:left w:val="none" w:sz="0" w:space="0" w:color="auto"/>
        <w:bottom w:val="none" w:sz="0" w:space="0" w:color="auto"/>
        <w:right w:val="none" w:sz="0" w:space="0" w:color="auto"/>
      </w:divBdr>
    </w:div>
    <w:div w:id="989095941">
      <w:bodyDiv w:val="1"/>
      <w:marLeft w:val="0"/>
      <w:marRight w:val="0"/>
      <w:marTop w:val="0"/>
      <w:marBottom w:val="0"/>
      <w:divBdr>
        <w:top w:val="none" w:sz="0" w:space="0" w:color="auto"/>
        <w:left w:val="none" w:sz="0" w:space="0" w:color="auto"/>
        <w:bottom w:val="none" w:sz="0" w:space="0" w:color="auto"/>
        <w:right w:val="none" w:sz="0" w:space="0" w:color="auto"/>
      </w:divBdr>
    </w:div>
    <w:div w:id="1068575386">
      <w:bodyDiv w:val="1"/>
      <w:marLeft w:val="0"/>
      <w:marRight w:val="0"/>
      <w:marTop w:val="0"/>
      <w:marBottom w:val="0"/>
      <w:divBdr>
        <w:top w:val="none" w:sz="0" w:space="0" w:color="auto"/>
        <w:left w:val="none" w:sz="0" w:space="0" w:color="auto"/>
        <w:bottom w:val="none" w:sz="0" w:space="0" w:color="auto"/>
        <w:right w:val="none" w:sz="0" w:space="0" w:color="auto"/>
      </w:divBdr>
    </w:div>
    <w:div w:id="1090158111">
      <w:bodyDiv w:val="1"/>
      <w:marLeft w:val="0"/>
      <w:marRight w:val="0"/>
      <w:marTop w:val="0"/>
      <w:marBottom w:val="0"/>
      <w:divBdr>
        <w:top w:val="none" w:sz="0" w:space="0" w:color="auto"/>
        <w:left w:val="none" w:sz="0" w:space="0" w:color="auto"/>
        <w:bottom w:val="none" w:sz="0" w:space="0" w:color="auto"/>
        <w:right w:val="none" w:sz="0" w:space="0" w:color="auto"/>
      </w:divBdr>
    </w:div>
    <w:div w:id="1159080764">
      <w:bodyDiv w:val="1"/>
      <w:marLeft w:val="0"/>
      <w:marRight w:val="0"/>
      <w:marTop w:val="0"/>
      <w:marBottom w:val="0"/>
      <w:divBdr>
        <w:top w:val="none" w:sz="0" w:space="0" w:color="auto"/>
        <w:left w:val="none" w:sz="0" w:space="0" w:color="auto"/>
        <w:bottom w:val="none" w:sz="0" w:space="0" w:color="auto"/>
        <w:right w:val="none" w:sz="0" w:space="0" w:color="auto"/>
      </w:divBdr>
    </w:div>
    <w:div w:id="1163012317">
      <w:bodyDiv w:val="1"/>
      <w:marLeft w:val="0"/>
      <w:marRight w:val="0"/>
      <w:marTop w:val="0"/>
      <w:marBottom w:val="0"/>
      <w:divBdr>
        <w:top w:val="none" w:sz="0" w:space="0" w:color="auto"/>
        <w:left w:val="none" w:sz="0" w:space="0" w:color="auto"/>
        <w:bottom w:val="none" w:sz="0" w:space="0" w:color="auto"/>
        <w:right w:val="none" w:sz="0" w:space="0" w:color="auto"/>
      </w:divBdr>
    </w:div>
    <w:div w:id="1214466061">
      <w:bodyDiv w:val="1"/>
      <w:marLeft w:val="0"/>
      <w:marRight w:val="0"/>
      <w:marTop w:val="0"/>
      <w:marBottom w:val="0"/>
      <w:divBdr>
        <w:top w:val="none" w:sz="0" w:space="0" w:color="auto"/>
        <w:left w:val="none" w:sz="0" w:space="0" w:color="auto"/>
        <w:bottom w:val="none" w:sz="0" w:space="0" w:color="auto"/>
        <w:right w:val="none" w:sz="0" w:space="0" w:color="auto"/>
      </w:divBdr>
    </w:div>
    <w:div w:id="1253125103">
      <w:bodyDiv w:val="1"/>
      <w:marLeft w:val="0"/>
      <w:marRight w:val="0"/>
      <w:marTop w:val="0"/>
      <w:marBottom w:val="0"/>
      <w:divBdr>
        <w:top w:val="none" w:sz="0" w:space="0" w:color="auto"/>
        <w:left w:val="none" w:sz="0" w:space="0" w:color="auto"/>
        <w:bottom w:val="none" w:sz="0" w:space="0" w:color="auto"/>
        <w:right w:val="none" w:sz="0" w:space="0" w:color="auto"/>
      </w:divBdr>
    </w:div>
    <w:div w:id="1302659754">
      <w:bodyDiv w:val="1"/>
      <w:marLeft w:val="0"/>
      <w:marRight w:val="0"/>
      <w:marTop w:val="0"/>
      <w:marBottom w:val="0"/>
      <w:divBdr>
        <w:top w:val="none" w:sz="0" w:space="0" w:color="auto"/>
        <w:left w:val="none" w:sz="0" w:space="0" w:color="auto"/>
        <w:bottom w:val="none" w:sz="0" w:space="0" w:color="auto"/>
        <w:right w:val="none" w:sz="0" w:space="0" w:color="auto"/>
      </w:divBdr>
    </w:div>
    <w:div w:id="1356347157">
      <w:bodyDiv w:val="1"/>
      <w:marLeft w:val="0"/>
      <w:marRight w:val="0"/>
      <w:marTop w:val="0"/>
      <w:marBottom w:val="0"/>
      <w:divBdr>
        <w:top w:val="none" w:sz="0" w:space="0" w:color="auto"/>
        <w:left w:val="none" w:sz="0" w:space="0" w:color="auto"/>
        <w:bottom w:val="none" w:sz="0" w:space="0" w:color="auto"/>
        <w:right w:val="none" w:sz="0" w:space="0" w:color="auto"/>
      </w:divBdr>
    </w:div>
    <w:div w:id="1385564205">
      <w:bodyDiv w:val="1"/>
      <w:marLeft w:val="0"/>
      <w:marRight w:val="0"/>
      <w:marTop w:val="0"/>
      <w:marBottom w:val="0"/>
      <w:divBdr>
        <w:top w:val="none" w:sz="0" w:space="0" w:color="auto"/>
        <w:left w:val="none" w:sz="0" w:space="0" w:color="auto"/>
        <w:bottom w:val="none" w:sz="0" w:space="0" w:color="auto"/>
        <w:right w:val="none" w:sz="0" w:space="0" w:color="auto"/>
      </w:divBdr>
    </w:div>
    <w:div w:id="1386291095">
      <w:bodyDiv w:val="1"/>
      <w:marLeft w:val="0"/>
      <w:marRight w:val="0"/>
      <w:marTop w:val="0"/>
      <w:marBottom w:val="0"/>
      <w:divBdr>
        <w:top w:val="none" w:sz="0" w:space="0" w:color="auto"/>
        <w:left w:val="none" w:sz="0" w:space="0" w:color="auto"/>
        <w:bottom w:val="none" w:sz="0" w:space="0" w:color="auto"/>
        <w:right w:val="none" w:sz="0" w:space="0" w:color="auto"/>
      </w:divBdr>
    </w:div>
    <w:div w:id="1387488587">
      <w:bodyDiv w:val="1"/>
      <w:marLeft w:val="0"/>
      <w:marRight w:val="0"/>
      <w:marTop w:val="0"/>
      <w:marBottom w:val="0"/>
      <w:divBdr>
        <w:top w:val="none" w:sz="0" w:space="0" w:color="auto"/>
        <w:left w:val="none" w:sz="0" w:space="0" w:color="auto"/>
        <w:bottom w:val="none" w:sz="0" w:space="0" w:color="auto"/>
        <w:right w:val="none" w:sz="0" w:space="0" w:color="auto"/>
      </w:divBdr>
    </w:div>
    <w:div w:id="1411003019">
      <w:bodyDiv w:val="1"/>
      <w:marLeft w:val="0"/>
      <w:marRight w:val="0"/>
      <w:marTop w:val="0"/>
      <w:marBottom w:val="0"/>
      <w:divBdr>
        <w:top w:val="none" w:sz="0" w:space="0" w:color="auto"/>
        <w:left w:val="none" w:sz="0" w:space="0" w:color="auto"/>
        <w:bottom w:val="none" w:sz="0" w:space="0" w:color="auto"/>
        <w:right w:val="none" w:sz="0" w:space="0" w:color="auto"/>
      </w:divBdr>
    </w:div>
    <w:div w:id="1435977873">
      <w:bodyDiv w:val="1"/>
      <w:marLeft w:val="0"/>
      <w:marRight w:val="0"/>
      <w:marTop w:val="0"/>
      <w:marBottom w:val="0"/>
      <w:divBdr>
        <w:top w:val="none" w:sz="0" w:space="0" w:color="auto"/>
        <w:left w:val="none" w:sz="0" w:space="0" w:color="auto"/>
        <w:bottom w:val="none" w:sz="0" w:space="0" w:color="auto"/>
        <w:right w:val="none" w:sz="0" w:space="0" w:color="auto"/>
      </w:divBdr>
    </w:div>
    <w:div w:id="1523319756">
      <w:bodyDiv w:val="1"/>
      <w:marLeft w:val="0"/>
      <w:marRight w:val="0"/>
      <w:marTop w:val="0"/>
      <w:marBottom w:val="0"/>
      <w:divBdr>
        <w:top w:val="none" w:sz="0" w:space="0" w:color="auto"/>
        <w:left w:val="none" w:sz="0" w:space="0" w:color="auto"/>
        <w:bottom w:val="none" w:sz="0" w:space="0" w:color="auto"/>
        <w:right w:val="none" w:sz="0" w:space="0" w:color="auto"/>
      </w:divBdr>
    </w:div>
    <w:div w:id="1527214596">
      <w:bodyDiv w:val="1"/>
      <w:marLeft w:val="0"/>
      <w:marRight w:val="0"/>
      <w:marTop w:val="0"/>
      <w:marBottom w:val="0"/>
      <w:divBdr>
        <w:top w:val="none" w:sz="0" w:space="0" w:color="auto"/>
        <w:left w:val="none" w:sz="0" w:space="0" w:color="auto"/>
        <w:bottom w:val="none" w:sz="0" w:space="0" w:color="auto"/>
        <w:right w:val="none" w:sz="0" w:space="0" w:color="auto"/>
      </w:divBdr>
    </w:div>
    <w:div w:id="1538086052">
      <w:bodyDiv w:val="1"/>
      <w:marLeft w:val="0"/>
      <w:marRight w:val="0"/>
      <w:marTop w:val="0"/>
      <w:marBottom w:val="0"/>
      <w:divBdr>
        <w:top w:val="none" w:sz="0" w:space="0" w:color="auto"/>
        <w:left w:val="none" w:sz="0" w:space="0" w:color="auto"/>
        <w:bottom w:val="none" w:sz="0" w:space="0" w:color="auto"/>
        <w:right w:val="none" w:sz="0" w:space="0" w:color="auto"/>
      </w:divBdr>
    </w:div>
    <w:div w:id="1565408065">
      <w:bodyDiv w:val="1"/>
      <w:marLeft w:val="0"/>
      <w:marRight w:val="0"/>
      <w:marTop w:val="0"/>
      <w:marBottom w:val="0"/>
      <w:divBdr>
        <w:top w:val="none" w:sz="0" w:space="0" w:color="auto"/>
        <w:left w:val="none" w:sz="0" w:space="0" w:color="auto"/>
        <w:bottom w:val="none" w:sz="0" w:space="0" w:color="auto"/>
        <w:right w:val="none" w:sz="0" w:space="0" w:color="auto"/>
      </w:divBdr>
    </w:div>
    <w:div w:id="1565918106">
      <w:bodyDiv w:val="1"/>
      <w:marLeft w:val="0"/>
      <w:marRight w:val="0"/>
      <w:marTop w:val="0"/>
      <w:marBottom w:val="0"/>
      <w:divBdr>
        <w:top w:val="none" w:sz="0" w:space="0" w:color="auto"/>
        <w:left w:val="none" w:sz="0" w:space="0" w:color="auto"/>
        <w:bottom w:val="none" w:sz="0" w:space="0" w:color="auto"/>
        <w:right w:val="none" w:sz="0" w:space="0" w:color="auto"/>
      </w:divBdr>
    </w:div>
    <w:div w:id="1580823591">
      <w:bodyDiv w:val="1"/>
      <w:marLeft w:val="0"/>
      <w:marRight w:val="0"/>
      <w:marTop w:val="0"/>
      <w:marBottom w:val="0"/>
      <w:divBdr>
        <w:top w:val="none" w:sz="0" w:space="0" w:color="auto"/>
        <w:left w:val="none" w:sz="0" w:space="0" w:color="auto"/>
        <w:bottom w:val="none" w:sz="0" w:space="0" w:color="auto"/>
        <w:right w:val="none" w:sz="0" w:space="0" w:color="auto"/>
      </w:divBdr>
    </w:div>
    <w:div w:id="1638756874">
      <w:bodyDiv w:val="1"/>
      <w:marLeft w:val="0"/>
      <w:marRight w:val="0"/>
      <w:marTop w:val="0"/>
      <w:marBottom w:val="0"/>
      <w:divBdr>
        <w:top w:val="none" w:sz="0" w:space="0" w:color="auto"/>
        <w:left w:val="none" w:sz="0" w:space="0" w:color="auto"/>
        <w:bottom w:val="none" w:sz="0" w:space="0" w:color="auto"/>
        <w:right w:val="none" w:sz="0" w:space="0" w:color="auto"/>
      </w:divBdr>
    </w:div>
    <w:div w:id="1663386267">
      <w:bodyDiv w:val="1"/>
      <w:marLeft w:val="0"/>
      <w:marRight w:val="0"/>
      <w:marTop w:val="0"/>
      <w:marBottom w:val="0"/>
      <w:divBdr>
        <w:top w:val="none" w:sz="0" w:space="0" w:color="auto"/>
        <w:left w:val="none" w:sz="0" w:space="0" w:color="auto"/>
        <w:bottom w:val="none" w:sz="0" w:space="0" w:color="auto"/>
        <w:right w:val="none" w:sz="0" w:space="0" w:color="auto"/>
      </w:divBdr>
    </w:div>
    <w:div w:id="1682270363">
      <w:bodyDiv w:val="1"/>
      <w:marLeft w:val="0"/>
      <w:marRight w:val="0"/>
      <w:marTop w:val="0"/>
      <w:marBottom w:val="0"/>
      <w:divBdr>
        <w:top w:val="none" w:sz="0" w:space="0" w:color="auto"/>
        <w:left w:val="none" w:sz="0" w:space="0" w:color="auto"/>
        <w:bottom w:val="none" w:sz="0" w:space="0" w:color="auto"/>
        <w:right w:val="none" w:sz="0" w:space="0" w:color="auto"/>
      </w:divBdr>
    </w:div>
    <w:div w:id="1699500445">
      <w:bodyDiv w:val="1"/>
      <w:marLeft w:val="0"/>
      <w:marRight w:val="0"/>
      <w:marTop w:val="0"/>
      <w:marBottom w:val="0"/>
      <w:divBdr>
        <w:top w:val="none" w:sz="0" w:space="0" w:color="auto"/>
        <w:left w:val="none" w:sz="0" w:space="0" w:color="auto"/>
        <w:bottom w:val="none" w:sz="0" w:space="0" w:color="auto"/>
        <w:right w:val="none" w:sz="0" w:space="0" w:color="auto"/>
      </w:divBdr>
    </w:div>
    <w:div w:id="1713534031">
      <w:bodyDiv w:val="1"/>
      <w:marLeft w:val="0"/>
      <w:marRight w:val="0"/>
      <w:marTop w:val="0"/>
      <w:marBottom w:val="0"/>
      <w:divBdr>
        <w:top w:val="none" w:sz="0" w:space="0" w:color="auto"/>
        <w:left w:val="none" w:sz="0" w:space="0" w:color="auto"/>
        <w:bottom w:val="none" w:sz="0" w:space="0" w:color="auto"/>
        <w:right w:val="none" w:sz="0" w:space="0" w:color="auto"/>
      </w:divBdr>
    </w:div>
    <w:div w:id="1727609123">
      <w:bodyDiv w:val="1"/>
      <w:marLeft w:val="0"/>
      <w:marRight w:val="0"/>
      <w:marTop w:val="0"/>
      <w:marBottom w:val="0"/>
      <w:divBdr>
        <w:top w:val="none" w:sz="0" w:space="0" w:color="auto"/>
        <w:left w:val="none" w:sz="0" w:space="0" w:color="auto"/>
        <w:bottom w:val="none" w:sz="0" w:space="0" w:color="auto"/>
        <w:right w:val="none" w:sz="0" w:space="0" w:color="auto"/>
      </w:divBdr>
    </w:div>
    <w:div w:id="1938171479">
      <w:bodyDiv w:val="1"/>
      <w:marLeft w:val="0"/>
      <w:marRight w:val="0"/>
      <w:marTop w:val="0"/>
      <w:marBottom w:val="0"/>
      <w:divBdr>
        <w:top w:val="none" w:sz="0" w:space="0" w:color="auto"/>
        <w:left w:val="none" w:sz="0" w:space="0" w:color="auto"/>
        <w:bottom w:val="none" w:sz="0" w:space="0" w:color="auto"/>
        <w:right w:val="none" w:sz="0" w:space="0" w:color="auto"/>
      </w:divBdr>
    </w:div>
    <w:div w:id="1941915993">
      <w:bodyDiv w:val="1"/>
      <w:marLeft w:val="0"/>
      <w:marRight w:val="0"/>
      <w:marTop w:val="0"/>
      <w:marBottom w:val="0"/>
      <w:divBdr>
        <w:top w:val="none" w:sz="0" w:space="0" w:color="auto"/>
        <w:left w:val="none" w:sz="0" w:space="0" w:color="auto"/>
        <w:bottom w:val="none" w:sz="0" w:space="0" w:color="auto"/>
        <w:right w:val="none" w:sz="0" w:space="0" w:color="auto"/>
      </w:divBdr>
    </w:div>
    <w:div w:id="1994287108">
      <w:bodyDiv w:val="1"/>
      <w:marLeft w:val="0"/>
      <w:marRight w:val="0"/>
      <w:marTop w:val="0"/>
      <w:marBottom w:val="0"/>
      <w:divBdr>
        <w:top w:val="none" w:sz="0" w:space="0" w:color="auto"/>
        <w:left w:val="none" w:sz="0" w:space="0" w:color="auto"/>
        <w:bottom w:val="none" w:sz="0" w:space="0" w:color="auto"/>
        <w:right w:val="none" w:sz="0" w:space="0" w:color="auto"/>
      </w:divBdr>
    </w:div>
    <w:div w:id="1997416376">
      <w:bodyDiv w:val="1"/>
      <w:marLeft w:val="0"/>
      <w:marRight w:val="0"/>
      <w:marTop w:val="0"/>
      <w:marBottom w:val="0"/>
      <w:divBdr>
        <w:top w:val="none" w:sz="0" w:space="0" w:color="auto"/>
        <w:left w:val="none" w:sz="0" w:space="0" w:color="auto"/>
        <w:bottom w:val="none" w:sz="0" w:space="0" w:color="auto"/>
        <w:right w:val="none" w:sz="0" w:space="0" w:color="auto"/>
      </w:divBdr>
    </w:div>
    <w:div w:id="2076393656">
      <w:bodyDiv w:val="1"/>
      <w:marLeft w:val="0"/>
      <w:marRight w:val="0"/>
      <w:marTop w:val="0"/>
      <w:marBottom w:val="0"/>
      <w:divBdr>
        <w:top w:val="none" w:sz="0" w:space="0" w:color="auto"/>
        <w:left w:val="none" w:sz="0" w:space="0" w:color="auto"/>
        <w:bottom w:val="none" w:sz="0" w:space="0" w:color="auto"/>
        <w:right w:val="none" w:sz="0" w:space="0" w:color="auto"/>
      </w:divBdr>
    </w:div>
    <w:div w:id="210877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Economics\Documents\Monthly%20Economic%20Bulletin\MEB%20Database.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Economics\Documents\Monthly%20Economic%20Bulletin\MEB%20Database.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Economics\Documents\Monthly%20Economic%20Bulletin\MEB%20Database.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embeddings/oleObject1.bin"/></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Economics\Documents\Monthly%20Economic%20Bulletin\MEB%20Databa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'[MEB Database.xlsx]Merchandise Trade'!$B$59</c:f>
              <c:strCache>
                <c:ptCount val="1"/>
                <c:pt idx="0">
                  <c:v>Exports(USD Million)</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'[MEB Database.xlsx]Merchandise Trade'!$A$62:$A$74</c:f>
              <c:numCache>
                <c:formatCode>mmm\-yy</c:formatCode>
                <c:ptCount val="13"/>
                <c:pt idx="0">
                  <c:v>45108</c:v>
                </c:pt>
                <c:pt idx="1">
                  <c:v>45139</c:v>
                </c:pt>
                <c:pt idx="2">
                  <c:v>45170</c:v>
                </c:pt>
                <c:pt idx="3">
                  <c:v>45200</c:v>
                </c:pt>
                <c:pt idx="4">
                  <c:v>45231</c:v>
                </c:pt>
                <c:pt idx="5">
                  <c:v>45261</c:v>
                </c:pt>
                <c:pt idx="6">
                  <c:v>45292</c:v>
                </c:pt>
                <c:pt idx="7">
                  <c:v>45323</c:v>
                </c:pt>
                <c:pt idx="8">
                  <c:v>45352</c:v>
                </c:pt>
                <c:pt idx="9">
                  <c:v>45383</c:v>
                </c:pt>
                <c:pt idx="10">
                  <c:v>45413</c:v>
                </c:pt>
                <c:pt idx="11">
                  <c:v>45444</c:v>
                </c:pt>
                <c:pt idx="12">
                  <c:v>45474</c:v>
                </c:pt>
              </c:numCache>
            </c:numRef>
          </c:cat>
          <c:val>
            <c:numRef>
              <c:f>'[MEB Database.xlsx]Merchandise Trade'!$B$62:$B$74</c:f>
              <c:numCache>
                <c:formatCode>#,##0.00</c:formatCode>
                <c:ptCount val="13"/>
                <c:pt idx="0">
                  <c:v>603.23236199999997</c:v>
                </c:pt>
                <c:pt idx="1">
                  <c:v>649.78790100000003</c:v>
                </c:pt>
                <c:pt idx="2">
                  <c:v>678.10324900000001</c:v>
                </c:pt>
                <c:pt idx="3">
                  <c:v>831.86684200000002</c:v>
                </c:pt>
                <c:pt idx="4">
                  <c:v>681.28519700000004</c:v>
                </c:pt>
                <c:pt idx="5">
                  <c:v>550.63546699999995</c:v>
                </c:pt>
                <c:pt idx="6">
                  <c:v>540.89453400000002</c:v>
                </c:pt>
                <c:pt idx="7">
                  <c:v>645.01450299999999</c:v>
                </c:pt>
                <c:pt idx="8">
                  <c:v>534.69318499999997</c:v>
                </c:pt>
                <c:pt idx="9">
                  <c:v>513.5</c:v>
                </c:pt>
                <c:pt idx="10">
                  <c:v>583</c:v>
                </c:pt>
                <c:pt idx="11">
                  <c:v>524.70000000000005</c:v>
                </c:pt>
                <c:pt idx="12">
                  <c:v>548.29999999999995</c:v>
                </c:pt>
              </c:numCache>
            </c:numRef>
          </c:val>
          <c:extLst>
            <c:ext xmlns:c16="http://schemas.microsoft.com/office/drawing/2014/chart" uri="{C3380CC4-5D6E-409C-BE32-E72D297353CC}">
              <c16:uniqueId val="{00000007-29E5-4739-85E3-117175F11DDF}"/>
            </c:ext>
          </c:extLst>
        </c:ser>
        <c:ser>
          <c:idx val="1"/>
          <c:order val="1"/>
          <c:tx>
            <c:strRef>
              <c:f>'[MEB Database.xlsx]Merchandise Trade'!$C$59</c:f>
              <c:strCache>
                <c:ptCount val="1"/>
                <c:pt idx="0">
                  <c:v>Imports(USD Million)</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'[MEB Database.xlsx]Merchandise Trade'!$A$62:$A$74</c:f>
              <c:numCache>
                <c:formatCode>mmm\-yy</c:formatCode>
                <c:ptCount val="13"/>
                <c:pt idx="0">
                  <c:v>45108</c:v>
                </c:pt>
                <c:pt idx="1">
                  <c:v>45139</c:v>
                </c:pt>
                <c:pt idx="2">
                  <c:v>45170</c:v>
                </c:pt>
                <c:pt idx="3">
                  <c:v>45200</c:v>
                </c:pt>
                <c:pt idx="4">
                  <c:v>45231</c:v>
                </c:pt>
                <c:pt idx="5">
                  <c:v>45261</c:v>
                </c:pt>
                <c:pt idx="6">
                  <c:v>45292</c:v>
                </c:pt>
                <c:pt idx="7">
                  <c:v>45323</c:v>
                </c:pt>
                <c:pt idx="8">
                  <c:v>45352</c:v>
                </c:pt>
                <c:pt idx="9">
                  <c:v>45383</c:v>
                </c:pt>
                <c:pt idx="10">
                  <c:v>45413</c:v>
                </c:pt>
                <c:pt idx="11">
                  <c:v>45444</c:v>
                </c:pt>
                <c:pt idx="12">
                  <c:v>45474</c:v>
                </c:pt>
              </c:numCache>
            </c:numRef>
          </c:cat>
          <c:val>
            <c:numRef>
              <c:f>'[MEB Database.xlsx]Merchandise Trade'!$C$62:$C$74</c:f>
              <c:numCache>
                <c:formatCode>#,##0.00</c:formatCode>
                <c:ptCount val="13"/>
                <c:pt idx="0">
                  <c:v>778.94133799999997</c:v>
                </c:pt>
                <c:pt idx="1">
                  <c:v>813.66221900000005</c:v>
                </c:pt>
                <c:pt idx="2">
                  <c:v>770.82245799999998</c:v>
                </c:pt>
                <c:pt idx="3">
                  <c:v>901.21399899999994</c:v>
                </c:pt>
                <c:pt idx="4">
                  <c:v>824.85674800000004</c:v>
                </c:pt>
                <c:pt idx="5">
                  <c:v>814.64909899999998</c:v>
                </c:pt>
                <c:pt idx="6">
                  <c:v>691.53958</c:v>
                </c:pt>
                <c:pt idx="7">
                  <c:v>729.62664400000006</c:v>
                </c:pt>
                <c:pt idx="8">
                  <c:v>718.95693600000004</c:v>
                </c:pt>
                <c:pt idx="9">
                  <c:v>711.7</c:v>
                </c:pt>
                <c:pt idx="10">
                  <c:v>734.1</c:v>
                </c:pt>
                <c:pt idx="11">
                  <c:v>743.6</c:v>
                </c:pt>
                <c:pt idx="12">
                  <c:v>823.1</c:v>
                </c:pt>
              </c:numCache>
            </c:numRef>
          </c:val>
          <c:extLst>
            <c:ext xmlns:c16="http://schemas.microsoft.com/office/drawing/2014/chart" uri="{C3380CC4-5D6E-409C-BE32-E72D297353CC}">
              <c16:uniqueId val="{00000008-29E5-4739-85E3-117175F11DDF}"/>
            </c:ext>
          </c:extLst>
        </c:ser>
        <c:ser>
          <c:idx val="2"/>
          <c:order val="2"/>
          <c:tx>
            <c:strRef>
              <c:f>'[MEB Database.xlsx]Merchandise Trade'!$D$59</c:f>
              <c:strCache>
                <c:ptCount val="1"/>
                <c:pt idx="0">
                  <c:v>Trade Balance (USD Million)</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'[MEB Database.xlsx]Merchandise Trade'!$A$62:$A$74</c:f>
              <c:numCache>
                <c:formatCode>mmm\-yy</c:formatCode>
                <c:ptCount val="13"/>
                <c:pt idx="0">
                  <c:v>45108</c:v>
                </c:pt>
                <c:pt idx="1">
                  <c:v>45139</c:v>
                </c:pt>
                <c:pt idx="2">
                  <c:v>45170</c:v>
                </c:pt>
                <c:pt idx="3">
                  <c:v>45200</c:v>
                </c:pt>
                <c:pt idx="4">
                  <c:v>45231</c:v>
                </c:pt>
                <c:pt idx="5">
                  <c:v>45261</c:v>
                </c:pt>
                <c:pt idx="6">
                  <c:v>45292</c:v>
                </c:pt>
                <c:pt idx="7">
                  <c:v>45323</c:v>
                </c:pt>
                <c:pt idx="8">
                  <c:v>45352</c:v>
                </c:pt>
                <c:pt idx="9">
                  <c:v>45383</c:v>
                </c:pt>
                <c:pt idx="10">
                  <c:v>45413</c:v>
                </c:pt>
                <c:pt idx="11">
                  <c:v>45444</c:v>
                </c:pt>
                <c:pt idx="12">
                  <c:v>45474</c:v>
                </c:pt>
              </c:numCache>
            </c:numRef>
          </c:cat>
          <c:val>
            <c:numRef>
              <c:f>'[MEB Database.xlsx]Merchandise Trade'!$D$62:$D$74</c:f>
              <c:numCache>
                <c:formatCode>#,##0.00</c:formatCode>
                <c:ptCount val="13"/>
                <c:pt idx="0">
                  <c:v>-175.70897600000001</c:v>
                </c:pt>
                <c:pt idx="1">
                  <c:v>-163.87431800000002</c:v>
                </c:pt>
                <c:pt idx="2">
                  <c:v>-92.719208999999978</c:v>
                </c:pt>
                <c:pt idx="3">
                  <c:v>-69.347156999999925</c:v>
                </c:pt>
                <c:pt idx="4">
                  <c:v>-143.571551</c:v>
                </c:pt>
                <c:pt idx="5">
                  <c:v>-264.01363200000003</c:v>
                </c:pt>
                <c:pt idx="6">
                  <c:v>-150.64504599999998</c:v>
                </c:pt>
                <c:pt idx="7">
                  <c:v>-84.612141000000065</c:v>
                </c:pt>
                <c:pt idx="8">
                  <c:v>-184.26375100000007</c:v>
                </c:pt>
                <c:pt idx="9">
                  <c:v>-198.20000000000005</c:v>
                </c:pt>
                <c:pt idx="10">
                  <c:v>-151.10000000000002</c:v>
                </c:pt>
                <c:pt idx="11">
                  <c:v>-218.89999999999998</c:v>
                </c:pt>
                <c:pt idx="12">
                  <c:v>-274.80000000000007</c:v>
                </c:pt>
              </c:numCache>
            </c:numRef>
          </c:val>
          <c:extLst>
            <c:ext xmlns:c16="http://schemas.microsoft.com/office/drawing/2014/chart" uri="{C3380CC4-5D6E-409C-BE32-E72D297353CC}">
              <c16:uniqueId val="{00000009-29E5-4739-85E3-117175F11DDF}"/>
            </c:ext>
          </c:extLst>
        </c:ser>
        <c:dLbls>
          <c:showLegendKey val="0"/>
          <c:showVal val="0"/>
          <c:showCatName val="0"/>
          <c:showSerName val="0"/>
          <c:showPercent val="0"/>
          <c:showBubbleSize val="0"/>
        </c:dLbls>
        <c:gapWidth val="315"/>
        <c:overlap val="-40"/>
        <c:axId val="1460376464"/>
        <c:axId val="1460359664"/>
      </c:barChart>
      <c:dateAx>
        <c:axId val="1460376464"/>
        <c:scaling>
          <c:orientation val="minMax"/>
        </c:scaling>
        <c:delete val="0"/>
        <c:axPos val="b"/>
        <c:numFmt formatCode="mmm\-yy" sourceLinked="1"/>
        <c:majorTickMark val="out"/>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60359664"/>
        <c:crosses val="autoZero"/>
        <c:auto val="1"/>
        <c:lblOffset val="100"/>
        <c:baseTimeUnit val="months"/>
      </c:dateAx>
      <c:valAx>
        <c:axId val="146035966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603764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'[MEB Database.xlsx]ZWG USD Exch Rates'!$B$51</c:f>
              <c:strCache>
                <c:ptCount val="1"/>
                <c:pt idx="0">
                  <c:v>Official Rate</c:v>
                </c:pt>
              </c:strCache>
            </c:strRef>
          </c:tx>
          <c:spPr>
            <a:ln w="28575" cap="rnd">
              <a:solidFill>
                <a:schemeClr val="accent1"/>
              </a:solidFill>
              <a:round/>
            </a:ln>
            <a:effectLst/>
          </c:spPr>
          <c:marker>
            <c:symbol val="none"/>
          </c:marker>
          <c:cat>
            <c:numRef>
              <c:f>'[MEB Database.xlsx]ZWG USD Exch Rates'!$A$52:$A$81</c:f>
              <c:numCache>
                <c:formatCode>[$-3009]dd\-mmm\-yy;@</c:formatCode>
                <c:ptCount val="30"/>
                <c:pt idx="0">
                  <c:v>45536</c:v>
                </c:pt>
                <c:pt idx="1">
                  <c:v>45537</c:v>
                </c:pt>
                <c:pt idx="2">
                  <c:v>45538</c:v>
                </c:pt>
                <c:pt idx="3">
                  <c:v>45539</c:v>
                </c:pt>
                <c:pt idx="4">
                  <c:v>45540</c:v>
                </c:pt>
                <c:pt idx="5">
                  <c:v>45541</c:v>
                </c:pt>
                <c:pt idx="6">
                  <c:v>45542</c:v>
                </c:pt>
                <c:pt idx="7">
                  <c:v>45543</c:v>
                </c:pt>
                <c:pt idx="8">
                  <c:v>45544</c:v>
                </c:pt>
                <c:pt idx="9">
                  <c:v>45545</c:v>
                </c:pt>
                <c:pt idx="10">
                  <c:v>45546</c:v>
                </c:pt>
                <c:pt idx="11">
                  <c:v>45547</c:v>
                </c:pt>
                <c:pt idx="12">
                  <c:v>45548</c:v>
                </c:pt>
                <c:pt idx="13">
                  <c:v>45549</c:v>
                </c:pt>
                <c:pt idx="14">
                  <c:v>45550</c:v>
                </c:pt>
                <c:pt idx="15">
                  <c:v>45551</c:v>
                </c:pt>
                <c:pt idx="16">
                  <c:v>45552</c:v>
                </c:pt>
                <c:pt idx="17">
                  <c:v>45553</c:v>
                </c:pt>
                <c:pt idx="18">
                  <c:v>45554</c:v>
                </c:pt>
                <c:pt idx="19">
                  <c:v>45555</c:v>
                </c:pt>
                <c:pt idx="20">
                  <c:v>45556</c:v>
                </c:pt>
                <c:pt idx="21">
                  <c:v>45557</c:v>
                </c:pt>
                <c:pt idx="22">
                  <c:v>45558</c:v>
                </c:pt>
                <c:pt idx="23">
                  <c:v>45559</c:v>
                </c:pt>
                <c:pt idx="24">
                  <c:v>45560</c:v>
                </c:pt>
                <c:pt idx="25">
                  <c:v>45561</c:v>
                </c:pt>
                <c:pt idx="26">
                  <c:v>45562</c:v>
                </c:pt>
                <c:pt idx="27">
                  <c:v>45563</c:v>
                </c:pt>
                <c:pt idx="28">
                  <c:v>45564</c:v>
                </c:pt>
                <c:pt idx="29">
                  <c:v>45565</c:v>
                </c:pt>
              </c:numCache>
            </c:numRef>
          </c:cat>
          <c:val>
            <c:numRef>
              <c:f>'[MEB Database.xlsx]ZWG USD Exch Rates'!$B$52:$B$81</c:f>
              <c:numCache>
                <c:formatCode>0.00</c:formatCode>
                <c:ptCount val="30"/>
                <c:pt idx="0">
                  <c:v>13.85</c:v>
                </c:pt>
                <c:pt idx="1">
                  <c:v>13.860300000000001</c:v>
                </c:pt>
                <c:pt idx="2">
                  <c:v>13.8659</c:v>
                </c:pt>
                <c:pt idx="3">
                  <c:v>13.8697</c:v>
                </c:pt>
                <c:pt idx="4">
                  <c:v>13.8742</c:v>
                </c:pt>
                <c:pt idx="5">
                  <c:v>13.891</c:v>
                </c:pt>
                <c:pt idx="6">
                  <c:v>13.891</c:v>
                </c:pt>
                <c:pt idx="7">
                  <c:v>13.891</c:v>
                </c:pt>
                <c:pt idx="8">
                  <c:v>13.9236</c:v>
                </c:pt>
                <c:pt idx="9">
                  <c:v>13.947699999999999</c:v>
                </c:pt>
                <c:pt idx="10">
                  <c:v>13.9489</c:v>
                </c:pt>
                <c:pt idx="11">
                  <c:v>13.949199999999999</c:v>
                </c:pt>
                <c:pt idx="12">
                  <c:v>13.9521</c:v>
                </c:pt>
                <c:pt idx="13">
                  <c:v>13.9521</c:v>
                </c:pt>
                <c:pt idx="14">
                  <c:v>13.9521</c:v>
                </c:pt>
                <c:pt idx="15">
                  <c:v>13.956300000000001</c:v>
                </c:pt>
                <c:pt idx="16">
                  <c:v>13.9579</c:v>
                </c:pt>
                <c:pt idx="17">
                  <c:v>13.960800000000001</c:v>
                </c:pt>
                <c:pt idx="18">
                  <c:v>13.9711</c:v>
                </c:pt>
                <c:pt idx="19">
                  <c:v>13.978300000000001</c:v>
                </c:pt>
                <c:pt idx="20">
                  <c:v>13.978300000000001</c:v>
                </c:pt>
                <c:pt idx="21">
                  <c:v>13.978300000000001</c:v>
                </c:pt>
                <c:pt idx="22">
                  <c:v>13.9802</c:v>
                </c:pt>
                <c:pt idx="23">
                  <c:v>13.9854</c:v>
                </c:pt>
                <c:pt idx="24">
                  <c:v>13.991199999999999</c:v>
                </c:pt>
                <c:pt idx="25">
                  <c:v>13.998699999999999</c:v>
                </c:pt>
                <c:pt idx="26">
                  <c:v>24.3902</c:v>
                </c:pt>
                <c:pt idx="27">
                  <c:v>24.3902</c:v>
                </c:pt>
                <c:pt idx="28">
                  <c:v>24.3902</c:v>
                </c:pt>
                <c:pt idx="29">
                  <c:v>24.883099999999999</c:v>
                </c:pt>
              </c:numCache>
            </c:numRef>
          </c:val>
          <c:smooth val="0"/>
          <c:extLst>
            <c:ext xmlns:c16="http://schemas.microsoft.com/office/drawing/2014/chart" uri="{C3380CC4-5D6E-409C-BE32-E72D297353CC}">
              <c16:uniqueId val="{00000000-F37D-4397-ABAA-EBC47BEEF8B4}"/>
            </c:ext>
          </c:extLst>
        </c:ser>
        <c:ser>
          <c:idx val="1"/>
          <c:order val="1"/>
          <c:tx>
            <c:strRef>
              <c:f>'[MEB Database.xlsx]ZWG USD Exch Rates'!$C$51</c:f>
              <c:strCache>
                <c:ptCount val="1"/>
                <c:pt idx="0">
                  <c:v>Parallel Market Rate</c:v>
                </c:pt>
              </c:strCache>
            </c:strRef>
          </c:tx>
          <c:spPr>
            <a:ln w="28575" cap="rnd">
              <a:solidFill>
                <a:schemeClr val="accent2"/>
              </a:solidFill>
              <a:round/>
            </a:ln>
            <a:effectLst/>
          </c:spPr>
          <c:marker>
            <c:symbol val="none"/>
          </c:marker>
          <c:cat>
            <c:numRef>
              <c:f>'[MEB Database.xlsx]ZWG USD Exch Rates'!$A$52:$A$81</c:f>
              <c:numCache>
                <c:formatCode>[$-3009]dd\-mmm\-yy;@</c:formatCode>
                <c:ptCount val="30"/>
                <c:pt idx="0">
                  <c:v>45536</c:v>
                </c:pt>
                <c:pt idx="1">
                  <c:v>45537</c:v>
                </c:pt>
                <c:pt idx="2">
                  <c:v>45538</c:v>
                </c:pt>
                <c:pt idx="3">
                  <c:v>45539</c:v>
                </c:pt>
                <c:pt idx="4">
                  <c:v>45540</c:v>
                </c:pt>
                <c:pt idx="5">
                  <c:v>45541</c:v>
                </c:pt>
                <c:pt idx="6">
                  <c:v>45542</c:v>
                </c:pt>
                <c:pt idx="7">
                  <c:v>45543</c:v>
                </c:pt>
                <c:pt idx="8">
                  <c:v>45544</c:v>
                </c:pt>
                <c:pt idx="9">
                  <c:v>45545</c:v>
                </c:pt>
                <c:pt idx="10">
                  <c:v>45546</c:v>
                </c:pt>
                <c:pt idx="11">
                  <c:v>45547</c:v>
                </c:pt>
                <c:pt idx="12">
                  <c:v>45548</c:v>
                </c:pt>
                <c:pt idx="13">
                  <c:v>45549</c:v>
                </c:pt>
                <c:pt idx="14">
                  <c:v>45550</c:v>
                </c:pt>
                <c:pt idx="15">
                  <c:v>45551</c:v>
                </c:pt>
                <c:pt idx="16">
                  <c:v>45552</c:v>
                </c:pt>
                <c:pt idx="17">
                  <c:v>45553</c:v>
                </c:pt>
                <c:pt idx="18">
                  <c:v>45554</c:v>
                </c:pt>
                <c:pt idx="19">
                  <c:v>45555</c:v>
                </c:pt>
                <c:pt idx="20">
                  <c:v>45556</c:v>
                </c:pt>
                <c:pt idx="21">
                  <c:v>45557</c:v>
                </c:pt>
                <c:pt idx="22">
                  <c:v>45558</c:v>
                </c:pt>
                <c:pt idx="23">
                  <c:v>45559</c:v>
                </c:pt>
                <c:pt idx="24">
                  <c:v>45560</c:v>
                </c:pt>
                <c:pt idx="25">
                  <c:v>45561</c:v>
                </c:pt>
                <c:pt idx="26">
                  <c:v>45562</c:v>
                </c:pt>
                <c:pt idx="27">
                  <c:v>45563</c:v>
                </c:pt>
                <c:pt idx="28">
                  <c:v>45564</c:v>
                </c:pt>
                <c:pt idx="29">
                  <c:v>45565</c:v>
                </c:pt>
              </c:numCache>
            </c:numRef>
          </c:cat>
          <c:val>
            <c:numRef>
              <c:f>'[MEB Database.xlsx]ZWG USD Exch Rates'!$C$52:$C$81</c:f>
              <c:numCache>
                <c:formatCode>0.00</c:formatCode>
                <c:ptCount val="30"/>
                <c:pt idx="0">
                  <c:v>23</c:v>
                </c:pt>
                <c:pt idx="1">
                  <c:v>23</c:v>
                </c:pt>
                <c:pt idx="2">
                  <c:v>23</c:v>
                </c:pt>
                <c:pt idx="3">
                  <c:v>23</c:v>
                </c:pt>
                <c:pt idx="4">
                  <c:v>23</c:v>
                </c:pt>
                <c:pt idx="5">
                  <c:v>23</c:v>
                </c:pt>
                <c:pt idx="6">
                  <c:v>23</c:v>
                </c:pt>
                <c:pt idx="7">
                  <c:v>23</c:v>
                </c:pt>
                <c:pt idx="8">
                  <c:v>25</c:v>
                </c:pt>
                <c:pt idx="9">
                  <c:v>25</c:v>
                </c:pt>
                <c:pt idx="10">
                  <c:v>25</c:v>
                </c:pt>
                <c:pt idx="11">
                  <c:v>25</c:v>
                </c:pt>
                <c:pt idx="12">
                  <c:v>25</c:v>
                </c:pt>
                <c:pt idx="13">
                  <c:v>27</c:v>
                </c:pt>
                <c:pt idx="14">
                  <c:v>27</c:v>
                </c:pt>
                <c:pt idx="15">
                  <c:v>27</c:v>
                </c:pt>
                <c:pt idx="16">
                  <c:v>27</c:v>
                </c:pt>
                <c:pt idx="17">
                  <c:v>27</c:v>
                </c:pt>
                <c:pt idx="18">
                  <c:v>27</c:v>
                </c:pt>
                <c:pt idx="19">
                  <c:v>33</c:v>
                </c:pt>
                <c:pt idx="20">
                  <c:v>33</c:v>
                </c:pt>
                <c:pt idx="21">
                  <c:v>33</c:v>
                </c:pt>
                <c:pt idx="22">
                  <c:v>33</c:v>
                </c:pt>
                <c:pt idx="23">
                  <c:v>33</c:v>
                </c:pt>
                <c:pt idx="24">
                  <c:v>33</c:v>
                </c:pt>
                <c:pt idx="25">
                  <c:v>33</c:v>
                </c:pt>
                <c:pt idx="26">
                  <c:v>40</c:v>
                </c:pt>
                <c:pt idx="27">
                  <c:v>40</c:v>
                </c:pt>
                <c:pt idx="28">
                  <c:v>40</c:v>
                </c:pt>
                <c:pt idx="29">
                  <c:v>40</c:v>
                </c:pt>
              </c:numCache>
            </c:numRef>
          </c:val>
          <c:smooth val="0"/>
          <c:extLst>
            <c:ext xmlns:c16="http://schemas.microsoft.com/office/drawing/2014/chart" uri="{C3380CC4-5D6E-409C-BE32-E72D297353CC}">
              <c16:uniqueId val="{00000001-F37D-4397-ABAA-EBC47BEEF8B4}"/>
            </c:ext>
          </c:extLst>
        </c:ser>
        <c:dLbls>
          <c:showLegendKey val="0"/>
          <c:showVal val="0"/>
          <c:showCatName val="0"/>
          <c:showSerName val="0"/>
          <c:showPercent val="0"/>
          <c:showBubbleSize val="0"/>
        </c:dLbls>
        <c:marker val="1"/>
        <c:smooth val="0"/>
        <c:axId val="311312752"/>
        <c:axId val="311316112"/>
      </c:lineChart>
      <c:lineChart>
        <c:grouping val="standard"/>
        <c:varyColors val="0"/>
        <c:ser>
          <c:idx val="2"/>
          <c:order val="2"/>
          <c:tx>
            <c:strRef>
              <c:f>'[MEB Database.xlsx]ZWG USD Exch Rates'!$D$51</c:f>
              <c:strCache>
                <c:ptCount val="1"/>
                <c:pt idx="0">
                  <c:v>Exchange Rate Premium</c:v>
                </c:pt>
              </c:strCache>
            </c:strRef>
          </c:tx>
          <c:spPr>
            <a:ln w="28575" cap="rnd">
              <a:solidFill>
                <a:schemeClr val="accent3"/>
              </a:solidFill>
              <a:round/>
            </a:ln>
            <a:effectLst/>
          </c:spPr>
          <c:marker>
            <c:symbol val="none"/>
          </c:marker>
          <c:cat>
            <c:numRef>
              <c:f>'[MEB Database.xlsx]ZWG USD Exch Rates'!$A$52:$A$81</c:f>
              <c:numCache>
                <c:formatCode>[$-3009]dd\-mmm\-yy;@</c:formatCode>
                <c:ptCount val="30"/>
                <c:pt idx="0">
                  <c:v>45536</c:v>
                </c:pt>
                <c:pt idx="1">
                  <c:v>45537</c:v>
                </c:pt>
                <c:pt idx="2">
                  <c:v>45538</c:v>
                </c:pt>
                <c:pt idx="3">
                  <c:v>45539</c:v>
                </c:pt>
                <c:pt idx="4">
                  <c:v>45540</c:v>
                </c:pt>
                <c:pt idx="5">
                  <c:v>45541</c:v>
                </c:pt>
                <c:pt idx="6">
                  <c:v>45542</c:v>
                </c:pt>
                <c:pt idx="7">
                  <c:v>45543</c:v>
                </c:pt>
                <c:pt idx="8">
                  <c:v>45544</c:v>
                </c:pt>
                <c:pt idx="9">
                  <c:v>45545</c:v>
                </c:pt>
                <c:pt idx="10">
                  <c:v>45546</c:v>
                </c:pt>
                <c:pt idx="11">
                  <c:v>45547</c:v>
                </c:pt>
                <c:pt idx="12">
                  <c:v>45548</c:v>
                </c:pt>
                <c:pt idx="13">
                  <c:v>45549</c:v>
                </c:pt>
                <c:pt idx="14">
                  <c:v>45550</c:v>
                </c:pt>
                <c:pt idx="15">
                  <c:v>45551</c:v>
                </c:pt>
                <c:pt idx="16">
                  <c:v>45552</c:v>
                </c:pt>
                <c:pt idx="17">
                  <c:v>45553</c:v>
                </c:pt>
                <c:pt idx="18">
                  <c:v>45554</c:v>
                </c:pt>
                <c:pt idx="19">
                  <c:v>45555</c:v>
                </c:pt>
                <c:pt idx="20">
                  <c:v>45556</c:v>
                </c:pt>
                <c:pt idx="21">
                  <c:v>45557</c:v>
                </c:pt>
                <c:pt idx="22">
                  <c:v>45558</c:v>
                </c:pt>
                <c:pt idx="23">
                  <c:v>45559</c:v>
                </c:pt>
                <c:pt idx="24">
                  <c:v>45560</c:v>
                </c:pt>
                <c:pt idx="25">
                  <c:v>45561</c:v>
                </c:pt>
                <c:pt idx="26">
                  <c:v>45562</c:v>
                </c:pt>
                <c:pt idx="27">
                  <c:v>45563</c:v>
                </c:pt>
                <c:pt idx="28">
                  <c:v>45564</c:v>
                </c:pt>
                <c:pt idx="29">
                  <c:v>45565</c:v>
                </c:pt>
              </c:numCache>
            </c:numRef>
          </c:cat>
          <c:val>
            <c:numRef>
              <c:f>'[MEB Database.xlsx]ZWG USD Exch Rates'!$D$52:$D$81</c:f>
              <c:numCache>
                <c:formatCode>0.00</c:formatCode>
                <c:ptCount val="30"/>
                <c:pt idx="0">
                  <c:v>66.064981949458485</c:v>
                </c:pt>
                <c:pt idx="1">
                  <c:v>65.94157413620195</c:v>
                </c:pt>
                <c:pt idx="2">
                  <c:v>65.874555564370155</c:v>
                </c:pt>
                <c:pt idx="3">
                  <c:v>65.829109497681998</c:v>
                </c:pt>
                <c:pt idx="4">
                  <c:v>65.775323982644039</c:v>
                </c:pt>
                <c:pt idx="5">
                  <c:v>65.574832625440933</c:v>
                </c:pt>
                <c:pt idx="6">
                  <c:v>65.574832625440933</c:v>
                </c:pt>
                <c:pt idx="7">
                  <c:v>65.574832625440933</c:v>
                </c:pt>
                <c:pt idx="8">
                  <c:v>79.551265477319077</c:v>
                </c:pt>
                <c:pt idx="9">
                  <c:v>79.241021817217188</c:v>
                </c:pt>
                <c:pt idx="10">
                  <c:v>79.225602018797176</c:v>
                </c:pt>
                <c:pt idx="11">
                  <c:v>79.221747483726674</c:v>
                </c:pt>
                <c:pt idx="12">
                  <c:v>79.184495523971307</c:v>
                </c:pt>
                <c:pt idx="13">
                  <c:v>93.519255165889021</c:v>
                </c:pt>
                <c:pt idx="14">
                  <c:v>93.519255165889021</c:v>
                </c:pt>
                <c:pt idx="15">
                  <c:v>93.461017604952588</c:v>
                </c:pt>
                <c:pt idx="16">
                  <c:v>93.438841086409838</c:v>
                </c:pt>
                <c:pt idx="17">
                  <c:v>93.398659102630205</c:v>
                </c:pt>
                <c:pt idx="18">
                  <c:v>93.25607861943584</c:v>
                </c:pt>
                <c:pt idx="19">
                  <c:v>136.08021003984746</c:v>
                </c:pt>
                <c:pt idx="20">
                  <c:v>136.08021003984746</c:v>
                </c:pt>
                <c:pt idx="21">
                  <c:v>136.08021003984746</c:v>
                </c:pt>
                <c:pt idx="22">
                  <c:v>136.04812520564801</c:v>
                </c:pt>
                <c:pt idx="23">
                  <c:v>135.96035865974517</c:v>
                </c:pt>
                <c:pt idx="24">
                  <c:v>135.86254216936362</c:v>
                </c:pt>
                <c:pt idx="25">
                  <c:v>135.73617550201092</c:v>
                </c:pt>
                <c:pt idx="26">
                  <c:v>64.000295200531369</c:v>
                </c:pt>
                <c:pt idx="27">
                  <c:v>64.000295200531369</c:v>
                </c:pt>
                <c:pt idx="28">
                  <c:v>64.000295200531369</c:v>
                </c:pt>
                <c:pt idx="29">
                  <c:v>60.751674831512162</c:v>
                </c:pt>
              </c:numCache>
            </c:numRef>
          </c:val>
          <c:smooth val="0"/>
          <c:extLst>
            <c:ext xmlns:c16="http://schemas.microsoft.com/office/drawing/2014/chart" uri="{C3380CC4-5D6E-409C-BE32-E72D297353CC}">
              <c16:uniqueId val="{00000002-F37D-4397-ABAA-EBC47BEEF8B4}"/>
            </c:ext>
          </c:extLst>
        </c:ser>
        <c:dLbls>
          <c:showLegendKey val="0"/>
          <c:showVal val="0"/>
          <c:showCatName val="0"/>
          <c:showSerName val="0"/>
          <c:showPercent val="0"/>
          <c:showBubbleSize val="0"/>
        </c:dLbls>
        <c:marker val="1"/>
        <c:smooth val="0"/>
        <c:axId val="365923552"/>
        <c:axId val="365924992"/>
      </c:lineChart>
      <c:dateAx>
        <c:axId val="311312752"/>
        <c:scaling>
          <c:orientation val="minMax"/>
        </c:scaling>
        <c:delete val="0"/>
        <c:axPos val="b"/>
        <c:numFmt formatCode="[$-3009]d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316112"/>
        <c:crosses val="autoZero"/>
        <c:auto val="1"/>
        <c:lblOffset val="100"/>
        <c:baseTimeUnit val="days"/>
      </c:dateAx>
      <c:valAx>
        <c:axId val="311316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312752"/>
        <c:crosses val="autoZero"/>
        <c:crossBetween val="between"/>
      </c:valAx>
      <c:valAx>
        <c:axId val="365924992"/>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923552"/>
        <c:crosses val="max"/>
        <c:crossBetween val="between"/>
      </c:valAx>
      <c:dateAx>
        <c:axId val="365923552"/>
        <c:scaling>
          <c:orientation val="minMax"/>
        </c:scaling>
        <c:delete val="1"/>
        <c:axPos val="b"/>
        <c:numFmt formatCode="[$-3009]dd\-mmm\-yy;@" sourceLinked="1"/>
        <c:majorTickMark val="out"/>
        <c:minorTickMark val="none"/>
        <c:tickLblPos val="nextTo"/>
        <c:crossAx val="365924992"/>
        <c:crosses val="autoZero"/>
        <c:auto val="1"/>
        <c:lblOffset val="100"/>
        <c:baseTimeUnit val="day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'[MEB Database.xlsx]Zim Inflation'!$B$292</c:f>
              <c:strCache>
                <c:ptCount val="1"/>
                <c:pt idx="0">
                  <c:v>ZWG Inflation</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'[MEB Database.xlsx]Zim Inflation'!$A$293:$A$297</c:f>
              <c:numCache>
                <c:formatCode>mmm\-yy</c:formatCode>
                <c:ptCount val="5"/>
                <c:pt idx="0">
                  <c:v>45413</c:v>
                </c:pt>
                <c:pt idx="1">
                  <c:v>45444</c:v>
                </c:pt>
                <c:pt idx="2">
                  <c:v>45474</c:v>
                </c:pt>
                <c:pt idx="3">
                  <c:v>45505</c:v>
                </c:pt>
                <c:pt idx="4">
                  <c:v>45536</c:v>
                </c:pt>
              </c:numCache>
            </c:numRef>
          </c:xVal>
          <c:yVal>
            <c:numRef>
              <c:f>'[MEB Database.xlsx]Zim Inflation'!$B$293:$B$297</c:f>
              <c:numCache>
                <c:formatCode>General</c:formatCode>
                <c:ptCount val="5"/>
                <c:pt idx="0">
                  <c:v>-2.4</c:v>
                </c:pt>
                <c:pt idx="1">
                  <c:v>0</c:v>
                </c:pt>
                <c:pt idx="2">
                  <c:v>-0.1</c:v>
                </c:pt>
                <c:pt idx="3">
                  <c:v>1.4</c:v>
                </c:pt>
                <c:pt idx="4" formatCode="0.0">
                  <c:v>5.7762813859791864</c:v>
                </c:pt>
              </c:numCache>
            </c:numRef>
          </c:yVal>
          <c:smooth val="0"/>
          <c:extLst>
            <c:ext xmlns:c16="http://schemas.microsoft.com/office/drawing/2014/chart" uri="{C3380CC4-5D6E-409C-BE32-E72D297353CC}">
              <c16:uniqueId val="{00000000-898E-4D1C-8508-25572CE29CBB}"/>
            </c:ext>
          </c:extLst>
        </c:ser>
        <c:dLbls>
          <c:dLblPos val="t"/>
          <c:showLegendKey val="0"/>
          <c:showVal val="1"/>
          <c:showCatName val="0"/>
          <c:showSerName val="0"/>
          <c:showPercent val="0"/>
          <c:showBubbleSize val="0"/>
        </c:dLbls>
        <c:axId val="1637316031"/>
        <c:axId val="1637314367"/>
      </c:scatterChart>
      <c:valAx>
        <c:axId val="1637316031"/>
        <c:scaling>
          <c:orientation val="minMax"/>
        </c:scaling>
        <c:delete val="0"/>
        <c:axPos val="b"/>
        <c:majorGridlines>
          <c:spPr>
            <a:ln w="9525" cap="flat" cmpd="sng" algn="ctr">
              <a:solidFill>
                <a:schemeClr val="tx1">
                  <a:lumMod val="15000"/>
                  <a:lumOff val="85000"/>
                </a:schemeClr>
              </a:solidFill>
              <a:round/>
            </a:ln>
            <a:effectLst/>
          </c:spPr>
        </c:majorGridlines>
        <c:numFmt formatCode="mmm\-yy"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7314367"/>
        <c:crosses val="autoZero"/>
        <c:crossBetween val="midCat"/>
      </c:valAx>
      <c:valAx>
        <c:axId val="1637314367"/>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6373160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'[MEB Database.xlsx]Zim Inflation'!$B$236</c:f>
              <c:strCache>
                <c:ptCount val="1"/>
                <c:pt idx="0">
                  <c:v>Inflation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1"/>
              <c:layout>
                <c:manualLayout>
                  <c:x val="-5.1504712479121931E-2"/>
                  <c:y val="-4.67359509354259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7A1-49E2-811F-787914A62561}"/>
                </c:ext>
              </c:extLst>
            </c:dLbl>
            <c:dLbl>
              <c:idx val="3"/>
              <c:layout>
                <c:manualLayout>
                  <c:x val="-4.308720406161351E-2"/>
                  <c:y val="-6.91826400487817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7A1-49E2-811F-787914A62561}"/>
                </c:ext>
              </c:extLst>
            </c:dLbl>
            <c:dLbl>
              <c:idx val="7"/>
              <c:layout>
                <c:manualLayout>
                  <c:x val="-2.2043433017842468E-2"/>
                  <c:y val="-4.67359509354259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7A1-49E2-811F-787914A62561}"/>
                </c:ext>
              </c:extLst>
            </c:dLbl>
            <c:dLbl>
              <c:idx val="8"/>
              <c:layout>
                <c:manualLayout>
                  <c:x val="-3.7568433680638405E-2"/>
                  <c:y val="3.556857581354519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7A1-49E2-811F-787914A6256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'[MEB Database.xlsx]Zim Inflation'!$A$238:$A$250</c:f>
              <c:numCache>
                <c:formatCode>mmm\-yy</c:formatCode>
                <c:ptCount val="13"/>
                <c:pt idx="0">
                  <c:v>45170</c:v>
                </c:pt>
                <c:pt idx="1">
                  <c:v>45200</c:v>
                </c:pt>
                <c:pt idx="2">
                  <c:v>45231</c:v>
                </c:pt>
                <c:pt idx="3">
                  <c:v>45261</c:v>
                </c:pt>
                <c:pt idx="4">
                  <c:v>45292</c:v>
                </c:pt>
                <c:pt idx="5">
                  <c:v>45323</c:v>
                </c:pt>
                <c:pt idx="6">
                  <c:v>45352</c:v>
                </c:pt>
                <c:pt idx="7">
                  <c:v>45383</c:v>
                </c:pt>
                <c:pt idx="8">
                  <c:v>45413</c:v>
                </c:pt>
                <c:pt idx="9">
                  <c:v>45471</c:v>
                </c:pt>
                <c:pt idx="10">
                  <c:v>45501</c:v>
                </c:pt>
                <c:pt idx="11">
                  <c:v>45532</c:v>
                </c:pt>
                <c:pt idx="12">
                  <c:v>45563</c:v>
                </c:pt>
              </c:numCache>
            </c:numRef>
          </c:cat>
          <c:val>
            <c:numRef>
              <c:f>'[MEB Database.xlsx]Zim Inflation'!$B$238:$B$250</c:f>
              <c:numCache>
                <c:formatCode>#,##0.00</c:formatCode>
                <c:ptCount val="13"/>
                <c:pt idx="0">
                  <c:v>0.9549029123539583</c:v>
                </c:pt>
                <c:pt idx="1">
                  <c:v>2.4574345383066714</c:v>
                </c:pt>
                <c:pt idx="2">
                  <c:v>4.5416295575921168</c:v>
                </c:pt>
                <c:pt idx="3">
                  <c:v>4.7022767338570759</c:v>
                </c:pt>
                <c:pt idx="4">
                  <c:v>6.5816182040896223</c:v>
                </c:pt>
                <c:pt idx="5">
                  <c:v>5.3893275634551543</c:v>
                </c:pt>
                <c:pt idx="6">
                  <c:v>4.887508641983402</c:v>
                </c:pt>
                <c:pt idx="7">
                  <c:v>2.9389895786218005</c:v>
                </c:pt>
                <c:pt idx="8">
                  <c:v>-0.6</c:v>
                </c:pt>
                <c:pt idx="9">
                  <c:v>-0.2</c:v>
                </c:pt>
                <c:pt idx="10">
                  <c:v>-0.1</c:v>
                </c:pt>
                <c:pt idx="11">
                  <c:v>0.4</c:v>
                </c:pt>
                <c:pt idx="12" formatCode="0.00">
                  <c:v>1.9009629950185576</c:v>
                </c:pt>
              </c:numCache>
            </c:numRef>
          </c:val>
          <c:smooth val="0"/>
          <c:extLst>
            <c:ext xmlns:c16="http://schemas.microsoft.com/office/drawing/2014/chart" uri="{C3380CC4-5D6E-409C-BE32-E72D297353CC}">
              <c16:uniqueId val="{00000004-17A1-49E2-811F-787914A62561}"/>
            </c:ext>
          </c:extLst>
        </c:ser>
        <c:dLbls>
          <c:dLblPos val="t"/>
          <c:showLegendKey val="0"/>
          <c:showVal val="1"/>
          <c:showCatName val="0"/>
          <c:showSerName val="0"/>
          <c:showPercent val="0"/>
          <c:showBubbleSize val="0"/>
        </c:dLbls>
        <c:marker val="1"/>
        <c:smooth val="0"/>
        <c:axId val="1347433839"/>
        <c:axId val="1347447983"/>
      </c:lineChart>
      <c:dateAx>
        <c:axId val="1347433839"/>
        <c:scaling>
          <c:orientation val="minMax"/>
        </c:scaling>
        <c:delete val="0"/>
        <c:axPos val="b"/>
        <c:numFmt formatCode="mmm\-yy"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447983"/>
        <c:crosses val="autoZero"/>
        <c:auto val="1"/>
        <c:lblOffset val="100"/>
        <c:baseTimeUnit val="months"/>
      </c:dateAx>
      <c:valAx>
        <c:axId val="134744798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433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7.3528802320762532E-2"/>
          <c:y val="0.11821329777143554"/>
          <c:w val="0.85385239673988123"/>
          <c:h val="0.7352637554609881"/>
        </c:manualLayout>
      </c:layout>
      <c:barChart>
        <c:barDir val="col"/>
        <c:grouping val="clustered"/>
        <c:varyColors val="0"/>
        <c:ser>
          <c:idx val="0"/>
          <c:order val="0"/>
          <c:tx>
            <c:strRef>
              <c:f>'[MEB Database.xlsx]M3'!$B$63</c:f>
              <c:strCache>
                <c:ptCount val="1"/>
                <c:pt idx="0">
                  <c:v>Money Supply (ZWG billion)</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numRef>
              <c:f>'[MEB Database.xlsx]M3'!$A$66:$A$79</c:f>
              <c:numCache>
                <c:formatCode>mmm\-yy</c:formatCode>
                <c:ptCount val="14"/>
                <c:pt idx="0">
                  <c:v>45078</c:v>
                </c:pt>
                <c:pt idx="1">
                  <c:v>45108</c:v>
                </c:pt>
                <c:pt idx="2">
                  <c:v>45139</c:v>
                </c:pt>
                <c:pt idx="3">
                  <c:v>45170</c:v>
                </c:pt>
                <c:pt idx="4">
                  <c:v>45200</c:v>
                </c:pt>
                <c:pt idx="5">
                  <c:v>45231</c:v>
                </c:pt>
                <c:pt idx="6">
                  <c:v>45261</c:v>
                </c:pt>
                <c:pt idx="7">
                  <c:v>45292</c:v>
                </c:pt>
                <c:pt idx="8">
                  <c:v>45323</c:v>
                </c:pt>
                <c:pt idx="9">
                  <c:v>45352</c:v>
                </c:pt>
                <c:pt idx="10">
                  <c:v>45383</c:v>
                </c:pt>
                <c:pt idx="11">
                  <c:v>45413</c:v>
                </c:pt>
                <c:pt idx="12">
                  <c:v>45444</c:v>
                </c:pt>
                <c:pt idx="13">
                  <c:v>45474</c:v>
                </c:pt>
              </c:numCache>
            </c:numRef>
          </c:cat>
          <c:val>
            <c:numRef>
              <c:f>'[MEB Database.xlsx]M3'!$B$66:$B$79</c:f>
              <c:numCache>
                <c:formatCode>0.00</c:formatCode>
                <c:ptCount val="14"/>
                <c:pt idx="0">
                  <c:v>5.7131075130260465</c:v>
                </c:pt>
                <c:pt idx="1">
                  <c:v>5.2040357235104215</c:v>
                </c:pt>
                <c:pt idx="2">
                  <c:v>5.3674511176543609</c:v>
                </c:pt>
                <c:pt idx="3">
                  <c:v>6.2888373194608667</c:v>
                </c:pt>
                <c:pt idx="4">
                  <c:v>6.7195451182647528</c:v>
                </c:pt>
                <c:pt idx="5">
                  <c:v>7.0548722424027428</c:v>
                </c:pt>
                <c:pt idx="6">
                  <c:v>7.5678620313518392</c:v>
                </c:pt>
                <c:pt idx="7">
                  <c:v>11.70597379254581</c:v>
                </c:pt>
                <c:pt idx="8">
                  <c:v>16.25351049147401</c:v>
                </c:pt>
                <c:pt idx="9">
                  <c:v>23.680680724987575</c:v>
                </c:pt>
                <c:pt idx="10">
                  <c:v>38.75479</c:v>
                </c:pt>
                <c:pt idx="11">
                  <c:v>41.027610000000003</c:v>
                </c:pt>
                <c:pt idx="12">
                  <c:v>42.726469999999999</c:v>
                </c:pt>
                <c:pt idx="13">
                  <c:v>45.975630000000002</c:v>
                </c:pt>
              </c:numCache>
            </c:numRef>
          </c:val>
          <c:extLst>
            <c:ext xmlns:c16="http://schemas.microsoft.com/office/drawing/2014/chart" uri="{C3380CC4-5D6E-409C-BE32-E72D297353CC}">
              <c16:uniqueId val="{00000001-953E-4BF7-BF64-1AEE4E53C17C}"/>
            </c:ext>
          </c:extLst>
        </c:ser>
        <c:dLbls>
          <c:showLegendKey val="0"/>
          <c:showVal val="0"/>
          <c:showCatName val="0"/>
          <c:showSerName val="0"/>
          <c:showPercent val="0"/>
          <c:showBubbleSize val="0"/>
        </c:dLbls>
        <c:gapWidth val="150"/>
        <c:axId val="1319224575"/>
        <c:axId val="1319236639"/>
      </c:barChart>
      <c:lineChart>
        <c:grouping val="standard"/>
        <c:varyColors val="0"/>
        <c:ser>
          <c:idx val="1"/>
          <c:order val="1"/>
          <c:tx>
            <c:strRef>
              <c:f>'[MEB Database.xlsx]M3'!$C$63</c:f>
              <c:strCache>
                <c:ptCount val="1"/>
                <c:pt idx="0">
                  <c:v>M-o-M Growth</c:v>
                </c:pt>
              </c:strCache>
            </c:strRef>
          </c:tx>
          <c:spPr>
            <a:ln w="28575" cap="rnd">
              <a:solidFill>
                <a:schemeClr val="accent2"/>
              </a:solidFill>
              <a:round/>
            </a:ln>
            <a:effectLst/>
          </c:spPr>
          <c:marker>
            <c:symbol val="none"/>
          </c:marker>
          <c:cat>
            <c:numRef>
              <c:f>'[MEB Database.xlsx]M3'!$A$66:$A$79</c:f>
              <c:numCache>
                <c:formatCode>mmm\-yy</c:formatCode>
                <c:ptCount val="14"/>
                <c:pt idx="0">
                  <c:v>45078</c:v>
                </c:pt>
                <c:pt idx="1">
                  <c:v>45108</c:v>
                </c:pt>
                <c:pt idx="2">
                  <c:v>45139</c:v>
                </c:pt>
                <c:pt idx="3">
                  <c:v>45170</c:v>
                </c:pt>
                <c:pt idx="4">
                  <c:v>45200</c:v>
                </c:pt>
                <c:pt idx="5">
                  <c:v>45231</c:v>
                </c:pt>
                <c:pt idx="6">
                  <c:v>45261</c:v>
                </c:pt>
                <c:pt idx="7">
                  <c:v>45292</c:v>
                </c:pt>
                <c:pt idx="8">
                  <c:v>45323</c:v>
                </c:pt>
                <c:pt idx="9">
                  <c:v>45352</c:v>
                </c:pt>
                <c:pt idx="10">
                  <c:v>45383</c:v>
                </c:pt>
                <c:pt idx="11">
                  <c:v>45413</c:v>
                </c:pt>
                <c:pt idx="12">
                  <c:v>45444</c:v>
                </c:pt>
                <c:pt idx="13">
                  <c:v>45474</c:v>
                </c:pt>
              </c:numCache>
            </c:numRef>
          </c:cat>
          <c:val>
            <c:numRef>
              <c:f>'[MEB Database.xlsx]M3'!$C$66:$C$79</c:f>
              <c:numCache>
                <c:formatCode>General</c:formatCode>
                <c:ptCount val="14"/>
                <c:pt idx="0">
                  <c:v>97.203193271970989</c:v>
                </c:pt>
                <c:pt idx="1">
                  <c:v>-8.9105935492186497</c:v>
                </c:pt>
                <c:pt idx="2">
                  <c:v>3.140166648081852</c:v>
                </c:pt>
                <c:pt idx="3">
                  <c:v>17.166177792955146</c:v>
                </c:pt>
                <c:pt idx="4">
                  <c:v>6.8487667421616507</c:v>
                </c:pt>
                <c:pt idx="5">
                  <c:v>4.9903247650874398</c:v>
                </c:pt>
                <c:pt idx="6">
                  <c:v>7.2714256378139996</c:v>
                </c:pt>
                <c:pt idx="7">
                  <c:v>54.68006345848756</c:v>
                </c:pt>
                <c:pt idx="8">
                  <c:v>38.848000000000027</c:v>
                </c:pt>
                <c:pt idx="9">
                  <c:v>45.695791302497902</c:v>
                </c:pt>
                <c:pt idx="10">
                  <c:v>63.655726159537309</c:v>
                </c:pt>
                <c:pt idx="11">
                  <c:v>5.8646169931510475</c:v>
                </c:pt>
                <c:pt idx="12">
                  <c:v>4.1407725187989168</c:v>
                </c:pt>
                <c:pt idx="13">
                  <c:v>7.6045598899230455</c:v>
                </c:pt>
              </c:numCache>
            </c:numRef>
          </c:val>
          <c:smooth val="0"/>
          <c:extLst>
            <c:ext xmlns:c16="http://schemas.microsoft.com/office/drawing/2014/chart" uri="{C3380CC4-5D6E-409C-BE32-E72D297353CC}">
              <c16:uniqueId val="{00000002-953E-4BF7-BF64-1AEE4E53C17C}"/>
            </c:ext>
          </c:extLst>
        </c:ser>
        <c:dLbls>
          <c:showLegendKey val="0"/>
          <c:showVal val="0"/>
          <c:showCatName val="0"/>
          <c:showSerName val="0"/>
          <c:showPercent val="0"/>
          <c:showBubbleSize val="0"/>
        </c:dLbls>
        <c:marker val="1"/>
        <c:smooth val="0"/>
        <c:axId val="951174080"/>
        <c:axId val="951163520"/>
      </c:lineChart>
      <c:dateAx>
        <c:axId val="1319224575"/>
        <c:scaling>
          <c:orientation val="minMax"/>
        </c:scaling>
        <c:delete val="0"/>
        <c:axPos val="b"/>
        <c:numFmt formatCode="mmm\-yy"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9236639"/>
        <c:crosses val="autoZero"/>
        <c:auto val="1"/>
        <c:lblOffset val="100"/>
        <c:baseTimeUnit val="months"/>
      </c:dateAx>
      <c:valAx>
        <c:axId val="131923663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9224575"/>
        <c:crosses val="autoZero"/>
        <c:crossBetween val="between"/>
      </c:valAx>
      <c:valAx>
        <c:axId val="95116352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174080"/>
        <c:crosses val="max"/>
        <c:crossBetween val="between"/>
      </c:valAx>
      <c:dateAx>
        <c:axId val="951174080"/>
        <c:scaling>
          <c:orientation val="minMax"/>
        </c:scaling>
        <c:delete val="1"/>
        <c:axPos val="b"/>
        <c:numFmt formatCode="mmm\-yy" sourceLinked="1"/>
        <c:majorTickMark val="out"/>
        <c:minorTickMark val="none"/>
        <c:tickLblPos val="nextTo"/>
        <c:crossAx val="951163520"/>
        <c:crosses val="autoZero"/>
        <c:auto val="1"/>
        <c:lblOffset val="100"/>
        <c:baseTimeUnit val="months"/>
        <c:majorUnit val="1"/>
        <c:minorUnit val="1"/>
      </c:date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RBZ24</b:Tag>
    <b:SourceType>InternetSite</b:SourceType>
    <b:Guid>{131591B7-3098-4E06-B9DB-40C9AD93D63A}</b:Guid>
    <b:Title>Exchange Rates</b:Title>
    <b:Year>2024</b:Year>
    <b:Author>
      <b:Author>
        <b:Corporate>RBZ</b:Corporate>
      </b:Author>
    </b:Author>
    <b:InternetSiteTitle>Reserve Bank of Zimbabwe</b:InternetSiteTitle>
    <b:URL>https://www.rbz.co.zw/index.php/research/markets/exchange-rates</b:URL>
    <b:RefOrder>1</b:RefOrder>
  </b:Source>
  <b:Source>
    <b:Tag>Tra24</b:Tag>
    <b:SourceType>InternetSite</b:SourceType>
    <b:Guid>{8F5E9987-C62C-47B0-8A36-1187F2EFE3CE}</b:Guid>
    <b:Author>
      <b:Author>
        <b:Corporate>Trading Economics</b:Corporate>
      </b:Author>
    </b:Author>
    <b:Title>Commodities</b:Title>
    <b:InternetSiteTitle>Trading  Economics</b:InternetSiteTitle>
    <b:Year>2024</b:Year>
    <b:URL>https://tradingeconomics.com/commodity/crude-oil</b:URL>
    <b:RefOrder>2</b:RefOrder>
  </b:Source>
  <b:Source>
    <b:Tag>VFE24</b:Tag>
    <b:SourceType>InternetSite</b:SourceType>
    <b:Guid>{1E964840-8E12-4650-8E6C-64330FB07471}</b:Guid>
    <b:Author>
      <b:Author>
        <b:Corporate>VFEX</b:Corporate>
      </b:Author>
    </b:Author>
    <b:Title>Main Dashboard</b:Title>
    <b:InternetSiteTitle>Victoria Falls Stock Exchange</b:InternetSiteTitle>
    <b:Year>2024</b:Year>
    <b:URL>https://www.vfex.exchange/</b:URL>
    <b:RefOrder>3</b:RefOrder>
  </b:Source>
  <b:Source>
    <b:Tag>ZSE24</b:Tag>
    <b:SourceType>InternetSite</b:SourceType>
    <b:Guid>{40B098F4-EC97-445A-813A-899416F4B52B}</b:Guid>
    <b:Author>
      <b:Author>
        <b:Corporate>ZSE</b:Corporate>
      </b:Author>
    </b:Author>
    <b:Title>Main Dashboard</b:Title>
    <b:InternetSiteTitle>Zimbabwe Stock Exchange</b:InternetSiteTitle>
    <b:Year>2024</b:Year>
    <b:URL>https://www.zse.co.zw/</b:URL>
    <b:RefOrder>4</b:RefOrder>
  </b:Source>
  <b:Source>
    <b:Tag>Zim24</b:Tag>
    <b:SourceType>InternetSite</b:SourceType>
    <b:Guid>{4C57281A-E62E-4D20-922B-C504FA489846}</b:Guid>
    <b:Author>
      <b:Author>
        <b:Corporate>ZimStat</b:Corporate>
      </b:Author>
    </b:Author>
    <b:Title>Inflation Rates</b:Title>
    <b:InternetSiteTitle>Zimbabwe Statistics Agency</b:InternetSiteTitle>
    <b:Year>2024</b:Year>
    <b:URL>https://www.zimstat.co.zw/</b:URL>
    <b:RefOrder>5</b:RefOrder>
  </b:Source>
  <b:Source>
    <b:Tag>Res24</b:Tag>
    <b:SourceType>Report</b:SourceType>
    <b:Guid>{24A9D3E7-F10F-442C-8A5E-DA7439C64019}</b:Guid>
    <b:Author>
      <b:Author>
        <b:Corporate>Reserve Bank of Zimbabwe</b:Corporate>
      </b:Author>
    </b:Author>
    <b:Title>Monthly Economic Review: June 2024</b:Title>
    <b:Year>2024</b:Year>
    <b:Publisher>RBZ</b:Publisher>
    <b:RefOrder>6</b:RefOrder>
  </b:Source>
  <b:Source>
    <b:Tag>Res242</b:Tag>
    <b:SourceType>Report</b:SourceType>
    <b:Guid>{10D8A708-FA6E-4D2F-8EE9-1EF7A06D6F71}</b:Guid>
    <b:Title>Weekly Economic Highlights. Vol. 26 No. 33</b:Title>
    <b:Year>2024</b:Year>
    <b:Publisher>RBZ</b:Publisher>
    <b:Author>
      <b:Author>
        <b:Corporate>Reserve Bank of Zimbabwe</b:Corporate>
      </b:Author>
    </b:Author>
    <b:RefOrder>7</b:RefOrder>
  </b:Source>
  <b:Source>
    <b:Tag>W24</b:Tag>
    <b:SourceType>DocumentFromInternetSite</b:SourceType>
    <b:Guid>{39054DF1-D6FA-4EDC-917D-C0F327697FA0}</b:Guid>
    <b:Title>W</b:Title>
    <b:Year>2024</b:Year>
    <b:URL>https://thedocs.worldbank.org/en/doc/bae48ff2fefc5a869546775b3f010735-0500062021/related/mpo-zwe.pdf</b:URL>
    <b:Author>
      <b:Author>
        <b:Corporate>W</b:Corporate>
      </b:Author>
    </b:Author>
    <b:RefOrder>8</b:RefOrder>
  </b:Source>
  <b:Source>
    <b:Tag>Wor24</b:Tag>
    <b:SourceType>InternetSite</b:SourceType>
    <b:Guid>{1A900575-BBDA-4CD9-AE76-7575581B9D6A}</b:Guid>
    <b:Author>
      <b:Author>
        <b:Corporate>World Bank</b:Corporate>
      </b:Author>
    </b:Author>
    <b:Title>MPO Zimbabwe</b:Title>
    <b:InternetSiteTitle>World Bank</b:InternetSiteTitle>
    <b:Year>2024</b:Year>
    <b:URL>https://thedocs.worldbank.org/en/doc/bae48ff2fefc5a869546775b3f010735-0500062021/related/mpo-zwe.pdf</b:URL>
    <b:RefOrder>9</b:RefOrder>
  </b:Source>
  <b:Source>
    <b:Tag>UN24</b:Tag>
    <b:SourceType>Report</b:SourceType>
    <b:Guid>{123D617B-2462-4AB5-84AE-BD4DFF24D0AE}</b:Guid>
    <b:Author>
      <b:Author>
        <b:Corporate>UN</b:Corporate>
      </b:Author>
    </b:Author>
    <b:Title>World Economic Situation and Prospects, September 2024</b:Title>
    <b:Year>2024</b:Year>
    <b:Publisher>United Nations</b:Publisher>
    <b:RefOrder>10</b:RefOrder>
  </b:Source>
  <b:Source>
    <b:Tag>Dav22</b:Tag>
    <b:SourceType>JournalArticle</b:SourceType>
    <b:Guid>{1A2C6060-0275-4258-8406-E42FCB987F0B}</b:Guid>
    <b:Title>The Effects of High Lending Interest rates on SMEs in Sierra Leone: A Glance at Lenders' Perspectives</b:Title>
    <b:Year>2022</b:Year>
    <b:JournalName>American Journal of economics</b:JournalName>
    <b:Pages>Vol 12(1) 20-29</b:Pages>
    <b:Author>
      <b:Author>
        <b:NameList>
          <b:Person>
            <b:Last>Davies</b:Last>
            <b:First>J.,</b:First>
            <b:Middle>Turay, M, O., &amp; Koroma, S.</b:Middle>
          </b:Person>
        </b:NameList>
      </b:Author>
    </b:Author>
    <b:RefOrder>11</b:RefOrder>
  </b:Source>
  <b:Source>
    <b:Tag>WEF24</b:Tag>
    <b:SourceType>Report</b:SourceType>
    <b:Guid>{ABDA424A-545D-4ACE-9701-562690AF8786}</b:Guid>
    <b:Author>
      <b:Author>
        <b:Corporate>WEF</b:Corporate>
      </b:Author>
    </b:Author>
    <b:Title>Chief Economist Outlook September 2024</b:Title>
    <b:Year>2024</b:Year>
    <b:Publisher>World Economic Forum</b:Publisher>
    <b:RefOrder>12</b:RefOrder>
  </b:Source>
</b:Sources>
</file>

<file path=customXml/itemProps1.xml><?xml version="1.0" encoding="utf-8"?>
<ds:datastoreItem xmlns:ds="http://schemas.openxmlformats.org/officeDocument/2006/customXml" ds:itemID="{5713989B-F99D-4A30-9060-9B29D07F3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17</Pages>
  <Words>3314</Words>
  <Characters>18894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22164</CharactersWithSpaces>
  <SharedDoc>false</SharedDoc>
  <HLinks>
    <vt:vector size="198" baseType="variant">
      <vt:variant>
        <vt:i4>1835059</vt:i4>
      </vt:variant>
      <vt:variant>
        <vt:i4>200</vt:i4>
      </vt:variant>
      <vt:variant>
        <vt:i4>0</vt:i4>
      </vt:variant>
      <vt:variant>
        <vt:i4>5</vt:i4>
      </vt:variant>
      <vt:variant>
        <vt:lpwstr/>
      </vt:variant>
      <vt:variant>
        <vt:lpwstr>_Toc179990252</vt:lpwstr>
      </vt:variant>
      <vt:variant>
        <vt:i4>1835059</vt:i4>
      </vt:variant>
      <vt:variant>
        <vt:i4>194</vt:i4>
      </vt:variant>
      <vt:variant>
        <vt:i4>0</vt:i4>
      </vt:variant>
      <vt:variant>
        <vt:i4>5</vt:i4>
      </vt:variant>
      <vt:variant>
        <vt:lpwstr/>
      </vt:variant>
      <vt:variant>
        <vt:lpwstr>_Toc179990251</vt:lpwstr>
      </vt:variant>
      <vt:variant>
        <vt:i4>1835059</vt:i4>
      </vt:variant>
      <vt:variant>
        <vt:i4>188</vt:i4>
      </vt:variant>
      <vt:variant>
        <vt:i4>0</vt:i4>
      </vt:variant>
      <vt:variant>
        <vt:i4>5</vt:i4>
      </vt:variant>
      <vt:variant>
        <vt:lpwstr/>
      </vt:variant>
      <vt:variant>
        <vt:lpwstr>_Toc179990250</vt:lpwstr>
      </vt:variant>
      <vt:variant>
        <vt:i4>1900595</vt:i4>
      </vt:variant>
      <vt:variant>
        <vt:i4>182</vt:i4>
      </vt:variant>
      <vt:variant>
        <vt:i4>0</vt:i4>
      </vt:variant>
      <vt:variant>
        <vt:i4>5</vt:i4>
      </vt:variant>
      <vt:variant>
        <vt:lpwstr/>
      </vt:variant>
      <vt:variant>
        <vt:lpwstr>_Toc179990249</vt:lpwstr>
      </vt:variant>
      <vt:variant>
        <vt:i4>1900595</vt:i4>
      </vt:variant>
      <vt:variant>
        <vt:i4>176</vt:i4>
      </vt:variant>
      <vt:variant>
        <vt:i4>0</vt:i4>
      </vt:variant>
      <vt:variant>
        <vt:i4>5</vt:i4>
      </vt:variant>
      <vt:variant>
        <vt:lpwstr/>
      </vt:variant>
      <vt:variant>
        <vt:lpwstr>_Toc179990248</vt:lpwstr>
      </vt:variant>
      <vt:variant>
        <vt:i4>1572915</vt:i4>
      </vt:variant>
      <vt:variant>
        <vt:i4>167</vt:i4>
      </vt:variant>
      <vt:variant>
        <vt:i4>0</vt:i4>
      </vt:variant>
      <vt:variant>
        <vt:i4>5</vt:i4>
      </vt:variant>
      <vt:variant>
        <vt:lpwstr/>
      </vt:variant>
      <vt:variant>
        <vt:lpwstr>_Toc179990211</vt:lpwstr>
      </vt:variant>
      <vt:variant>
        <vt:i4>1572915</vt:i4>
      </vt:variant>
      <vt:variant>
        <vt:i4>161</vt:i4>
      </vt:variant>
      <vt:variant>
        <vt:i4>0</vt:i4>
      </vt:variant>
      <vt:variant>
        <vt:i4>5</vt:i4>
      </vt:variant>
      <vt:variant>
        <vt:lpwstr/>
      </vt:variant>
      <vt:variant>
        <vt:lpwstr>_Toc179990210</vt:lpwstr>
      </vt:variant>
      <vt:variant>
        <vt:i4>1638451</vt:i4>
      </vt:variant>
      <vt:variant>
        <vt:i4>155</vt:i4>
      </vt:variant>
      <vt:variant>
        <vt:i4>0</vt:i4>
      </vt:variant>
      <vt:variant>
        <vt:i4>5</vt:i4>
      </vt:variant>
      <vt:variant>
        <vt:lpwstr/>
      </vt:variant>
      <vt:variant>
        <vt:lpwstr>_Toc179990209</vt:lpwstr>
      </vt:variant>
      <vt:variant>
        <vt:i4>1638451</vt:i4>
      </vt:variant>
      <vt:variant>
        <vt:i4>149</vt:i4>
      </vt:variant>
      <vt:variant>
        <vt:i4>0</vt:i4>
      </vt:variant>
      <vt:variant>
        <vt:i4>5</vt:i4>
      </vt:variant>
      <vt:variant>
        <vt:lpwstr/>
      </vt:variant>
      <vt:variant>
        <vt:lpwstr>_Toc179990208</vt:lpwstr>
      </vt:variant>
      <vt:variant>
        <vt:i4>1638451</vt:i4>
      </vt:variant>
      <vt:variant>
        <vt:i4>143</vt:i4>
      </vt:variant>
      <vt:variant>
        <vt:i4>0</vt:i4>
      </vt:variant>
      <vt:variant>
        <vt:i4>5</vt:i4>
      </vt:variant>
      <vt:variant>
        <vt:lpwstr/>
      </vt:variant>
      <vt:variant>
        <vt:lpwstr>_Toc179990207</vt:lpwstr>
      </vt:variant>
      <vt:variant>
        <vt:i4>1638451</vt:i4>
      </vt:variant>
      <vt:variant>
        <vt:i4>137</vt:i4>
      </vt:variant>
      <vt:variant>
        <vt:i4>0</vt:i4>
      </vt:variant>
      <vt:variant>
        <vt:i4>5</vt:i4>
      </vt:variant>
      <vt:variant>
        <vt:lpwstr/>
      </vt:variant>
      <vt:variant>
        <vt:lpwstr>_Toc179990206</vt:lpwstr>
      </vt:variant>
      <vt:variant>
        <vt:i4>1638451</vt:i4>
      </vt:variant>
      <vt:variant>
        <vt:i4>131</vt:i4>
      </vt:variant>
      <vt:variant>
        <vt:i4>0</vt:i4>
      </vt:variant>
      <vt:variant>
        <vt:i4>5</vt:i4>
      </vt:variant>
      <vt:variant>
        <vt:lpwstr/>
      </vt:variant>
      <vt:variant>
        <vt:lpwstr>_Toc179990205</vt:lpwstr>
      </vt:variant>
      <vt:variant>
        <vt:i4>1638451</vt:i4>
      </vt:variant>
      <vt:variant>
        <vt:i4>125</vt:i4>
      </vt:variant>
      <vt:variant>
        <vt:i4>0</vt:i4>
      </vt:variant>
      <vt:variant>
        <vt:i4>5</vt:i4>
      </vt:variant>
      <vt:variant>
        <vt:lpwstr/>
      </vt:variant>
      <vt:variant>
        <vt:lpwstr>_Toc179990204</vt:lpwstr>
      </vt:variant>
      <vt:variant>
        <vt:i4>1114161</vt:i4>
      </vt:variant>
      <vt:variant>
        <vt:i4>116</vt:i4>
      </vt:variant>
      <vt:variant>
        <vt:i4>0</vt:i4>
      </vt:variant>
      <vt:variant>
        <vt:i4>5</vt:i4>
      </vt:variant>
      <vt:variant>
        <vt:lpwstr/>
      </vt:variant>
      <vt:variant>
        <vt:lpwstr>_Toc179990080</vt:lpwstr>
      </vt:variant>
      <vt:variant>
        <vt:i4>1966129</vt:i4>
      </vt:variant>
      <vt:variant>
        <vt:i4>110</vt:i4>
      </vt:variant>
      <vt:variant>
        <vt:i4>0</vt:i4>
      </vt:variant>
      <vt:variant>
        <vt:i4>5</vt:i4>
      </vt:variant>
      <vt:variant>
        <vt:lpwstr/>
      </vt:variant>
      <vt:variant>
        <vt:lpwstr>_Toc179990079</vt:lpwstr>
      </vt:variant>
      <vt:variant>
        <vt:i4>1966129</vt:i4>
      </vt:variant>
      <vt:variant>
        <vt:i4>104</vt:i4>
      </vt:variant>
      <vt:variant>
        <vt:i4>0</vt:i4>
      </vt:variant>
      <vt:variant>
        <vt:i4>5</vt:i4>
      </vt:variant>
      <vt:variant>
        <vt:lpwstr/>
      </vt:variant>
      <vt:variant>
        <vt:lpwstr>_Toc179990078</vt:lpwstr>
      </vt:variant>
      <vt:variant>
        <vt:i4>1966129</vt:i4>
      </vt:variant>
      <vt:variant>
        <vt:i4>98</vt:i4>
      </vt:variant>
      <vt:variant>
        <vt:i4>0</vt:i4>
      </vt:variant>
      <vt:variant>
        <vt:i4>5</vt:i4>
      </vt:variant>
      <vt:variant>
        <vt:lpwstr/>
      </vt:variant>
      <vt:variant>
        <vt:lpwstr>_Toc179990077</vt:lpwstr>
      </vt:variant>
      <vt:variant>
        <vt:i4>1966129</vt:i4>
      </vt:variant>
      <vt:variant>
        <vt:i4>92</vt:i4>
      </vt:variant>
      <vt:variant>
        <vt:i4>0</vt:i4>
      </vt:variant>
      <vt:variant>
        <vt:i4>5</vt:i4>
      </vt:variant>
      <vt:variant>
        <vt:lpwstr/>
      </vt:variant>
      <vt:variant>
        <vt:lpwstr>_Toc179990076</vt:lpwstr>
      </vt:variant>
      <vt:variant>
        <vt:i4>1966129</vt:i4>
      </vt:variant>
      <vt:variant>
        <vt:i4>86</vt:i4>
      </vt:variant>
      <vt:variant>
        <vt:i4>0</vt:i4>
      </vt:variant>
      <vt:variant>
        <vt:i4>5</vt:i4>
      </vt:variant>
      <vt:variant>
        <vt:lpwstr/>
      </vt:variant>
      <vt:variant>
        <vt:lpwstr>_Toc179990075</vt:lpwstr>
      </vt:variant>
      <vt:variant>
        <vt:i4>1966129</vt:i4>
      </vt:variant>
      <vt:variant>
        <vt:i4>80</vt:i4>
      </vt:variant>
      <vt:variant>
        <vt:i4>0</vt:i4>
      </vt:variant>
      <vt:variant>
        <vt:i4>5</vt:i4>
      </vt:variant>
      <vt:variant>
        <vt:lpwstr/>
      </vt:variant>
      <vt:variant>
        <vt:lpwstr>_Toc179990074</vt:lpwstr>
      </vt:variant>
      <vt:variant>
        <vt:i4>1966129</vt:i4>
      </vt:variant>
      <vt:variant>
        <vt:i4>74</vt:i4>
      </vt:variant>
      <vt:variant>
        <vt:i4>0</vt:i4>
      </vt:variant>
      <vt:variant>
        <vt:i4>5</vt:i4>
      </vt:variant>
      <vt:variant>
        <vt:lpwstr/>
      </vt:variant>
      <vt:variant>
        <vt:lpwstr>_Toc179990073</vt:lpwstr>
      </vt:variant>
      <vt:variant>
        <vt:i4>1966129</vt:i4>
      </vt:variant>
      <vt:variant>
        <vt:i4>68</vt:i4>
      </vt:variant>
      <vt:variant>
        <vt:i4>0</vt:i4>
      </vt:variant>
      <vt:variant>
        <vt:i4>5</vt:i4>
      </vt:variant>
      <vt:variant>
        <vt:lpwstr/>
      </vt:variant>
      <vt:variant>
        <vt:lpwstr>_Toc179990072</vt:lpwstr>
      </vt:variant>
      <vt:variant>
        <vt:i4>1966129</vt:i4>
      </vt:variant>
      <vt:variant>
        <vt:i4>62</vt:i4>
      </vt:variant>
      <vt:variant>
        <vt:i4>0</vt:i4>
      </vt:variant>
      <vt:variant>
        <vt:i4>5</vt:i4>
      </vt:variant>
      <vt:variant>
        <vt:lpwstr/>
      </vt:variant>
      <vt:variant>
        <vt:lpwstr>_Toc179990071</vt:lpwstr>
      </vt:variant>
      <vt:variant>
        <vt:i4>1966129</vt:i4>
      </vt:variant>
      <vt:variant>
        <vt:i4>56</vt:i4>
      </vt:variant>
      <vt:variant>
        <vt:i4>0</vt:i4>
      </vt:variant>
      <vt:variant>
        <vt:i4>5</vt:i4>
      </vt:variant>
      <vt:variant>
        <vt:lpwstr/>
      </vt:variant>
      <vt:variant>
        <vt:lpwstr>_Toc179990070</vt:lpwstr>
      </vt:variant>
      <vt:variant>
        <vt:i4>2031665</vt:i4>
      </vt:variant>
      <vt:variant>
        <vt:i4>50</vt:i4>
      </vt:variant>
      <vt:variant>
        <vt:i4>0</vt:i4>
      </vt:variant>
      <vt:variant>
        <vt:i4>5</vt:i4>
      </vt:variant>
      <vt:variant>
        <vt:lpwstr/>
      </vt:variant>
      <vt:variant>
        <vt:lpwstr>_Toc179990069</vt:lpwstr>
      </vt:variant>
      <vt:variant>
        <vt:i4>2031665</vt:i4>
      </vt:variant>
      <vt:variant>
        <vt:i4>44</vt:i4>
      </vt:variant>
      <vt:variant>
        <vt:i4>0</vt:i4>
      </vt:variant>
      <vt:variant>
        <vt:i4>5</vt:i4>
      </vt:variant>
      <vt:variant>
        <vt:lpwstr/>
      </vt:variant>
      <vt:variant>
        <vt:lpwstr>_Toc179990068</vt:lpwstr>
      </vt:variant>
      <vt:variant>
        <vt:i4>2031665</vt:i4>
      </vt:variant>
      <vt:variant>
        <vt:i4>38</vt:i4>
      </vt:variant>
      <vt:variant>
        <vt:i4>0</vt:i4>
      </vt:variant>
      <vt:variant>
        <vt:i4>5</vt:i4>
      </vt:variant>
      <vt:variant>
        <vt:lpwstr/>
      </vt:variant>
      <vt:variant>
        <vt:lpwstr>_Toc179990067</vt:lpwstr>
      </vt:variant>
      <vt:variant>
        <vt:i4>2031665</vt:i4>
      </vt:variant>
      <vt:variant>
        <vt:i4>32</vt:i4>
      </vt:variant>
      <vt:variant>
        <vt:i4>0</vt:i4>
      </vt:variant>
      <vt:variant>
        <vt:i4>5</vt:i4>
      </vt:variant>
      <vt:variant>
        <vt:lpwstr/>
      </vt:variant>
      <vt:variant>
        <vt:lpwstr>_Toc179990066</vt:lpwstr>
      </vt:variant>
      <vt:variant>
        <vt:i4>2031665</vt:i4>
      </vt:variant>
      <vt:variant>
        <vt:i4>26</vt:i4>
      </vt:variant>
      <vt:variant>
        <vt:i4>0</vt:i4>
      </vt:variant>
      <vt:variant>
        <vt:i4>5</vt:i4>
      </vt:variant>
      <vt:variant>
        <vt:lpwstr/>
      </vt:variant>
      <vt:variant>
        <vt:lpwstr>_Toc179990065</vt:lpwstr>
      </vt:variant>
      <vt:variant>
        <vt:i4>2031665</vt:i4>
      </vt:variant>
      <vt:variant>
        <vt:i4>20</vt:i4>
      </vt:variant>
      <vt:variant>
        <vt:i4>0</vt:i4>
      </vt:variant>
      <vt:variant>
        <vt:i4>5</vt:i4>
      </vt:variant>
      <vt:variant>
        <vt:lpwstr/>
      </vt:variant>
      <vt:variant>
        <vt:lpwstr>_Toc179990064</vt:lpwstr>
      </vt:variant>
      <vt:variant>
        <vt:i4>2031665</vt:i4>
      </vt:variant>
      <vt:variant>
        <vt:i4>14</vt:i4>
      </vt:variant>
      <vt:variant>
        <vt:i4>0</vt:i4>
      </vt:variant>
      <vt:variant>
        <vt:i4>5</vt:i4>
      </vt:variant>
      <vt:variant>
        <vt:lpwstr/>
      </vt:variant>
      <vt:variant>
        <vt:lpwstr>_Toc179990063</vt:lpwstr>
      </vt:variant>
      <vt:variant>
        <vt:i4>2031665</vt:i4>
      </vt:variant>
      <vt:variant>
        <vt:i4>8</vt:i4>
      </vt:variant>
      <vt:variant>
        <vt:i4>0</vt:i4>
      </vt:variant>
      <vt:variant>
        <vt:i4>5</vt:i4>
      </vt:variant>
      <vt:variant>
        <vt:lpwstr/>
      </vt:variant>
      <vt:variant>
        <vt:lpwstr>_Toc179990062</vt:lpwstr>
      </vt:variant>
      <vt:variant>
        <vt:i4>2031665</vt:i4>
      </vt:variant>
      <vt:variant>
        <vt:i4>2</vt:i4>
      </vt:variant>
      <vt:variant>
        <vt:i4>0</vt:i4>
      </vt:variant>
      <vt:variant>
        <vt:i4>5</vt:i4>
      </vt:variant>
      <vt:variant>
        <vt:lpwstr/>
      </vt:variant>
      <vt:variant>
        <vt:lpwstr>_Toc179990061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Gowere</dc:creator>
  <cp:keywords/>
  <dc:description/>
  <cp:lastModifiedBy>Gabriel Gowere</cp:lastModifiedBy>
  <cp:revision>3</cp:revision>
  <dcterms:created xsi:type="dcterms:W3CDTF">2024-10-23T11:58:00Z</dcterms:created>
  <dcterms:modified xsi:type="dcterms:W3CDTF">2024-10-28T13:45:00Z</dcterms:modified>
</cp:coreProperties>
</file>