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E0BB0C" w14:textId="77777777" w:rsidR="00B738FC" w:rsidRDefault="00B738FC" w:rsidP="004A13E3">
      <w:pPr>
        <w:spacing w:after="240"/>
        <w:jc w:val="both"/>
        <w:rPr>
          <w:rFonts w:ascii="Tahoma" w:hAnsi="Tahoma" w:cs="Tahoma"/>
          <w:b/>
          <w:bCs/>
        </w:rPr>
      </w:pPr>
    </w:p>
    <w:p w14:paraId="32831776" w14:textId="77777777" w:rsidR="00B738FC" w:rsidRDefault="00B738FC" w:rsidP="004A13E3">
      <w:pPr>
        <w:spacing w:after="240"/>
        <w:jc w:val="both"/>
        <w:rPr>
          <w:rFonts w:ascii="Tahoma" w:hAnsi="Tahoma" w:cs="Tahoma"/>
          <w:b/>
          <w:bCs/>
        </w:rPr>
      </w:pPr>
    </w:p>
    <w:p w14:paraId="17BEE3C6" w14:textId="77777777" w:rsidR="00B738FC" w:rsidRDefault="00B738FC" w:rsidP="004A13E3">
      <w:pPr>
        <w:spacing w:after="240"/>
        <w:jc w:val="both"/>
        <w:rPr>
          <w:rFonts w:ascii="Tahoma" w:hAnsi="Tahoma" w:cs="Tahoma"/>
          <w:b/>
          <w:bCs/>
        </w:rPr>
      </w:pPr>
    </w:p>
    <w:p w14:paraId="24DB28E7" w14:textId="77777777" w:rsidR="00B738FC" w:rsidRDefault="00B738FC" w:rsidP="00B738FC">
      <w:pPr>
        <w:pBdr>
          <w:top w:val="thinThickSmallGap" w:sz="12" w:space="1" w:color="auto"/>
          <w:left w:val="thinThickSmallGap" w:sz="12" w:space="4" w:color="auto"/>
          <w:bottom w:val="thickThinSmallGap" w:sz="12" w:space="1" w:color="auto"/>
          <w:right w:val="thickThinSmallGap" w:sz="12" w:space="4" w:color="auto"/>
        </w:pBdr>
        <w:spacing w:after="240"/>
        <w:jc w:val="both"/>
        <w:rPr>
          <w:rFonts w:ascii="Tahoma" w:hAnsi="Tahoma" w:cs="Tahoma"/>
          <w:b/>
          <w:bCs/>
        </w:rPr>
      </w:pPr>
    </w:p>
    <w:p w14:paraId="43912413" w14:textId="1DB5D6E9" w:rsidR="00B738FC" w:rsidRPr="00B738FC" w:rsidRDefault="00B738FC" w:rsidP="00B738FC">
      <w:pPr>
        <w:pBdr>
          <w:top w:val="thinThickSmallGap" w:sz="12" w:space="1" w:color="auto"/>
          <w:left w:val="thinThickSmallGap" w:sz="12" w:space="4" w:color="auto"/>
          <w:bottom w:val="thickThinSmallGap" w:sz="12" w:space="1" w:color="auto"/>
          <w:right w:val="thickThinSmallGap" w:sz="12" w:space="4" w:color="auto"/>
        </w:pBdr>
        <w:spacing w:after="240"/>
        <w:jc w:val="both"/>
        <w:rPr>
          <w:rFonts w:ascii="Tahoma" w:hAnsi="Tahoma" w:cs="Tahoma"/>
          <w:b/>
          <w:bCs/>
        </w:rPr>
      </w:pPr>
      <w:r w:rsidRPr="00B738FC">
        <w:rPr>
          <w:rFonts w:ascii="Tahoma" w:hAnsi="Tahoma" w:cs="Tahoma"/>
          <w:b/>
          <w:bCs/>
        </w:rPr>
        <w:drawing>
          <wp:anchor distT="0" distB="0" distL="114300" distR="114300" simplePos="0" relativeHeight="251659264" behindDoc="1" locked="0" layoutInCell="1" allowOverlap="1" wp14:anchorId="7940E34C" wp14:editId="3B1C970E">
            <wp:simplePos x="0" y="0"/>
            <wp:positionH relativeFrom="page">
              <wp:posOffset>2314575</wp:posOffset>
            </wp:positionH>
            <wp:positionV relativeFrom="paragraph">
              <wp:posOffset>194310</wp:posOffset>
            </wp:positionV>
            <wp:extent cx="2990850" cy="1685925"/>
            <wp:effectExtent l="0" t="0" r="0" b="9525"/>
            <wp:wrapNone/>
            <wp:docPr id="1261953790" name="Picture 1" descr="C:\Users\user\Pictures\10304971_283849111824119_438407975430125527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Pictures\10304971_283849111824119_4384079754301255273_n.jpg"/>
                    <pic:cNvPicPr>
                      <a:picLocks noChangeAspect="1" noChangeArrowheads="1"/>
                    </pic:cNvPicPr>
                  </pic:nvPicPr>
                  <pic:blipFill>
                    <a:blip r:embed="rId7">
                      <a:extLst>
                        <a:ext uri="{28A0092B-C50C-407E-A947-70E740481C1C}">
                          <a14:useLocalDpi xmlns:a14="http://schemas.microsoft.com/office/drawing/2010/main" val="0"/>
                        </a:ext>
                      </a:extLst>
                    </a:blip>
                    <a:srcRect l="27000" t="8667" r="26334" b="-2"/>
                    <a:stretch>
                      <a:fillRect/>
                    </a:stretch>
                  </pic:blipFill>
                  <pic:spPr bwMode="auto">
                    <a:xfrm>
                      <a:off x="0" y="0"/>
                      <a:ext cx="2990850" cy="1685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21D009" w14:textId="77777777" w:rsidR="00B738FC" w:rsidRPr="00B738FC" w:rsidRDefault="00B738FC" w:rsidP="00B738FC">
      <w:pPr>
        <w:pBdr>
          <w:top w:val="thinThickSmallGap" w:sz="12" w:space="1" w:color="auto"/>
          <w:left w:val="thinThickSmallGap" w:sz="12" w:space="4" w:color="auto"/>
          <w:bottom w:val="thickThinSmallGap" w:sz="12" w:space="1" w:color="auto"/>
          <w:right w:val="thickThinSmallGap" w:sz="12" w:space="4" w:color="auto"/>
        </w:pBdr>
        <w:spacing w:after="240"/>
        <w:jc w:val="both"/>
        <w:rPr>
          <w:rFonts w:ascii="Tahoma" w:hAnsi="Tahoma" w:cs="Tahoma"/>
          <w:b/>
          <w:bCs/>
        </w:rPr>
      </w:pPr>
    </w:p>
    <w:p w14:paraId="5636A8A8" w14:textId="47CCFA94" w:rsidR="00B738FC" w:rsidRPr="00B738FC" w:rsidRDefault="00B738FC" w:rsidP="00B738FC">
      <w:pPr>
        <w:pBdr>
          <w:top w:val="thinThickSmallGap" w:sz="12" w:space="1" w:color="auto"/>
          <w:left w:val="thinThickSmallGap" w:sz="12" w:space="4" w:color="auto"/>
          <w:bottom w:val="thickThinSmallGap" w:sz="12" w:space="1" w:color="auto"/>
          <w:right w:val="thickThinSmallGap" w:sz="12" w:space="4" w:color="auto"/>
        </w:pBdr>
        <w:spacing w:after="240"/>
        <w:jc w:val="both"/>
        <w:rPr>
          <w:rFonts w:ascii="Tahoma" w:hAnsi="Tahoma" w:cs="Tahoma"/>
          <w:b/>
          <w:bCs/>
        </w:rPr>
      </w:pPr>
    </w:p>
    <w:p w14:paraId="09F12880" w14:textId="77777777" w:rsidR="00B738FC" w:rsidRDefault="00B738FC" w:rsidP="00B738FC">
      <w:pPr>
        <w:pBdr>
          <w:top w:val="thinThickSmallGap" w:sz="12" w:space="1" w:color="auto"/>
          <w:left w:val="thinThickSmallGap" w:sz="12" w:space="4" w:color="auto"/>
          <w:bottom w:val="thickThinSmallGap" w:sz="12" w:space="1" w:color="auto"/>
          <w:right w:val="thickThinSmallGap" w:sz="12" w:space="4" w:color="auto"/>
        </w:pBdr>
        <w:spacing w:after="240"/>
        <w:jc w:val="both"/>
        <w:rPr>
          <w:rFonts w:ascii="Tahoma" w:hAnsi="Tahoma" w:cs="Tahoma"/>
          <w:b/>
          <w:bCs/>
        </w:rPr>
      </w:pPr>
    </w:p>
    <w:p w14:paraId="360DA0B4" w14:textId="77777777" w:rsidR="00B738FC" w:rsidRDefault="00B738FC" w:rsidP="00B738FC">
      <w:pPr>
        <w:pBdr>
          <w:top w:val="thinThickSmallGap" w:sz="12" w:space="1" w:color="auto"/>
          <w:left w:val="thinThickSmallGap" w:sz="12" w:space="4" w:color="auto"/>
          <w:bottom w:val="thickThinSmallGap" w:sz="12" w:space="1" w:color="auto"/>
          <w:right w:val="thickThinSmallGap" w:sz="12" w:space="4" w:color="auto"/>
        </w:pBdr>
        <w:spacing w:after="240"/>
        <w:jc w:val="both"/>
        <w:rPr>
          <w:rFonts w:ascii="Tahoma" w:hAnsi="Tahoma" w:cs="Tahoma"/>
          <w:b/>
          <w:bCs/>
        </w:rPr>
      </w:pPr>
    </w:p>
    <w:p w14:paraId="33C45D70" w14:textId="77777777" w:rsidR="00B738FC" w:rsidRDefault="00B738FC" w:rsidP="00B738FC">
      <w:pPr>
        <w:pBdr>
          <w:top w:val="thinThickSmallGap" w:sz="12" w:space="1" w:color="auto"/>
          <w:left w:val="thinThickSmallGap" w:sz="12" w:space="4" w:color="auto"/>
          <w:bottom w:val="thickThinSmallGap" w:sz="12" w:space="1" w:color="auto"/>
          <w:right w:val="thickThinSmallGap" w:sz="12" w:space="4" w:color="auto"/>
        </w:pBdr>
        <w:spacing w:after="240"/>
        <w:jc w:val="both"/>
        <w:rPr>
          <w:rFonts w:ascii="Tahoma" w:hAnsi="Tahoma" w:cs="Tahoma"/>
          <w:b/>
          <w:bCs/>
        </w:rPr>
      </w:pPr>
    </w:p>
    <w:p w14:paraId="40F438A4" w14:textId="1A9136C9" w:rsidR="00B738FC" w:rsidRPr="00B738FC" w:rsidRDefault="00B738FC" w:rsidP="00B738FC">
      <w:pPr>
        <w:pBdr>
          <w:top w:val="thinThickSmallGap" w:sz="12" w:space="1" w:color="auto"/>
          <w:left w:val="thinThickSmallGap" w:sz="12" w:space="4" w:color="auto"/>
          <w:bottom w:val="thickThinSmallGap" w:sz="12" w:space="1" w:color="auto"/>
          <w:right w:val="thickThinSmallGap" w:sz="12" w:space="4" w:color="auto"/>
        </w:pBdr>
        <w:spacing w:after="240"/>
        <w:jc w:val="center"/>
        <w:rPr>
          <w:rFonts w:ascii="Tahoma" w:hAnsi="Tahoma" w:cs="Tahoma"/>
          <w:b/>
          <w:bCs/>
          <w:sz w:val="32"/>
          <w:szCs w:val="32"/>
        </w:rPr>
      </w:pPr>
      <w:r w:rsidRPr="00B738FC">
        <w:rPr>
          <w:rFonts w:ascii="Tahoma" w:hAnsi="Tahoma" w:cs="Tahoma"/>
          <w:b/>
          <w:bCs/>
          <w:sz w:val="32"/>
          <w:szCs w:val="32"/>
        </w:rPr>
        <w:t>NATIONAL ECONOMIC CONSULTATIVE FORUM</w:t>
      </w:r>
    </w:p>
    <w:p w14:paraId="03AB6675" w14:textId="77777777" w:rsidR="00B738FC" w:rsidRDefault="00B738FC" w:rsidP="00B738FC">
      <w:pPr>
        <w:pBdr>
          <w:top w:val="thinThickSmallGap" w:sz="12" w:space="1" w:color="auto"/>
          <w:left w:val="thinThickSmallGap" w:sz="12" w:space="4" w:color="auto"/>
          <w:bottom w:val="thickThinSmallGap" w:sz="12" w:space="1" w:color="auto"/>
          <w:right w:val="thickThinSmallGap" w:sz="12" w:space="4" w:color="auto"/>
        </w:pBdr>
        <w:spacing w:after="240"/>
        <w:jc w:val="both"/>
        <w:rPr>
          <w:rFonts w:ascii="Tahoma" w:hAnsi="Tahoma" w:cs="Tahoma"/>
          <w:b/>
          <w:bCs/>
          <w:sz w:val="32"/>
          <w:szCs w:val="32"/>
        </w:rPr>
      </w:pPr>
      <w:r w:rsidRPr="00B738FC">
        <w:rPr>
          <w:rFonts w:ascii="Tahoma" w:hAnsi="Tahoma" w:cs="Tahoma"/>
          <w:b/>
          <w:bCs/>
          <w:sz w:val="32"/>
          <w:szCs w:val="32"/>
        </w:rPr>
        <w:t xml:space="preserve"> </w:t>
      </w:r>
    </w:p>
    <w:p w14:paraId="333949E3" w14:textId="77777777" w:rsidR="00B738FC" w:rsidRDefault="00B738FC" w:rsidP="00B738FC">
      <w:pPr>
        <w:pBdr>
          <w:top w:val="thinThickSmallGap" w:sz="12" w:space="1" w:color="auto"/>
          <w:left w:val="thinThickSmallGap" w:sz="12" w:space="4" w:color="auto"/>
          <w:bottom w:val="thickThinSmallGap" w:sz="12" w:space="1" w:color="auto"/>
          <w:right w:val="thickThinSmallGap" w:sz="12" w:space="4" w:color="auto"/>
        </w:pBdr>
        <w:spacing w:after="240"/>
        <w:jc w:val="both"/>
        <w:rPr>
          <w:rFonts w:ascii="Tahoma" w:hAnsi="Tahoma" w:cs="Tahoma"/>
          <w:b/>
          <w:bCs/>
          <w:sz w:val="32"/>
          <w:szCs w:val="32"/>
        </w:rPr>
      </w:pPr>
    </w:p>
    <w:p w14:paraId="6AD2AEEB" w14:textId="77777777" w:rsidR="00B738FC" w:rsidRPr="00B738FC" w:rsidRDefault="00B738FC" w:rsidP="00B738FC">
      <w:pPr>
        <w:pBdr>
          <w:top w:val="thinThickSmallGap" w:sz="12" w:space="1" w:color="auto"/>
          <w:left w:val="thinThickSmallGap" w:sz="12" w:space="4" w:color="auto"/>
          <w:bottom w:val="thickThinSmallGap" w:sz="12" w:space="1" w:color="auto"/>
          <w:right w:val="thickThinSmallGap" w:sz="12" w:space="4" w:color="auto"/>
        </w:pBdr>
        <w:spacing w:after="240"/>
        <w:jc w:val="both"/>
        <w:rPr>
          <w:rFonts w:ascii="Tahoma" w:hAnsi="Tahoma" w:cs="Tahoma"/>
          <w:b/>
          <w:bCs/>
          <w:sz w:val="32"/>
          <w:szCs w:val="32"/>
        </w:rPr>
      </w:pPr>
    </w:p>
    <w:p w14:paraId="61865392" w14:textId="77777777" w:rsidR="00B738FC" w:rsidRPr="00B738FC" w:rsidRDefault="00B738FC" w:rsidP="00B738FC">
      <w:pPr>
        <w:pBdr>
          <w:top w:val="thinThickSmallGap" w:sz="12" w:space="1" w:color="auto"/>
          <w:left w:val="thinThickSmallGap" w:sz="12" w:space="4" w:color="auto"/>
          <w:bottom w:val="thickThinSmallGap" w:sz="12" w:space="1" w:color="auto"/>
          <w:right w:val="thickThinSmallGap" w:sz="12" w:space="4" w:color="auto"/>
        </w:pBdr>
        <w:spacing w:after="240"/>
        <w:jc w:val="center"/>
        <w:rPr>
          <w:rFonts w:ascii="Tahoma" w:hAnsi="Tahoma" w:cs="Tahoma"/>
          <w:b/>
          <w:bCs/>
          <w:sz w:val="32"/>
          <w:szCs w:val="32"/>
        </w:rPr>
      </w:pPr>
      <w:r w:rsidRPr="00B738FC">
        <w:rPr>
          <w:rFonts w:ascii="Tahoma" w:hAnsi="Tahoma" w:cs="Tahoma"/>
          <w:b/>
          <w:bCs/>
          <w:sz w:val="32"/>
          <w:szCs w:val="32"/>
        </w:rPr>
        <w:t>2025 MONETARY POLICY STATEMENT SYNOPSIS</w:t>
      </w:r>
    </w:p>
    <w:p w14:paraId="60F95893" w14:textId="77777777" w:rsidR="00B738FC" w:rsidRDefault="00B738FC" w:rsidP="00B738FC">
      <w:pPr>
        <w:pBdr>
          <w:top w:val="thinThickSmallGap" w:sz="12" w:space="1" w:color="auto"/>
          <w:left w:val="thinThickSmallGap" w:sz="12" w:space="4" w:color="auto"/>
          <w:bottom w:val="thickThinSmallGap" w:sz="12" w:space="1" w:color="auto"/>
          <w:right w:val="thickThinSmallGap" w:sz="12" w:space="4" w:color="auto"/>
        </w:pBdr>
        <w:spacing w:after="240"/>
        <w:jc w:val="both"/>
        <w:rPr>
          <w:rFonts w:ascii="Tahoma" w:hAnsi="Tahoma" w:cs="Tahoma"/>
          <w:b/>
          <w:bCs/>
        </w:rPr>
      </w:pPr>
    </w:p>
    <w:p w14:paraId="066FEAFE" w14:textId="77777777" w:rsidR="00B738FC" w:rsidRDefault="00B738FC" w:rsidP="00B738FC">
      <w:pPr>
        <w:pBdr>
          <w:top w:val="thinThickSmallGap" w:sz="12" w:space="1" w:color="auto"/>
          <w:left w:val="thinThickSmallGap" w:sz="12" w:space="4" w:color="auto"/>
          <w:bottom w:val="thickThinSmallGap" w:sz="12" w:space="1" w:color="auto"/>
          <w:right w:val="thickThinSmallGap" w:sz="12" w:space="4" w:color="auto"/>
        </w:pBdr>
        <w:spacing w:after="240"/>
        <w:jc w:val="both"/>
        <w:rPr>
          <w:rFonts w:ascii="Tahoma" w:hAnsi="Tahoma" w:cs="Tahoma"/>
          <w:b/>
          <w:bCs/>
        </w:rPr>
      </w:pPr>
    </w:p>
    <w:p w14:paraId="4B01F282" w14:textId="77777777" w:rsidR="00B738FC" w:rsidRDefault="00B738FC" w:rsidP="00B738FC">
      <w:pPr>
        <w:pBdr>
          <w:top w:val="thinThickSmallGap" w:sz="12" w:space="1" w:color="auto"/>
          <w:left w:val="thinThickSmallGap" w:sz="12" w:space="4" w:color="auto"/>
          <w:bottom w:val="thickThinSmallGap" w:sz="12" w:space="1" w:color="auto"/>
          <w:right w:val="thickThinSmallGap" w:sz="12" w:space="4" w:color="auto"/>
        </w:pBdr>
        <w:spacing w:after="240"/>
        <w:jc w:val="both"/>
        <w:rPr>
          <w:rFonts w:ascii="Tahoma" w:hAnsi="Tahoma" w:cs="Tahoma"/>
          <w:b/>
          <w:bCs/>
        </w:rPr>
      </w:pPr>
    </w:p>
    <w:p w14:paraId="0BD8F60F" w14:textId="77777777" w:rsidR="00B738FC" w:rsidRDefault="00B738FC" w:rsidP="00B738FC">
      <w:pPr>
        <w:pBdr>
          <w:top w:val="thinThickSmallGap" w:sz="12" w:space="1" w:color="auto"/>
          <w:left w:val="thinThickSmallGap" w:sz="12" w:space="4" w:color="auto"/>
          <w:bottom w:val="thickThinSmallGap" w:sz="12" w:space="1" w:color="auto"/>
          <w:right w:val="thickThinSmallGap" w:sz="12" w:space="4" w:color="auto"/>
        </w:pBdr>
        <w:spacing w:after="240"/>
        <w:jc w:val="both"/>
        <w:rPr>
          <w:rFonts w:ascii="Tahoma" w:hAnsi="Tahoma" w:cs="Tahoma"/>
          <w:b/>
          <w:bCs/>
        </w:rPr>
      </w:pPr>
    </w:p>
    <w:p w14:paraId="2AE37865" w14:textId="77777777" w:rsidR="00B738FC" w:rsidRDefault="00B738FC" w:rsidP="00B738FC">
      <w:pPr>
        <w:pBdr>
          <w:top w:val="thinThickSmallGap" w:sz="12" w:space="1" w:color="auto"/>
          <w:left w:val="thinThickSmallGap" w:sz="12" w:space="4" w:color="auto"/>
          <w:bottom w:val="thickThinSmallGap" w:sz="12" w:space="1" w:color="auto"/>
          <w:right w:val="thickThinSmallGap" w:sz="12" w:space="4" w:color="auto"/>
        </w:pBdr>
        <w:spacing w:after="240"/>
        <w:jc w:val="both"/>
        <w:rPr>
          <w:rFonts w:ascii="Tahoma" w:hAnsi="Tahoma" w:cs="Tahoma"/>
          <w:b/>
          <w:bCs/>
        </w:rPr>
      </w:pPr>
    </w:p>
    <w:p w14:paraId="3CC5DB08" w14:textId="77777777" w:rsidR="00B738FC" w:rsidRDefault="00B738FC" w:rsidP="00B738FC">
      <w:pPr>
        <w:pBdr>
          <w:top w:val="thinThickSmallGap" w:sz="12" w:space="1" w:color="auto"/>
          <w:left w:val="thinThickSmallGap" w:sz="12" w:space="4" w:color="auto"/>
          <w:bottom w:val="thickThinSmallGap" w:sz="12" w:space="1" w:color="auto"/>
          <w:right w:val="thickThinSmallGap" w:sz="12" w:space="4" w:color="auto"/>
        </w:pBdr>
        <w:spacing w:after="240"/>
        <w:jc w:val="both"/>
        <w:rPr>
          <w:rFonts w:ascii="Tahoma" w:hAnsi="Tahoma" w:cs="Tahoma"/>
          <w:b/>
          <w:bCs/>
        </w:rPr>
      </w:pPr>
    </w:p>
    <w:p w14:paraId="4835F38B" w14:textId="77777777" w:rsidR="00B738FC" w:rsidRDefault="00B738FC" w:rsidP="00B738FC">
      <w:pPr>
        <w:pBdr>
          <w:top w:val="thinThickSmallGap" w:sz="12" w:space="1" w:color="auto"/>
          <w:left w:val="thinThickSmallGap" w:sz="12" w:space="4" w:color="auto"/>
          <w:bottom w:val="thickThinSmallGap" w:sz="12" w:space="1" w:color="auto"/>
          <w:right w:val="thickThinSmallGap" w:sz="12" w:space="4" w:color="auto"/>
        </w:pBdr>
        <w:spacing w:after="240"/>
        <w:jc w:val="both"/>
        <w:rPr>
          <w:rFonts w:ascii="Tahoma" w:hAnsi="Tahoma" w:cs="Tahoma"/>
          <w:b/>
          <w:bCs/>
        </w:rPr>
      </w:pPr>
    </w:p>
    <w:p w14:paraId="10B30EDF" w14:textId="77777777" w:rsidR="00B738FC" w:rsidRDefault="00B738FC" w:rsidP="00310DA1">
      <w:pPr>
        <w:spacing w:after="240"/>
        <w:jc w:val="both"/>
        <w:rPr>
          <w:rFonts w:ascii="Tahoma" w:hAnsi="Tahoma" w:cs="Tahoma"/>
          <w:b/>
          <w:bCs/>
        </w:rPr>
      </w:pPr>
    </w:p>
    <w:p w14:paraId="15C4541E" w14:textId="33917086" w:rsidR="00B738FC" w:rsidRDefault="00B738FC">
      <w:pPr>
        <w:rPr>
          <w:rFonts w:ascii="Tahoma" w:hAnsi="Tahoma" w:cs="Tahoma"/>
          <w:b/>
          <w:bCs/>
        </w:rPr>
      </w:pPr>
    </w:p>
    <w:p w14:paraId="44FBE09F" w14:textId="77777777" w:rsidR="00B738FC" w:rsidRDefault="00B738FC">
      <w:pPr>
        <w:rPr>
          <w:rFonts w:ascii="Tahoma" w:hAnsi="Tahoma" w:cs="Tahoma"/>
          <w:b/>
          <w:bCs/>
        </w:rPr>
      </w:pPr>
    </w:p>
    <w:p w14:paraId="19436987" w14:textId="77777777" w:rsidR="00B738FC" w:rsidRDefault="00B738FC">
      <w:pPr>
        <w:rPr>
          <w:rFonts w:ascii="Tahoma" w:hAnsi="Tahoma" w:cs="Tahoma"/>
          <w:b/>
          <w:bCs/>
        </w:rPr>
        <w:sectPr w:rsidR="00B738FC" w:rsidSect="00B738FC">
          <w:footerReference w:type="default" r:id="rId8"/>
          <w:pgSz w:w="11906" w:h="16838"/>
          <w:pgMar w:top="1440" w:right="1440" w:bottom="1440" w:left="1440" w:header="708" w:footer="708" w:gutter="0"/>
          <w:cols w:space="708"/>
          <w:titlePg/>
          <w:docGrid w:linePitch="360"/>
        </w:sectPr>
      </w:pPr>
    </w:p>
    <w:p w14:paraId="4EA0CFAB" w14:textId="404E4546" w:rsidR="0016577A" w:rsidRPr="004A13E3" w:rsidRDefault="00D60A5D" w:rsidP="00310DA1">
      <w:pPr>
        <w:spacing w:after="240"/>
        <w:jc w:val="both"/>
        <w:rPr>
          <w:rFonts w:ascii="Tahoma" w:hAnsi="Tahoma" w:cs="Tahoma"/>
          <w:b/>
          <w:bCs/>
        </w:rPr>
      </w:pPr>
      <w:r w:rsidRPr="004A13E3">
        <w:rPr>
          <w:rFonts w:ascii="Tahoma" w:hAnsi="Tahoma" w:cs="Tahoma"/>
          <w:b/>
          <w:bCs/>
        </w:rPr>
        <w:lastRenderedPageBreak/>
        <w:t>1.0</w:t>
      </w:r>
      <w:r w:rsidRPr="004A13E3">
        <w:rPr>
          <w:rFonts w:ascii="Tahoma" w:hAnsi="Tahoma" w:cs="Tahoma"/>
          <w:b/>
          <w:bCs/>
        </w:rPr>
        <w:tab/>
        <w:t>INTRODUCTION</w:t>
      </w:r>
    </w:p>
    <w:p w14:paraId="6401AB39" w14:textId="77777777" w:rsidR="00A40D72" w:rsidRDefault="007E154F" w:rsidP="007E154F">
      <w:pPr>
        <w:spacing w:after="240"/>
        <w:ind w:left="720"/>
        <w:jc w:val="both"/>
        <w:rPr>
          <w:rFonts w:ascii="Tahoma" w:hAnsi="Tahoma" w:cs="Tahoma"/>
          <w:lang w:val="en-ZW"/>
        </w:rPr>
      </w:pPr>
      <w:r w:rsidRPr="007E154F">
        <w:rPr>
          <w:rFonts w:ascii="Tahoma" w:hAnsi="Tahoma" w:cs="Tahoma"/>
          <w:lang w:val="en-ZW"/>
        </w:rPr>
        <w:t xml:space="preserve">On </w:t>
      </w:r>
      <w:r w:rsidR="00B738FC">
        <w:rPr>
          <w:rFonts w:ascii="Tahoma" w:hAnsi="Tahoma" w:cs="Tahoma"/>
          <w:lang w:val="en-ZW"/>
        </w:rPr>
        <w:t xml:space="preserve">6 </w:t>
      </w:r>
      <w:r w:rsidRPr="007E154F">
        <w:rPr>
          <w:rFonts w:ascii="Tahoma" w:hAnsi="Tahoma" w:cs="Tahoma"/>
          <w:lang w:val="en-ZW"/>
        </w:rPr>
        <w:t>February</w:t>
      </w:r>
      <w:r w:rsidR="00B738FC">
        <w:rPr>
          <w:rFonts w:ascii="Tahoma" w:hAnsi="Tahoma" w:cs="Tahoma"/>
          <w:lang w:val="en-ZW"/>
        </w:rPr>
        <w:t xml:space="preserve"> </w:t>
      </w:r>
      <w:r w:rsidRPr="007E154F">
        <w:rPr>
          <w:rFonts w:ascii="Tahoma" w:hAnsi="Tahoma" w:cs="Tahoma"/>
          <w:lang w:val="en-ZW"/>
        </w:rPr>
        <w:t>2025, the Governor of the Reserve Bank of Zimbabwe, Dr. J. Mushayavanhu, presented the</w:t>
      </w:r>
      <w:r>
        <w:rPr>
          <w:rFonts w:ascii="Tahoma" w:hAnsi="Tahoma" w:cs="Tahoma"/>
          <w:lang w:val="en-ZW"/>
        </w:rPr>
        <w:t xml:space="preserve"> </w:t>
      </w:r>
      <w:r w:rsidRPr="007E154F">
        <w:rPr>
          <w:rFonts w:ascii="Tahoma" w:hAnsi="Tahoma" w:cs="Tahoma"/>
          <w:lang w:val="en-ZW"/>
        </w:rPr>
        <w:t xml:space="preserve">2025 Monetary Policy Statement (MPS), continuing under the Back-to-Basics Strategy. </w:t>
      </w:r>
      <w:r w:rsidR="00B738FC">
        <w:rPr>
          <w:rFonts w:ascii="Tahoma" w:hAnsi="Tahoma" w:cs="Tahoma"/>
          <w:lang w:val="en-ZW"/>
        </w:rPr>
        <w:t>The MPS was presented under the theme “</w:t>
      </w:r>
      <w:r w:rsidR="00B738FC" w:rsidRPr="00A40D72">
        <w:rPr>
          <w:rFonts w:ascii="Tahoma" w:hAnsi="Tahoma" w:cs="Tahoma"/>
          <w:b/>
          <w:bCs/>
          <w:lang w:val="en-ZW"/>
        </w:rPr>
        <w:t>Fostering Price, Currency and Exchange Rate Stability Through Balancing Confidence-Trust-Credibility-Efficiency-Stability-Growth</w:t>
      </w:r>
      <w:r w:rsidR="00B738FC">
        <w:rPr>
          <w:rFonts w:ascii="Tahoma" w:hAnsi="Tahoma" w:cs="Tahoma"/>
          <w:lang w:val="en-ZW"/>
        </w:rPr>
        <w:t xml:space="preserve">”. </w:t>
      </w:r>
    </w:p>
    <w:p w14:paraId="788632E7" w14:textId="77777777" w:rsidR="00A40D72" w:rsidRDefault="007E154F" w:rsidP="007E154F">
      <w:pPr>
        <w:spacing w:after="240"/>
        <w:ind w:left="720"/>
        <w:jc w:val="both"/>
        <w:rPr>
          <w:rFonts w:ascii="Tahoma" w:hAnsi="Tahoma" w:cs="Tahoma"/>
          <w:lang w:val="en-ZW"/>
        </w:rPr>
      </w:pPr>
      <w:r w:rsidRPr="007E154F">
        <w:rPr>
          <w:rFonts w:ascii="Tahoma" w:hAnsi="Tahoma" w:cs="Tahoma"/>
          <w:lang w:val="en-ZW"/>
        </w:rPr>
        <w:t xml:space="preserve">Announced amid relative inflation and exchange rate stability, the MPS builds on the tight monetary policy stance </w:t>
      </w:r>
      <w:r w:rsidR="00A26AFF">
        <w:rPr>
          <w:rFonts w:ascii="Tahoma" w:hAnsi="Tahoma" w:cs="Tahoma"/>
          <w:lang w:val="en-ZW"/>
        </w:rPr>
        <w:t>embarked on</w:t>
      </w:r>
      <w:r w:rsidRPr="007E154F">
        <w:rPr>
          <w:rFonts w:ascii="Tahoma" w:hAnsi="Tahoma" w:cs="Tahoma"/>
          <w:lang w:val="en-ZW"/>
        </w:rPr>
        <w:t xml:space="preserve"> </w:t>
      </w:r>
      <w:r w:rsidR="00A26AFF">
        <w:rPr>
          <w:rFonts w:ascii="Tahoma" w:hAnsi="Tahoma" w:cs="Tahoma"/>
          <w:lang w:val="en-ZW"/>
        </w:rPr>
        <w:t>earlier in</w:t>
      </w:r>
      <w:r>
        <w:rPr>
          <w:rFonts w:ascii="Tahoma" w:hAnsi="Tahoma" w:cs="Tahoma"/>
          <w:lang w:val="en-ZW"/>
        </w:rPr>
        <w:t xml:space="preserve"> </w:t>
      </w:r>
      <w:r w:rsidRPr="007E154F">
        <w:rPr>
          <w:rFonts w:ascii="Tahoma" w:hAnsi="Tahoma" w:cs="Tahoma"/>
          <w:lang w:val="en-ZW"/>
        </w:rPr>
        <w:t xml:space="preserve">2024. </w:t>
      </w:r>
      <w:r w:rsidR="00A26AFF">
        <w:rPr>
          <w:rFonts w:ascii="Tahoma" w:hAnsi="Tahoma" w:cs="Tahoma"/>
          <w:lang w:val="en-ZW"/>
        </w:rPr>
        <w:t xml:space="preserve">The </w:t>
      </w:r>
      <w:r w:rsidRPr="007E154F">
        <w:rPr>
          <w:rFonts w:ascii="Tahoma" w:hAnsi="Tahoma" w:cs="Tahoma"/>
          <w:lang w:val="en-ZW"/>
        </w:rPr>
        <w:t>primary objective is to sustain this approach, reinforcing Central Bank policy credibility and trust through three strategic pillars:</w:t>
      </w:r>
      <w:r>
        <w:rPr>
          <w:rFonts w:ascii="Tahoma" w:hAnsi="Tahoma" w:cs="Tahoma"/>
          <w:lang w:val="en-ZW"/>
        </w:rPr>
        <w:t xml:space="preserve"> </w:t>
      </w:r>
      <w:r w:rsidRPr="007E154F">
        <w:rPr>
          <w:rFonts w:ascii="Tahoma" w:hAnsi="Tahoma" w:cs="Tahoma"/>
          <w:lang w:val="en-ZW"/>
        </w:rPr>
        <w:t xml:space="preserve">Consolidating Price, Currency, and Exchange Rate Stability; Enhancing Monetary Stability, Research, Policy, and Data Integrity; and Maintaining the Safety, Soundness, and Integrity of the Financial Sector. </w:t>
      </w:r>
    </w:p>
    <w:p w14:paraId="51CA077C" w14:textId="2F129FB8" w:rsidR="00CE7567" w:rsidRDefault="007E154F" w:rsidP="007E154F">
      <w:pPr>
        <w:spacing w:after="240"/>
        <w:ind w:left="720"/>
        <w:jc w:val="both"/>
        <w:rPr>
          <w:rFonts w:ascii="Tahoma" w:hAnsi="Tahoma" w:cs="Tahoma"/>
          <w:lang w:val="en-ZW"/>
        </w:rPr>
      </w:pPr>
      <w:r w:rsidRPr="007E154F">
        <w:rPr>
          <w:rFonts w:ascii="Tahoma" w:hAnsi="Tahoma" w:cs="Tahoma"/>
          <w:lang w:val="en-ZW"/>
        </w:rPr>
        <w:t>Additionally, the policy emphasizes</w:t>
      </w:r>
      <w:r>
        <w:rPr>
          <w:rFonts w:ascii="Tahoma" w:hAnsi="Tahoma" w:cs="Tahoma"/>
          <w:lang w:val="en-ZW"/>
        </w:rPr>
        <w:t xml:space="preserve"> </w:t>
      </w:r>
      <w:r w:rsidRPr="007E154F">
        <w:rPr>
          <w:rFonts w:ascii="Tahoma" w:hAnsi="Tahoma" w:cs="Tahoma"/>
          <w:lang w:val="en-ZW"/>
        </w:rPr>
        <w:t xml:space="preserve">foreign exchange mobilization, </w:t>
      </w:r>
      <w:r w:rsidR="00A26AFF">
        <w:rPr>
          <w:rFonts w:ascii="Tahoma" w:hAnsi="Tahoma" w:cs="Tahoma"/>
          <w:lang w:val="en-ZW"/>
        </w:rPr>
        <w:t xml:space="preserve">perpetual </w:t>
      </w:r>
      <w:r w:rsidRPr="007E154F">
        <w:rPr>
          <w:rFonts w:ascii="Tahoma" w:hAnsi="Tahoma" w:cs="Tahoma"/>
          <w:lang w:val="en-ZW"/>
        </w:rPr>
        <w:t>reserve</w:t>
      </w:r>
      <w:r w:rsidR="00A26AFF">
        <w:rPr>
          <w:rFonts w:ascii="Tahoma" w:hAnsi="Tahoma" w:cs="Tahoma"/>
          <w:lang w:val="en-ZW"/>
        </w:rPr>
        <w:t>s</w:t>
      </w:r>
      <w:r w:rsidRPr="007E154F">
        <w:rPr>
          <w:rFonts w:ascii="Tahoma" w:hAnsi="Tahoma" w:cs="Tahoma"/>
          <w:lang w:val="en-ZW"/>
        </w:rPr>
        <w:t xml:space="preserve"> accumulation, and promoting demand for the local currency, ensuring a</w:t>
      </w:r>
      <w:r>
        <w:rPr>
          <w:rFonts w:ascii="Tahoma" w:hAnsi="Tahoma" w:cs="Tahoma"/>
          <w:lang w:val="en-ZW"/>
        </w:rPr>
        <w:t xml:space="preserve"> </w:t>
      </w:r>
      <w:r w:rsidRPr="007E154F">
        <w:rPr>
          <w:rFonts w:ascii="Tahoma" w:hAnsi="Tahoma" w:cs="Tahoma"/>
          <w:lang w:val="en-ZW"/>
        </w:rPr>
        <w:t>sustainable monetary environment.</w:t>
      </w:r>
    </w:p>
    <w:p w14:paraId="7A8C2F24" w14:textId="51D76F8B" w:rsidR="00051519" w:rsidRPr="004A13E3" w:rsidRDefault="00CE7567" w:rsidP="00310DA1">
      <w:pPr>
        <w:spacing w:after="240"/>
        <w:ind w:left="720" w:hanging="720"/>
        <w:jc w:val="both"/>
        <w:rPr>
          <w:rFonts w:ascii="Tahoma" w:hAnsi="Tahoma" w:cs="Tahoma"/>
          <w:b/>
          <w:bCs/>
          <w:lang w:val="en-ZW"/>
        </w:rPr>
      </w:pPr>
      <w:r w:rsidRPr="00A10FD7">
        <w:rPr>
          <w:rFonts w:ascii="Tahoma" w:hAnsi="Tahoma" w:cs="Tahoma"/>
          <w:b/>
          <w:bCs/>
          <w:lang w:val="en-ZW"/>
        </w:rPr>
        <w:t xml:space="preserve"> </w:t>
      </w:r>
      <w:r w:rsidR="00A10FD7" w:rsidRPr="00A10FD7">
        <w:rPr>
          <w:rFonts w:ascii="Tahoma" w:hAnsi="Tahoma" w:cs="Tahoma"/>
          <w:b/>
          <w:bCs/>
          <w:lang w:val="en-ZW"/>
        </w:rPr>
        <w:t>2.0</w:t>
      </w:r>
      <w:r w:rsidR="00A10FD7" w:rsidRPr="00A10FD7">
        <w:rPr>
          <w:rFonts w:ascii="Tahoma" w:hAnsi="Tahoma" w:cs="Tahoma"/>
          <w:b/>
          <w:bCs/>
          <w:lang w:val="en-ZW"/>
        </w:rPr>
        <w:tab/>
      </w:r>
      <w:r w:rsidR="004074BB" w:rsidRPr="00A10FD7">
        <w:rPr>
          <w:rFonts w:ascii="Tahoma" w:hAnsi="Tahoma" w:cs="Tahoma"/>
          <w:b/>
          <w:bCs/>
          <w:lang w:val="en-ZW"/>
        </w:rPr>
        <w:t xml:space="preserve">MONETARY POLICY STRATEGIC </w:t>
      </w:r>
      <w:r w:rsidR="00170717" w:rsidRPr="00A10FD7">
        <w:rPr>
          <w:rFonts w:ascii="Tahoma" w:hAnsi="Tahoma" w:cs="Tahoma"/>
          <w:b/>
          <w:bCs/>
          <w:lang w:val="en-ZW"/>
        </w:rPr>
        <w:t xml:space="preserve">FOCUS </w:t>
      </w:r>
      <w:r w:rsidR="0005550D" w:rsidRPr="00A10FD7">
        <w:rPr>
          <w:rFonts w:ascii="Tahoma" w:hAnsi="Tahoma" w:cs="Tahoma"/>
          <w:b/>
          <w:bCs/>
          <w:lang w:val="en-ZW"/>
        </w:rPr>
        <w:t xml:space="preserve">AREAS, MEASURES AND </w:t>
      </w:r>
      <w:r w:rsidR="0005550D">
        <w:rPr>
          <w:rFonts w:ascii="Tahoma" w:hAnsi="Tahoma" w:cs="Tahoma"/>
          <w:b/>
          <w:bCs/>
          <w:lang w:val="en-ZW"/>
        </w:rPr>
        <w:t>ANALYSIS</w:t>
      </w:r>
    </w:p>
    <w:p w14:paraId="6EF96B04" w14:textId="2CFE124C" w:rsidR="008D0EDF" w:rsidRPr="004A13E3" w:rsidRDefault="00B73549" w:rsidP="00310DA1">
      <w:pPr>
        <w:spacing w:before="240" w:after="240"/>
        <w:jc w:val="both"/>
        <w:rPr>
          <w:rFonts w:ascii="Tahoma" w:hAnsi="Tahoma" w:cs="Tahoma"/>
          <w:b/>
          <w:bCs/>
          <w:lang w:val="en-ZW"/>
        </w:rPr>
      </w:pPr>
      <w:r>
        <w:rPr>
          <w:rFonts w:ascii="Tahoma" w:hAnsi="Tahoma" w:cs="Tahoma"/>
          <w:b/>
          <w:bCs/>
          <w:lang w:val="en-ZW"/>
        </w:rPr>
        <w:t>2.1</w:t>
      </w:r>
      <w:r>
        <w:rPr>
          <w:rFonts w:ascii="Tahoma" w:hAnsi="Tahoma" w:cs="Tahoma"/>
          <w:b/>
          <w:bCs/>
          <w:lang w:val="en-ZW"/>
        </w:rPr>
        <w:tab/>
      </w:r>
      <w:r w:rsidR="00CE7567" w:rsidRPr="00CE7567">
        <w:rPr>
          <w:rFonts w:ascii="Tahoma" w:hAnsi="Tahoma" w:cs="Tahoma"/>
          <w:b/>
          <w:bCs/>
        </w:rPr>
        <w:t>Review of Exporters’ Foreign Currency Retention Threshold</w:t>
      </w:r>
    </w:p>
    <w:p w14:paraId="6526D3F3" w14:textId="5054F6D2" w:rsidR="00D403D8" w:rsidRPr="00AF023C" w:rsidRDefault="00A26AFF" w:rsidP="00AF023C">
      <w:pPr>
        <w:spacing w:after="240"/>
        <w:ind w:left="720"/>
        <w:jc w:val="both"/>
        <w:rPr>
          <w:rFonts w:ascii="Tahoma" w:hAnsi="Tahoma" w:cs="Tahoma"/>
          <w:b/>
          <w:bCs/>
          <w:i/>
          <w:iCs/>
          <w:lang w:val="en-ZW"/>
        </w:rPr>
      </w:pPr>
      <w:r>
        <w:rPr>
          <w:rFonts w:ascii="Tahoma" w:hAnsi="Tahoma" w:cs="Tahoma"/>
          <w:lang w:val="en-ZW"/>
        </w:rPr>
        <w:t>The</w:t>
      </w:r>
      <w:r w:rsidR="00D403D8" w:rsidRPr="00D403D8">
        <w:rPr>
          <w:rFonts w:ascii="Tahoma" w:hAnsi="Tahoma" w:cs="Tahoma"/>
          <w:lang w:val="en-ZW"/>
        </w:rPr>
        <w:t xml:space="preserve"> measure</w:t>
      </w:r>
      <w:r>
        <w:rPr>
          <w:rFonts w:ascii="Tahoma" w:hAnsi="Tahoma" w:cs="Tahoma"/>
          <w:lang w:val="en-ZW"/>
        </w:rPr>
        <w:t xml:space="preserve"> reduced</w:t>
      </w:r>
      <w:r w:rsidR="00D403D8" w:rsidRPr="00D403D8">
        <w:rPr>
          <w:rFonts w:ascii="Tahoma" w:hAnsi="Tahoma" w:cs="Tahoma"/>
          <w:lang w:val="en-ZW"/>
        </w:rPr>
        <w:t xml:space="preserve"> the foreign currency retention threshold for exporters</w:t>
      </w:r>
      <w:r w:rsidR="006C29F3">
        <w:rPr>
          <w:rFonts w:ascii="Tahoma" w:hAnsi="Tahoma" w:cs="Tahoma"/>
          <w:lang w:val="en-ZW"/>
        </w:rPr>
        <w:t xml:space="preserve"> </w:t>
      </w:r>
      <w:r w:rsidR="00D403D8" w:rsidRPr="00D403D8">
        <w:rPr>
          <w:rFonts w:ascii="Tahoma" w:hAnsi="Tahoma" w:cs="Tahoma"/>
          <w:lang w:val="en-ZW"/>
        </w:rPr>
        <w:t>from 75% to 70%. This change requires exporters to surrender 30% of their foreign currency earnings</w:t>
      </w:r>
      <w:r>
        <w:rPr>
          <w:rFonts w:ascii="Tahoma" w:hAnsi="Tahoma" w:cs="Tahoma"/>
          <w:lang w:val="en-ZW"/>
        </w:rPr>
        <w:t xml:space="preserve"> for ZiG</w:t>
      </w:r>
      <w:r w:rsidR="00D403D8" w:rsidRPr="00D403D8">
        <w:rPr>
          <w:rFonts w:ascii="Tahoma" w:hAnsi="Tahoma" w:cs="Tahoma"/>
          <w:lang w:val="en-ZW"/>
        </w:rPr>
        <w:t>, instead of the previous 25%. The primary goal is to boost the supply of foreign currency in the interbank market and build the reserves necessary to anchor</w:t>
      </w:r>
      <w:r w:rsidR="0028624C">
        <w:rPr>
          <w:rFonts w:ascii="Tahoma" w:hAnsi="Tahoma" w:cs="Tahoma"/>
          <w:lang w:val="en-ZW"/>
        </w:rPr>
        <w:t xml:space="preserve"> backed-up supply of the</w:t>
      </w:r>
      <w:r w:rsidR="00D403D8" w:rsidRPr="00D403D8">
        <w:rPr>
          <w:rFonts w:ascii="Tahoma" w:hAnsi="Tahoma" w:cs="Tahoma"/>
          <w:lang w:val="en-ZW"/>
        </w:rPr>
        <w:t xml:space="preserve"> ZiG, thereby enhancing exchange rate stability.</w:t>
      </w:r>
    </w:p>
    <w:p w14:paraId="2E44E354" w14:textId="5CF560F5" w:rsidR="00AF023C" w:rsidRDefault="00A40D72" w:rsidP="00310DA1">
      <w:pPr>
        <w:spacing w:after="240"/>
        <w:ind w:left="720"/>
        <w:jc w:val="both"/>
        <w:rPr>
          <w:rFonts w:ascii="Tahoma" w:hAnsi="Tahoma" w:cs="Tahoma"/>
          <w:i/>
          <w:iCs/>
          <w:lang w:val="en-ZW"/>
        </w:rPr>
      </w:pPr>
      <w:r>
        <w:rPr>
          <w:rFonts w:ascii="Tahoma" w:hAnsi="Tahoma" w:cs="Tahoma"/>
          <w:b/>
          <w:bCs/>
          <w:i/>
          <w:iCs/>
          <w:lang w:val="en-ZW"/>
        </w:rPr>
        <w:t xml:space="preserve">NECF Views </w:t>
      </w:r>
    </w:p>
    <w:p w14:paraId="70E653CB" w14:textId="2CAF3296" w:rsidR="00D403D8" w:rsidRPr="00272C3B" w:rsidRDefault="00272C3B" w:rsidP="00310DA1">
      <w:pPr>
        <w:spacing w:after="240"/>
        <w:ind w:left="720"/>
        <w:jc w:val="both"/>
        <w:rPr>
          <w:rFonts w:ascii="Tahoma" w:hAnsi="Tahoma" w:cs="Tahoma"/>
          <w:i/>
          <w:iCs/>
          <w:lang w:val="en-ZW"/>
        </w:rPr>
      </w:pPr>
      <w:r w:rsidRPr="00272C3B">
        <w:rPr>
          <w:rFonts w:ascii="Tahoma" w:hAnsi="Tahoma" w:cs="Tahoma"/>
          <w:i/>
          <w:iCs/>
          <w:lang w:val="en-ZW"/>
        </w:rPr>
        <w:t>While reducing the retention threshold to 70% is beneficial as it increases the official supply of foreign currency and supports exchange rate stability, thereby reinforcing monetary credibility, it is crucial to implement complementary measures to mitigate potential negative impacts on exporters. Policy advice includes ensuring that the official exchange rate remains competitive and market-reflective to prevent market distortions, offering targeted incentives such as tax breaks</w:t>
      </w:r>
      <w:r w:rsidR="00A26AFF">
        <w:rPr>
          <w:rFonts w:ascii="Tahoma" w:hAnsi="Tahoma" w:cs="Tahoma"/>
          <w:i/>
          <w:iCs/>
          <w:lang w:val="en-ZW"/>
        </w:rPr>
        <w:t xml:space="preserve"> (syncing with fiscal policy)</w:t>
      </w:r>
      <w:r w:rsidRPr="00272C3B">
        <w:rPr>
          <w:rFonts w:ascii="Tahoma" w:hAnsi="Tahoma" w:cs="Tahoma"/>
          <w:i/>
          <w:iCs/>
          <w:lang w:val="en-ZW"/>
        </w:rPr>
        <w:t xml:space="preserve"> or preferential loans to help exporters adjust, and maintaining streamlined access to forex</w:t>
      </w:r>
      <w:r w:rsidR="00A26AFF">
        <w:rPr>
          <w:rFonts w:ascii="Tahoma" w:hAnsi="Tahoma" w:cs="Tahoma"/>
          <w:i/>
          <w:iCs/>
          <w:lang w:val="en-ZW"/>
        </w:rPr>
        <w:t xml:space="preserve"> when required</w:t>
      </w:r>
      <w:r w:rsidRPr="00272C3B">
        <w:rPr>
          <w:rFonts w:ascii="Tahoma" w:hAnsi="Tahoma" w:cs="Tahoma"/>
          <w:i/>
          <w:iCs/>
          <w:lang w:val="en-ZW"/>
        </w:rPr>
        <w:t xml:space="preserve"> for essential imports. Additionally, a gradual or sector-specific approach to the policy can facilitate smoother transitions for exporters while promoting overall forex inflows and sustaining export competitiveness.</w:t>
      </w:r>
    </w:p>
    <w:p w14:paraId="1BDA82DC" w14:textId="77777777" w:rsidR="00A40D72" w:rsidRDefault="00A40D72" w:rsidP="004A13E3">
      <w:pPr>
        <w:spacing w:after="240"/>
        <w:ind w:left="720" w:hanging="720"/>
        <w:jc w:val="both"/>
        <w:rPr>
          <w:rFonts w:ascii="Tahoma" w:hAnsi="Tahoma" w:cs="Tahoma"/>
          <w:b/>
          <w:bCs/>
          <w:lang w:val="en-ZW"/>
        </w:rPr>
      </w:pPr>
    </w:p>
    <w:p w14:paraId="462286D3" w14:textId="4C956F45" w:rsidR="00170717" w:rsidRPr="004A13E3" w:rsidRDefault="00170717" w:rsidP="004A13E3">
      <w:pPr>
        <w:spacing w:after="240"/>
        <w:ind w:left="720" w:hanging="720"/>
        <w:jc w:val="both"/>
        <w:rPr>
          <w:rFonts w:ascii="Tahoma" w:hAnsi="Tahoma" w:cs="Tahoma"/>
          <w:b/>
          <w:bCs/>
          <w:lang w:val="en-ZW"/>
        </w:rPr>
      </w:pPr>
      <w:r w:rsidRPr="004A13E3">
        <w:rPr>
          <w:rFonts w:ascii="Tahoma" w:hAnsi="Tahoma" w:cs="Tahoma"/>
          <w:b/>
          <w:bCs/>
          <w:lang w:val="en-ZW"/>
        </w:rPr>
        <w:lastRenderedPageBreak/>
        <w:t>2.2</w:t>
      </w:r>
      <w:r w:rsidRPr="004A13E3">
        <w:rPr>
          <w:rFonts w:ascii="Tahoma" w:hAnsi="Tahoma" w:cs="Tahoma"/>
          <w:b/>
          <w:bCs/>
          <w:lang w:val="en-ZW"/>
        </w:rPr>
        <w:tab/>
      </w:r>
      <w:r w:rsidR="00272C3B" w:rsidRPr="00272C3B">
        <w:rPr>
          <w:rFonts w:ascii="Tahoma" w:hAnsi="Tahoma" w:cs="Tahoma"/>
          <w:b/>
          <w:bCs/>
        </w:rPr>
        <w:t>Introduc</w:t>
      </w:r>
      <w:r w:rsidR="0028624C">
        <w:rPr>
          <w:rFonts w:ascii="Tahoma" w:hAnsi="Tahoma" w:cs="Tahoma"/>
          <w:b/>
          <w:bCs/>
        </w:rPr>
        <w:t>tion of</w:t>
      </w:r>
      <w:r w:rsidR="00272C3B" w:rsidRPr="00272C3B">
        <w:rPr>
          <w:rFonts w:ascii="Tahoma" w:hAnsi="Tahoma" w:cs="Tahoma"/>
          <w:b/>
          <w:bCs/>
        </w:rPr>
        <w:t xml:space="preserve"> a US Dollar Denominated Deposit Facility (USDDDF)</w:t>
      </w:r>
    </w:p>
    <w:p w14:paraId="1E717DAA" w14:textId="23AD5CA2" w:rsidR="00432628" w:rsidRDefault="00432628" w:rsidP="00432628">
      <w:pPr>
        <w:spacing w:after="240"/>
        <w:ind w:left="720"/>
        <w:jc w:val="both"/>
        <w:rPr>
          <w:rFonts w:ascii="Tahoma" w:hAnsi="Tahoma" w:cs="Tahoma"/>
          <w:lang w:val="en-ZW"/>
        </w:rPr>
      </w:pPr>
      <w:r w:rsidRPr="00432628">
        <w:rPr>
          <w:rFonts w:ascii="Tahoma" w:hAnsi="Tahoma" w:cs="Tahoma"/>
          <w:lang w:val="en-ZW"/>
        </w:rPr>
        <w:t xml:space="preserve">The Reserve Bank has introduced </w:t>
      </w:r>
      <w:r>
        <w:rPr>
          <w:rFonts w:ascii="Tahoma" w:hAnsi="Tahoma" w:cs="Tahoma"/>
          <w:lang w:val="en-ZW"/>
        </w:rPr>
        <w:t xml:space="preserve">the </w:t>
      </w:r>
      <w:r w:rsidRPr="00432628">
        <w:rPr>
          <w:rFonts w:ascii="Tahoma" w:hAnsi="Tahoma" w:cs="Tahoma"/>
          <w:lang w:val="en-ZW"/>
        </w:rPr>
        <w:t xml:space="preserve">USDDDF to help exporters preserve the value of their additional 5% export surrender proceeds. Exporters who do not have an immediate need for the local currency (ZiG) equivalent of these proceeds can opt to invest them </w:t>
      </w:r>
      <w:r w:rsidR="00C6497B">
        <w:rPr>
          <w:rFonts w:ascii="Tahoma" w:hAnsi="Tahoma" w:cs="Tahoma"/>
          <w:lang w:val="en-ZW"/>
        </w:rPr>
        <w:t>through</w:t>
      </w:r>
      <w:r w:rsidRPr="00432628">
        <w:rPr>
          <w:rFonts w:ascii="Tahoma" w:hAnsi="Tahoma" w:cs="Tahoma"/>
          <w:lang w:val="en-ZW"/>
        </w:rPr>
        <w:t xml:space="preserve"> this facility. The funds are held in</w:t>
      </w:r>
      <w:r w:rsidR="00C6497B">
        <w:rPr>
          <w:rFonts w:ascii="Tahoma" w:hAnsi="Tahoma" w:cs="Tahoma"/>
          <w:lang w:val="en-ZW"/>
        </w:rPr>
        <w:t xml:space="preserve"> a</w:t>
      </w:r>
      <w:r w:rsidRPr="00432628">
        <w:rPr>
          <w:rFonts w:ascii="Tahoma" w:hAnsi="Tahoma" w:cs="Tahoma"/>
          <w:lang w:val="en-ZW"/>
        </w:rPr>
        <w:t xml:space="preserve"> US Dollar</w:t>
      </w:r>
      <w:r w:rsidR="00C6497B">
        <w:rPr>
          <w:rFonts w:ascii="Tahoma" w:hAnsi="Tahoma" w:cs="Tahoma"/>
          <w:lang w:val="en-ZW"/>
        </w:rPr>
        <w:t xml:space="preserve"> denominated account</w:t>
      </w:r>
      <w:r w:rsidRPr="00432628">
        <w:rPr>
          <w:rFonts w:ascii="Tahoma" w:hAnsi="Tahoma" w:cs="Tahoma"/>
          <w:lang w:val="en-ZW"/>
        </w:rPr>
        <w:t xml:space="preserve">, </w:t>
      </w:r>
      <w:r w:rsidR="00C6497B">
        <w:rPr>
          <w:rFonts w:ascii="Tahoma" w:hAnsi="Tahoma" w:cs="Tahoma"/>
          <w:lang w:val="en-ZW"/>
        </w:rPr>
        <w:t>however</w:t>
      </w:r>
      <w:r w:rsidRPr="00432628">
        <w:rPr>
          <w:rFonts w:ascii="Tahoma" w:hAnsi="Tahoma" w:cs="Tahoma"/>
          <w:lang w:val="en-ZW"/>
        </w:rPr>
        <w:t xml:space="preserve"> exporters retain the flexibility to withdraw the equivalent amount in ZiG on demand, based on the prevailing interbank exchange rate on the settlement date</w:t>
      </w:r>
      <w:r>
        <w:rPr>
          <w:rFonts w:ascii="Tahoma" w:hAnsi="Tahoma" w:cs="Tahoma"/>
          <w:lang w:val="en-ZW"/>
        </w:rPr>
        <w:t>.</w:t>
      </w:r>
    </w:p>
    <w:p w14:paraId="1CA5F90B" w14:textId="225DE342" w:rsidR="00AF023C" w:rsidRPr="005D2448" w:rsidRDefault="00A40D72" w:rsidP="005D2448">
      <w:pPr>
        <w:spacing w:after="240"/>
        <w:ind w:left="720"/>
        <w:jc w:val="both"/>
        <w:rPr>
          <w:rFonts w:ascii="Tahoma" w:hAnsi="Tahoma" w:cs="Tahoma"/>
          <w:b/>
          <w:bCs/>
          <w:i/>
          <w:iCs/>
          <w:lang w:val="en-ZW"/>
        </w:rPr>
      </w:pPr>
      <w:r>
        <w:rPr>
          <w:rFonts w:ascii="Tahoma" w:hAnsi="Tahoma" w:cs="Tahoma"/>
          <w:b/>
          <w:bCs/>
          <w:i/>
          <w:iCs/>
          <w:lang w:val="en-ZW"/>
        </w:rPr>
        <w:t>NECF Views</w:t>
      </w:r>
    </w:p>
    <w:p w14:paraId="6341DC28" w14:textId="4CC7850C" w:rsidR="00432628" w:rsidRDefault="00432628" w:rsidP="00432628">
      <w:pPr>
        <w:spacing w:after="240"/>
        <w:ind w:left="720"/>
        <w:jc w:val="both"/>
        <w:rPr>
          <w:rFonts w:ascii="Tahoma" w:hAnsi="Tahoma" w:cs="Tahoma"/>
          <w:i/>
          <w:iCs/>
          <w:lang w:val="en-ZW"/>
        </w:rPr>
      </w:pPr>
      <w:r w:rsidRPr="00432628">
        <w:rPr>
          <w:rFonts w:ascii="Tahoma" w:hAnsi="Tahoma" w:cs="Tahoma"/>
          <w:i/>
          <w:iCs/>
          <w:lang w:val="en-ZW"/>
        </w:rPr>
        <w:t>One of the key benefits of the USDDDF is that it provides exporters with a secure mechanism to safeguard the value of their funds against local currency depreciation while still maintaining liquidity. This facility not only supports value preservation but also enhances confidence among exporters by offering flexibility in currency management. To further optimize this policy, it is advisable that the Reserve Bank ensures competitive deposit yields. Additionally, continuous monitoring and periodic review of the facility's performance can help in making timely adjustments that align with market dynamics and overall monetary policy objectives.</w:t>
      </w:r>
    </w:p>
    <w:p w14:paraId="79C5DE8D" w14:textId="77777777" w:rsidR="00432628" w:rsidRDefault="00432628" w:rsidP="00432628">
      <w:pPr>
        <w:spacing w:after="240"/>
        <w:ind w:left="720"/>
        <w:jc w:val="both"/>
        <w:rPr>
          <w:rFonts w:ascii="Tahoma" w:hAnsi="Tahoma" w:cs="Tahoma"/>
          <w:i/>
          <w:iCs/>
          <w:lang w:val="en-ZW"/>
        </w:rPr>
      </w:pPr>
    </w:p>
    <w:p w14:paraId="2821C202" w14:textId="119B92B3" w:rsidR="00117A37" w:rsidRPr="004A13E3" w:rsidRDefault="00467482" w:rsidP="00432628">
      <w:pPr>
        <w:spacing w:after="240"/>
        <w:jc w:val="both"/>
        <w:rPr>
          <w:rFonts w:ascii="Tahoma" w:hAnsi="Tahoma" w:cs="Tahoma"/>
          <w:b/>
          <w:bCs/>
          <w:lang w:val="en-ZW"/>
        </w:rPr>
      </w:pPr>
      <w:r w:rsidRPr="004A13E3">
        <w:rPr>
          <w:rFonts w:ascii="Tahoma" w:hAnsi="Tahoma" w:cs="Tahoma"/>
          <w:b/>
          <w:bCs/>
          <w:lang w:val="en-ZW"/>
        </w:rPr>
        <w:t>2.3</w:t>
      </w:r>
      <w:r w:rsidR="00432628">
        <w:rPr>
          <w:rFonts w:ascii="Tahoma" w:hAnsi="Tahoma" w:cs="Tahoma"/>
          <w:b/>
          <w:bCs/>
          <w:lang w:val="en-ZW"/>
        </w:rPr>
        <w:tab/>
      </w:r>
      <w:r w:rsidR="00432628" w:rsidRPr="00432628">
        <w:rPr>
          <w:rFonts w:ascii="Tahoma" w:hAnsi="Tahoma" w:cs="Tahoma"/>
          <w:b/>
          <w:bCs/>
        </w:rPr>
        <w:t>Refinement of the Foreign Exchange Management System</w:t>
      </w:r>
    </w:p>
    <w:p w14:paraId="4454D8B6" w14:textId="12979B64" w:rsidR="00FE731E" w:rsidRDefault="00B01A13" w:rsidP="004A13E3">
      <w:pPr>
        <w:spacing w:after="240"/>
        <w:ind w:left="720"/>
        <w:jc w:val="both"/>
        <w:rPr>
          <w:rFonts w:ascii="Tahoma" w:hAnsi="Tahoma" w:cs="Tahoma"/>
          <w:lang w:val="en-ZW"/>
        </w:rPr>
      </w:pPr>
      <w:r>
        <w:rPr>
          <w:rFonts w:ascii="Tahoma" w:hAnsi="Tahoma" w:cs="Tahoma"/>
          <w:lang w:val="en-ZW"/>
        </w:rPr>
        <w:t>In this monetary policy measure t</w:t>
      </w:r>
      <w:r w:rsidRPr="00B01A13">
        <w:rPr>
          <w:rFonts w:ascii="Tahoma" w:hAnsi="Tahoma" w:cs="Tahoma"/>
          <w:lang w:val="en-ZW"/>
        </w:rPr>
        <w:t>he Reserve Bank is implementing several measures to deepen market flexibility, improve efficiency, and strengthen risk management.</w:t>
      </w:r>
      <w:r>
        <w:rPr>
          <w:rFonts w:ascii="Tahoma" w:hAnsi="Tahoma" w:cs="Tahoma"/>
          <w:lang w:val="en-ZW"/>
        </w:rPr>
        <w:t xml:space="preserve"> First,</w:t>
      </w:r>
      <w:r w:rsidRPr="00B01A13">
        <w:rPr>
          <w:rFonts w:ascii="Tahoma" w:hAnsi="Tahoma" w:cs="Tahoma"/>
          <w:lang w:val="en-ZW"/>
        </w:rPr>
        <w:t xml:space="preserve"> </w:t>
      </w:r>
      <w:r>
        <w:rPr>
          <w:rFonts w:ascii="Tahoma" w:hAnsi="Tahoma" w:cs="Tahoma"/>
          <w:lang w:val="en-ZW"/>
        </w:rPr>
        <w:t>t</w:t>
      </w:r>
      <w:r w:rsidRPr="00B01A13">
        <w:rPr>
          <w:rFonts w:ascii="Tahoma" w:hAnsi="Tahoma" w:cs="Tahoma"/>
          <w:lang w:val="en-ZW"/>
        </w:rPr>
        <w:t>he Interbank Foreign Exchange Trading Guidelines for authorised dealers have been clarified by removing the previously applied 5% trading margin</w:t>
      </w:r>
      <w:r>
        <w:rPr>
          <w:rFonts w:ascii="Tahoma" w:hAnsi="Tahoma" w:cs="Tahoma"/>
          <w:lang w:val="en-ZW"/>
        </w:rPr>
        <w:t>,</w:t>
      </w:r>
      <w:r w:rsidRPr="00B01A13">
        <w:rPr>
          <w:rFonts w:ascii="Tahoma" w:hAnsi="Tahoma" w:cs="Tahoma"/>
          <w:lang w:val="en-ZW"/>
        </w:rPr>
        <w:t xml:space="preserve"> originally used solely to determine the starting exchange rate after the introduction of the ZiG</w:t>
      </w:r>
      <w:r>
        <w:rPr>
          <w:rFonts w:ascii="Tahoma" w:hAnsi="Tahoma" w:cs="Tahoma"/>
          <w:lang w:val="en-ZW"/>
        </w:rPr>
        <w:t>. D</w:t>
      </w:r>
      <w:r w:rsidRPr="00B01A13">
        <w:rPr>
          <w:rFonts w:ascii="Tahoma" w:hAnsi="Tahoma" w:cs="Tahoma"/>
          <w:lang w:val="en-ZW"/>
        </w:rPr>
        <w:t>ealers</w:t>
      </w:r>
      <w:r>
        <w:rPr>
          <w:rFonts w:ascii="Tahoma" w:hAnsi="Tahoma" w:cs="Tahoma"/>
          <w:lang w:val="en-ZW"/>
        </w:rPr>
        <w:t xml:space="preserve"> are now required</w:t>
      </w:r>
      <w:r w:rsidRPr="00B01A13">
        <w:rPr>
          <w:rFonts w:ascii="Tahoma" w:hAnsi="Tahoma" w:cs="Tahoma"/>
          <w:lang w:val="en-ZW"/>
        </w:rPr>
        <w:t xml:space="preserve"> to on-sell foreign exchange at margins consistent with international best practices. In addition, the Reserve Bank has removed the weekly limits on foreign exchange access</w:t>
      </w:r>
      <w:r>
        <w:rPr>
          <w:rFonts w:ascii="Tahoma" w:hAnsi="Tahoma" w:cs="Tahoma"/>
          <w:lang w:val="en-ZW"/>
        </w:rPr>
        <w:t xml:space="preserve"> </w:t>
      </w:r>
      <w:r w:rsidRPr="00B01A13">
        <w:rPr>
          <w:rFonts w:ascii="Tahoma" w:hAnsi="Tahoma" w:cs="Tahoma"/>
          <w:lang w:val="en-ZW"/>
        </w:rPr>
        <w:t xml:space="preserve">previously set at US$500,000 for primary users and US$100,000 for secondary users. To further facilitate cross-border transactions and reduce reliance on physical cash, the annual limit on prepaid international debit and credit cards has been increased from US$500,000 to US$1,000,000. Finally, measures to manage banks’ foreign currency exposure are being refined by setting upper limits to help wind down over-exposed positions, aligning with the prescribed regulatory limits of 10% for single currency and 20% overall </w:t>
      </w:r>
      <w:r>
        <w:rPr>
          <w:rFonts w:ascii="Tahoma" w:hAnsi="Tahoma" w:cs="Tahoma"/>
          <w:lang w:val="en-ZW"/>
        </w:rPr>
        <w:t>foreign exchange exposure risks.</w:t>
      </w:r>
    </w:p>
    <w:p w14:paraId="23F60E73" w14:textId="5460DAE5" w:rsidR="005D2448" w:rsidRPr="005D2448" w:rsidRDefault="00A40D72" w:rsidP="005D2448">
      <w:pPr>
        <w:spacing w:after="240"/>
        <w:ind w:left="720"/>
        <w:jc w:val="both"/>
        <w:rPr>
          <w:rFonts w:ascii="Tahoma" w:hAnsi="Tahoma" w:cs="Tahoma"/>
          <w:b/>
          <w:bCs/>
          <w:i/>
          <w:iCs/>
          <w:lang w:val="en-ZW"/>
        </w:rPr>
      </w:pPr>
      <w:r>
        <w:rPr>
          <w:rFonts w:ascii="Tahoma" w:hAnsi="Tahoma" w:cs="Tahoma"/>
          <w:b/>
          <w:bCs/>
          <w:i/>
          <w:iCs/>
          <w:lang w:val="en-ZW"/>
        </w:rPr>
        <w:t xml:space="preserve">NECF Views </w:t>
      </w:r>
    </w:p>
    <w:p w14:paraId="44D8C6AA" w14:textId="55A36095" w:rsidR="0054456B" w:rsidRPr="005D2448" w:rsidRDefault="0054456B" w:rsidP="005D2448">
      <w:pPr>
        <w:spacing w:after="240"/>
        <w:ind w:left="720"/>
        <w:jc w:val="both"/>
        <w:rPr>
          <w:rFonts w:ascii="Tahoma" w:hAnsi="Tahoma" w:cs="Tahoma"/>
          <w:i/>
          <w:iCs/>
          <w:lang w:val="en-ZW"/>
        </w:rPr>
      </w:pPr>
      <w:r w:rsidRPr="0054456B">
        <w:rPr>
          <w:rFonts w:ascii="Tahoma" w:hAnsi="Tahoma" w:cs="Tahoma"/>
          <w:i/>
          <w:iCs/>
          <w:lang w:val="en-ZW"/>
        </w:rPr>
        <w:t xml:space="preserve">These reforms represent a significant positive step toward enhancing market efficiency and transparency. The refined guidelines such as adopting margins aligned with international best practices, lifting restrictive weekly trading limits, and increasing the annual limits on prepaid international cards are </w:t>
      </w:r>
      <w:r w:rsidRPr="0054456B">
        <w:rPr>
          <w:rFonts w:ascii="Tahoma" w:hAnsi="Tahoma" w:cs="Tahoma"/>
          <w:i/>
          <w:iCs/>
          <w:lang w:val="en-ZW"/>
        </w:rPr>
        <w:lastRenderedPageBreak/>
        <w:t>commendable measures that will likely boost market liquidity, improve price discovery, and facilitate smoother cross-border transactions. Additionally, the calibrated approach to managing foreign currency exposure for banks supports prudent risk management while encouraging the growing prominence of the local currency.</w:t>
      </w:r>
      <w:r w:rsidRPr="0054456B">
        <w:rPr>
          <w:i/>
          <w:iCs/>
        </w:rPr>
        <w:t xml:space="preserve"> </w:t>
      </w:r>
      <w:r w:rsidRPr="0054456B">
        <w:rPr>
          <w:rFonts w:ascii="Tahoma" w:hAnsi="Tahoma" w:cs="Tahoma"/>
          <w:i/>
          <w:iCs/>
          <w:lang w:val="en-ZW"/>
        </w:rPr>
        <w:t>While these initiatives strengthen the overall framework, it is crucial to maintain vigilant monitoring of market dynamics to ensure that increased flexibility does not lead to heightened volatility or speculative excesses.</w:t>
      </w:r>
    </w:p>
    <w:p w14:paraId="566A1B6F" w14:textId="3A4A1B49" w:rsidR="00B866ED" w:rsidRPr="004A13E3" w:rsidRDefault="00B866ED" w:rsidP="004A13E3">
      <w:pPr>
        <w:spacing w:after="240"/>
        <w:ind w:left="720" w:hanging="720"/>
        <w:jc w:val="both"/>
        <w:rPr>
          <w:rFonts w:ascii="Tahoma" w:hAnsi="Tahoma" w:cs="Tahoma"/>
          <w:b/>
          <w:bCs/>
          <w:lang w:val="en-ZW"/>
        </w:rPr>
      </w:pPr>
      <w:r w:rsidRPr="004A13E3">
        <w:rPr>
          <w:rFonts w:ascii="Tahoma" w:hAnsi="Tahoma" w:cs="Tahoma"/>
          <w:b/>
          <w:bCs/>
          <w:lang w:val="en-ZW"/>
        </w:rPr>
        <w:t>2.4</w:t>
      </w:r>
      <w:r w:rsidRPr="004A13E3">
        <w:rPr>
          <w:rFonts w:ascii="Tahoma" w:hAnsi="Tahoma" w:cs="Tahoma"/>
          <w:b/>
          <w:bCs/>
          <w:lang w:val="en-ZW"/>
        </w:rPr>
        <w:tab/>
      </w:r>
      <w:r w:rsidR="0054456B" w:rsidRPr="0054456B">
        <w:rPr>
          <w:rFonts w:ascii="Tahoma" w:hAnsi="Tahoma" w:cs="Tahoma"/>
          <w:b/>
          <w:bCs/>
        </w:rPr>
        <w:t>Sustainable Accumulation of Gold and Foreign Currency Reserves</w:t>
      </w:r>
    </w:p>
    <w:p w14:paraId="5D181B4A" w14:textId="2AEEFA09" w:rsidR="00B71ADD" w:rsidRDefault="00B71ADD" w:rsidP="00B71ADD">
      <w:pPr>
        <w:spacing w:after="240"/>
        <w:ind w:left="720"/>
        <w:jc w:val="both"/>
        <w:rPr>
          <w:rFonts w:ascii="Tahoma" w:hAnsi="Tahoma" w:cs="Tahoma"/>
          <w:lang w:val="en-ZW"/>
        </w:rPr>
      </w:pPr>
      <w:r w:rsidRPr="00B71ADD">
        <w:rPr>
          <w:rFonts w:ascii="Tahoma" w:hAnsi="Tahoma" w:cs="Tahoma"/>
          <w:lang w:val="en-ZW"/>
        </w:rPr>
        <w:t>Since the introduction of the ZiG in April 2024, the Reserve Bank has implemented a robust reserves accumulation strategy to fully back the reserve money with gold and foreign currency. By the end of January 2025, total reserves surged by approximately 90%, rising from US$285 million to about US$550 million (ZiG14.3 billion), thereby providing more than three times the necessary cover for ZiG3.5 billion in reserve money. In line with its monetary policy goals of ensuring currency and exchange rate stability, the strategy is set to shift focus in 2025 towards building a buffer of usable official reserves that meet regional benchmarks for import cover. This will be achieved by leveraging increased gold production, in-kind royalties, the purchase of export surrender proceeds, and contributions from willing sellers in the foreign exchange market, all while ensuring an optimal balance between gold and liquid foreign currency for effective liquidity management.</w:t>
      </w:r>
    </w:p>
    <w:p w14:paraId="2CD31D7D" w14:textId="785BA1D4" w:rsidR="005D2448" w:rsidRPr="005D2448" w:rsidRDefault="00A40D72" w:rsidP="005D2448">
      <w:pPr>
        <w:spacing w:after="240"/>
        <w:ind w:left="720"/>
        <w:jc w:val="both"/>
        <w:rPr>
          <w:rFonts w:ascii="Tahoma" w:hAnsi="Tahoma" w:cs="Tahoma"/>
          <w:b/>
          <w:bCs/>
          <w:i/>
          <w:iCs/>
          <w:lang w:val="en-ZW"/>
        </w:rPr>
      </w:pPr>
      <w:r>
        <w:rPr>
          <w:rFonts w:ascii="Tahoma" w:hAnsi="Tahoma" w:cs="Tahoma"/>
          <w:b/>
          <w:bCs/>
          <w:i/>
          <w:iCs/>
          <w:lang w:val="en-ZW"/>
        </w:rPr>
        <w:t xml:space="preserve">NECF Views </w:t>
      </w:r>
    </w:p>
    <w:p w14:paraId="1CA7B9B7" w14:textId="1C31FA08" w:rsidR="0037427C" w:rsidRDefault="0037427C" w:rsidP="00B71ADD">
      <w:pPr>
        <w:spacing w:after="240"/>
        <w:ind w:left="720"/>
        <w:jc w:val="both"/>
        <w:rPr>
          <w:rFonts w:ascii="Tahoma" w:hAnsi="Tahoma" w:cs="Tahoma"/>
          <w:i/>
          <w:iCs/>
          <w:lang w:val="en-ZW"/>
        </w:rPr>
      </w:pPr>
      <w:r w:rsidRPr="0037427C">
        <w:rPr>
          <w:rFonts w:ascii="Tahoma" w:hAnsi="Tahoma" w:cs="Tahoma"/>
          <w:i/>
          <w:iCs/>
          <w:lang w:val="en-ZW"/>
        </w:rPr>
        <w:t>The sustainable accumulation of reserves is a commendable development that has significantly strengthened the backing of the reserve money and enhanced exchange rate stability.</w:t>
      </w:r>
      <w:r>
        <w:rPr>
          <w:rFonts w:ascii="Tahoma" w:hAnsi="Tahoma" w:cs="Tahoma"/>
          <w:i/>
          <w:iCs/>
          <w:lang w:val="en-ZW"/>
        </w:rPr>
        <w:t xml:space="preserve"> </w:t>
      </w:r>
      <w:r w:rsidRPr="0037427C">
        <w:rPr>
          <w:rFonts w:ascii="Tahoma" w:hAnsi="Tahoma" w:cs="Tahoma"/>
          <w:i/>
          <w:iCs/>
          <w:lang w:val="en-ZW"/>
        </w:rPr>
        <w:t>The Reserve Bank</w:t>
      </w:r>
      <w:r>
        <w:rPr>
          <w:rFonts w:ascii="Tahoma" w:hAnsi="Tahoma" w:cs="Tahoma"/>
          <w:i/>
          <w:iCs/>
          <w:lang w:val="en-ZW"/>
        </w:rPr>
        <w:t xml:space="preserve"> needs to</w:t>
      </w:r>
      <w:r w:rsidRPr="0037427C">
        <w:rPr>
          <w:rFonts w:ascii="Tahoma" w:hAnsi="Tahoma" w:cs="Tahoma"/>
          <w:i/>
          <w:iCs/>
          <w:lang w:val="en-ZW"/>
        </w:rPr>
        <w:t xml:space="preserve"> continue leveraging this positive momentum by maintaining a well-diversified portfolio that balances gold and liquid foreign currency assets to mitigate global market volatility.</w:t>
      </w:r>
      <w:r>
        <w:rPr>
          <w:rFonts w:ascii="Tahoma" w:hAnsi="Tahoma" w:cs="Tahoma"/>
          <w:i/>
          <w:iCs/>
          <w:lang w:val="en-ZW"/>
        </w:rPr>
        <w:t xml:space="preserve"> </w:t>
      </w:r>
      <w:r w:rsidRPr="0037427C">
        <w:rPr>
          <w:rFonts w:ascii="Tahoma" w:hAnsi="Tahoma" w:cs="Tahoma"/>
          <w:i/>
          <w:iCs/>
          <w:lang w:val="en-ZW"/>
        </w:rPr>
        <w:t>Aligning the reserves accumulation strategy with broader macroeconomic policies</w:t>
      </w:r>
      <w:r>
        <w:rPr>
          <w:rFonts w:ascii="Tahoma" w:hAnsi="Tahoma" w:cs="Tahoma"/>
          <w:i/>
          <w:iCs/>
          <w:lang w:val="en-ZW"/>
        </w:rPr>
        <w:t xml:space="preserve"> </w:t>
      </w:r>
      <w:r w:rsidRPr="0037427C">
        <w:rPr>
          <w:rFonts w:ascii="Tahoma" w:hAnsi="Tahoma" w:cs="Tahoma"/>
          <w:i/>
          <w:iCs/>
          <w:lang w:val="en-ZW"/>
        </w:rPr>
        <w:t>will maximize its long-term benefits for economic stability.</w:t>
      </w:r>
    </w:p>
    <w:p w14:paraId="5D0FE02F" w14:textId="5F8291C9" w:rsidR="008652A2" w:rsidRPr="008652A2" w:rsidRDefault="008652A2" w:rsidP="008652A2">
      <w:pPr>
        <w:spacing w:after="240"/>
        <w:jc w:val="both"/>
        <w:rPr>
          <w:rFonts w:ascii="Tahoma" w:hAnsi="Tahoma" w:cs="Tahoma"/>
          <w:b/>
          <w:bCs/>
          <w:i/>
          <w:iCs/>
          <w:lang w:val="en-ZW"/>
        </w:rPr>
      </w:pPr>
      <w:r w:rsidRPr="008652A2">
        <w:rPr>
          <w:rFonts w:ascii="Tahoma" w:hAnsi="Tahoma" w:cs="Tahoma"/>
          <w:b/>
          <w:bCs/>
          <w:i/>
          <w:iCs/>
          <w:lang w:val="en-ZW"/>
        </w:rPr>
        <w:t>2.5</w:t>
      </w:r>
      <w:r w:rsidRPr="008652A2">
        <w:rPr>
          <w:rFonts w:ascii="Tahoma" w:hAnsi="Tahoma" w:cs="Tahoma"/>
          <w:b/>
          <w:bCs/>
          <w:i/>
          <w:iCs/>
          <w:lang w:val="en-ZW"/>
        </w:rPr>
        <w:tab/>
        <w:t>Interest Rates</w:t>
      </w:r>
    </w:p>
    <w:p w14:paraId="6ECE3C33" w14:textId="5F522BF5" w:rsidR="008652A2" w:rsidRDefault="008652A2" w:rsidP="008652A2">
      <w:pPr>
        <w:spacing w:after="240"/>
        <w:ind w:left="720"/>
        <w:jc w:val="both"/>
        <w:rPr>
          <w:rFonts w:ascii="Tahoma" w:hAnsi="Tahoma" w:cs="Tahoma"/>
          <w:lang w:val="en-ZW"/>
        </w:rPr>
      </w:pPr>
      <w:r w:rsidRPr="008652A2">
        <w:rPr>
          <w:rFonts w:ascii="Tahoma" w:hAnsi="Tahoma" w:cs="Tahoma"/>
          <w:lang w:val="en-ZW"/>
        </w:rPr>
        <w:t xml:space="preserve">The Reserve Bank has maintained the Bank Policy Rate at 35% per annum, deeming it suitable for the current tight monetary stance and anticipated economic growth, with periodic reviews by the Monetary Policy Committee based on inflation and market fundamentals. Additionally, to promote a savings culture and reward depositors, the Reserve Bank has immediately raised the minimum interest rates for both ZiG and USD deposits. For ZiG deposits, the savings rate has increased from 3.5% to 5% and the time deposit rate from 5% to 7.5%, while for USD deposits, the rates have </w:t>
      </w:r>
      <w:r w:rsidR="00B46EFB">
        <w:rPr>
          <w:rFonts w:ascii="Tahoma" w:hAnsi="Tahoma" w:cs="Tahoma"/>
          <w:lang w:val="en-ZW"/>
        </w:rPr>
        <w:t>been raised</w:t>
      </w:r>
      <w:r w:rsidRPr="008652A2">
        <w:rPr>
          <w:rFonts w:ascii="Tahoma" w:hAnsi="Tahoma" w:cs="Tahoma"/>
          <w:lang w:val="en-ZW"/>
        </w:rPr>
        <w:t xml:space="preserve"> from 1% to 2.5% for savings and from 2.5% to 4% for time deposits. Banks are encouraged to offer rates above these minimums and to actively promote the use of interest-bearing accounts over non-interest-bearing current accoun</w:t>
      </w:r>
      <w:r>
        <w:rPr>
          <w:rFonts w:ascii="Tahoma" w:hAnsi="Tahoma" w:cs="Tahoma"/>
          <w:lang w:val="en-ZW"/>
        </w:rPr>
        <w:t>ts</w:t>
      </w:r>
      <w:r w:rsidR="0005550D">
        <w:rPr>
          <w:rFonts w:ascii="Tahoma" w:hAnsi="Tahoma" w:cs="Tahoma"/>
          <w:lang w:val="en-ZW"/>
        </w:rPr>
        <w:t>.</w:t>
      </w:r>
    </w:p>
    <w:p w14:paraId="72B3AF29" w14:textId="08D9D3B1" w:rsidR="005D2448" w:rsidRPr="005D2448" w:rsidRDefault="00A40D72" w:rsidP="005D2448">
      <w:pPr>
        <w:spacing w:after="240"/>
        <w:ind w:left="720"/>
        <w:jc w:val="both"/>
        <w:rPr>
          <w:rFonts w:ascii="Tahoma" w:hAnsi="Tahoma" w:cs="Tahoma"/>
          <w:b/>
          <w:bCs/>
          <w:i/>
          <w:iCs/>
          <w:lang w:val="en-ZW"/>
        </w:rPr>
      </w:pPr>
      <w:r>
        <w:rPr>
          <w:rFonts w:ascii="Tahoma" w:hAnsi="Tahoma" w:cs="Tahoma"/>
          <w:b/>
          <w:bCs/>
          <w:i/>
          <w:iCs/>
          <w:lang w:val="en-ZW"/>
        </w:rPr>
        <w:lastRenderedPageBreak/>
        <w:t xml:space="preserve">NECF Views </w:t>
      </w:r>
    </w:p>
    <w:p w14:paraId="5E6FAEFF" w14:textId="4D96B796" w:rsidR="0005550D" w:rsidRPr="0005550D" w:rsidRDefault="0005550D" w:rsidP="0005550D">
      <w:pPr>
        <w:spacing w:after="240"/>
        <w:ind w:left="720"/>
        <w:jc w:val="both"/>
        <w:rPr>
          <w:rFonts w:ascii="Tahoma" w:hAnsi="Tahoma" w:cs="Tahoma"/>
          <w:i/>
          <w:iCs/>
          <w:lang w:val="en-ZW"/>
        </w:rPr>
      </w:pPr>
      <w:r w:rsidRPr="0005550D">
        <w:rPr>
          <w:rFonts w:ascii="Tahoma" w:hAnsi="Tahoma" w:cs="Tahoma"/>
          <w:i/>
          <w:iCs/>
          <w:lang w:val="en-ZW"/>
        </w:rPr>
        <w:t>The current measures, including maintaining the Bank Policy Rate at 35% to uphold a tight monetary stance and the upward revision of minimum deposit rates to incentivize savings, are positive steps toward ensuring monetary stability and fostering a savings culture. However, to further enhance these policies, it is advisable to closely monitor their impact on both bank lending rates and credit growth. The Reserve Bank should ensure that the higher deposit rates do not inadvertently increase banks’ cost of funds to a level that constrains productive lending or stifles investment.</w:t>
      </w:r>
      <w:r w:rsidR="00B46EFB">
        <w:rPr>
          <w:rFonts w:ascii="Tahoma" w:hAnsi="Tahoma" w:cs="Tahoma"/>
          <w:i/>
          <w:iCs/>
          <w:lang w:val="en-ZW"/>
        </w:rPr>
        <w:t xml:space="preserve"> There is also need to continuously review the minimum deposit rates to at least be above the inflation rate and bank charges.</w:t>
      </w:r>
      <w:r w:rsidRPr="0005550D">
        <w:rPr>
          <w:rFonts w:ascii="Tahoma" w:hAnsi="Tahoma" w:cs="Tahoma"/>
          <w:i/>
          <w:iCs/>
          <w:lang w:val="en-ZW"/>
        </w:rPr>
        <w:tab/>
      </w:r>
      <w:r w:rsidRPr="0005550D">
        <w:rPr>
          <w:rFonts w:ascii="Tahoma" w:hAnsi="Tahoma" w:cs="Tahoma"/>
          <w:i/>
          <w:iCs/>
          <w:lang w:val="en-ZW"/>
        </w:rPr>
        <w:tab/>
      </w:r>
    </w:p>
    <w:p w14:paraId="58DBA8B8" w14:textId="39AC9042" w:rsidR="006E4328" w:rsidRDefault="00155A14" w:rsidP="00B71ADD">
      <w:pPr>
        <w:spacing w:after="240"/>
        <w:ind w:left="720" w:hanging="720"/>
        <w:jc w:val="both"/>
        <w:rPr>
          <w:rFonts w:ascii="Tahoma" w:hAnsi="Tahoma" w:cs="Tahoma"/>
          <w:b/>
          <w:bCs/>
          <w:lang w:val="en-ZW"/>
        </w:rPr>
      </w:pPr>
      <w:r>
        <w:rPr>
          <w:rFonts w:ascii="Tahoma" w:hAnsi="Tahoma" w:cs="Tahoma"/>
          <w:b/>
          <w:bCs/>
          <w:lang w:val="en-ZW"/>
        </w:rPr>
        <w:t>2</w:t>
      </w:r>
      <w:r w:rsidR="006E4328">
        <w:rPr>
          <w:rFonts w:ascii="Tahoma" w:hAnsi="Tahoma" w:cs="Tahoma"/>
          <w:b/>
          <w:bCs/>
          <w:lang w:val="en-ZW"/>
        </w:rPr>
        <w:t>.</w:t>
      </w:r>
      <w:r>
        <w:rPr>
          <w:rFonts w:ascii="Tahoma" w:hAnsi="Tahoma" w:cs="Tahoma"/>
          <w:b/>
          <w:bCs/>
          <w:lang w:val="en-ZW"/>
        </w:rPr>
        <w:t>6</w:t>
      </w:r>
      <w:r w:rsidR="006E4328">
        <w:rPr>
          <w:rFonts w:ascii="Tahoma" w:hAnsi="Tahoma" w:cs="Tahoma"/>
          <w:b/>
          <w:bCs/>
          <w:lang w:val="en-ZW"/>
        </w:rPr>
        <w:tab/>
      </w:r>
      <w:r w:rsidR="00310DA1">
        <w:rPr>
          <w:rFonts w:ascii="Tahoma" w:hAnsi="Tahoma" w:cs="Tahoma"/>
          <w:b/>
          <w:bCs/>
          <w:lang w:val="en-ZW"/>
        </w:rPr>
        <w:t>Statutory Reserves</w:t>
      </w:r>
    </w:p>
    <w:p w14:paraId="120E8FA2" w14:textId="6468A1A8" w:rsidR="00155A14" w:rsidRDefault="00155A14" w:rsidP="00155A14">
      <w:pPr>
        <w:spacing w:before="240" w:after="240"/>
        <w:ind w:left="720"/>
        <w:jc w:val="both"/>
        <w:rPr>
          <w:rFonts w:ascii="Tahoma" w:hAnsi="Tahoma" w:cs="Tahoma"/>
          <w:lang w:val="en-ZW"/>
        </w:rPr>
      </w:pPr>
      <w:r w:rsidRPr="00155A14">
        <w:rPr>
          <w:rFonts w:ascii="Tahoma" w:hAnsi="Tahoma" w:cs="Tahoma"/>
          <w:lang w:val="en-ZW"/>
        </w:rPr>
        <w:t xml:space="preserve">The Reserve </w:t>
      </w:r>
      <w:r w:rsidR="00011D65" w:rsidRPr="00155A14">
        <w:rPr>
          <w:rFonts w:ascii="Tahoma" w:hAnsi="Tahoma" w:cs="Tahoma"/>
          <w:lang w:val="en-ZW"/>
        </w:rPr>
        <w:t>Bank standardized</w:t>
      </w:r>
      <w:r w:rsidRPr="00155A14">
        <w:rPr>
          <w:rFonts w:ascii="Tahoma" w:hAnsi="Tahoma" w:cs="Tahoma"/>
          <w:lang w:val="en-ZW"/>
        </w:rPr>
        <w:t xml:space="preserve"> statutory reserves at 30% for demand deposits and 15% for savings and fixed deposits in both local and foreign currencies. The reserve ratios remain in effect, with the Bank indicating that they will review these requirements as appropriate based on prevailing monetary and financial conditions.</w:t>
      </w:r>
    </w:p>
    <w:p w14:paraId="6673206F" w14:textId="557987E1" w:rsidR="005D2448" w:rsidRPr="005D2448" w:rsidRDefault="00A40D72" w:rsidP="005D2448">
      <w:pPr>
        <w:spacing w:after="240"/>
        <w:ind w:left="720"/>
        <w:jc w:val="both"/>
        <w:rPr>
          <w:rFonts w:ascii="Tahoma" w:hAnsi="Tahoma" w:cs="Tahoma"/>
          <w:b/>
          <w:bCs/>
          <w:i/>
          <w:iCs/>
          <w:lang w:val="en-ZW"/>
        </w:rPr>
      </w:pPr>
      <w:r>
        <w:rPr>
          <w:rFonts w:ascii="Tahoma" w:hAnsi="Tahoma" w:cs="Tahoma"/>
          <w:b/>
          <w:bCs/>
          <w:i/>
          <w:iCs/>
          <w:lang w:val="en-ZW"/>
        </w:rPr>
        <w:t xml:space="preserve">NECF Views </w:t>
      </w:r>
    </w:p>
    <w:p w14:paraId="13CE2261" w14:textId="289DBD57" w:rsidR="00011D65" w:rsidRDefault="00011D65" w:rsidP="00155A14">
      <w:pPr>
        <w:spacing w:before="240" w:after="240"/>
        <w:ind w:left="720"/>
        <w:jc w:val="both"/>
        <w:rPr>
          <w:rFonts w:ascii="Tahoma" w:hAnsi="Tahoma" w:cs="Tahoma"/>
          <w:i/>
          <w:iCs/>
          <w:lang w:val="en-ZW"/>
        </w:rPr>
      </w:pPr>
      <w:r w:rsidRPr="00011D65">
        <w:rPr>
          <w:rFonts w:ascii="Tahoma" w:hAnsi="Tahoma" w:cs="Tahoma"/>
          <w:i/>
          <w:iCs/>
          <w:lang w:val="en-ZW"/>
        </w:rPr>
        <w:t xml:space="preserve">Maintaining statutory reserves at 30% for demand deposits and 15% for savings and fixed deposits has been effective in tightening liquidity, thereby supporting inflation and exchange rate stability. However, it is important to ensure that these reserve requirements do not excessively constrain credit availability, which could slow economic growth. </w:t>
      </w:r>
      <w:r>
        <w:rPr>
          <w:rFonts w:ascii="Tahoma" w:hAnsi="Tahoma" w:cs="Tahoma"/>
          <w:i/>
          <w:iCs/>
          <w:lang w:val="en-ZW"/>
        </w:rPr>
        <w:t>T</w:t>
      </w:r>
      <w:r w:rsidRPr="00011D65">
        <w:rPr>
          <w:rFonts w:ascii="Tahoma" w:hAnsi="Tahoma" w:cs="Tahoma"/>
          <w:i/>
          <w:iCs/>
          <w:lang w:val="en-ZW"/>
        </w:rPr>
        <w:t>he Reserve Bank</w:t>
      </w:r>
      <w:r>
        <w:rPr>
          <w:rFonts w:ascii="Tahoma" w:hAnsi="Tahoma" w:cs="Tahoma"/>
          <w:i/>
          <w:iCs/>
          <w:lang w:val="en-ZW"/>
        </w:rPr>
        <w:t xml:space="preserve"> should</w:t>
      </w:r>
      <w:r w:rsidRPr="00011D65">
        <w:rPr>
          <w:rFonts w:ascii="Tahoma" w:hAnsi="Tahoma" w:cs="Tahoma"/>
          <w:i/>
          <w:iCs/>
          <w:lang w:val="en-ZW"/>
        </w:rPr>
        <w:t xml:space="preserve"> adopt a data-driven, flexible approach to adjusting statutory reserves, ensuring that any future changes balance liquidity management with the need to support productive lending.</w:t>
      </w:r>
    </w:p>
    <w:p w14:paraId="0343FD92" w14:textId="74E656CB" w:rsidR="00310DA1" w:rsidRPr="00310DA1" w:rsidRDefault="00310DA1" w:rsidP="00310DA1">
      <w:pPr>
        <w:spacing w:before="240" w:after="240"/>
        <w:ind w:left="720" w:hanging="720"/>
        <w:jc w:val="both"/>
        <w:rPr>
          <w:rFonts w:ascii="Tahoma" w:hAnsi="Tahoma" w:cs="Tahoma"/>
          <w:b/>
          <w:bCs/>
          <w:lang w:val="en-ZW"/>
        </w:rPr>
      </w:pPr>
      <w:r w:rsidRPr="0052235F">
        <w:rPr>
          <w:rFonts w:ascii="Tahoma" w:hAnsi="Tahoma" w:cs="Tahoma"/>
          <w:b/>
          <w:bCs/>
          <w:lang w:val="en-ZW"/>
        </w:rPr>
        <w:t>2.7</w:t>
      </w:r>
      <w:r w:rsidRPr="00310DA1">
        <w:rPr>
          <w:rFonts w:ascii="Tahoma" w:hAnsi="Tahoma" w:cs="Tahoma"/>
          <w:lang w:val="en-ZW"/>
        </w:rPr>
        <w:tab/>
      </w:r>
      <w:r w:rsidRPr="00310DA1">
        <w:rPr>
          <w:rFonts w:ascii="Tahoma" w:hAnsi="Tahoma" w:cs="Tahoma"/>
          <w:b/>
          <w:bCs/>
        </w:rPr>
        <w:t>The Targeted Finance Facility (TFF) and Access to WBWS Interbank Foreign Exchange Market</w:t>
      </w:r>
    </w:p>
    <w:p w14:paraId="654264E3" w14:textId="193A2F2F" w:rsidR="00310DA1" w:rsidRDefault="00310DA1" w:rsidP="00310DA1">
      <w:pPr>
        <w:spacing w:before="240" w:after="240"/>
        <w:ind w:left="720"/>
        <w:jc w:val="both"/>
        <w:rPr>
          <w:rFonts w:ascii="Tahoma" w:hAnsi="Tahoma" w:cs="Tahoma"/>
          <w:i/>
          <w:iCs/>
          <w:lang w:val="en-ZW"/>
        </w:rPr>
      </w:pPr>
      <w:r w:rsidRPr="00310DA1">
        <w:rPr>
          <w:rFonts w:ascii="Tahoma" w:hAnsi="Tahoma" w:cs="Tahoma"/>
          <w:lang w:val="en-ZW"/>
        </w:rPr>
        <w:t>The Reserve Bank introduced the Targeted Finance Facility (TFF) in January 2025 to enhance bank financing for productive sectors without creating new money, as it is funded from banks' statutory reserves. The facility has now been extended to wholesalers and retailers to help address working capital challenges and facilitate restocking. To further support its effectiveness, beneficiaries of the TFF can access foreign currency from the *Willing-Buyer Willing-Seller (WBWS) Interbank Foreign Exchange Market*, provided they submit valid invoices for critical imports</w:t>
      </w:r>
      <w:r w:rsidRPr="00310DA1">
        <w:rPr>
          <w:rFonts w:ascii="Tahoma" w:hAnsi="Tahoma" w:cs="Tahoma"/>
          <w:i/>
          <w:iCs/>
          <w:lang w:val="en-ZW"/>
        </w:rPr>
        <w:t>.</w:t>
      </w:r>
      <w:r>
        <w:rPr>
          <w:rFonts w:ascii="Tahoma" w:hAnsi="Tahoma" w:cs="Tahoma"/>
          <w:i/>
          <w:iCs/>
          <w:lang w:val="en-ZW"/>
        </w:rPr>
        <w:tab/>
      </w:r>
    </w:p>
    <w:p w14:paraId="4F22B01D" w14:textId="2580BC48" w:rsidR="005D2448" w:rsidRPr="005D2448" w:rsidRDefault="00A40D72" w:rsidP="005D2448">
      <w:pPr>
        <w:spacing w:after="240"/>
        <w:ind w:left="720"/>
        <w:jc w:val="both"/>
        <w:rPr>
          <w:rFonts w:ascii="Tahoma" w:hAnsi="Tahoma" w:cs="Tahoma"/>
          <w:b/>
          <w:bCs/>
          <w:i/>
          <w:iCs/>
          <w:lang w:val="en-ZW"/>
        </w:rPr>
      </w:pPr>
      <w:r>
        <w:rPr>
          <w:rFonts w:ascii="Tahoma" w:hAnsi="Tahoma" w:cs="Tahoma"/>
          <w:b/>
          <w:bCs/>
          <w:i/>
          <w:iCs/>
          <w:lang w:val="en-ZW"/>
        </w:rPr>
        <w:t xml:space="preserve">NECF Views </w:t>
      </w:r>
    </w:p>
    <w:p w14:paraId="01794032" w14:textId="3BC4F2FB" w:rsidR="001F1B1D" w:rsidRDefault="001F1B1D" w:rsidP="001F1B1D">
      <w:pPr>
        <w:spacing w:before="240" w:after="240"/>
        <w:ind w:left="720"/>
        <w:jc w:val="both"/>
        <w:rPr>
          <w:rFonts w:ascii="Tahoma" w:hAnsi="Tahoma" w:cs="Tahoma"/>
          <w:i/>
          <w:iCs/>
          <w:lang w:val="en-ZW"/>
        </w:rPr>
      </w:pPr>
      <w:r w:rsidRPr="001F1B1D">
        <w:rPr>
          <w:rFonts w:ascii="Tahoma" w:hAnsi="Tahoma" w:cs="Tahoma"/>
          <w:i/>
          <w:iCs/>
          <w:lang w:val="en-ZW"/>
        </w:rPr>
        <w:t xml:space="preserve">The Targeted Finance Facility (TFF) is a well-structured initiative that enhances liquidity for productive sectors and retailers without increasing money supply, thereby supporting economic activity while maintaining monetary stability. </w:t>
      </w:r>
      <w:r w:rsidRPr="001F1B1D">
        <w:rPr>
          <w:rFonts w:ascii="Tahoma" w:hAnsi="Tahoma" w:cs="Tahoma"/>
          <w:i/>
          <w:iCs/>
          <w:lang w:val="en-ZW"/>
        </w:rPr>
        <w:lastRenderedPageBreak/>
        <w:t xml:space="preserve">Allowing beneficiaries to access foreign currency through the WBWS market is also a positive move, ensuring that businesses can secure critical imports </w:t>
      </w:r>
      <w:r w:rsidR="007E154F" w:rsidRPr="001F1B1D">
        <w:rPr>
          <w:rFonts w:ascii="Tahoma" w:hAnsi="Tahoma" w:cs="Tahoma"/>
          <w:i/>
          <w:iCs/>
          <w:lang w:val="en-ZW"/>
        </w:rPr>
        <w:t>efficient</w:t>
      </w:r>
      <w:r w:rsidR="007E154F">
        <w:rPr>
          <w:rFonts w:ascii="Tahoma" w:hAnsi="Tahoma" w:cs="Tahoma"/>
          <w:i/>
          <w:iCs/>
          <w:lang w:val="en-ZW"/>
        </w:rPr>
        <w:t>ly.</w:t>
      </w:r>
      <w:r w:rsidR="007E154F" w:rsidRPr="001F1B1D">
        <w:rPr>
          <w:rFonts w:ascii="Tahoma" w:hAnsi="Tahoma" w:cs="Tahoma"/>
          <w:i/>
          <w:iCs/>
          <w:lang w:val="en-ZW"/>
        </w:rPr>
        <w:t xml:space="preserve"> To</w:t>
      </w:r>
      <w:r w:rsidRPr="001F1B1D">
        <w:rPr>
          <w:rFonts w:ascii="Tahoma" w:hAnsi="Tahoma" w:cs="Tahoma"/>
          <w:i/>
          <w:iCs/>
          <w:lang w:val="en-ZW"/>
        </w:rPr>
        <w:t xml:space="preserve"> strengthen the impact of this facility, </w:t>
      </w:r>
      <w:r>
        <w:rPr>
          <w:rFonts w:ascii="Tahoma" w:hAnsi="Tahoma" w:cs="Tahoma"/>
          <w:i/>
          <w:iCs/>
          <w:lang w:val="en-ZW"/>
        </w:rPr>
        <w:t xml:space="preserve">the Central Bank should ensure that </w:t>
      </w:r>
      <w:r w:rsidRPr="001F1B1D">
        <w:rPr>
          <w:rFonts w:ascii="Tahoma" w:hAnsi="Tahoma" w:cs="Tahoma"/>
          <w:i/>
          <w:iCs/>
          <w:lang w:val="en-ZW"/>
        </w:rPr>
        <w:t xml:space="preserve">access to foreign currency remains predictable and fairly priced </w:t>
      </w:r>
      <w:r>
        <w:rPr>
          <w:rFonts w:ascii="Tahoma" w:hAnsi="Tahoma" w:cs="Tahoma"/>
          <w:i/>
          <w:iCs/>
          <w:lang w:val="en-ZW"/>
        </w:rPr>
        <w:t>to</w:t>
      </w:r>
      <w:r w:rsidRPr="001F1B1D">
        <w:rPr>
          <w:rFonts w:ascii="Tahoma" w:hAnsi="Tahoma" w:cs="Tahoma"/>
          <w:i/>
          <w:iCs/>
          <w:lang w:val="en-ZW"/>
        </w:rPr>
        <w:t xml:space="preserve"> enhance business confidence and improve the facility's overall success in stabilizing key sectors.</w:t>
      </w:r>
    </w:p>
    <w:p w14:paraId="035B9C84" w14:textId="25326BA9" w:rsidR="001F1B1D" w:rsidRDefault="001F1B1D" w:rsidP="001F1B1D">
      <w:pPr>
        <w:spacing w:before="240" w:after="240"/>
        <w:jc w:val="both"/>
        <w:rPr>
          <w:rFonts w:ascii="Tahoma" w:hAnsi="Tahoma" w:cs="Tahoma"/>
          <w:b/>
          <w:bCs/>
        </w:rPr>
      </w:pPr>
      <w:bookmarkStart w:id="0" w:name="_Hlk190165137"/>
      <w:r w:rsidRPr="001F1B1D">
        <w:rPr>
          <w:rFonts w:ascii="Tahoma" w:hAnsi="Tahoma" w:cs="Tahoma"/>
          <w:b/>
          <w:bCs/>
          <w:lang w:val="en-ZW"/>
        </w:rPr>
        <w:t>2.8</w:t>
      </w:r>
      <w:r w:rsidRPr="001F1B1D">
        <w:rPr>
          <w:rFonts w:ascii="Tahoma" w:hAnsi="Tahoma" w:cs="Tahoma"/>
          <w:b/>
          <w:bCs/>
          <w:lang w:val="en-ZW"/>
        </w:rPr>
        <w:tab/>
      </w:r>
      <w:r w:rsidRPr="001F1B1D">
        <w:rPr>
          <w:rFonts w:ascii="Tahoma" w:hAnsi="Tahoma" w:cs="Tahoma"/>
          <w:b/>
          <w:bCs/>
        </w:rPr>
        <w:t>Functional and Presentation Currency - Financial Reporting</w:t>
      </w:r>
    </w:p>
    <w:bookmarkEnd w:id="0"/>
    <w:p w14:paraId="2F3D07E4" w14:textId="61FF925B" w:rsidR="001F1B1D" w:rsidRDefault="001F1B1D" w:rsidP="001F1B1D">
      <w:pPr>
        <w:spacing w:before="240" w:after="240"/>
        <w:ind w:left="720"/>
        <w:jc w:val="both"/>
        <w:rPr>
          <w:rFonts w:ascii="Tahoma" w:hAnsi="Tahoma" w:cs="Tahoma"/>
        </w:rPr>
      </w:pPr>
      <w:r w:rsidRPr="001F1B1D">
        <w:rPr>
          <w:rFonts w:ascii="Tahoma" w:hAnsi="Tahoma" w:cs="Tahoma"/>
        </w:rPr>
        <w:t>The Reserve Bank, in consultation with the Public Accountants and Auditors Board (PAAB), mandated that all entities adopt</w:t>
      </w:r>
      <w:r>
        <w:rPr>
          <w:rFonts w:ascii="Tahoma" w:hAnsi="Tahoma" w:cs="Tahoma"/>
        </w:rPr>
        <w:t xml:space="preserve"> </w:t>
      </w:r>
      <w:r w:rsidRPr="001F1B1D">
        <w:rPr>
          <w:rFonts w:ascii="Tahoma" w:hAnsi="Tahoma" w:cs="Tahoma"/>
        </w:rPr>
        <w:t>ZiG as the common presentation currency for financial reporting, including 2024 audited financial statements.</w:t>
      </w:r>
      <w:r>
        <w:rPr>
          <w:rFonts w:ascii="Tahoma" w:hAnsi="Tahoma" w:cs="Tahoma"/>
        </w:rPr>
        <w:t xml:space="preserve"> </w:t>
      </w:r>
      <w:r w:rsidRPr="001F1B1D">
        <w:rPr>
          <w:rFonts w:ascii="Tahoma" w:hAnsi="Tahoma" w:cs="Tahoma"/>
        </w:rPr>
        <w:t>To enforce compliance,</w:t>
      </w:r>
      <w:r>
        <w:rPr>
          <w:rFonts w:ascii="Tahoma" w:hAnsi="Tahoma" w:cs="Tahoma"/>
        </w:rPr>
        <w:t xml:space="preserve"> </w:t>
      </w:r>
      <w:r w:rsidRPr="001F1B1D">
        <w:rPr>
          <w:rFonts w:ascii="Tahoma" w:hAnsi="Tahoma" w:cs="Tahoma"/>
        </w:rPr>
        <w:t>government agencies and regulatory bodies such as the Zimbabwe Stock Exchange (ZSE), the Securities and Exchange Commission of Zimbabwe (</w:t>
      </w:r>
      <w:proofErr w:type="spellStart"/>
      <w:r w:rsidRPr="001F1B1D">
        <w:rPr>
          <w:rFonts w:ascii="Tahoma" w:hAnsi="Tahoma" w:cs="Tahoma"/>
        </w:rPr>
        <w:t>SECZim</w:t>
      </w:r>
      <w:proofErr w:type="spellEnd"/>
      <w:r w:rsidRPr="001F1B1D">
        <w:rPr>
          <w:rFonts w:ascii="Tahoma" w:hAnsi="Tahoma" w:cs="Tahoma"/>
        </w:rPr>
        <w:t>), and the Insurance and Pension Commission (IPEC) will issue statements ensuring all entities adhere to the new reporting requirements.</w:t>
      </w:r>
    </w:p>
    <w:p w14:paraId="6BFDABA2" w14:textId="5B743AF0" w:rsidR="005D2448" w:rsidRPr="005D2448" w:rsidRDefault="00A40D72" w:rsidP="005D2448">
      <w:pPr>
        <w:spacing w:after="240"/>
        <w:ind w:left="720"/>
        <w:jc w:val="both"/>
        <w:rPr>
          <w:rFonts w:ascii="Tahoma" w:hAnsi="Tahoma" w:cs="Tahoma"/>
          <w:b/>
          <w:bCs/>
          <w:i/>
          <w:iCs/>
          <w:lang w:val="en-ZW"/>
        </w:rPr>
      </w:pPr>
      <w:r>
        <w:rPr>
          <w:rFonts w:ascii="Tahoma" w:hAnsi="Tahoma" w:cs="Tahoma"/>
          <w:b/>
          <w:bCs/>
          <w:i/>
          <w:iCs/>
          <w:lang w:val="en-ZW"/>
        </w:rPr>
        <w:t xml:space="preserve">NECF Views </w:t>
      </w:r>
    </w:p>
    <w:p w14:paraId="6D236E69" w14:textId="45EA5B27" w:rsidR="001F1B1D" w:rsidRDefault="004E6384" w:rsidP="004E6384">
      <w:pPr>
        <w:spacing w:before="240" w:after="240"/>
        <w:ind w:left="720"/>
        <w:jc w:val="both"/>
        <w:rPr>
          <w:rFonts w:ascii="Tahoma" w:hAnsi="Tahoma" w:cs="Tahoma"/>
          <w:i/>
          <w:iCs/>
          <w:lang w:val="en-ZW"/>
        </w:rPr>
      </w:pPr>
      <w:r w:rsidRPr="004E6384">
        <w:rPr>
          <w:rFonts w:ascii="Tahoma" w:hAnsi="Tahoma" w:cs="Tahoma"/>
          <w:i/>
          <w:iCs/>
          <w:lang w:val="en-ZW"/>
        </w:rPr>
        <w:t xml:space="preserve">Adopting ZiG as the common presentation currency for financial reporting is a positive step toward enhancing financial transparency, comparability, and consistency across businesses and sectors. This move strengthens confidence in the local currency and aligns with its growing use in </w:t>
      </w:r>
      <w:r w:rsidR="00814427" w:rsidRPr="004E6384">
        <w:rPr>
          <w:rFonts w:ascii="Tahoma" w:hAnsi="Tahoma" w:cs="Tahoma"/>
          <w:i/>
          <w:iCs/>
          <w:lang w:val="en-ZW"/>
        </w:rPr>
        <w:t>transactions. However</w:t>
      </w:r>
      <w:r w:rsidRPr="004E6384">
        <w:rPr>
          <w:rFonts w:ascii="Tahoma" w:hAnsi="Tahoma" w:cs="Tahoma"/>
          <w:i/>
          <w:iCs/>
          <w:lang w:val="en-ZW"/>
        </w:rPr>
        <w:t>, for successful implementation, it is essential to ensure clear guidelines and transitional support for businesses adapting their reporting systems. The Reserve Bank, in collaboration with regulatory bodies, should provide capacity-building programs for accountants and auditors to facilitate smooth compliance. Additionally, mechanisms should be put in place to address potential challenges, such as foreign exchange translation for companies with multi-currency transactions and the treatment of legacy balances.</w:t>
      </w:r>
    </w:p>
    <w:p w14:paraId="2ACAD416" w14:textId="27F5012A" w:rsidR="00064EAD" w:rsidRDefault="00064EAD" w:rsidP="00064EAD">
      <w:pPr>
        <w:spacing w:before="240" w:after="240"/>
        <w:jc w:val="both"/>
        <w:rPr>
          <w:rFonts w:ascii="Tahoma" w:hAnsi="Tahoma" w:cs="Tahoma"/>
          <w:b/>
          <w:bCs/>
        </w:rPr>
      </w:pPr>
      <w:r w:rsidRPr="001F1B1D">
        <w:rPr>
          <w:rFonts w:ascii="Tahoma" w:hAnsi="Tahoma" w:cs="Tahoma"/>
          <w:b/>
          <w:bCs/>
          <w:lang w:val="en-ZW"/>
        </w:rPr>
        <w:t>2.8</w:t>
      </w:r>
      <w:r w:rsidRPr="001F1B1D">
        <w:rPr>
          <w:rFonts w:ascii="Tahoma" w:hAnsi="Tahoma" w:cs="Tahoma"/>
          <w:b/>
          <w:bCs/>
          <w:lang w:val="en-ZW"/>
        </w:rPr>
        <w:tab/>
      </w:r>
      <w:r>
        <w:rPr>
          <w:rFonts w:ascii="Tahoma" w:hAnsi="Tahoma" w:cs="Tahoma"/>
          <w:b/>
          <w:bCs/>
        </w:rPr>
        <w:t>Bank and transaction Charges</w:t>
      </w:r>
    </w:p>
    <w:p w14:paraId="44E375B1" w14:textId="656CFE0A" w:rsidR="00064EAD" w:rsidRDefault="009B2528" w:rsidP="009B2528">
      <w:pPr>
        <w:spacing w:before="240" w:after="240"/>
        <w:ind w:left="720"/>
        <w:jc w:val="both"/>
        <w:rPr>
          <w:rFonts w:ascii="Tahoma" w:hAnsi="Tahoma" w:cs="Tahoma"/>
        </w:rPr>
      </w:pPr>
      <w:r w:rsidRPr="009B2528">
        <w:rPr>
          <w:rFonts w:ascii="Tahoma" w:hAnsi="Tahoma" w:cs="Tahoma"/>
        </w:rPr>
        <w:t xml:space="preserve">In response to concerns over high bank charges, the Reserve Bank </w:t>
      </w:r>
      <w:r>
        <w:rPr>
          <w:rFonts w:ascii="Tahoma" w:hAnsi="Tahoma" w:cs="Tahoma"/>
        </w:rPr>
        <w:t xml:space="preserve">indicated that it </w:t>
      </w:r>
      <w:r w:rsidR="00814427" w:rsidRPr="009B2528">
        <w:rPr>
          <w:rFonts w:ascii="Tahoma" w:hAnsi="Tahoma" w:cs="Tahoma"/>
        </w:rPr>
        <w:t>would</w:t>
      </w:r>
      <w:r w:rsidRPr="009B2528">
        <w:rPr>
          <w:rFonts w:ascii="Tahoma" w:hAnsi="Tahoma" w:cs="Tahoma"/>
        </w:rPr>
        <w:t xml:space="preserve"> ensure that banks exempt charges for accounts with balances below US$100 or its equivalent in ZiG. Additionally, Point of Sale (POS) transactions under US$5 or its equivalent in ZiG will be exempt from transaction charges for both banks and Payment System</w:t>
      </w:r>
      <w:r w:rsidR="00814427">
        <w:rPr>
          <w:rFonts w:ascii="Tahoma" w:hAnsi="Tahoma" w:cs="Tahoma"/>
        </w:rPr>
        <w:t>s</w:t>
      </w:r>
      <w:r w:rsidRPr="009B2528">
        <w:rPr>
          <w:rFonts w:ascii="Tahoma" w:hAnsi="Tahoma" w:cs="Tahoma"/>
        </w:rPr>
        <w:t xml:space="preserve"> Providers (PSPs). The Reserve Bank is also collaborating with the Bankers Association of Zimbabwe (BAZ) and PSPs to develop mechanisms that reduce bank charges and encourage the use of e-cash to promote ZiG. These measures are expected to be finalized and communicated by mid-2025.</w:t>
      </w:r>
    </w:p>
    <w:p w14:paraId="7EF69C62" w14:textId="6F63EE98" w:rsidR="005D2448" w:rsidRPr="005D2448" w:rsidRDefault="00A40D72" w:rsidP="005D2448">
      <w:pPr>
        <w:spacing w:after="240"/>
        <w:ind w:left="720"/>
        <w:jc w:val="both"/>
        <w:rPr>
          <w:rFonts w:ascii="Tahoma" w:hAnsi="Tahoma" w:cs="Tahoma"/>
          <w:b/>
          <w:bCs/>
          <w:i/>
          <w:iCs/>
          <w:lang w:val="en-ZW"/>
        </w:rPr>
      </w:pPr>
      <w:r>
        <w:rPr>
          <w:rFonts w:ascii="Tahoma" w:hAnsi="Tahoma" w:cs="Tahoma"/>
          <w:b/>
          <w:bCs/>
          <w:i/>
          <w:iCs/>
          <w:lang w:val="en-ZW"/>
        </w:rPr>
        <w:t xml:space="preserve">NECF Views </w:t>
      </w:r>
    </w:p>
    <w:p w14:paraId="021B4157" w14:textId="053AC3B5" w:rsidR="004A13E3" w:rsidRPr="009B2528" w:rsidRDefault="009B2528" w:rsidP="009B2528">
      <w:pPr>
        <w:spacing w:before="240" w:after="240"/>
        <w:ind w:left="720"/>
        <w:jc w:val="both"/>
        <w:rPr>
          <w:rFonts w:ascii="Tahoma" w:hAnsi="Tahoma" w:cs="Tahoma"/>
          <w:i/>
          <w:iCs/>
          <w:lang w:val="en-ZW"/>
        </w:rPr>
      </w:pPr>
      <w:r w:rsidRPr="009B2528">
        <w:rPr>
          <w:rFonts w:ascii="Tahoma" w:hAnsi="Tahoma" w:cs="Tahoma"/>
          <w:i/>
          <w:iCs/>
          <w:lang w:val="en-ZW"/>
        </w:rPr>
        <w:t xml:space="preserve">To enhance the effectiveness of the policy measures, the Reserve Bank should focus on clear communication and awareness campaigns to ensure stakeholders understand the exemptions. Monitoring and regulating bank </w:t>
      </w:r>
      <w:r w:rsidRPr="009B2528">
        <w:rPr>
          <w:rFonts w:ascii="Tahoma" w:hAnsi="Tahoma" w:cs="Tahoma"/>
          <w:i/>
          <w:iCs/>
          <w:lang w:val="en-ZW"/>
        </w:rPr>
        <w:lastRenderedPageBreak/>
        <w:t>charges is crucial to prevent hidden fees, while promoting digital financial literacy will encourage broader e-cash adoption. Additionally, incentivizing collaboration between banks and PSPs can reduce costs and improve the payment ecosyste</w:t>
      </w:r>
      <w:r>
        <w:rPr>
          <w:rFonts w:ascii="Tahoma" w:hAnsi="Tahoma" w:cs="Tahoma"/>
          <w:i/>
          <w:iCs/>
          <w:lang w:val="en-ZW"/>
        </w:rPr>
        <w:t>m.</w:t>
      </w:r>
    </w:p>
    <w:p w14:paraId="1173D0C8" w14:textId="77777777" w:rsidR="00A40D72" w:rsidRDefault="00A40D72" w:rsidP="004A13E3">
      <w:pPr>
        <w:spacing w:before="240" w:after="240"/>
        <w:ind w:left="720" w:hanging="720"/>
        <w:jc w:val="both"/>
        <w:rPr>
          <w:rFonts w:ascii="Tahoma" w:hAnsi="Tahoma" w:cs="Tahoma"/>
        </w:rPr>
      </w:pPr>
    </w:p>
    <w:p w14:paraId="0BFFDC1E" w14:textId="16B18F30" w:rsidR="004A13E3" w:rsidRPr="00A40D72" w:rsidRDefault="00D50984" w:rsidP="004A13E3">
      <w:pPr>
        <w:spacing w:before="240" w:after="240"/>
        <w:ind w:left="720" w:hanging="720"/>
        <w:jc w:val="both"/>
        <w:rPr>
          <w:rFonts w:ascii="Tahoma" w:hAnsi="Tahoma" w:cs="Tahoma"/>
          <w:b/>
          <w:bCs/>
        </w:rPr>
      </w:pPr>
      <w:r w:rsidRPr="00A40D72">
        <w:rPr>
          <w:rFonts w:ascii="Tahoma" w:hAnsi="Tahoma" w:cs="Tahoma"/>
          <w:b/>
          <w:bCs/>
        </w:rPr>
        <w:t>3.0</w:t>
      </w:r>
      <w:r w:rsidRPr="00A40D72">
        <w:rPr>
          <w:rFonts w:ascii="Tahoma" w:hAnsi="Tahoma" w:cs="Tahoma"/>
          <w:b/>
          <w:bCs/>
        </w:rPr>
        <w:tab/>
      </w:r>
      <w:r w:rsidR="00A40D72" w:rsidRPr="00A40D72">
        <w:rPr>
          <w:rFonts w:ascii="Tahoma" w:hAnsi="Tahoma" w:cs="Tahoma"/>
          <w:b/>
          <w:bCs/>
        </w:rPr>
        <w:t xml:space="preserve">CONCLUSION </w:t>
      </w:r>
    </w:p>
    <w:p w14:paraId="16673C1E" w14:textId="07BA8F36" w:rsidR="00D50984" w:rsidRPr="00D50984" w:rsidRDefault="00D50984" w:rsidP="00D50984">
      <w:pPr>
        <w:spacing w:before="240" w:after="240"/>
        <w:ind w:left="720" w:hanging="720"/>
        <w:jc w:val="both"/>
        <w:rPr>
          <w:rFonts w:ascii="Tahoma" w:hAnsi="Tahoma" w:cs="Tahoma"/>
        </w:rPr>
      </w:pPr>
      <w:r>
        <w:rPr>
          <w:rFonts w:ascii="Tahoma" w:hAnsi="Tahoma" w:cs="Tahoma"/>
        </w:rPr>
        <w:tab/>
      </w:r>
      <w:r w:rsidRPr="00D50984">
        <w:rPr>
          <w:rFonts w:ascii="Tahoma" w:hAnsi="Tahoma" w:cs="Tahoma"/>
        </w:rPr>
        <w:t xml:space="preserve">The MPS by the RBZ presents a comprehensive approach that will definitely foster stability, growth, and a gradual transition towards mono-currency. While several measures show promise in financial inclusion, trade facilitation and macroeconomic stability, it is crucial to address potential challenges and unintended consequences of high interest rates, inflation risks and the need for policy reviews by the </w:t>
      </w:r>
      <w:r w:rsidR="008934F9">
        <w:rPr>
          <w:rFonts w:ascii="Tahoma" w:hAnsi="Tahoma" w:cs="Tahoma"/>
        </w:rPr>
        <w:t>Monetary Policy Committee (</w:t>
      </w:r>
      <w:r w:rsidRPr="00D50984">
        <w:rPr>
          <w:rFonts w:ascii="Tahoma" w:hAnsi="Tahoma" w:cs="Tahoma"/>
        </w:rPr>
        <w:t>MPC</w:t>
      </w:r>
      <w:r w:rsidR="008934F9">
        <w:rPr>
          <w:rFonts w:ascii="Tahoma" w:hAnsi="Tahoma" w:cs="Tahoma"/>
        </w:rPr>
        <w:t>)</w:t>
      </w:r>
      <w:r w:rsidRPr="00D50984">
        <w:rPr>
          <w:rFonts w:ascii="Tahoma" w:hAnsi="Tahoma" w:cs="Tahoma"/>
        </w:rPr>
        <w:t xml:space="preserve"> as well as continuous engagements with various business membership organisations and government, for continuous policy review. The NECF remains committed to engaging with the various stakeholders on behalf of the RBZ, ensuring that these policies are effectively implemented and also promote complementarity with the Ministry of Finance</w:t>
      </w:r>
      <w:r w:rsidR="00943818">
        <w:rPr>
          <w:rFonts w:ascii="Tahoma" w:hAnsi="Tahoma" w:cs="Tahoma"/>
        </w:rPr>
        <w:t>, Economic Development and Investment Promotion</w:t>
      </w:r>
      <w:r w:rsidRPr="00D50984">
        <w:rPr>
          <w:rFonts w:ascii="Tahoma" w:hAnsi="Tahoma" w:cs="Tahoma"/>
        </w:rPr>
        <w:t xml:space="preserve"> measures, and ultimately support the Zimbabwe’s Sustainable Goals and the National Development Strategy 2</w:t>
      </w:r>
      <w:r w:rsidR="00943818">
        <w:rPr>
          <w:rFonts w:ascii="Tahoma" w:hAnsi="Tahoma" w:cs="Tahoma"/>
        </w:rPr>
        <w:t xml:space="preserve"> towards attainment of an upper middle-income economy by 2030. </w:t>
      </w:r>
    </w:p>
    <w:p w14:paraId="222F05EF" w14:textId="77777777" w:rsidR="00D50984" w:rsidRDefault="00D50984" w:rsidP="004A13E3">
      <w:pPr>
        <w:spacing w:before="240" w:after="240"/>
        <w:ind w:left="720" w:hanging="720"/>
        <w:jc w:val="both"/>
        <w:rPr>
          <w:rFonts w:ascii="Tahoma" w:hAnsi="Tahoma" w:cs="Tahoma"/>
        </w:rPr>
      </w:pPr>
    </w:p>
    <w:p w14:paraId="70F6D2FD" w14:textId="77777777" w:rsidR="004A13E3" w:rsidRDefault="004A13E3" w:rsidP="004A13E3">
      <w:pPr>
        <w:spacing w:before="240" w:after="240"/>
        <w:ind w:left="720" w:hanging="720"/>
        <w:jc w:val="both"/>
        <w:rPr>
          <w:rFonts w:ascii="Tahoma" w:hAnsi="Tahoma" w:cs="Tahoma"/>
        </w:rPr>
      </w:pPr>
    </w:p>
    <w:p w14:paraId="58EAD07F" w14:textId="36608C3B" w:rsidR="00E140C9" w:rsidRPr="004A13E3" w:rsidRDefault="00E140C9" w:rsidP="004A13E3">
      <w:pPr>
        <w:spacing w:before="240" w:after="240"/>
        <w:ind w:left="720" w:hanging="720"/>
        <w:jc w:val="both"/>
        <w:rPr>
          <w:rFonts w:ascii="Tahoma" w:hAnsi="Tahoma" w:cs="Tahoma"/>
          <w:b/>
          <w:bCs/>
          <w:lang w:val="en-ZW"/>
        </w:rPr>
      </w:pP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sidRPr="004A13E3">
        <w:rPr>
          <w:rFonts w:ascii="Tahoma" w:hAnsi="Tahoma" w:cs="Tahoma"/>
          <w:b/>
          <w:bCs/>
        </w:rPr>
        <w:t>NECF Secretariat, 202</w:t>
      </w:r>
      <w:r w:rsidR="005D2448">
        <w:rPr>
          <w:rFonts w:ascii="Tahoma" w:hAnsi="Tahoma" w:cs="Tahoma"/>
          <w:b/>
          <w:bCs/>
        </w:rPr>
        <w:t>5</w:t>
      </w:r>
    </w:p>
    <w:p w14:paraId="4FABE42F" w14:textId="3E2A628B" w:rsidR="007D27DC" w:rsidRPr="007D27DC" w:rsidRDefault="007D27DC" w:rsidP="004A13E3">
      <w:pPr>
        <w:spacing w:before="240" w:after="240"/>
        <w:ind w:left="720" w:hanging="720"/>
        <w:jc w:val="both"/>
        <w:rPr>
          <w:rFonts w:ascii="Tahoma" w:hAnsi="Tahoma" w:cs="Tahoma"/>
          <w:lang w:val="en-ZW"/>
        </w:rPr>
      </w:pPr>
    </w:p>
    <w:p w14:paraId="3D2F49C9" w14:textId="7435CAC6" w:rsidR="007D27DC" w:rsidRPr="004A13E3" w:rsidRDefault="007D27DC" w:rsidP="004A13E3">
      <w:pPr>
        <w:spacing w:before="240" w:after="240"/>
        <w:ind w:left="720" w:hanging="720"/>
        <w:jc w:val="both"/>
        <w:rPr>
          <w:rFonts w:ascii="Tahoma" w:hAnsi="Tahoma" w:cs="Tahoma"/>
          <w:lang w:val="en-ZW"/>
        </w:rPr>
      </w:pPr>
    </w:p>
    <w:p w14:paraId="61535BB9" w14:textId="1D8A55F6" w:rsidR="007D27DC" w:rsidRPr="007D27DC" w:rsidRDefault="007D27DC" w:rsidP="004A13E3">
      <w:pPr>
        <w:spacing w:before="240" w:after="240"/>
        <w:ind w:left="720" w:hanging="720"/>
        <w:jc w:val="both"/>
        <w:rPr>
          <w:rFonts w:ascii="Tahoma" w:hAnsi="Tahoma" w:cs="Tahoma"/>
          <w:lang w:val="en-ZW"/>
        </w:rPr>
      </w:pPr>
    </w:p>
    <w:p w14:paraId="2A35AEF3" w14:textId="62740087" w:rsidR="007D27DC" w:rsidRPr="004A13E3" w:rsidRDefault="007D27DC" w:rsidP="004A13E3">
      <w:pPr>
        <w:spacing w:before="240" w:after="240"/>
        <w:ind w:left="720" w:hanging="720"/>
        <w:jc w:val="both"/>
        <w:rPr>
          <w:rFonts w:ascii="Tahoma" w:hAnsi="Tahoma" w:cs="Tahoma"/>
          <w:lang w:val="en-ZW"/>
        </w:rPr>
      </w:pPr>
    </w:p>
    <w:p w14:paraId="5CE043CE" w14:textId="77777777" w:rsidR="008D0EDF" w:rsidRPr="004A13E3" w:rsidRDefault="008D0EDF" w:rsidP="004A13E3">
      <w:pPr>
        <w:spacing w:after="240"/>
        <w:jc w:val="both"/>
        <w:rPr>
          <w:rFonts w:ascii="Tahoma" w:hAnsi="Tahoma" w:cs="Tahoma"/>
        </w:rPr>
      </w:pPr>
    </w:p>
    <w:sectPr w:rsidR="008D0EDF" w:rsidRPr="004A13E3" w:rsidSect="00B738FC">
      <w:headerReference w:type="default" r:id="rId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DDB600" w14:textId="77777777" w:rsidR="005229A2" w:rsidRDefault="005229A2" w:rsidP="000F44B5">
      <w:r>
        <w:separator/>
      </w:r>
    </w:p>
  </w:endnote>
  <w:endnote w:type="continuationSeparator" w:id="0">
    <w:p w14:paraId="507C0B5B" w14:textId="77777777" w:rsidR="005229A2" w:rsidRDefault="005229A2" w:rsidP="000F4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81078544"/>
      <w:docPartObj>
        <w:docPartGallery w:val="Page Numbers (Bottom of Page)"/>
        <w:docPartUnique/>
      </w:docPartObj>
    </w:sdtPr>
    <w:sdtEndPr>
      <w:rPr>
        <w:color w:val="7F7F7F" w:themeColor="background1" w:themeShade="7F"/>
        <w:spacing w:val="60"/>
      </w:rPr>
    </w:sdtEndPr>
    <w:sdtContent>
      <w:p w14:paraId="781D5F56" w14:textId="77777777" w:rsidR="00B738FC" w:rsidRDefault="00B738F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NECF SECRETARIAT,2025</w:t>
        </w:r>
      </w:p>
    </w:sdtContent>
  </w:sdt>
  <w:p w14:paraId="32F4FFFC" w14:textId="77777777" w:rsidR="004A13E3" w:rsidRDefault="004A13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A1B5FB" w14:textId="77777777" w:rsidR="005229A2" w:rsidRDefault="005229A2" w:rsidP="000F44B5">
      <w:r>
        <w:separator/>
      </w:r>
    </w:p>
  </w:footnote>
  <w:footnote w:type="continuationSeparator" w:id="0">
    <w:p w14:paraId="246DEFC8" w14:textId="77777777" w:rsidR="005229A2" w:rsidRDefault="005229A2" w:rsidP="000F4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30C935" w14:textId="77777777" w:rsidR="00B738FC" w:rsidRDefault="00B738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97EF9"/>
    <w:multiLevelType w:val="multilevel"/>
    <w:tmpl w:val="C7FCB25C"/>
    <w:lvl w:ilvl="0">
      <w:start w:val="1"/>
      <w:numFmt w:val="decimal"/>
      <w:lvlText w:val="%1."/>
      <w:lvlJc w:val="left"/>
      <w:pPr>
        <w:tabs>
          <w:tab w:val="num" w:pos="360"/>
        </w:tabs>
        <w:ind w:left="360" w:hanging="360"/>
      </w:pPr>
      <w:rPr>
        <w:b/>
        <w:bCs/>
      </w:rPr>
    </w:lvl>
    <w:lvl w:ilvl="1">
      <w:start w:val="1"/>
      <w:numFmt w:val="lowerLetter"/>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61750DD"/>
    <w:multiLevelType w:val="hybridMultilevel"/>
    <w:tmpl w:val="F4A4CEDA"/>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 w15:restartNumberingAfterBreak="0">
    <w:nsid w:val="073F36F0"/>
    <w:multiLevelType w:val="hybridMultilevel"/>
    <w:tmpl w:val="C276B97C"/>
    <w:lvl w:ilvl="0" w:tplc="30090001">
      <w:start w:val="1"/>
      <w:numFmt w:val="bullet"/>
      <w:lvlText w:val=""/>
      <w:lvlJc w:val="left"/>
      <w:pPr>
        <w:ind w:left="768" w:hanging="360"/>
      </w:pPr>
      <w:rPr>
        <w:rFonts w:ascii="Symbol" w:hAnsi="Symbol" w:hint="default"/>
      </w:rPr>
    </w:lvl>
    <w:lvl w:ilvl="1" w:tplc="30090003" w:tentative="1">
      <w:start w:val="1"/>
      <w:numFmt w:val="bullet"/>
      <w:lvlText w:val="o"/>
      <w:lvlJc w:val="left"/>
      <w:pPr>
        <w:ind w:left="1488" w:hanging="360"/>
      </w:pPr>
      <w:rPr>
        <w:rFonts w:ascii="Courier New" w:hAnsi="Courier New" w:cs="Courier New" w:hint="default"/>
      </w:rPr>
    </w:lvl>
    <w:lvl w:ilvl="2" w:tplc="30090005" w:tentative="1">
      <w:start w:val="1"/>
      <w:numFmt w:val="bullet"/>
      <w:lvlText w:val=""/>
      <w:lvlJc w:val="left"/>
      <w:pPr>
        <w:ind w:left="2208" w:hanging="360"/>
      </w:pPr>
      <w:rPr>
        <w:rFonts w:ascii="Wingdings" w:hAnsi="Wingdings" w:hint="default"/>
      </w:rPr>
    </w:lvl>
    <w:lvl w:ilvl="3" w:tplc="30090001" w:tentative="1">
      <w:start w:val="1"/>
      <w:numFmt w:val="bullet"/>
      <w:lvlText w:val=""/>
      <w:lvlJc w:val="left"/>
      <w:pPr>
        <w:ind w:left="2928" w:hanging="360"/>
      </w:pPr>
      <w:rPr>
        <w:rFonts w:ascii="Symbol" w:hAnsi="Symbol" w:hint="default"/>
      </w:rPr>
    </w:lvl>
    <w:lvl w:ilvl="4" w:tplc="30090003" w:tentative="1">
      <w:start w:val="1"/>
      <w:numFmt w:val="bullet"/>
      <w:lvlText w:val="o"/>
      <w:lvlJc w:val="left"/>
      <w:pPr>
        <w:ind w:left="3648" w:hanging="360"/>
      </w:pPr>
      <w:rPr>
        <w:rFonts w:ascii="Courier New" w:hAnsi="Courier New" w:cs="Courier New" w:hint="default"/>
      </w:rPr>
    </w:lvl>
    <w:lvl w:ilvl="5" w:tplc="30090005" w:tentative="1">
      <w:start w:val="1"/>
      <w:numFmt w:val="bullet"/>
      <w:lvlText w:val=""/>
      <w:lvlJc w:val="left"/>
      <w:pPr>
        <w:ind w:left="4368" w:hanging="360"/>
      </w:pPr>
      <w:rPr>
        <w:rFonts w:ascii="Wingdings" w:hAnsi="Wingdings" w:hint="default"/>
      </w:rPr>
    </w:lvl>
    <w:lvl w:ilvl="6" w:tplc="30090001" w:tentative="1">
      <w:start w:val="1"/>
      <w:numFmt w:val="bullet"/>
      <w:lvlText w:val=""/>
      <w:lvlJc w:val="left"/>
      <w:pPr>
        <w:ind w:left="5088" w:hanging="360"/>
      </w:pPr>
      <w:rPr>
        <w:rFonts w:ascii="Symbol" w:hAnsi="Symbol" w:hint="default"/>
      </w:rPr>
    </w:lvl>
    <w:lvl w:ilvl="7" w:tplc="30090003" w:tentative="1">
      <w:start w:val="1"/>
      <w:numFmt w:val="bullet"/>
      <w:lvlText w:val="o"/>
      <w:lvlJc w:val="left"/>
      <w:pPr>
        <w:ind w:left="5808" w:hanging="360"/>
      </w:pPr>
      <w:rPr>
        <w:rFonts w:ascii="Courier New" w:hAnsi="Courier New" w:cs="Courier New" w:hint="default"/>
      </w:rPr>
    </w:lvl>
    <w:lvl w:ilvl="8" w:tplc="30090005" w:tentative="1">
      <w:start w:val="1"/>
      <w:numFmt w:val="bullet"/>
      <w:lvlText w:val=""/>
      <w:lvlJc w:val="left"/>
      <w:pPr>
        <w:ind w:left="6528" w:hanging="360"/>
      </w:pPr>
      <w:rPr>
        <w:rFonts w:ascii="Wingdings" w:hAnsi="Wingdings" w:hint="default"/>
      </w:rPr>
    </w:lvl>
  </w:abstractNum>
  <w:abstractNum w:abstractNumId="3" w15:restartNumberingAfterBreak="0">
    <w:nsid w:val="0B10208A"/>
    <w:multiLevelType w:val="hybridMultilevel"/>
    <w:tmpl w:val="10B2F6A4"/>
    <w:lvl w:ilvl="0" w:tplc="30090001">
      <w:start w:val="1"/>
      <w:numFmt w:val="bullet"/>
      <w:lvlText w:val=""/>
      <w:lvlJc w:val="left"/>
      <w:pPr>
        <w:ind w:left="1080" w:hanging="360"/>
      </w:pPr>
      <w:rPr>
        <w:rFonts w:ascii="Symbol" w:hAnsi="Symbol"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4" w15:restartNumberingAfterBreak="0">
    <w:nsid w:val="0FDC2258"/>
    <w:multiLevelType w:val="multilevel"/>
    <w:tmpl w:val="A080FBB2"/>
    <w:lvl w:ilvl="0">
      <w:start w:val="1"/>
      <w:numFmt w:val="decimal"/>
      <w:lvlText w:val="%1."/>
      <w:lvlJc w:val="left"/>
      <w:pPr>
        <w:tabs>
          <w:tab w:val="num" w:pos="360"/>
        </w:tabs>
        <w:ind w:left="360" w:hanging="360"/>
      </w:pPr>
      <w:rPr>
        <w:b/>
        <w:bCs/>
      </w:rPr>
    </w:lvl>
    <w:lvl w:ilvl="1">
      <w:start w:val="1"/>
      <w:numFmt w:val="decimal"/>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17A1787"/>
    <w:multiLevelType w:val="multilevel"/>
    <w:tmpl w:val="B8D67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505D8D"/>
    <w:multiLevelType w:val="multilevel"/>
    <w:tmpl w:val="87E83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5B7332"/>
    <w:multiLevelType w:val="multilevel"/>
    <w:tmpl w:val="45F06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BA2D13"/>
    <w:multiLevelType w:val="multilevel"/>
    <w:tmpl w:val="0809001F"/>
    <w:lvl w:ilvl="0">
      <w:start w:val="1"/>
      <w:numFmt w:val="decimal"/>
      <w:lvlText w:val="%1."/>
      <w:lvlJc w:val="left"/>
      <w:pPr>
        <w:ind w:left="360" w:hanging="360"/>
      </w:pPr>
      <w:rPr>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79F349C"/>
    <w:multiLevelType w:val="multilevel"/>
    <w:tmpl w:val="C7FCB25C"/>
    <w:lvl w:ilvl="0">
      <w:start w:val="1"/>
      <w:numFmt w:val="decimal"/>
      <w:lvlText w:val="%1."/>
      <w:lvlJc w:val="left"/>
      <w:pPr>
        <w:tabs>
          <w:tab w:val="num" w:pos="360"/>
        </w:tabs>
        <w:ind w:left="360" w:hanging="360"/>
      </w:pPr>
      <w:rPr>
        <w:b/>
        <w:bCs/>
      </w:rPr>
    </w:lvl>
    <w:lvl w:ilvl="1">
      <w:start w:val="1"/>
      <w:numFmt w:val="lowerLetter"/>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2B132D16"/>
    <w:multiLevelType w:val="multilevel"/>
    <w:tmpl w:val="C8C22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8E1B4F"/>
    <w:multiLevelType w:val="hybridMultilevel"/>
    <w:tmpl w:val="D7D21A4E"/>
    <w:lvl w:ilvl="0" w:tplc="30090001">
      <w:start w:val="1"/>
      <w:numFmt w:val="bullet"/>
      <w:lvlText w:val=""/>
      <w:lvlJc w:val="left"/>
      <w:pPr>
        <w:ind w:left="1440" w:hanging="360"/>
      </w:pPr>
      <w:rPr>
        <w:rFonts w:ascii="Symbol" w:hAnsi="Symbol"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12" w15:restartNumberingAfterBreak="0">
    <w:nsid w:val="2D845DB4"/>
    <w:multiLevelType w:val="multilevel"/>
    <w:tmpl w:val="146CF1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AF2763"/>
    <w:multiLevelType w:val="multilevel"/>
    <w:tmpl w:val="5664C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A83316"/>
    <w:multiLevelType w:val="hybridMultilevel"/>
    <w:tmpl w:val="44E67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8B079FD"/>
    <w:multiLevelType w:val="multilevel"/>
    <w:tmpl w:val="4A4E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614847"/>
    <w:multiLevelType w:val="hybridMultilevel"/>
    <w:tmpl w:val="689A4AE0"/>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3AB90BAB"/>
    <w:multiLevelType w:val="multilevel"/>
    <w:tmpl w:val="E7960D6E"/>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3C816508"/>
    <w:multiLevelType w:val="multilevel"/>
    <w:tmpl w:val="C7FCB25C"/>
    <w:lvl w:ilvl="0">
      <w:start w:val="1"/>
      <w:numFmt w:val="decimal"/>
      <w:lvlText w:val="%1."/>
      <w:lvlJc w:val="left"/>
      <w:pPr>
        <w:tabs>
          <w:tab w:val="num" w:pos="360"/>
        </w:tabs>
        <w:ind w:left="360" w:hanging="360"/>
      </w:pPr>
      <w:rPr>
        <w:b/>
        <w:bCs/>
      </w:rPr>
    </w:lvl>
    <w:lvl w:ilvl="1">
      <w:start w:val="1"/>
      <w:numFmt w:val="lowerLetter"/>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46D75664"/>
    <w:multiLevelType w:val="multilevel"/>
    <w:tmpl w:val="E7960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675318"/>
    <w:multiLevelType w:val="hybridMultilevel"/>
    <w:tmpl w:val="25D83372"/>
    <w:lvl w:ilvl="0" w:tplc="30090019">
      <w:start w:val="1"/>
      <w:numFmt w:val="lowerLetter"/>
      <w:lvlText w:val="%1."/>
      <w:lvlJc w:val="left"/>
      <w:pPr>
        <w:ind w:left="1080" w:hanging="360"/>
      </w:pPr>
    </w:lvl>
    <w:lvl w:ilvl="1" w:tplc="1C122132">
      <w:numFmt w:val="bullet"/>
      <w:lvlText w:val="•"/>
      <w:lvlJc w:val="left"/>
      <w:pPr>
        <w:ind w:left="1800" w:hanging="360"/>
      </w:pPr>
      <w:rPr>
        <w:rFonts w:ascii="Tahoma" w:eastAsiaTheme="minorHAnsi" w:hAnsi="Tahoma" w:cs="Tahoma" w:hint="default"/>
      </w:r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1" w15:restartNumberingAfterBreak="0">
    <w:nsid w:val="4E1C5AA9"/>
    <w:multiLevelType w:val="hybridMultilevel"/>
    <w:tmpl w:val="689A4AE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75473FC"/>
    <w:multiLevelType w:val="multilevel"/>
    <w:tmpl w:val="A352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7DD025F"/>
    <w:multiLevelType w:val="multilevel"/>
    <w:tmpl w:val="4A74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BB73B89"/>
    <w:multiLevelType w:val="multilevel"/>
    <w:tmpl w:val="7C707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D36396A"/>
    <w:multiLevelType w:val="multilevel"/>
    <w:tmpl w:val="35D23B6E"/>
    <w:lvl w:ilvl="0">
      <w:start w:val="1"/>
      <w:numFmt w:val="bullet"/>
      <w:lvlText w:val=""/>
      <w:lvlJc w:val="left"/>
      <w:pPr>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220855"/>
    <w:multiLevelType w:val="multilevel"/>
    <w:tmpl w:val="C46AA010"/>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7" w15:restartNumberingAfterBreak="0">
    <w:nsid w:val="60002927"/>
    <w:multiLevelType w:val="multilevel"/>
    <w:tmpl w:val="F79A69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069"/>
        </w:tabs>
        <w:ind w:left="1069"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0A607BE"/>
    <w:multiLevelType w:val="multilevel"/>
    <w:tmpl w:val="69D8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1430D2E"/>
    <w:multiLevelType w:val="multilevel"/>
    <w:tmpl w:val="BA8E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41C53C9"/>
    <w:multiLevelType w:val="hybridMultilevel"/>
    <w:tmpl w:val="28CEC4D2"/>
    <w:lvl w:ilvl="0" w:tplc="30090001">
      <w:start w:val="1"/>
      <w:numFmt w:val="bullet"/>
      <w:lvlText w:val=""/>
      <w:lvlJc w:val="left"/>
      <w:pPr>
        <w:ind w:left="714" w:hanging="360"/>
      </w:pPr>
      <w:rPr>
        <w:rFonts w:ascii="Symbol" w:hAnsi="Symbol" w:hint="default"/>
      </w:rPr>
    </w:lvl>
    <w:lvl w:ilvl="1" w:tplc="30090003" w:tentative="1">
      <w:start w:val="1"/>
      <w:numFmt w:val="bullet"/>
      <w:lvlText w:val="o"/>
      <w:lvlJc w:val="left"/>
      <w:pPr>
        <w:ind w:left="1434" w:hanging="360"/>
      </w:pPr>
      <w:rPr>
        <w:rFonts w:ascii="Courier New" w:hAnsi="Courier New" w:cs="Courier New" w:hint="default"/>
      </w:rPr>
    </w:lvl>
    <w:lvl w:ilvl="2" w:tplc="30090005" w:tentative="1">
      <w:start w:val="1"/>
      <w:numFmt w:val="bullet"/>
      <w:lvlText w:val=""/>
      <w:lvlJc w:val="left"/>
      <w:pPr>
        <w:ind w:left="2154" w:hanging="360"/>
      </w:pPr>
      <w:rPr>
        <w:rFonts w:ascii="Wingdings" w:hAnsi="Wingdings" w:hint="default"/>
      </w:rPr>
    </w:lvl>
    <w:lvl w:ilvl="3" w:tplc="30090001" w:tentative="1">
      <w:start w:val="1"/>
      <w:numFmt w:val="bullet"/>
      <w:lvlText w:val=""/>
      <w:lvlJc w:val="left"/>
      <w:pPr>
        <w:ind w:left="2874" w:hanging="360"/>
      </w:pPr>
      <w:rPr>
        <w:rFonts w:ascii="Symbol" w:hAnsi="Symbol" w:hint="default"/>
      </w:rPr>
    </w:lvl>
    <w:lvl w:ilvl="4" w:tplc="30090003" w:tentative="1">
      <w:start w:val="1"/>
      <w:numFmt w:val="bullet"/>
      <w:lvlText w:val="o"/>
      <w:lvlJc w:val="left"/>
      <w:pPr>
        <w:ind w:left="3594" w:hanging="360"/>
      </w:pPr>
      <w:rPr>
        <w:rFonts w:ascii="Courier New" w:hAnsi="Courier New" w:cs="Courier New" w:hint="default"/>
      </w:rPr>
    </w:lvl>
    <w:lvl w:ilvl="5" w:tplc="30090005" w:tentative="1">
      <w:start w:val="1"/>
      <w:numFmt w:val="bullet"/>
      <w:lvlText w:val=""/>
      <w:lvlJc w:val="left"/>
      <w:pPr>
        <w:ind w:left="4314" w:hanging="360"/>
      </w:pPr>
      <w:rPr>
        <w:rFonts w:ascii="Wingdings" w:hAnsi="Wingdings" w:hint="default"/>
      </w:rPr>
    </w:lvl>
    <w:lvl w:ilvl="6" w:tplc="30090001" w:tentative="1">
      <w:start w:val="1"/>
      <w:numFmt w:val="bullet"/>
      <w:lvlText w:val=""/>
      <w:lvlJc w:val="left"/>
      <w:pPr>
        <w:ind w:left="5034" w:hanging="360"/>
      </w:pPr>
      <w:rPr>
        <w:rFonts w:ascii="Symbol" w:hAnsi="Symbol" w:hint="default"/>
      </w:rPr>
    </w:lvl>
    <w:lvl w:ilvl="7" w:tplc="30090003" w:tentative="1">
      <w:start w:val="1"/>
      <w:numFmt w:val="bullet"/>
      <w:lvlText w:val="o"/>
      <w:lvlJc w:val="left"/>
      <w:pPr>
        <w:ind w:left="5754" w:hanging="360"/>
      </w:pPr>
      <w:rPr>
        <w:rFonts w:ascii="Courier New" w:hAnsi="Courier New" w:cs="Courier New" w:hint="default"/>
      </w:rPr>
    </w:lvl>
    <w:lvl w:ilvl="8" w:tplc="30090005" w:tentative="1">
      <w:start w:val="1"/>
      <w:numFmt w:val="bullet"/>
      <w:lvlText w:val=""/>
      <w:lvlJc w:val="left"/>
      <w:pPr>
        <w:ind w:left="6474" w:hanging="360"/>
      </w:pPr>
      <w:rPr>
        <w:rFonts w:ascii="Wingdings" w:hAnsi="Wingdings" w:hint="default"/>
      </w:rPr>
    </w:lvl>
  </w:abstractNum>
  <w:abstractNum w:abstractNumId="31" w15:restartNumberingAfterBreak="0">
    <w:nsid w:val="65536D15"/>
    <w:multiLevelType w:val="multilevel"/>
    <w:tmpl w:val="3084B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6BC0495"/>
    <w:multiLevelType w:val="multilevel"/>
    <w:tmpl w:val="CCD245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6CC5BB4"/>
    <w:multiLevelType w:val="multilevel"/>
    <w:tmpl w:val="B1B4EB2C"/>
    <w:lvl w:ilvl="0">
      <w:start w:val="2"/>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690115C1"/>
    <w:multiLevelType w:val="multilevel"/>
    <w:tmpl w:val="85D6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B2650DC"/>
    <w:multiLevelType w:val="multilevel"/>
    <w:tmpl w:val="BD66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DB878D0"/>
    <w:multiLevelType w:val="hybridMultilevel"/>
    <w:tmpl w:val="2F089D44"/>
    <w:lvl w:ilvl="0" w:tplc="30090019">
      <w:start w:val="1"/>
      <w:numFmt w:val="lowerLetter"/>
      <w:lvlText w:val="%1."/>
      <w:lvlJc w:val="left"/>
      <w:pPr>
        <w:ind w:left="1080" w:hanging="360"/>
      </w:p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37" w15:restartNumberingAfterBreak="0">
    <w:nsid w:val="6EF036A4"/>
    <w:multiLevelType w:val="hybridMultilevel"/>
    <w:tmpl w:val="BFEC58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060685D"/>
    <w:multiLevelType w:val="multilevel"/>
    <w:tmpl w:val="0809001F"/>
    <w:styleLink w:val="CurrentList1"/>
    <w:lvl w:ilvl="0">
      <w:start w:val="1"/>
      <w:numFmt w:val="decimal"/>
      <w:lvlText w:val="%1."/>
      <w:lvlJc w:val="left"/>
      <w:pPr>
        <w:ind w:left="360" w:hanging="360"/>
      </w:pPr>
      <w:rPr>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4AD67FF"/>
    <w:multiLevelType w:val="multilevel"/>
    <w:tmpl w:val="D78E1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334172">
    <w:abstractNumId w:val="27"/>
  </w:num>
  <w:num w:numId="2" w16cid:durableId="1932733521">
    <w:abstractNumId w:val="24"/>
  </w:num>
  <w:num w:numId="3" w16cid:durableId="769157984">
    <w:abstractNumId w:val="28"/>
  </w:num>
  <w:num w:numId="4" w16cid:durableId="299380577">
    <w:abstractNumId w:val="14"/>
  </w:num>
  <w:num w:numId="5" w16cid:durableId="1482115191">
    <w:abstractNumId w:val="12"/>
  </w:num>
  <w:num w:numId="6" w16cid:durableId="1165585541">
    <w:abstractNumId w:val="13"/>
  </w:num>
  <w:num w:numId="7" w16cid:durableId="138616948">
    <w:abstractNumId w:val="34"/>
  </w:num>
  <w:num w:numId="8" w16cid:durableId="664207726">
    <w:abstractNumId w:val="7"/>
  </w:num>
  <w:num w:numId="9" w16cid:durableId="996541970">
    <w:abstractNumId w:val="19"/>
  </w:num>
  <w:num w:numId="10" w16cid:durableId="556167031">
    <w:abstractNumId w:val="22"/>
  </w:num>
  <w:num w:numId="11" w16cid:durableId="1500383342">
    <w:abstractNumId w:val="35"/>
  </w:num>
  <w:num w:numId="12" w16cid:durableId="777722599">
    <w:abstractNumId w:val="32"/>
  </w:num>
  <w:num w:numId="13" w16cid:durableId="1116290196">
    <w:abstractNumId w:val="10"/>
  </w:num>
  <w:num w:numId="14" w16cid:durableId="1008141182">
    <w:abstractNumId w:val="23"/>
  </w:num>
  <w:num w:numId="15" w16cid:durableId="381096243">
    <w:abstractNumId w:val="15"/>
  </w:num>
  <w:num w:numId="16" w16cid:durableId="1367020632">
    <w:abstractNumId w:val="5"/>
  </w:num>
  <w:num w:numId="17" w16cid:durableId="1399748147">
    <w:abstractNumId w:val="39"/>
  </w:num>
  <w:num w:numId="18" w16cid:durableId="173810741">
    <w:abstractNumId w:val="29"/>
  </w:num>
  <w:num w:numId="19" w16cid:durableId="1796674933">
    <w:abstractNumId w:val="6"/>
  </w:num>
  <w:num w:numId="20" w16cid:durableId="826093180">
    <w:abstractNumId w:val="31"/>
  </w:num>
  <w:num w:numId="21" w16cid:durableId="614020215">
    <w:abstractNumId w:val="37"/>
  </w:num>
  <w:num w:numId="22" w16cid:durableId="1865947404">
    <w:abstractNumId w:val="17"/>
  </w:num>
  <w:num w:numId="23" w16cid:durableId="1373773955">
    <w:abstractNumId w:val="25"/>
  </w:num>
  <w:num w:numId="24" w16cid:durableId="1430657936">
    <w:abstractNumId w:val="8"/>
  </w:num>
  <w:num w:numId="25" w16cid:durableId="1189637346">
    <w:abstractNumId w:val="0"/>
  </w:num>
  <w:num w:numId="26" w16cid:durableId="468281481">
    <w:abstractNumId w:val="18"/>
  </w:num>
  <w:num w:numId="27" w16cid:durableId="1414400571">
    <w:abstractNumId w:val="9"/>
  </w:num>
  <w:num w:numId="28" w16cid:durableId="127558175">
    <w:abstractNumId w:val="21"/>
  </w:num>
  <w:num w:numId="29" w16cid:durableId="707680962">
    <w:abstractNumId w:val="4"/>
  </w:num>
  <w:num w:numId="30" w16cid:durableId="1365594878">
    <w:abstractNumId w:val="38"/>
  </w:num>
  <w:num w:numId="31" w16cid:durableId="994650585">
    <w:abstractNumId w:val="16"/>
  </w:num>
  <w:num w:numId="32" w16cid:durableId="1489711377">
    <w:abstractNumId w:val="2"/>
  </w:num>
  <w:num w:numId="33" w16cid:durableId="306713549">
    <w:abstractNumId w:val="3"/>
  </w:num>
  <w:num w:numId="34" w16cid:durableId="1505052670">
    <w:abstractNumId w:val="30"/>
  </w:num>
  <w:num w:numId="35" w16cid:durableId="1377239427">
    <w:abstractNumId w:val="26"/>
  </w:num>
  <w:num w:numId="36" w16cid:durableId="1422533507">
    <w:abstractNumId w:val="33"/>
  </w:num>
  <w:num w:numId="37" w16cid:durableId="1210218839">
    <w:abstractNumId w:val="36"/>
  </w:num>
  <w:num w:numId="38" w16cid:durableId="1840735967">
    <w:abstractNumId w:val="20"/>
  </w:num>
  <w:num w:numId="39" w16cid:durableId="533814131">
    <w:abstractNumId w:val="1"/>
  </w:num>
  <w:num w:numId="40" w16cid:durableId="19605243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EDF"/>
    <w:rsid w:val="00011D65"/>
    <w:rsid w:val="00051519"/>
    <w:rsid w:val="0005550D"/>
    <w:rsid w:val="00064EAD"/>
    <w:rsid w:val="00067E2E"/>
    <w:rsid w:val="00073AE1"/>
    <w:rsid w:val="00080896"/>
    <w:rsid w:val="000B1414"/>
    <w:rsid w:val="000C7B74"/>
    <w:rsid w:val="000E0818"/>
    <w:rsid w:val="000F44B5"/>
    <w:rsid w:val="000F51DF"/>
    <w:rsid w:val="000F5A57"/>
    <w:rsid w:val="00117A37"/>
    <w:rsid w:val="00151608"/>
    <w:rsid w:val="00155A14"/>
    <w:rsid w:val="0016577A"/>
    <w:rsid w:val="00166A7D"/>
    <w:rsid w:val="00170717"/>
    <w:rsid w:val="0019030C"/>
    <w:rsid w:val="001A3684"/>
    <w:rsid w:val="001E0F02"/>
    <w:rsid w:val="001F086C"/>
    <w:rsid w:val="001F1B1D"/>
    <w:rsid w:val="0022435D"/>
    <w:rsid w:val="002414D8"/>
    <w:rsid w:val="002511E5"/>
    <w:rsid w:val="00272C3B"/>
    <w:rsid w:val="00275358"/>
    <w:rsid w:val="00283AF8"/>
    <w:rsid w:val="0028624C"/>
    <w:rsid w:val="002E665F"/>
    <w:rsid w:val="00310DA1"/>
    <w:rsid w:val="00360E7D"/>
    <w:rsid w:val="00367F47"/>
    <w:rsid w:val="0037427C"/>
    <w:rsid w:val="003859EB"/>
    <w:rsid w:val="003904B3"/>
    <w:rsid w:val="003B36DA"/>
    <w:rsid w:val="003E3C8B"/>
    <w:rsid w:val="004074BB"/>
    <w:rsid w:val="0042259C"/>
    <w:rsid w:val="004238EF"/>
    <w:rsid w:val="004243CE"/>
    <w:rsid w:val="00431069"/>
    <w:rsid w:val="00432628"/>
    <w:rsid w:val="00444DA0"/>
    <w:rsid w:val="00467482"/>
    <w:rsid w:val="00474848"/>
    <w:rsid w:val="004839C4"/>
    <w:rsid w:val="004A13E3"/>
    <w:rsid w:val="004B1956"/>
    <w:rsid w:val="004B5843"/>
    <w:rsid w:val="004B5D51"/>
    <w:rsid w:val="004D2554"/>
    <w:rsid w:val="004E258B"/>
    <w:rsid w:val="004E6384"/>
    <w:rsid w:val="005162EC"/>
    <w:rsid w:val="0052235F"/>
    <w:rsid w:val="005229A2"/>
    <w:rsid w:val="005423D2"/>
    <w:rsid w:val="0054456B"/>
    <w:rsid w:val="005742CC"/>
    <w:rsid w:val="00581B6A"/>
    <w:rsid w:val="005C3D44"/>
    <w:rsid w:val="005D2448"/>
    <w:rsid w:val="00614CD8"/>
    <w:rsid w:val="00627F33"/>
    <w:rsid w:val="00642AEE"/>
    <w:rsid w:val="006474DA"/>
    <w:rsid w:val="006506E1"/>
    <w:rsid w:val="006558DB"/>
    <w:rsid w:val="00696766"/>
    <w:rsid w:val="006A27AA"/>
    <w:rsid w:val="006B0954"/>
    <w:rsid w:val="006C29F3"/>
    <w:rsid w:val="006C2F5C"/>
    <w:rsid w:val="006E4328"/>
    <w:rsid w:val="007054A4"/>
    <w:rsid w:val="00710B2D"/>
    <w:rsid w:val="00736B51"/>
    <w:rsid w:val="00750947"/>
    <w:rsid w:val="00770F3F"/>
    <w:rsid w:val="00771490"/>
    <w:rsid w:val="00785721"/>
    <w:rsid w:val="007D27DC"/>
    <w:rsid w:val="007E154F"/>
    <w:rsid w:val="00814427"/>
    <w:rsid w:val="008518A0"/>
    <w:rsid w:val="008652A2"/>
    <w:rsid w:val="00876009"/>
    <w:rsid w:val="008934F9"/>
    <w:rsid w:val="008D0EDF"/>
    <w:rsid w:val="008D35F8"/>
    <w:rsid w:val="008D7F39"/>
    <w:rsid w:val="008E0B9B"/>
    <w:rsid w:val="008F55A5"/>
    <w:rsid w:val="00912986"/>
    <w:rsid w:val="009232CB"/>
    <w:rsid w:val="0093435E"/>
    <w:rsid w:val="00943818"/>
    <w:rsid w:val="00967E63"/>
    <w:rsid w:val="00993CF3"/>
    <w:rsid w:val="009B2528"/>
    <w:rsid w:val="009C0CD7"/>
    <w:rsid w:val="009E5C4C"/>
    <w:rsid w:val="009F4487"/>
    <w:rsid w:val="00A05944"/>
    <w:rsid w:val="00A10FD7"/>
    <w:rsid w:val="00A26AFF"/>
    <w:rsid w:val="00A40D72"/>
    <w:rsid w:val="00A56A1D"/>
    <w:rsid w:val="00A77FD9"/>
    <w:rsid w:val="00AA1C63"/>
    <w:rsid w:val="00AC67FB"/>
    <w:rsid w:val="00AF023C"/>
    <w:rsid w:val="00B01A13"/>
    <w:rsid w:val="00B20EE7"/>
    <w:rsid w:val="00B46EFB"/>
    <w:rsid w:val="00B54E90"/>
    <w:rsid w:val="00B71ADD"/>
    <w:rsid w:val="00B7302E"/>
    <w:rsid w:val="00B73549"/>
    <w:rsid w:val="00B738FC"/>
    <w:rsid w:val="00B866ED"/>
    <w:rsid w:val="00BA25CB"/>
    <w:rsid w:val="00BC231B"/>
    <w:rsid w:val="00C12AC2"/>
    <w:rsid w:val="00C3398E"/>
    <w:rsid w:val="00C55568"/>
    <w:rsid w:val="00C6497B"/>
    <w:rsid w:val="00C65C43"/>
    <w:rsid w:val="00C93D20"/>
    <w:rsid w:val="00C952CC"/>
    <w:rsid w:val="00CA3739"/>
    <w:rsid w:val="00CA543F"/>
    <w:rsid w:val="00CB1BC2"/>
    <w:rsid w:val="00CE3DFB"/>
    <w:rsid w:val="00CE7567"/>
    <w:rsid w:val="00CF4DE1"/>
    <w:rsid w:val="00CF5C95"/>
    <w:rsid w:val="00D134C8"/>
    <w:rsid w:val="00D403D8"/>
    <w:rsid w:val="00D40D0C"/>
    <w:rsid w:val="00D50984"/>
    <w:rsid w:val="00D60A5D"/>
    <w:rsid w:val="00D82904"/>
    <w:rsid w:val="00D90FAD"/>
    <w:rsid w:val="00D95C4E"/>
    <w:rsid w:val="00D96BD6"/>
    <w:rsid w:val="00E140C9"/>
    <w:rsid w:val="00E27FAE"/>
    <w:rsid w:val="00E35651"/>
    <w:rsid w:val="00E35DB0"/>
    <w:rsid w:val="00E41981"/>
    <w:rsid w:val="00E57111"/>
    <w:rsid w:val="00E67815"/>
    <w:rsid w:val="00E87565"/>
    <w:rsid w:val="00EB62A8"/>
    <w:rsid w:val="00EC5D9F"/>
    <w:rsid w:val="00F13027"/>
    <w:rsid w:val="00F1475E"/>
    <w:rsid w:val="00F22B84"/>
    <w:rsid w:val="00F32382"/>
    <w:rsid w:val="00F43A14"/>
    <w:rsid w:val="00F56E73"/>
    <w:rsid w:val="00F72745"/>
    <w:rsid w:val="00F80973"/>
    <w:rsid w:val="00FA6834"/>
    <w:rsid w:val="00FB5FBE"/>
    <w:rsid w:val="00FE731E"/>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2547EB"/>
  <w15:chartTrackingRefBased/>
  <w15:docId w15:val="{B236DFBB-FB71-D946-B9AA-9A3B36395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W"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EDF"/>
    <w:pPr>
      <w:ind w:left="720"/>
      <w:contextualSpacing/>
    </w:pPr>
  </w:style>
  <w:style w:type="numbering" w:customStyle="1" w:styleId="CurrentList1">
    <w:name w:val="Current List1"/>
    <w:uiPriority w:val="99"/>
    <w:rsid w:val="00051519"/>
    <w:pPr>
      <w:numPr>
        <w:numId w:val="30"/>
      </w:numPr>
    </w:pPr>
  </w:style>
  <w:style w:type="paragraph" w:styleId="Header">
    <w:name w:val="header"/>
    <w:basedOn w:val="Normal"/>
    <w:link w:val="HeaderChar"/>
    <w:uiPriority w:val="99"/>
    <w:unhideWhenUsed/>
    <w:rsid w:val="000F44B5"/>
    <w:pPr>
      <w:tabs>
        <w:tab w:val="center" w:pos="4513"/>
        <w:tab w:val="right" w:pos="9026"/>
      </w:tabs>
    </w:pPr>
  </w:style>
  <w:style w:type="character" w:customStyle="1" w:styleId="HeaderChar">
    <w:name w:val="Header Char"/>
    <w:basedOn w:val="DefaultParagraphFont"/>
    <w:link w:val="Header"/>
    <w:uiPriority w:val="99"/>
    <w:rsid w:val="000F44B5"/>
    <w:rPr>
      <w:lang w:val="en-GB"/>
    </w:rPr>
  </w:style>
  <w:style w:type="paragraph" w:styleId="Footer">
    <w:name w:val="footer"/>
    <w:basedOn w:val="Normal"/>
    <w:link w:val="FooterChar"/>
    <w:uiPriority w:val="99"/>
    <w:unhideWhenUsed/>
    <w:rsid w:val="000F44B5"/>
    <w:pPr>
      <w:tabs>
        <w:tab w:val="center" w:pos="4513"/>
        <w:tab w:val="right" w:pos="9026"/>
      </w:tabs>
    </w:pPr>
  </w:style>
  <w:style w:type="character" w:customStyle="1" w:styleId="FooterChar">
    <w:name w:val="Footer Char"/>
    <w:basedOn w:val="DefaultParagraphFont"/>
    <w:link w:val="Footer"/>
    <w:uiPriority w:val="99"/>
    <w:rsid w:val="000F44B5"/>
    <w:rPr>
      <w:lang w:val="en-GB"/>
    </w:rPr>
  </w:style>
  <w:style w:type="paragraph" w:styleId="Revision">
    <w:name w:val="Revision"/>
    <w:hidden/>
    <w:uiPriority w:val="99"/>
    <w:semiHidden/>
    <w:rsid w:val="00D60A5D"/>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750783">
      <w:bodyDiv w:val="1"/>
      <w:marLeft w:val="0"/>
      <w:marRight w:val="0"/>
      <w:marTop w:val="0"/>
      <w:marBottom w:val="0"/>
      <w:divBdr>
        <w:top w:val="none" w:sz="0" w:space="0" w:color="auto"/>
        <w:left w:val="none" w:sz="0" w:space="0" w:color="auto"/>
        <w:bottom w:val="none" w:sz="0" w:space="0" w:color="auto"/>
        <w:right w:val="none" w:sz="0" w:space="0" w:color="auto"/>
      </w:divBdr>
      <w:divsChild>
        <w:div w:id="948972511">
          <w:marLeft w:val="0"/>
          <w:marRight w:val="0"/>
          <w:marTop w:val="0"/>
          <w:marBottom w:val="0"/>
          <w:divBdr>
            <w:top w:val="none" w:sz="0" w:space="0" w:color="auto"/>
            <w:left w:val="none" w:sz="0" w:space="0" w:color="auto"/>
            <w:bottom w:val="none" w:sz="0" w:space="0" w:color="auto"/>
            <w:right w:val="none" w:sz="0" w:space="0" w:color="auto"/>
          </w:divBdr>
          <w:divsChild>
            <w:div w:id="163470477">
              <w:marLeft w:val="0"/>
              <w:marRight w:val="0"/>
              <w:marTop w:val="0"/>
              <w:marBottom w:val="0"/>
              <w:divBdr>
                <w:top w:val="none" w:sz="0" w:space="0" w:color="auto"/>
                <w:left w:val="none" w:sz="0" w:space="0" w:color="auto"/>
                <w:bottom w:val="none" w:sz="0" w:space="0" w:color="auto"/>
                <w:right w:val="none" w:sz="0" w:space="0" w:color="auto"/>
              </w:divBdr>
              <w:divsChild>
                <w:div w:id="373241219">
                  <w:marLeft w:val="0"/>
                  <w:marRight w:val="0"/>
                  <w:marTop w:val="0"/>
                  <w:marBottom w:val="0"/>
                  <w:divBdr>
                    <w:top w:val="none" w:sz="0" w:space="0" w:color="auto"/>
                    <w:left w:val="none" w:sz="0" w:space="0" w:color="auto"/>
                    <w:bottom w:val="none" w:sz="0" w:space="0" w:color="auto"/>
                    <w:right w:val="none" w:sz="0" w:space="0" w:color="auto"/>
                  </w:divBdr>
                </w:div>
              </w:divsChild>
            </w:div>
            <w:div w:id="455180031">
              <w:marLeft w:val="0"/>
              <w:marRight w:val="0"/>
              <w:marTop w:val="0"/>
              <w:marBottom w:val="0"/>
              <w:divBdr>
                <w:top w:val="none" w:sz="0" w:space="0" w:color="auto"/>
                <w:left w:val="none" w:sz="0" w:space="0" w:color="auto"/>
                <w:bottom w:val="none" w:sz="0" w:space="0" w:color="auto"/>
                <w:right w:val="none" w:sz="0" w:space="0" w:color="auto"/>
              </w:divBdr>
              <w:divsChild>
                <w:div w:id="96392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89752">
          <w:marLeft w:val="0"/>
          <w:marRight w:val="0"/>
          <w:marTop w:val="0"/>
          <w:marBottom w:val="0"/>
          <w:divBdr>
            <w:top w:val="none" w:sz="0" w:space="0" w:color="auto"/>
            <w:left w:val="none" w:sz="0" w:space="0" w:color="auto"/>
            <w:bottom w:val="none" w:sz="0" w:space="0" w:color="auto"/>
            <w:right w:val="none" w:sz="0" w:space="0" w:color="auto"/>
          </w:divBdr>
          <w:divsChild>
            <w:div w:id="1351444712">
              <w:marLeft w:val="0"/>
              <w:marRight w:val="0"/>
              <w:marTop w:val="0"/>
              <w:marBottom w:val="0"/>
              <w:divBdr>
                <w:top w:val="none" w:sz="0" w:space="0" w:color="auto"/>
                <w:left w:val="none" w:sz="0" w:space="0" w:color="auto"/>
                <w:bottom w:val="none" w:sz="0" w:space="0" w:color="auto"/>
                <w:right w:val="none" w:sz="0" w:space="0" w:color="auto"/>
              </w:divBdr>
              <w:divsChild>
                <w:div w:id="215557162">
                  <w:marLeft w:val="0"/>
                  <w:marRight w:val="0"/>
                  <w:marTop w:val="0"/>
                  <w:marBottom w:val="0"/>
                  <w:divBdr>
                    <w:top w:val="none" w:sz="0" w:space="0" w:color="auto"/>
                    <w:left w:val="none" w:sz="0" w:space="0" w:color="auto"/>
                    <w:bottom w:val="none" w:sz="0" w:space="0" w:color="auto"/>
                    <w:right w:val="none" w:sz="0" w:space="0" w:color="auto"/>
                  </w:divBdr>
                </w:div>
                <w:div w:id="164685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263906">
      <w:bodyDiv w:val="1"/>
      <w:marLeft w:val="0"/>
      <w:marRight w:val="0"/>
      <w:marTop w:val="0"/>
      <w:marBottom w:val="0"/>
      <w:divBdr>
        <w:top w:val="none" w:sz="0" w:space="0" w:color="auto"/>
        <w:left w:val="none" w:sz="0" w:space="0" w:color="auto"/>
        <w:bottom w:val="none" w:sz="0" w:space="0" w:color="auto"/>
        <w:right w:val="none" w:sz="0" w:space="0" w:color="auto"/>
      </w:divBdr>
      <w:divsChild>
        <w:div w:id="1473867256">
          <w:marLeft w:val="0"/>
          <w:marRight w:val="0"/>
          <w:marTop w:val="0"/>
          <w:marBottom w:val="0"/>
          <w:divBdr>
            <w:top w:val="none" w:sz="0" w:space="0" w:color="auto"/>
            <w:left w:val="none" w:sz="0" w:space="0" w:color="auto"/>
            <w:bottom w:val="none" w:sz="0" w:space="0" w:color="auto"/>
            <w:right w:val="none" w:sz="0" w:space="0" w:color="auto"/>
          </w:divBdr>
          <w:divsChild>
            <w:div w:id="1968661056">
              <w:marLeft w:val="0"/>
              <w:marRight w:val="0"/>
              <w:marTop w:val="0"/>
              <w:marBottom w:val="0"/>
              <w:divBdr>
                <w:top w:val="none" w:sz="0" w:space="0" w:color="auto"/>
                <w:left w:val="none" w:sz="0" w:space="0" w:color="auto"/>
                <w:bottom w:val="none" w:sz="0" w:space="0" w:color="auto"/>
                <w:right w:val="none" w:sz="0" w:space="0" w:color="auto"/>
              </w:divBdr>
              <w:divsChild>
                <w:div w:id="1956402048">
                  <w:marLeft w:val="0"/>
                  <w:marRight w:val="0"/>
                  <w:marTop w:val="0"/>
                  <w:marBottom w:val="0"/>
                  <w:divBdr>
                    <w:top w:val="none" w:sz="0" w:space="0" w:color="auto"/>
                    <w:left w:val="none" w:sz="0" w:space="0" w:color="auto"/>
                    <w:bottom w:val="none" w:sz="0" w:space="0" w:color="auto"/>
                    <w:right w:val="none" w:sz="0" w:space="0" w:color="auto"/>
                  </w:divBdr>
                </w:div>
              </w:divsChild>
            </w:div>
            <w:div w:id="2136899145">
              <w:marLeft w:val="0"/>
              <w:marRight w:val="0"/>
              <w:marTop w:val="0"/>
              <w:marBottom w:val="0"/>
              <w:divBdr>
                <w:top w:val="none" w:sz="0" w:space="0" w:color="auto"/>
                <w:left w:val="none" w:sz="0" w:space="0" w:color="auto"/>
                <w:bottom w:val="none" w:sz="0" w:space="0" w:color="auto"/>
                <w:right w:val="none" w:sz="0" w:space="0" w:color="auto"/>
              </w:divBdr>
              <w:divsChild>
                <w:div w:id="164458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60099">
          <w:marLeft w:val="0"/>
          <w:marRight w:val="0"/>
          <w:marTop w:val="0"/>
          <w:marBottom w:val="0"/>
          <w:divBdr>
            <w:top w:val="none" w:sz="0" w:space="0" w:color="auto"/>
            <w:left w:val="none" w:sz="0" w:space="0" w:color="auto"/>
            <w:bottom w:val="none" w:sz="0" w:space="0" w:color="auto"/>
            <w:right w:val="none" w:sz="0" w:space="0" w:color="auto"/>
          </w:divBdr>
          <w:divsChild>
            <w:div w:id="106585037">
              <w:marLeft w:val="0"/>
              <w:marRight w:val="0"/>
              <w:marTop w:val="0"/>
              <w:marBottom w:val="0"/>
              <w:divBdr>
                <w:top w:val="none" w:sz="0" w:space="0" w:color="auto"/>
                <w:left w:val="none" w:sz="0" w:space="0" w:color="auto"/>
                <w:bottom w:val="none" w:sz="0" w:space="0" w:color="auto"/>
                <w:right w:val="none" w:sz="0" w:space="0" w:color="auto"/>
              </w:divBdr>
              <w:divsChild>
                <w:div w:id="1991443294">
                  <w:marLeft w:val="0"/>
                  <w:marRight w:val="0"/>
                  <w:marTop w:val="0"/>
                  <w:marBottom w:val="0"/>
                  <w:divBdr>
                    <w:top w:val="none" w:sz="0" w:space="0" w:color="auto"/>
                    <w:left w:val="none" w:sz="0" w:space="0" w:color="auto"/>
                    <w:bottom w:val="none" w:sz="0" w:space="0" w:color="auto"/>
                    <w:right w:val="none" w:sz="0" w:space="0" w:color="auto"/>
                  </w:divBdr>
                </w:div>
                <w:div w:id="1051728778">
                  <w:marLeft w:val="0"/>
                  <w:marRight w:val="0"/>
                  <w:marTop w:val="0"/>
                  <w:marBottom w:val="0"/>
                  <w:divBdr>
                    <w:top w:val="none" w:sz="0" w:space="0" w:color="auto"/>
                    <w:left w:val="none" w:sz="0" w:space="0" w:color="auto"/>
                    <w:bottom w:val="none" w:sz="0" w:space="0" w:color="auto"/>
                    <w:right w:val="none" w:sz="0" w:space="0" w:color="auto"/>
                  </w:divBdr>
                </w:div>
              </w:divsChild>
            </w:div>
            <w:div w:id="1000233662">
              <w:marLeft w:val="0"/>
              <w:marRight w:val="0"/>
              <w:marTop w:val="0"/>
              <w:marBottom w:val="0"/>
              <w:divBdr>
                <w:top w:val="none" w:sz="0" w:space="0" w:color="auto"/>
                <w:left w:val="none" w:sz="0" w:space="0" w:color="auto"/>
                <w:bottom w:val="none" w:sz="0" w:space="0" w:color="auto"/>
                <w:right w:val="none" w:sz="0" w:space="0" w:color="auto"/>
              </w:divBdr>
              <w:divsChild>
                <w:div w:id="1758624851">
                  <w:marLeft w:val="0"/>
                  <w:marRight w:val="0"/>
                  <w:marTop w:val="0"/>
                  <w:marBottom w:val="0"/>
                  <w:divBdr>
                    <w:top w:val="none" w:sz="0" w:space="0" w:color="auto"/>
                    <w:left w:val="none" w:sz="0" w:space="0" w:color="auto"/>
                    <w:bottom w:val="none" w:sz="0" w:space="0" w:color="auto"/>
                    <w:right w:val="none" w:sz="0" w:space="0" w:color="auto"/>
                  </w:divBdr>
                </w:div>
              </w:divsChild>
            </w:div>
            <w:div w:id="596056202">
              <w:marLeft w:val="0"/>
              <w:marRight w:val="0"/>
              <w:marTop w:val="0"/>
              <w:marBottom w:val="0"/>
              <w:divBdr>
                <w:top w:val="none" w:sz="0" w:space="0" w:color="auto"/>
                <w:left w:val="none" w:sz="0" w:space="0" w:color="auto"/>
                <w:bottom w:val="none" w:sz="0" w:space="0" w:color="auto"/>
                <w:right w:val="none" w:sz="0" w:space="0" w:color="auto"/>
              </w:divBdr>
              <w:divsChild>
                <w:div w:id="1286080637">
                  <w:marLeft w:val="0"/>
                  <w:marRight w:val="0"/>
                  <w:marTop w:val="0"/>
                  <w:marBottom w:val="0"/>
                  <w:divBdr>
                    <w:top w:val="none" w:sz="0" w:space="0" w:color="auto"/>
                    <w:left w:val="none" w:sz="0" w:space="0" w:color="auto"/>
                    <w:bottom w:val="none" w:sz="0" w:space="0" w:color="auto"/>
                    <w:right w:val="none" w:sz="0" w:space="0" w:color="auto"/>
                  </w:divBdr>
                </w:div>
              </w:divsChild>
            </w:div>
            <w:div w:id="965311692">
              <w:marLeft w:val="0"/>
              <w:marRight w:val="0"/>
              <w:marTop w:val="0"/>
              <w:marBottom w:val="0"/>
              <w:divBdr>
                <w:top w:val="none" w:sz="0" w:space="0" w:color="auto"/>
                <w:left w:val="none" w:sz="0" w:space="0" w:color="auto"/>
                <w:bottom w:val="none" w:sz="0" w:space="0" w:color="auto"/>
                <w:right w:val="none" w:sz="0" w:space="0" w:color="auto"/>
              </w:divBdr>
              <w:divsChild>
                <w:div w:id="165930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80403">
          <w:marLeft w:val="0"/>
          <w:marRight w:val="0"/>
          <w:marTop w:val="0"/>
          <w:marBottom w:val="0"/>
          <w:divBdr>
            <w:top w:val="none" w:sz="0" w:space="0" w:color="auto"/>
            <w:left w:val="none" w:sz="0" w:space="0" w:color="auto"/>
            <w:bottom w:val="none" w:sz="0" w:space="0" w:color="auto"/>
            <w:right w:val="none" w:sz="0" w:space="0" w:color="auto"/>
          </w:divBdr>
          <w:divsChild>
            <w:div w:id="1029917926">
              <w:marLeft w:val="0"/>
              <w:marRight w:val="0"/>
              <w:marTop w:val="0"/>
              <w:marBottom w:val="0"/>
              <w:divBdr>
                <w:top w:val="none" w:sz="0" w:space="0" w:color="auto"/>
                <w:left w:val="none" w:sz="0" w:space="0" w:color="auto"/>
                <w:bottom w:val="none" w:sz="0" w:space="0" w:color="auto"/>
                <w:right w:val="none" w:sz="0" w:space="0" w:color="auto"/>
              </w:divBdr>
              <w:divsChild>
                <w:div w:id="1867056400">
                  <w:marLeft w:val="0"/>
                  <w:marRight w:val="0"/>
                  <w:marTop w:val="0"/>
                  <w:marBottom w:val="0"/>
                  <w:divBdr>
                    <w:top w:val="none" w:sz="0" w:space="0" w:color="auto"/>
                    <w:left w:val="none" w:sz="0" w:space="0" w:color="auto"/>
                    <w:bottom w:val="none" w:sz="0" w:space="0" w:color="auto"/>
                    <w:right w:val="none" w:sz="0" w:space="0" w:color="auto"/>
                  </w:divBdr>
                </w:div>
              </w:divsChild>
            </w:div>
            <w:div w:id="897013697">
              <w:marLeft w:val="0"/>
              <w:marRight w:val="0"/>
              <w:marTop w:val="0"/>
              <w:marBottom w:val="0"/>
              <w:divBdr>
                <w:top w:val="none" w:sz="0" w:space="0" w:color="auto"/>
                <w:left w:val="none" w:sz="0" w:space="0" w:color="auto"/>
                <w:bottom w:val="none" w:sz="0" w:space="0" w:color="auto"/>
                <w:right w:val="none" w:sz="0" w:space="0" w:color="auto"/>
              </w:divBdr>
              <w:divsChild>
                <w:div w:id="93698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944347">
          <w:marLeft w:val="0"/>
          <w:marRight w:val="0"/>
          <w:marTop w:val="0"/>
          <w:marBottom w:val="0"/>
          <w:divBdr>
            <w:top w:val="none" w:sz="0" w:space="0" w:color="auto"/>
            <w:left w:val="none" w:sz="0" w:space="0" w:color="auto"/>
            <w:bottom w:val="none" w:sz="0" w:space="0" w:color="auto"/>
            <w:right w:val="none" w:sz="0" w:space="0" w:color="auto"/>
          </w:divBdr>
          <w:divsChild>
            <w:div w:id="156500522">
              <w:marLeft w:val="0"/>
              <w:marRight w:val="0"/>
              <w:marTop w:val="0"/>
              <w:marBottom w:val="0"/>
              <w:divBdr>
                <w:top w:val="none" w:sz="0" w:space="0" w:color="auto"/>
                <w:left w:val="none" w:sz="0" w:space="0" w:color="auto"/>
                <w:bottom w:val="none" w:sz="0" w:space="0" w:color="auto"/>
                <w:right w:val="none" w:sz="0" w:space="0" w:color="auto"/>
              </w:divBdr>
              <w:divsChild>
                <w:div w:id="287860670">
                  <w:marLeft w:val="0"/>
                  <w:marRight w:val="0"/>
                  <w:marTop w:val="0"/>
                  <w:marBottom w:val="0"/>
                  <w:divBdr>
                    <w:top w:val="none" w:sz="0" w:space="0" w:color="auto"/>
                    <w:left w:val="none" w:sz="0" w:space="0" w:color="auto"/>
                    <w:bottom w:val="none" w:sz="0" w:space="0" w:color="auto"/>
                    <w:right w:val="none" w:sz="0" w:space="0" w:color="auto"/>
                  </w:divBdr>
                </w:div>
              </w:divsChild>
            </w:div>
            <w:div w:id="1085802868">
              <w:marLeft w:val="0"/>
              <w:marRight w:val="0"/>
              <w:marTop w:val="0"/>
              <w:marBottom w:val="0"/>
              <w:divBdr>
                <w:top w:val="none" w:sz="0" w:space="0" w:color="auto"/>
                <w:left w:val="none" w:sz="0" w:space="0" w:color="auto"/>
                <w:bottom w:val="none" w:sz="0" w:space="0" w:color="auto"/>
                <w:right w:val="none" w:sz="0" w:space="0" w:color="auto"/>
              </w:divBdr>
              <w:divsChild>
                <w:div w:id="28681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91642">
          <w:marLeft w:val="0"/>
          <w:marRight w:val="0"/>
          <w:marTop w:val="0"/>
          <w:marBottom w:val="0"/>
          <w:divBdr>
            <w:top w:val="none" w:sz="0" w:space="0" w:color="auto"/>
            <w:left w:val="none" w:sz="0" w:space="0" w:color="auto"/>
            <w:bottom w:val="none" w:sz="0" w:space="0" w:color="auto"/>
            <w:right w:val="none" w:sz="0" w:space="0" w:color="auto"/>
          </w:divBdr>
          <w:divsChild>
            <w:div w:id="95290288">
              <w:marLeft w:val="0"/>
              <w:marRight w:val="0"/>
              <w:marTop w:val="0"/>
              <w:marBottom w:val="0"/>
              <w:divBdr>
                <w:top w:val="none" w:sz="0" w:space="0" w:color="auto"/>
                <w:left w:val="none" w:sz="0" w:space="0" w:color="auto"/>
                <w:bottom w:val="none" w:sz="0" w:space="0" w:color="auto"/>
                <w:right w:val="none" w:sz="0" w:space="0" w:color="auto"/>
              </w:divBdr>
              <w:divsChild>
                <w:div w:id="322122726">
                  <w:marLeft w:val="0"/>
                  <w:marRight w:val="0"/>
                  <w:marTop w:val="0"/>
                  <w:marBottom w:val="0"/>
                  <w:divBdr>
                    <w:top w:val="none" w:sz="0" w:space="0" w:color="auto"/>
                    <w:left w:val="none" w:sz="0" w:space="0" w:color="auto"/>
                    <w:bottom w:val="none" w:sz="0" w:space="0" w:color="auto"/>
                    <w:right w:val="none" w:sz="0" w:space="0" w:color="auto"/>
                  </w:divBdr>
                </w:div>
              </w:divsChild>
            </w:div>
            <w:div w:id="855466288">
              <w:marLeft w:val="0"/>
              <w:marRight w:val="0"/>
              <w:marTop w:val="0"/>
              <w:marBottom w:val="0"/>
              <w:divBdr>
                <w:top w:val="none" w:sz="0" w:space="0" w:color="auto"/>
                <w:left w:val="none" w:sz="0" w:space="0" w:color="auto"/>
                <w:bottom w:val="none" w:sz="0" w:space="0" w:color="auto"/>
                <w:right w:val="none" w:sz="0" w:space="0" w:color="auto"/>
              </w:divBdr>
              <w:divsChild>
                <w:div w:id="3848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89839">
          <w:marLeft w:val="0"/>
          <w:marRight w:val="0"/>
          <w:marTop w:val="0"/>
          <w:marBottom w:val="0"/>
          <w:divBdr>
            <w:top w:val="none" w:sz="0" w:space="0" w:color="auto"/>
            <w:left w:val="none" w:sz="0" w:space="0" w:color="auto"/>
            <w:bottom w:val="none" w:sz="0" w:space="0" w:color="auto"/>
            <w:right w:val="none" w:sz="0" w:space="0" w:color="auto"/>
          </w:divBdr>
          <w:divsChild>
            <w:div w:id="1587106106">
              <w:marLeft w:val="0"/>
              <w:marRight w:val="0"/>
              <w:marTop w:val="0"/>
              <w:marBottom w:val="0"/>
              <w:divBdr>
                <w:top w:val="none" w:sz="0" w:space="0" w:color="auto"/>
                <w:left w:val="none" w:sz="0" w:space="0" w:color="auto"/>
                <w:bottom w:val="none" w:sz="0" w:space="0" w:color="auto"/>
                <w:right w:val="none" w:sz="0" w:space="0" w:color="auto"/>
              </w:divBdr>
              <w:divsChild>
                <w:div w:id="1536889239">
                  <w:marLeft w:val="0"/>
                  <w:marRight w:val="0"/>
                  <w:marTop w:val="0"/>
                  <w:marBottom w:val="0"/>
                  <w:divBdr>
                    <w:top w:val="none" w:sz="0" w:space="0" w:color="auto"/>
                    <w:left w:val="none" w:sz="0" w:space="0" w:color="auto"/>
                    <w:bottom w:val="none" w:sz="0" w:space="0" w:color="auto"/>
                    <w:right w:val="none" w:sz="0" w:space="0" w:color="auto"/>
                  </w:divBdr>
                </w:div>
              </w:divsChild>
            </w:div>
            <w:div w:id="1255432487">
              <w:marLeft w:val="0"/>
              <w:marRight w:val="0"/>
              <w:marTop w:val="0"/>
              <w:marBottom w:val="0"/>
              <w:divBdr>
                <w:top w:val="none" w:sz="0" w:space="0" w:color="auto"/>
                <w:left w:val="none" w:sz="0" w:space="0" w:color="auto"/>
                <w:bottom w:val="none" w:sz="0" w:space="0" w:color="auto"/>
                <w:right w:val="none" w:sz="0" w:space="0" w:color="auto"/>
              </w:divBdr>
              <w:divsChild>
                <w:div w:id="109223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62988">
          <w:marLeft w:val="0"/>
          <w:marRight w:val="0"/>
          <w:marTop w:val="0"/>
          <w:marBottom w:val="0"/>
          <w:divBdr>
            <w:top w:val="none" w:sz="0" w:space="0" w:color="auto"/>
            <w:left w:val="none" w:sz="0" w:space="0" w:color="auto"/>
            <w:bottom w:val="none" w:sz="0" w:space="0" w:color="auto"/>
            <w:right w:val="none" w:sz="0" w:space="0" w:color="auto"/>
          </w:divBdr>
          <w:divsChild>
            <w:div w:id="1867056265">
              <w:marLeft w:val="0"/>
              <w:marRight w:val="0"/>
              <w:marTop w:val="0"/>
              <w:marBottom w:val="0"/>
              <w:divBdr>
                <w:top w:val="none" w:sz="0" w:space="0" w:color="auto"/>
                <w:left w:val="none" w:sz="0" w:space="0" w:color="auto"/>
                <w:bottom w:val="none" w:sz="0" w:space="0" w:color="auto"/>
                <w:right w:val="none" w:sz="0" w:space="0" w:color="auto"/>
              </w:divBdr>
              <w:divsChild>
                <w:div w:id="1678653080">
                  <w:marLeft w:val="0"/>
                  <w:marRight w:val="0"/>
                  <w:marTop w:val="0"/>
                  <w:marBottom w:val="0"/>
                  <w:divBdr>
                    <w:top w:val="none" w:sz="0" w:space="0" w:color="auto"/>
                    <w:left w:val="none" w:sz="0" w:space="0" w:color="auto"/>
                    <w:bottom w:val="none" w:sz="0" w:space="0" w:color="auto"/>
                    <w:right w:val="none" w:sz="0" w:space="0" w:color="auto"/>
                  </w:divBdr>
                </w:div>
              </w:divsChild>
            </w:div>
            <w:div w:id="1518619095">
              <w:marLeft w:val="0"/>
              <w:marRight w:val="0"/>
              <w:marTop w:val="0"/>
              <w:marBottom w:val="0"/>
              <w:divBdr>
                <w:top w:val="none" w:sz="0" w:space="0" w:color="auto"/>
                <w:left w:val="none" w:sz="0" w:space="0" w:color="auto"/>
                <w:bottom w:val="none" w:sz="0" w:space="0" w:color="auto"/>
                <w:right w:val="none" w:sz="0" w:space="0" w:color="auto"/>
              </w:divBdr>
              <w:divsChild>
                <w:div w:id="81991478">
                  <w:marLeft w:val="0"/>
                  <w:marRight w:val="0"/>
                  <w:marTop w:val="0"/>
                  <w:marBottom w:val="0"/>
                  <w:divBdr>
                    <w:top w:val="none" w:sz="0" w:space="0" w:color="auto"/>
                    <w:left w:val="none" w:sz="0" w:space="0" w:color="auto"/>
                    <w:bottom w:val="none" w:sz="0" w:space="0" w:color="auto"/>
                    <w:right w:val="none" w:sz="0" w:space="0" w:color="auto"/>
                  </w:divBdr>
                </w:div>
                <w:div w:id="1888373864">
                  <w:marLeft w:val="0"/>
                  <w:marRight w:val="0"/>
                  <w:marTop w:val="0"/>
                  <w:marBottom w:val="0"/>
                  <w:divBdr>
                    <w:top w:val="none" w:sz="0" w:space="0" w:color="auto"/>
                    <w:left w:val="none" w:sz="0" w:space="0" w:color="auto"/>
                    <w:bottom w:val="none" w:sz="0" w:space="0" w:color="auto"/>
                    <w:right w:val="none" w:sz="0" w:space="0" w:color="auto"/>
                  </w:divBdr>
                </w:div>
              </w:divsChild>
            </w:div>
            <w:div w:id="970285845">
              <w:marLeft w:val="0"/>
              <w:marRight w:val="0"/>
              <w:marTop w:val="0"/>
              <w:marBottom w:val="0"/>
              <w:divBdr>
                <w:top w:val="none" w:sz="0" w:space="0" w:color="auto"/>
                <w:left w:val="none" w:sz="0" w:space="0" w:color="auto"/>
                <w:bottom w:val="none" w:sz="0" w:space="0" w:color="auto"/>
                <w:right w:val="none" w:sz="0" w:space="0" w:color="auto"/>
              </w:divBdr>
              <w:divsChild>
                <w:div w:id="88628098">
                  <w:marLeft w:val="0"/>
                  <w:marRight w:val="0"/>
                  <w:marTop w:val="0"/>
                  <w:marBottom w:val="0"/>
                  <w:divBdr>
                    <w:top w:val="none" w:sz="0" w:space="0" w:color="auto"/>
                    <w:left w:val="none" w:sz="0" w:space="0" w:color="auto"/>
                    <w:bottom w:val="none" w:sz="0" w:space="0" w:color="auto"/>
                    <w:right w:val="none" w:sz="0" w:space="0" w:color="auto"/>
                  </w:divBdr>
                </w:div>
              </w:divsChild>
            </w:div>
            <w:div w:id="730345705">
              <w:marLeft w:val="0"/>
              <w:marRight w:val="0"/>
              <w:marTop w:val="0"/>
              <w:marBottom w:val="0"/>
              <w:divBdr>
                <w:top w:val="none" w:sz="0" w:space="0" w:color="auto"/>
                <w:left w:val="none" w:sz="0" w:space="0" w:color="auto"/>
                <w:bottom w:val="none" w:sz="0" w:space="0" w:color="auto"/>
                <w:right w:val="none" w:sz="0" w:space="0" w:color="auto"/>
              </w:divBdr>
              <w:divsChild>
                <w:div w:id="134690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50637">
          <w:marLeft w:val="0"/>
          <w:marRight w:val="0"/>
          <w:marTop w:val="0"/>
          <w:marBottom w:val="0"/>
          <w:divBdr>
            <w:top w:val="none" w:sz="0" w:space="0" w:color="auto"/>
            <w:left w:val="none" w:sz="0" w:space="0" w:color="auto"/>
            <w:bottom w:val="none" w:sz="0" w:space="0" w:color="auto"/>
            <w:right w:val="none" w:sz="0" w:space="0" w:color="auto"/>
          </w:divBdr>
          <w:divsChild>
            <w:div w:id="1689718079">
              <w:marLeft w:val="0"/>
              <w:marRight w:val="0"/>
              <w:marTop w:val="0"/>
              <w:marBottom w:val="0"/>
              <w:divBdr>
                <w:top w:val="none" w:sz="0" w:space="0" w:color="auto"/>
                <w:left w:val="none" w:sz="0" w:space="0" w:color="auto"/>
                <w:bottom w:val="none" w:sz="0" w:space="0" w:color="auto"/>
                <w:right w:val="none" w:sz="0" w:space="0" w:color="auto"/>
              </w:divBdr>
              <w:divsChild>
                <w:div w:id="336348851">
                  <w:marLeft w:val="0"/>
                  <w:marRight w:val="0"/>
                  <w:marTop w:val="0"/>
                  <w:marBottom w:val="0"/>
                  <w:divBdr>
                    <w:top w:val="none" w:sz="0" w:space="0" w:color="auto"/>
                    <w:left w:val="none" w:sz="0" w:space="0" w:color="auto"/>
                    <w:bottom w:val="none" w:sz="0" w:space="0" w:color="auto"/>
                    <w:right w:val="none" w:sz="0" w:space="0" w:color="auto"/>
                  </w:divBdr>
                </w:div>
              </w:divsChild>
            </w:div>
            <w:div w:id="1352292596">
              <w:marLeft w:val="0"/>
              <w:marRight w:val="0"/>
              <w:marTop w:val="0"/>
              <w:marBottom w:val="0"/>
              <w:divBdr>
                <w:top w:val="none" w:sz="0" w:space="0" w:color="auto"/>
                <w:left w:val="none" w:sz="0" w:space="0" w:color="auto"/>
                <w:bottom w:val="none" w:sz="0" w:space="0" w:color="auto"/>
                <w:right w:val="none" w:sz="0" w:space="0" w:color="auto"/>
              </w:divBdr>
              <w:divsChild>
                <w:div w:id="64208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037300">
          <w:marLeft w:val="0"/>
          <w:marRight w:val="0"/>
          <w:marTop w:val="0"/>
          <w:marBottom w:val="0"/>
          <w:divBdr>
            <w:top w:val="none" w:sz="0" w:space="0" w:color="auto"/>
            <w:left w:val="none" w:sz="0" w:space="0" w:color="auto"/>
            <w:bottom w:val="none" w:sz="0" w:space="0" w:color="auto"/>
            <w:right w:val="none" w:sz="0" w:space="0" w:color="auto"/>
          </w:divBdr>
          <w:divsChild>
            <w:div w:id="1316301840">
              <w:marLeft w:val="0"/>
              <w:marRight w:val="0"/>
              <w:marTop w:val="0"/>
              <w:marBottom w:val="0"/>
              <w:divBdr>
                <w:top w:val="none" w:sz="0" w:space="0" w:color="auto"/>
                <w:left w:val="none" w:sz="0" w:space="0" w:color="auto"/>
                <w:bottom w:val="none" w:sz="0" w:space="0" w:color="auto"/>
                <w:right w:val="none" w:sz="0" w:space="0" w:color="auto"/>
              </w:divBdr>
              <w:divsChild>
                <w:div w:id="18956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039243">
      <w:bodyDiv w:val="1"/>
      <w:marLeft w:val="0"/>
      <w:marRight w:val="0"/>
      <w:marTop w:val="0"/>
      <w:marBottom w:val="0"/>
      <w:divBdr>
        <w:top w:val="none" w:sz="0" w:space="0" w:color="auto"/>
        <w:left w:val="none" w:sz="0" w:space="0" w:color="auto"/>
        <w:bottom w:val="none" w:sz="0" w:space="0" w:color="auto"/>
        <w:right w:val="none" w:sz="0" w:space="0" w:color="auto"/>
      </w:divBdr>
      <w:divsChild>
        <w:div w:id="1338385912">
          <w:marLeft w:val="0"/>
          <w:marRight w:val="0"/>
          <w:marTop w:val="0"/>
          <w:marBottom w:val="0"/>
          <w:divBdr>
            <w:top w:val="none" w:sz="0" w:space="0" w:color="auto"/>
            <w:left w:val="none" w:sz="0" w:space="0" w:color="auto"/>
            <w:bottom w:val="none" w:sz="0" w:space="0" w:color="auto"/>
            <w:right w:val="none" w:sz="0" w:space="0" w:color="auto"/>
          </w:divBdr>
          <w:divsChild>
            <w:div w:id="1435638801">
              <w:marLeft w:val="0"/>
              <w:marRight w:val="0"/>
              <w:marTop w:val="0"/>
              <w:marBottom w:val="0"/>
              <w:divBdr>
                <w:top w:val="none" w:sz="0" w:space="0" w:color="auto"/>
                <w:left w:val="none" w:sz="0" w:space="0" w:color="auto"/>
                <w:bottom w:val="none" w:sz="0" w:space="0" w:color="auto"/>
                <w:right w:val="none" w:sz="0" w:space="0" w:color="auto"/>
              </w:divBdr>
              <w:divsChild>
                <w:div w:id="2629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910377">
      <w:bodyDiv w:val="1"/>
      <w:marLeft w:val="0"/>
      <w:marRight w:val="0"/>
      <w:marTop w:val="0"/>
      <w:marBottom w:val="0"/>
      <w:divBdr>
        <w:top w:val="none" w:sz="0" w:space="0" w:color="auto"/>
        <w:left w:val="none" w:sz="0" w:space="0" w:color="auto"/>
        <w:bottom w:val="none" w:sz="0" w:space="0" w:color="auto"/>
        <w:right w:val="none" w:sz="0" w:space="0" w:color="auto"/>
      </w:divBdr>
    </w:div>
    <w:div w:id="958268036">
      <w:bodyDiv w:val="1"/>
      <w:marLeft w:val="0"/>
      <w:marRight w:val="0"/>
      <w:marTop w:val="0"/>
      <w:marBottom w:val="0"/>
      <w:divBdr>
        <w:top w:val="none" w:sz="0" w:space="0" w:color="auto"/>
        <w:left w:val="none" w:sz="0" w:space="0" w:color="auto"/>
        <w:bottom w:val="none" w:sz="0" w:space="0" w:color="auto"/>
        <w:right w:val="none" w:sz="0" w:space="0" w:color="auto"/>
      </w:divBdr>
      <w:divsChild>
        <w:div w:id="1108770780">
          <w:marLeft w:val="0"/>
          <w:marRight w:val="0"/>
          <w:marTop w:val="0"/>
          <w:marBottom w:val="0"/>
          <w:divBdr>
            <w:top w:val="none" w:sz="0" w:space="0" w:color="auto"/>
            <w:left w:val="none" w:sz="0" w:space="0" w:color="auto"/>
            <w:bottom w:val="none" w:sz="0" w:space="0" w:color="auto"/>
            <w:right w:val="none" w:sz="0" w:space="0" w:color="auto"/>
          </w:divBdr>
          <w:divsChild>
            <w:div w:id="481392580">
              <w:marLeft w:val="0"/>
              <w:marRight w:val="0"/>
              <w:marTop w:val="0"/>
              <w:marBottom w:val="0"/>
              <w:divBdr>
                <w:top w:val="none" w:sz="0" w:space="0" w:color="auto"/>
                <w:left w:val="none" w:sz="0" w:space="0" w:color="auto"/>
                <w:bottom w:val="none" w:sz="0" w:space="0" w:color="auto"/>
                <w:right w:val="none" w:sz="0" w:space="0" w:color="auto"/>
              </w:divBdr>
              <w:divsChild>
                <w:div w:id="18136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200713">
      <w:bodyDiv w:val="1"/>
      <w:marLeft w:val="0"/>
      <w:marRight w:val="0"/>
      <w:marTop w:val="0"/>
      <w:marBottom w:val="0"/>
      <w:divBdr>
        <w:top w:val="none" w:sz="0" w:space="0" w:color="auto"/>
        <w:left w:val="none" w:sz="0" w:space="0" w:color="auto"/>
        <w:bottom w:val="none" w:sz="0" w:space="0" w:color="auto"/>
        <w:right w:val="none" w:sz="0" w:space="0" w:color="auto"/>
      </w:divBdr>
      <w:divsChild>
        <w:div w:id="1211914704">
          <w:marLeft w:val="0"/>
          <w:marRight w:val="0"/>
          <w:marTop w:val="0"/>
          <w:marBottom w:val="0"/>
          <w:divBdr>
            <w:top w:val="none" w:sz="0" w:space="0" w:color="auto"/>
            <w:left w:val="none" w:sz="0" w:space="0" w:color="auto"/>
            <w:bottom w:val="none" w:sz="0" w:space="0" w:color="auto"/>
            <w:right w:val="none" w:sz="0" w:space="0" w:color="auto"/>
          </w:divBdr>
          <w:divsChild>
            <w:div w:id="621615849">
              <w:marLeft w:val="0"/>
              <w:marRight w:val="0"/>
              <w:marTop w:val="0"/>
              <w:marBottom w:val="0"/>
              <w:divBdr>
                <w:top w:val="none" w:sz="0" w:space="0" w:color="auto"/>
                <w:left w:val="none" w:sz="0" w:space="0" w:color="auto"/>
                <w:bottom w:val="none" w:sz="0" w:space="0" w:color="auto"/>
                <w:right w:val="none" w:sz="0" w:space="0" w:color="auto"/>
              </w:divBdr>
              <w:divsChild>
                <w:div w:id="1747411802">
                  <w:marLeft w:val="0"/>
                  <w:marRight w:val="0"/>
                  <w:marTop w:val="0"/>
                  <w:marBottom w:val="0"/>
                  <w:divBdr>
                    <w:top w:val="none" w:sz="0" w:space="0" w:color="auto"/>
                    <w:left w:val="none" w:sz="0" w:space="0" w:color="auto"/>
                    <w:bottom w:val="none" w:sz="0" w:space="0" w:color="auto"/>
                    <w:right w:val="none" w:sz="0" w:space="0" w:color="auto"/>
                  </w:divBdr>
                </w:div>
              </w:divsChild>
            </w:div>
            <w:div w:id="1511412987">
              <w:marLeft w:val="0"/>
              <w:marRight w:val="0"/>
              <w:marTop w:val="0"/>
              <w:marBottom w:val="0"/>
              <w:divBdr>
                <w:top w:val="none" w:sz="0" w:space="0" w:color="auto"/>
                <w:left w:val="none" w:sz="0" w:space="0" w:color="auto"/>
                <w:bottom w:val="none" w:sz="0" w:space="0" w:color="auto"/>
                <w:right w:val="none" w:sz="0" w:space="0" w:color="auto"/>
              </w:divBdr>
              <w:divsChild>
                <w:div w:id="171129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92114">
          <w:marLeft w:val="0"/>
          <w:marRight w:val="0"/>
          <w:marTop w:val="0"/>
          <w:marBottom w:val="0"/>
          <w:divBdr>
            <w:top w:val="none" w:sz="0" w:space="0" w:color="auto"/>
            <w:left w:val="none" w:sz="0" w:space="0" w:color="auto"/>
            <w:bottom w:val="none" w:sz="0" w:space="0" w:color="auto"/>
            <w:right w:val="none" w:sz="0" w:space="0" w:color="auto"/>
          </w:divBdr>
          <w:divsChild>
            <w:div w:id="1847011877">
              <w:marLeft w:val="0"/>
              <w:marRight w:val="0"/>
              <w:marTop w:val="0"/>
              <w:marBottom w:val="0"/>
              <w:divBdr>
                <w:top w:val="none" w:sz="0" w:space="0" w:color="auto"/>
                <w:left w:val="none" w:sz="0" w:space="0" w:color="auto"/>
                <w:bottom w:val="none" w:sz="0" w:space="0" w:color="auto"/>
                <w:right w:val="none" w:sz="0" w:space="0" w:color="auto"/>
              </w:divBdr>
              <w:divsChild>
                <w:div w:id="532154268">
                  <w:marLeft w:val="0"/>
                  <w:marRight w:val="0"/>
                  <w:marTop w:val="0"/>
                  <w:marBottom w:val="0"/>
                  <w:divBdr>
                    <w:top w:val="none" w:sz="0" w:space="0" w:color="auto"/>
                    <w:left w:val="none" w:sz="0" w:space="0" w:color="auto"/>
                    <w:bottom w:val="none" w:sz="0" w:space="0" w:color="auto"/>
                    <w:right w:val="none" w:sz="0" w:space="0" w:color="auto"/>
                  </w:divBdr>
                </w:div>
                <w:div w:id="174209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126217">
      <w:bodyDiv w:val="1"/>
      <w:marLeft w:val="0"/>
      <w:marRight w:val="0"/>
      <w:marTop w:val="0"/>
      <w:marBottom w:val="0"/>
      <w:divBdr>
        <w:top w:val="none" w:sz="0" w:space="0" w:color="auto"/>
        <w:left w:val="none" w:sz="0" w:space="0" w:color="auto"/>
        <w:bottom w:val="none" w:sz="0" w:space="0" w:color="auto"/>
        <w:right w:val="none" w:sz="0" w:space="0" w:color="auto"/>
      </w:divBdr>
      <w:divsChild>
        <w:div w:id="1496914928">
          <w:marLeft w:val="0"/>
          <w:marRight w:val="0"/>
          <w:marTop w:val="0"/>
          <w:marBottom w:val="0"/>
          <w:divBdr>
            <w:top w:val="none" w:sz="0" w:space="0" w:color="auto"/>
            <w:left w:val="none" w:sz="0" w:space="0" w:color="auto"/>
            <w:bottom w:val="none" w:sz="0" w:space="0" w:color="auto"/>
            <w:right w:val="none" w:sz="0" w:space="0" w:color="auto"/>
          </w:divBdr>
          <w:divsChild>
            <w:div w:id="2056612588">
              <w:marLeft w:val="0"/>
              <w:marRight w:val="0"/>
              <w:marTop w:val="0"/>
              <w:marBottom w:val="0"/>
              <w:divBdr>
                <w:top w:val="none" w:sz="0" w:space="0" w:color="auto"/>
                <w:left w:val="none" w:sz="0" w:space="0" w:color="auto"/>
                <w:bottom w:val="none" w:sz="0" w:space="0" w:color="auto"/>
                <w:right w:val="none" w:sz="0" w:space="0" w:color="auto"/>
              </w:divBdr>
              <w:divsChild>
                <w:div w:id="967275534">
                  <w:marLeft w:val="0"/>
                  <w:marRight w:val="0"/>
                  <w:marTop w:val="0"/>
                  <w:marBottom w:val="0"/>
                  <w:divBdr>
                    <w:top w:val="none" w:sz="0" w:space="0" w:color="auto"/>
                    <w:left w:val="none" w:sz="0" w:space="0" w:color="auto"/>
                    <w:bottom w:val="none" w:sz="0" w:space="0" w:color="auto"/>
                    <w:right w:val="none" w:sz="0" w:space="0" w:color="auto"/>
                  </w:divBdr>
                </w:div>
              </w:divsChild>
            </w:div>
            <w:div w:id="1727603420">
              <w:marLeft w:val="0"/>
              <w:marRight w:val="0"/>
              <w:marTop w:val="0"/>
              <w:marBottom w:val="0"/>
              <w:divBdr>
                <w:top w:val="none" w:sz="0" w:space="0" w:color="auto"/>
                <w:left w:val="none" w:sz="0" w:space="0" w:color="auto"/>
                <w:bottom w:val="none" w:sz="0" w:space="0" w:color="auto"/>
                <w:right w:val="none" w:sz="0" w:space="0" w:color="auto"/>
              </w:divBdr>
              <w:divsChild>
                <w:div w:id="41651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16378">
          <w:marLeft w:val="0"/>
          <w:marRight w:val="0"/>
          <w:marTop w:val="0"/>
          <w:marBottom w:val="0"/>
          <w:divBdr>
            <w:top w:val="none" w:sz="0" w:space="0" w:color="auto"/>
            <w:left w:val="none" w:sz="0" w:space="0" w:color="auto"/>
            <w:bottom w:val="none" w:sz="0" w:space="0" w:color="auto"/>
            <w:right w:val="none" w:sz="0" w:space="0" w:color="auto"/>
          </w:divBdr>
          <w:divsChild>
            <w:div w:id="719789506">
              <w:marLeft w:val="0"/>
              <w:marRight w:val="0"/>
              <w:marTop w:val="0"/>
              <w:marBottom w:val="0"/>
              <w:divBdr>
                <w:top w:val="none" w:sz="0" w:space="0" w:color="auto"/>
                <w:left w:val="none" w:sz="0" w:space="0" w:color="auto"/>
                <w:bottom w:val="none" w:sz="0" w:space="0" w:color="auto"/>
                <w:right w:val="none" w:sz="0" w:space="0" w:color="auto"/>
              </w:divBdr>
              <w:divsChild>
                <w:div w:id="171334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254169">
      <w:bodyDiv w:val="1"/>
      <w:marLeft w:val="0"/>
      <w:marRight w:val="0"/>
      <w:marTop w:val="0"/>
      <w:marBottom w:val="0"/>
      <w:divBdr>
        <w:top w:val="none" w:sz="0" w:space="0" w:color="auto"/>
        <w:left w:val="none" w:sz="0" w:space="0" w:color="auto"/>
        <w:bottom w:val="none" w:sz="0" w:space="0" w:color="auto"/>
        <w:right w:val="none" w:sz="0" w:space="0" w:color="auto"/>
      </w:divBdr>
      <w:divsChild>
        <w:div w:id="734162575">
          <w:marLeft w:val="0"/>
          <w:marRight w:val="0"/>
          <w:marTop w:val="0"/>
          <w:marBottom w:val="0"/>
          <w:divBdr>
            <w:top w:val="none" w:sz="0" w:space="0" w:color="auto"/>
            <w:left w:val="none" w:sz="0" w:space="0" w:color="auto"/>
            <w:bottom w:val="none" w:sz="0" w:space="0" w:color="auto"/>
            <w:right w:val="none" w:sz="0" w:space="0" w:color="auto"/>
          </w:divBdr>
          <w:divsChild>
            <w:div w:id="1437821673">
              <w:marLeft w:val="0"/>
              <w:marRight w:val="0"/>
              <w:marTop w:val="0"/>
              <w:marBottom w:val="0"/>
              <w:divBdr>
                <w:top w:val="none" w:sz="0" w:space="0" w:color="auto"/>
                <w:left w:val="none" w:sz="0" w:space="0" w:color="auto"/>
                <w:bottom w:val="none" w:sz="0" w:space="0" w:color="auto"/>
                <w:right w:val="none" w:sz="0" w:space="0" w:color="auto"/>
              </w:divBdr>
              <w:divsChild>
                <w:div w:id="1154951950">
                  <w:marLeft w:val="0"/>
                  <w:marRight w:val="0"/>
                  <w:marTop w:val="0"/>
                  <w:marBottom w:val="0"/>
                  <w:divBdr>
                    <w:top w:val="none" w:sz="0" w:space="0" w:color="auto"/>
                    <w:left w:val="none" w:sz="0" w:space="0" w:color="auto"/>
                    <w:bottom w:val="none" w:sz="0" w:space="0" w:color="auto"/>
                    <w:right w:val="none" w:sz="0" w:space="0" w:color="auto"/>
                  </w:divBdr>
                </w:div>
              </w:divsChild>
            </w:div>
            <w:div w:id="417210812">
              <w:marLeft w:val="0"/>
              <w:marRight w:val="0"/>
              <w:marTop w:val="0"/>
              <w:marBottom w:val="0"/>
              <w:divBdr>
                <w:top w:val="none" w:sz="0" w:space="0" w:color="auto"/>
                <w:left w:val="none" w:sz="0" w:space="0" w:color="auto"/>
                <w:bottom w:val="none" w:sz="0" w:space="0" w:color="auto"/>
                <w:right w:val="none" w:sz="0" w:space="0" w:color="auto"/>
              </w:divBdr>
              <w:divsChild>
                <w:div w:id="35928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68255">
          <w:marLeft w:val="0"/>
          <w:marRight w:val="0"/>
          <w:marTop w:val="0"/>
          <w:marBottom w:val="0"/>
          <w:divBdr>
            <w:top w:val="none" w:sz="0" w:space="0" w:color="auto"/>
            <w:left w:val="none" w:sz="0" w:space="0" w:color="auto"/>
            <w:bottom w:val="none" w:sz="0" w:space="0" w:color="auto"/>
            <w:right w:val="none" w:sz="0" w:space="0" w:color="auto"/>
          </w:divBdr>
          <w:divsChild>
            <w:div w:id="2125537646">
              <w:marLeft w:val="0"/>
              <w:marRight w:val="0"/>
              <w:marTop w:val="0"/>
              <w:marBottom w:val="0"/>
              <w:divBdr>
                <w:top w:val="none" w:sz="0" w:space="0" w:color="auto"/>
                <w:left w:val="none" w:sz="0" w:space="0" w:color="auto"/>
                <w:bottom w:val="none" w:sz="0" w:space="0" w:color="auto"/>
                <w:right w:val="none" w:sz="0" w:space="0" w:color="auto"/>
              </w:divBdr>
              <w:divsChild>
                <w:div w:id="4583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286985">
      <w:bodyDiv w:val="1"/>
      <w:marLeft w:val="0"/>
      <w:marRight w:val="0"/>
      <w:marTop w:val="0"/>
      <w:marBottom w:val="0"/>
      <w:divBdr>
        <w:top w:val="none" w:sz="0" w:space="0" w:color="auto"/>
        <w:left w:val="none" w:sz="0" w:space="0" w:color="auto"/>
        <w:bottom w:val="none" w:sz="0" w:space="0" w:color="auto"/>
        <w:right w:val="none" w:sz="0" w:space="0" w:color="auto"/>
      </w:divBdr>
      <w:divsChild>
        <w:div w:id="2061591168">
          <w:marLeft w:val="0"/>
          <w:marRight w:val="0"/>
          <w:marTop w:val="0"/>
          <w:marBottom w:val="0"/>
          <w:divBdr>
            <w:top w:val="none" w:sz="0" w:space="0" w:color="auto"/>
            <w:left w:val="none" w:sz="0" w:space="0" w:color="auto"/>
            <w:bottom w:val="none" w:sz="0" w:space="0" w:color="auto"/>
            <w:right w:val="none" w:sz="0" w:space="0" w:color="auto"/>
          </w:divBdr>
          <w:divsChild>
            <w:div w:id="596013451">
              <w:marLeft w:val="0"/>
              <w:marRight w:val="0"/>
              <w:marTop w:val="0"/>
              <w:marBottom w:val="0"/>
              <w:divBdr>
                <w:top w:val="none" w:sz="0" w:space="0" w:color="auto"/>
                <w:left w:val="none" w:sz="0" w:space="0" w:color="auto"/>
                <w:bottom w:val="none" w:sz="0" w:space="0" w:color="auto"/>
                <w:right w:val="none" w:sz="0" w:space="0" w:color="auto"/>
              </w:divBdr>
              <w:divsChild>
                <w:div w:id="46808683">
                  <w:marLeft w:val="0"/>
                  <w:marRight w:val="0"/>
                  <w:marTop w:val="0"/>
                  <w:marBottom w:val="0"/>
                  <w:divBdr>
                    <w:top w:val="none" w:sz="0" w:space="0" w:color="auto"/>
                    <w:left w:val="none" w:sz="0" w:space="0" w:color="auto"/>
                    <w:bottom w:val="none" w:sz="0" w:space="0" w:color="auto"/>
                    <w:right w:val="none" w:sz="0" w:space="0" w:color="auto"/>
                  </w:divBdr>
                </w:div>
              </w:divsChild>
            </w:div>
            <w:div w:id="1285699461">
              <w:marLeft w:val="0"/>
              <w:marRight w:val="0"/>
              <w:marTop w:val="0"/>
              <w:marBottom w:val="0"/>
              <w:divBdr>
                <w:top w:val="none" w:sz="0" w:space="0" w:color="auto"/>
                <w:left w:val="none" w:sz="0" w:space="0" w:color="auto"/>
                <w:bottom w:val="none" w:sz="0" w:space="0" w:color="auto"/>
                <w:right w:val="none" w:sz="0" w:space="0" w:color="auto"/>
              </w:divBdr>
              <w:divsChild>
                <w:div w:id="11687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58962">
          <w:marLeft w:val="0"/>
          <w:marRight w:val="0"/>
          <w:marTop w:val="0"/>
          <w:marBottom w:val="0"/>
          <w:divBdr>
            <w:top w:val="none" w:sz="0" w:space="0" w:color="auto"/>
            <w:left w:val="none" w:sz="0" w:space="0" w:color="auto"/>
            <w:bottom w:val="none" w:sz="0" w:space="0" w:color="auto"/>
            <w:right w:val="none" w:sz="0" w:space="0" w:color="auto"/>
          </w:divBdr>
          <w:divsChild>
            <w:div w:id="1760635088">
              <w:marLeft w:val="0"/>
              <w:marRight w:val="0"/>
              <w:marTop w:val="0"/>
              <w:marBottom w:val="0"/>
              <w:divBdr>
                <w:top w:val="none" w:sz="0" w:space="0" w:color="auto"/>
                <w:left w:val="none" w:sz="0" w:space="0" w:color="auto"/>
                <w:bottom w:val="none" w:sz="0" w:space="0" w:color="auto"/>
                <w:right w:val="none" w:sz="0" w:space="0" w:color="auto"/>
              </w:divBdr>
              <w:divsChild>
                <w:div w:id="1608389334">
                  <w:marLeft w:val="0"/>
                  <w:marRight w:val="0"/>
                  <w:marTop w:val="0"/>
                  <w:marBottom w:val="0"/>
                  <w:divBdr>
                    <w:top w:val="none" w:sz="0" w:space="0" w:color="auto"/>
                    <w:left w:val="none" w:sz="0" w:space="0" w:color="auto"/>
                    <w:bottom w:val="none" w:sz="0" w:space="0" w:color="auto"/>
                    <w:right w:val="none" w:sz="0" w:space="0" w:color="auto"/>
                  </w:divBdr>
                </w:div>
                <w:div w:id="324819930">
                  <w:marLeft w:val="0"/>
                  <w:marRight w:val="0"/>
                  <w:marTop w:val="0"/>
                  <w:marBottom w:val="0"/>
                  <w:divBdr>
                    <w:top w:val="none" w:sz="0" w:space="0" w:color="auto"/>
                    <w:left w:val="none" w:sz="0" w:space="0" w:color="auto"/>
                    <w:bottom w:val="none" w:sz="0" w:space="0" w:color="auto"/>
                    <w:right w:val="none" w:sz="0" w:space="0" w:color="auto"/>
                  </w:divBdr>
                </w:div>
              </w:divsChild>
            </w:div>
            <w:div w:id="303972064">
              <w:marLeft w:val="0"/>
              <w:marRight w:val="0"/>
              <w:marTop w:val="0"/>
              <w:marBottom w:val="0"/>
              <w:divBdr>
                <w:top w:val="none" w:sz="0" w:space="0" w:color="auto"/>
                <w:left w:val="none" w:sz="0" w:space="0" w:color="auto"/>
                <w:bottom w:val="none" w:sz="0" w:space="0" w:color="auto"/>
                <w:right w:val="none" w:sz="0" w:space="0" w:color="auto"/>
              </w:divBdr>
              <w:divsChild>
                <w:div w:id="1414089840">
                  <w:marLeft w:val="0"/>
                  <w:marRight w:val="0"/>
                  <w:marTop w:val="0"/>
                  <w:marBottom w:val="0"/>
                  <w:divBdr>
                    <w:top w:val="none" w:sz="0" w:space="0" w:color="auto"/>
                    <w:left w:val="none" w:sz="0" w:space="0" w:color="auto"/>
                    <w:bottom w:val="none" w:sz="0" w:space="0" w:color="auto"/>
                    <w:right w:val="none" w:sz="0" w:space="0" w:color="auto"/>
                  </w:divBdr>
                </w:div>
              </w:divsChild>
            </w:div>
            <w:div w:id="1974941551">
              <w:marLeft w:val="0"/>
              <w:marRight w:val="0"/>
              <w:marTop w:val="0"/>
              <w:marBottom w:val="0"/>
              <w:divBdr>
                <w:top w:val="none" w:sz="0" w:space="0" w:color="auto"/>
                <w:left w:val="none" w:sz="0" w:space="0" w:color="auto"/>
                <w:bottom w:val="none" w:sz="0" w:space="0" w:color="auto"/>
                <w:right w:val="none" w:sz="0" w:space="0" w:color="auto"/>
              </w:divBdr>
              <w:divsChild>
                <w:div w:id="906114892">
                  <w:marLeft w:val="0"/>
                  <w:marRight w:val="0"/>
                  <w:marTop w:val="0"/>
                  <w:marBottom w:val="0"/>
                  <w:divBdr>
                    <w:top w:val="none" w:sz="0" w:space="0" w:color="auto"/>
                    <w:left w:val="none" w:sz="0" w:space="0" w:color="auto"/>
                    <w:bottom w:val="none" w:sz="0" w:space="0" w:color="auto"/>
                    <w:right w:val="none" w:sz="0" w:space="0" w:color="auto"/>
                  </w:divBdr>
                </w:div>
              </w:divsChild>
            </w:div>
            <w:div w:id="745762853">
              <w:marLeft w:val="0"/>
              <w:marRight w:val="0"/>
              <w:marTop w:val="0"/>
              <w:marBottom w:val="0"/>
              <w:divBdr>
                <w:top w:val="none" w:sz="0" w:space="0" w:color="auto"/>
                <w:left w:val="none" w:sz="0" w:space="0" w:color="auto"/>
                <w:bottom w:val="none" w:sz="0" w:space="0" w:color="auto"/>
                <w:right w:val="none" w:sz="0" w:space="0" w:color="auto"/>
              </w:divBdr>
              <w:divsChild>
                <w:div w:id="79005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3397">
          <w:marLeft w:val="0"/>
          <w:marRight w:val="0"/>
          <w:marTop w:val="0"/>
          <w:marBottom w:val="0"/>
          <w:divBdr>
            <w:top w:val="none" w:sz="0" w:space="0" w:color="auto"/>
            <w:left w:val="none" w:sz="0" w:space="0" w:color="auto"/>
            <w:bottom w:val="none" w:sz="0" w:space="0" w:color="auto"/>
            <w:right w:val="none" w:sz="0" w:space="0" w:color="auto"/>
          </w:divBdr>
          <w:divsChild>
            <w:div w:id="694842057">
              <w:marLeft w:val="0"/>
              <w:marRight w:val="0"/>
              <w:marTop w:val="0"/>
              <w:marBottom w:val="0"/>
              <w:divBdr>
                <w:top w:val="none" w:sz="0" w:space="0" w:color="auto"/>
                <w:left w:val="none" w:sz="0" w:space="0" w:color="auto"/>
                <w:bottom w:val="none" w:sz="0" w:space="0" w:color="auto"/>
                <w:right w:val="none" w:sz="0" w:space="0" w:color="auto"/>
              </w:divBdr>
              <w:divsChild>
                <w:div w:id="252596177">
                  <w:marLeft w:val="0"/>
                  <w:marRight w:val="0"/>
                  <w:marTop w:val="0"/>
                  <w:marBottom w:val="0"/>
                  <w:divBdr>
                    <w:top w:val="none" w:sz="0" w:space="0" w:color="auto"/>
                    <w:left w:val="none" w:sz="0" w:space="0" w:color="auto"/>
                    <w:bottom w:val="none" w:sz="0" w:space="0" w:color="auto"/>
                    <w:right w:val="none" w:sz="0" w:space="0" w:color="auto"/>
                  </w:divBdr>
                </w:div>
              </w:divsChild>
            </w:div>
            <w:div w:id="996803474">
              <w:marLeft w:val="0"/>
              <w:marRight w:val="0"/>
              <w:marTop w:val="0"/>
              <w:marBottom w:val="0"/>
              <w:divBdr>
                <w:top w:val="none" w:sz="0" w:space="0" w:color="auto"/>
                <w:left w:val="none" w:sz="0" w:space="0" w:color="auto"/>
                <w:bottom w:val="none" w:sz="0" w:space="0" w:color="auto"/>
                <w:right w:val="none" w:sz="0" w:space="0" w:color="auto"/>
              </w:divBdr>
              <w:divsChild>
                <w:div w:id="76804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83371">
          <w:marLeft w:val="0"/>
          <w:marRight w:val="0"/>
          <w:marTop w:val="0"/>
          <w:marBottom w:val="0"/>
          <w:divBdr>
            <w:top w:val="none" w:sz="0" w:space="0" w:color="auto"/>
            <w:left w:val="none" w:sz="0" w:space="0" w:color="auto"/>
            <w:bottom w:val="none" w:sz="0" w:space="0" w:color="auto"/>
            <w:right w:val="none" w:sz="0" w:space="0" w:color="auto"/>
          </w:divBdr>
          <w:divsChild>
            <w:div w:id="1197741141">
              <w:marLeft w:val="0"/>
              <w:marRight w:val="0"/>
              <w:marTop w:val="0"/>
              <w:marBottom w:val="0"/>
              <w:divBdr>
                <w:top w:val="none" w:sz="0" w:space="0" w:color="auto"/>
                <w:left w:val="none" w:sz="0" w:space="0" w:color="auto"/>
                <w:bottom w:val="none" w:sz="0" w:space="0" w:color="auto"/>
                <w:right w:val="none" w:sz="0" w:space="0" w:color="auto"/>
              </w:divBdr>
              <w:divsChild>
                <w:div w:id="576789221">
                  <w:marLeft w:val="0"/>
                  <w:marRight w:val="0"/>
                  <w:marTop w:val="0"/>
                  <w:marBottom w:val="0"/>
                  <w:divBdr>
                    <w:top w:val="none" w:sz="0" w:space="0" w:color="auto"/>
                    <w:left w:val="none" w:sz="0" w:space="0" w:color="auto"/>
                    <w:bottom w:val="none" w:sz="0" w:space="0" w:color="auto"/>
                    <w:right w:val="none" w:sz="0" w:space="0" w:color="auto"/>
                  </w:divBdr>
                </w:div>
              </w:divsChild>
            </w:div>
            <w:div w:id="1960183869">
              <w:marLeft w:val="0"/>
              <w:marRight w:val="0"/>
              <w:marTop w:val="0"/>
              <w:marBottom w:val="0"/>
              <w:divBdr>
                <w:top w:val="none" w:sz="0" w:space="0" w:color="auto"/>
                <w:left w:val="none" w:sz="0" w:space="0" w:color="auto"/>
                <w:bottom w:val="none" w:sz="0" w:space="0" w:color="auto"/>
                <w:right w:val="none" w:sz="0" w:space="0" w:color="auto"/>
              </w:divBdr>
              <w:divsChild>
                <w:div w:id="26778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30094">
          <w:marLeft w:val="0"/>
          <w:marRight w:val="0"/>
          <w:marTop w:val="0"/>
          <w:marBottom w:val="0"/>
          <w:divBdr>
            <w:top w:val="none" w:sz="0" w:space="0" w:color="auto"/>
            <w:left w:val="none" w:sz="0" w:space="0" w:color="auto"/>
            <w:bottom w:val="none" w:sz="0" w:space="0" w:color="auto"/>
            <w:right w:val="none" w:sz="0" w:space="0" w:color="auto"/>
          </w:divBdr>
          <w:divsChild>
            <w:div w:id="1615362695">
              <w:marLeft w:val="0"/>
              <w:marRight w:val="0"/>
              <w:marTop w:val="0"/>
              <w:marBottom w:val="0"/>
              <w:divBdr>
                <w:top w:val="none" w:sz="0" w:space="0" w:color="auto"/>
                <w:left w:val="none" w:sz="0" w:space="0" w:color="auto"/>
                <w:bottom w:val="none" w:sz="0" w:space="0" w:color="auto"/>
                <w:right w:val="none" w:sz="0" w:space="0" w:color="auto"/>
              </w:divBdr>
              <w:divsChild>
                <w:div w:id="200411032">
                  <w:marLeft w:val="0"/>
                  <w:marRight w:val="0"/>
                  <w:marTop w:val="0"/>
                  <w:marBottom w:val="0"/>
                  <w:divBdr>
                    <w:top w:val="none" w:sz="0" w:space="0" w:color="auto"/>
                    <w:left w:val="none" w:sz="0" w:space="0" w:color="auto"/>
                    <w:bottom w:val="none" w:sz="0" w:space="0" w:color="auto"/>
                    <w:right w:val="none" w:sz="0" w:space="0" w:color="auto"/>
                  </w:divBdr>
                </w:div>
              </w:divsChild>
            </w:div>
            <w:div w:id="871188990">
              <w:marLeft w:val="0"/>
              <w:marRight w:val="0"/>
              <w:marTop w:val="0"/>
              <w:marBottom w:val="0"/>
              <w:divBdr>
                <w:top w:val="none" w:sz="0" w:space="0" w:color="auto"/>
                <w:left w:val="none" w:sz="0" w:space="0" w:color="auto"/>
                <w:bottom w:val="none" w:sz="0" w:space="0" w:color="auto"/>
                <w:right w:val="none" w:sz="0" w:space="0" w:color="auto"/>
              </w:divBdr>
              <w:divsChild>
                <w:div w:id="92900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140304">
          <w:marLeft w:val="0"/>
          <w:marRight w:val="0"/>
          <w:marTop w:val="0"/>
          <w:marBottom w:val="0"/>
          <w:divBdr>
            <w:top w:val="none" w:sz="0" w:space="0" w:color="auto"/>
            <w:left w:val="none" w:sz="0" w:space="0" w:color="auto"/>
            <w:bottom w:val="none" w:sz="0" w:space="0" w:color="auto"/>
            <w:right w:val="none" w:sz="0" w:space="0" w:color="auto"/>
          </w:divBdr>
          <w:divsChild>
            <w:div w:id="858083111">
              <w:marLeft w:val="0"/>
              <w:marRight w:val="0"/>
              <w:marTop w:val="0"/>
              <w:marBottom w:val="0"/>
              <w:divBdr>
                <w:top w:val="none" w:sz="0" w:space="0" w:color="auto"/>
                <w:left w:val="none" w:sz="0" w:space="0" w:color="auto"/>
                <w:bottom w:val="none" w:sz="0" w:space="0" w:color="auto"/>
                <w:right w:val="none" w:sz="0" w:space="0" w:color="auto"/>
              </w:divBdr>
              <w:divsChild>
                <w:div w:id="1274938897">
                  <w:marLeft w:val="0"/>
                  <w:marRight w:val="0"/>
                  <w:marTop w:val="0"/>
                  <w:marBottom w:val="0"/>
                  <w:divBdr>
                    <w:top w:val="none" w:sz="0" w:space="0" w:color="auto"/>
                    <w:left w:val="none" w:sz="0" w:space="0" w:color="auto"/>
                    <w:bottom w:val="none" w:sz="0" w:space="0" w:color="auto"/>
                    <w:right w:val="none" w:sz="0" w:space="0" w:color="auto"/>
                  </w:divBdr>
                </w:div>
              </w:divsChild>
            </w:div>
            <w:div w:id="1795979622">
              <w:marLeft w:val="0"/>
              <w:marRight w:val="0"/>
              <w:marTop w:val="0"/>
              <w:marBottom w:val="0"/>
              <w:divBdr>
                <w:top w:val="none" w:sz="0" w:space="0" w:color="auto"/>
                <w:left w:val="none" w:sz="0" w:space="0" w:color="auto"/>
                <w:bottom w:val="none" w:sz="0" w:space="0" w:color="auto"/>
                <w:right w:val="none" w:sz="0" w:space="0" w:color="auto"/>
              </w:divBdr>
              <w:divsChild>
                <w:div w:id="5013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35132">
          <w:marLeft w:val="0"/>
          <w:marRight w:val="0"/>
          <w:marTop w:val="0"/>
          <w:marBottom w:val="0"/>
          <w:divBdr>
            <w:top w:val="none" w:sz="0" w:space="0" w:color="auto"/>
            <w:left w:val="none" w:sz="0" w:space="0" w:color="auto"/>
            <w:bottom w:val="none" w:sz="0" w:space="0" w:color="auto"/>
            <w:right w:val="none" w:sz="0" w:space="0" w:color="auto"/>
          </w:divBdr>
          <w:divsChild>
            <w:div w:id="871915699">
              <w:marLeft w:val="0"/>
              <w:marRight w:val="0"/>
              <w:marTop w:val="0"/>
              <w:marBottom w:val="0"/>
              <w:divBdr>
                <w:top w:val="none" w:sz="0" w:space="0" w:color="auto"/>
                <w:left w:val="none" w:sz="0" w:space="0" w:color="auto"/>
                <w:bottom w:val="none" w:sz="0" w:space="0" w:color="auto"/>
                <w:right w:val="none" w:sz="0" w:space="0" w:color="auto"/>
              </w:divBdr>
              <w:divsChild>
                <w:div w:id="1577782244">
                  <w:marLeft w:val="0"/>
                  <w:marRight w:val="0"/>
                  <w:marTop w:val="0"/>
                  <w:marBottom w:val="0"/>
                  <w:divBdr>
                    <w:top w:val="none" w:sz="0" w:space="0" w:color="auto"/>
                    <w:left w:val="none" w:sz="0" w:space="0" w:color="auto"/>
                    <w:bottom w:val="none" w:sz="0" w:space="0" w:color="auto"/>
                    <w:right w:val="none" w:sz="0" w:space="0" w:color="auto"/>
                  </w:divBdr>
                </w:div>
              </w:divsChild>
            </w:div>
            <w:div w:id="1156459936">
              <w:marLeft w:val="0"/>
              <w:marRight w:val="0"/>
              <w:marTop w:val="0"/>
              <w:marBottom w:val="0"/>
              <w:divBdr>
                <w:top w:val="none" w:sz="0" w:space="0" w:color="auto"/>
                <w:left w:val="none" w:sz="0" w:space="0" w:color="auto"/>
                <w:bottom w:val="none" w:sz="0" w:space="0" w:color="auto"/>
                <w:right w:val="none" w:sz="0" w:space="0" w:color="auto"/>
              </w:divBdr>
              <w:divsChild>
                <w:div w:id="1243489865">
                  <w:marLeft w:val="0"/>
                  <w:marRight w:val="0"/>
                  <w:marTop w:val="0"/>
                  <w:marBottom w:val="0"/>
                  <w:divBdr>
                    <w:top w:val="none" w:sz="0" w:space="0" w:color="auto"/>
                    <w:left w:val="none" w:sz="0" w:space="0" w:color="auto"/>
                    <w:bottom w:val="none" w:sz="0" w:space="0" w:color="auto"/>
                    <w:right w:val="none" w:sz="0" w:space="0" w:color="auto"/>
                  </w:divBdr>
                </w:div>
                <w:div w:id="1497770115">
                  <w:marLeft w:val="0"/>
                  <w:marRight w:val="0"/>
                  <w:marTop w:val="0"/>
                  <w:marBottom w:val="0"/>
                  <w:divBdr>
                    <w:top w:val="none" w:sz="0" w:space="0" w:color="auto"/>
                    <w:left w:val="none" w:sz="0" w:space="0" w:color="auto"/>
                    <w:bottom w:val="none" w:sz="0" w:space="0" w:color="auto"/>
                    <w:right w:val="none" w:sz="0" w:space="0" w:color="auto"/>
                  </w:divBdr>
                </w:div>
              </w:divsChild>
            </w:div>
            <w:div w:id="754591676">
              <w:marLeft w:val="0"/>
              <w:marRight w:val="0"/>
              <w:marTop w:val="0"/>
              <w:marBottom w:val="0"/>
              <w:divBdr>
                <w:top w:val="none" w:sz="0" w:space="0" w:color="auto"/>
                <w:left w:val="none" w:sz="0" w:space="0" w:color="auto"/>
                <w:bottom w:val="none" w:sz="0" w:space="0" w:color="auto"/>
                <w:right w:val="none" w:sz="0" w:space="0" w:color="auto"/>
              </w:divBdr>
              <w:divsChild>
                <w:div w:id="1544366908">
                  <w:marLeft w:val="0"/>
                  <w:marRight w:val="0"/>
                  <w:marTop w:val="0"/>
                  <w:marBottom w:val="0"/>
                  <w:divBdr>
                    <w:top w:val="none" w:sz="0" w:space="0" w:color="auto"/>
                    <w:left w:val="none" w:sz="0" w:space="0" w:color="auto"/>
                    <w:bottom w:val="none" w:sz="0" w:space="0" w:color="auto"/>
                    <w:right w:val="none" w:sz="0" w:space="0" w:color="auto"/>
                  </w:divBdr>
                </w:div>
              </w:divsChild>
            </w:div>
            <w:div w:id="355928562">
              <w:marLeft w:val="0"/>
              <w:marRight w:val="0"/>
              <w:marTop w:val="0"/>
              <w:marBottom w:val="0"/>
              <w:divBdr>
                <w:top w:val="none" w:sz="0" w:space="0" w:color="auto"/>
                <w:left w:val="none" w:sz="0" w:space="0" w:color="auto"/>
                <w:bottom w:val="none" w:sz="0" w:space="0" w:color="auto"/>
                <w:right w:val="none" w:sz="0" w:space="0" w:color="auto"/>
              </w:divBdr>
              <w:divsChild>
                <w:div w:id="201117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03510">
          <w:marLeft w:val="0"/>
          <w:marRight w:val="0"/>
          <w:marTop w:val="0"/>
          <w:marBottom w:val="0"/>
          <w:divBdr>
            <w:top w:val="none" w:sz="0" w:space="0" w:color="auto"/>
            <w:left w:val="none" w:sz="0" w:space="0" w:color="auto"/>
            <w:bottom w:val="none" w:sz="0" w:space="0" w:color="auto"/>
            <w:right w:val="none" w:sz="0" w:space="0" w:color="auto"/>
          </w:divBdr>
          <w:divsChild>
            <w:div w:id="1119690238">
              <w:marLeft w:val="0"/>
              <w:marRight w:val="0"/>
              <w:marTop w:val="0"/>
              <w:marBottom w:val="0"/>
              <w:divBdr>
                <w:top w:val="none" w:sz="0" w:space="0" w:color="auto"/>
                <w:left w:val="none" w:sz="0" w:space="0" w:color="auto"/>
                <w:bottom w:val="none" w:sz="0" w:space="0" w:color="auto"/>
                <w:right w:val="none" w:sz="0" w:space="0" w:color="auto"/>
              </w:divBdr>
              <w:divsChild>
                <w:div w:id="1886944193">
                  <w:marLeft w:val="0"/>
                  <w:marRight w:val="0"/>
                  <w:marTop w:val="0"/>
                  <w:marBottom w:val="0"/>
                  <w:divBdr>
                    <w:top w:val="none" w:sz="0" w:space="0" w:color="auto"/>
                    <w:left w:val="none" w:sz="0" w:space="0" w:color="auto"/>
                    <w:bottom w:val="none" w:sz="0" w:space="0" w:color="auto"/>
                    <w:right w:val="none" w:sz="0" w:space="0" w:color="auto"/>
                  </w:divBdr>
                </w:div>
              </w:divsChild>
            </w:div>
            <w:div w:id="828640393">
              <w:marLeft w:val="0"/>
              <w:marRight w:val="0"/>
              <w:marTop w:val="0"/>
              <w:marBottom w:val="0"/>
              <w:divBdr>
                <w:top w:val="none" w:sz="0" w:space="0" w:color="auto"/>
                <w:left w:val="none" w:sz="0" w:space="0" w:color="auto"/>
                <w:bottom w:val="none" w:sz="0" w:space="0" w:color="auto"/>
                <w:right w:val="none" w:sz="0" w:space="0" w:color="auto"/>
              </w:divBdr>
              <w:divsChild>
                <w:div w:id="67969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44836">
          <w:marLeft w:val="0"/>
          <w:marRight w:val="0"/>
          <w:marTop w:val="0"/>
          <w:marBottom w:val="0"/>
          <w:divBdr>
            <w:top w:val="none" w:sz="0" w:space="0" w:color="auto"/>
            <w:left w:val="none" w:sz="0" w:space="0" w:color="auto"/>
            <w:bottom w:val="none" w:sz="0" w:space="0" w:color="auto"/>
            <w:right w:val="none" w:sz="0" w:space="0" w:color="auto"/>
          </w:divBdr>
          <w:divsChild>
            <w:div w:id="1232620322">
              <w:marLeft w:val="0"/>
              <w:marRight w:val="0"/>
              <w:marTop w:val="0"/>
              <w:marBottom w:val="0"/>
              <w:divBdr>
                <w:top w:val="none" w:sz="0" w:space="0" w:color="auto"/>
                <w:left w:val="none" w:sz="0" w:space="0" w:color="auto"/>
                <w:bottom w:val="none" w:sz="0" w:space="0" w:color="auto"/>
                <w:right w:val="none" w:sz="0" w:space="0" w:color="auto"/>
              </w:divBdr>
              <w:divsChild>
                <w:div w:id="46500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7</Pages>
  <Words>2214</Words>
  <Characters>12620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 Chundu</dc:creator>
  <cp:keywords/>
  <dc:description/>
  <cp:lastModifiedBy>Gabriel Gowere</cp:lastModifiedBy>
  <cp:revision>4</cp:revision>
  <dcterms:created xsi:type="dcterms:W3CDTF">2025-02-12T09:49:00Z</dcterms:created>
  <dcterms:modified xsi:type="dcterms:W3CDTF">2025-02-12T10:16:00Z</dcterms:modified>
</cp:coreProperties>
</file>