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5429D" w14:textId="03FC3D1E" w:rsidR="00F566E5" w:rsidRDefault="00F566E5" w:rsidP="00AC71D6">
      <w:pPr>
        <w:spacing w:after="0"/>
        <w:jc w:val="center"/>
        <w:rPr>
          <w:rFonts w:ascii="Tahoma" w:hAnsi="Tahoma" w:cs="Tahoma"/>
          <w:b/>
          <w:bCs/>
          <w:sz w:val="24"/>
          <w:szCs w:val="24"/>
        </w:rPr>
      </w:pPr>
      <w:r>
        <w:rPr>
          <w:rFonts w:ascii="Tahoma" w:hAnsi="Tahoma" w:cs="Tahoma"/>
          <w:b/>
          <w:bCs/>
          <w:noProof/>
          <w:sz w:val="24"/>
          <w:szCs w:val="24"/>
          <w:lang w:val="en-ZW"/>
        </w:rPr>
        <w:drawing>
          <wp:inline distT="0" distB="0" distL="0" distR="0" wp14:anchorId="7EC1524E" wp14:editId="053AB1E7">
            <wp:extent cx="2942590" cy="1533166"/>
            <wp:effectExtent l="0" t="0" r="0" b="0"/>
            <wp:docPr id="127637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406" cy="1534112"/>
                    </a:xfrm>
                    <a:prstGeom prst="rect">
                      <a:avLst/>
                    </a:prstGeom>
                    <a:noFill/>
                  </pic:spPr>
                </pic:pic>
              </a:graphicData>
            </a:graphic>
          </wp:inline>
        </w:drawing>
      </w:r>
    </w:p>
    <w:p w14:paraId="0A5C249D" w14:textId="0ED4A497" w:rsidR="004A5F8D" w:rsidRDefault="004A5F8D" w:rsidP="00AC71D6">
      <w:pPr>
        <w:spacing w:line="480" w:lineRule="auto"/>
        <w:jc w:val="center"/>
        <w:rPr>
          <w:rFonts w:ascii="Tahoma" w:hAnsi="Tahoma" w:cs="Tahoma"/>
          <w:b/>
          <w:bCs/>
          <w:sz w:val="24"/>
          <w:szCs w:val="24"/>
        </w:rPr>
      </w:pPr>
      <w:r>
        <w:rPr>
          <w:rFonts w:ascii="Tahoma" w:hAnsi="Tahoma" w:cs="Tahoma"/>
          <w:b/>
          <w:bCs/>
          <w:sz w:val="24"/>
          <w:szCs w:val="24"/>
        </w:rPr>
        <w:t>NATIONAL ECONOMIC CONSULTATIVE FORUM</w:t>
      </w:r>
    </w:p>
    <w:p w14:paraId="37F30D25" w14:textId="7A45A7E5" w:rsidR="00A66525" w:rsidRDefault="004A5F8D" w:rsidP="00AC71D6">
      <w:pPr>
        <w:spacing w:line="276" w:lineRule="auto"/>
        <w:jc w:val="center"/>
        <w:rPr>
          <w:rFonts w:ascii="Tahoma" w:hAnsi="Tahoma" w:cs="Tahoma"/>
          <w:b/>
          <w:bCs/>
          <w:sz w:val="24"/>
          <w:szCs w:val="24"/>
        </w:rPr>
      </w:pPr>
      <w:r w:rsidRPr="00A66525">
        <w:rPr>
          <w:rFonts w:ascii="Tahoma" w:hAnsi="Tahoma" w:cs="Tahoma"/>
          <w:b/>
          <w:bCs/>
          <w:sz w:val="24"/>
          <w:szCs w:val="24"/>
        </w:rPr>
        <w:t>2025 ZIMBABWE NATIONAL BUDGET</w:t>
      </w:r>
      <w:r>
        <w:rPr>
          <w:rFonts w:ascii="Tahoma" w:hAnsi="Tahoma" w:cs="Tahoma"/>
          <w:b/>
          <w:bCs/>
          <w:sz w:val="24"/>
          <w:szCs w:val="24"/>
        </w:rPr>
        <w:t xml:space="preserve"> SYNOPSIS</w:t>
      </w:r>
    </w:p>
    <w:p w14:paraId="42137713" w14:textId="77777777" w:rsidR="00AC71D6" w:rsidRPr="00A66525" w:rsidRDefault="00AC71D6" w:rsidP="00AC71D6">
      <w:pPr>
        <w:spacing w:line="276" w:lineRule="auto"/>
        <w:jc w:val="center"/>
        <w:rPr>
          <w:rFonts w:ascii="Tahoma" w:hAnsi="Tahoma" w:cs="Tahoma"/>
          <w:b/>
          <w:bCs/>
          <w:sz w:val="24"/>
          <w:szCs w:val="24"/>
        </w:rPr>
      </w:pPr>
    </w:p>
    <w:p w14:paraId="024C0CD4" w14:textId="58308D3D" w:rsidR="00A66525" w:rsidRPr="00A66525" w:rsidRDefault="00185CDE" w:rsidP="00A66525">
      <w:pPr>
        <w:jc w:val="both"/>
        <w:rPr>
          <w:rFonts w:ascii="Tahoma" w:hAnsi="Tahoma" w:cs="Tahoma"/>
          <w:b/>
          <w:bCs/>
          <w:sz w:val="24"/>
          <w:szCs w:val="24"/>
        </w:rPr>
      </w:pPr>
      <w:r>
        <w:rPr>
          <w:rFonts w:ascii="Tahoma" w:hAnsi="Tahoma" w:cs="Tahoma"/>
          <w:b/>
          <w:bCs/>
          <w:sz w:val="24"/>
          <w:szCs w:val="24"/>
        </w:rPr>
        <w:t>1.0</w:t>
      </w:r>
      <w:r>
        <w:rPr>
          <w:rFonts w:ascii="Tahoma" w:hAnsi="Tahoma" w:cs="Tahoma"/>
          <w:b/>
          <w:bCs/>
          <w:sz w:val="24"/>
          <w:szCs w:val="24"/>
        </w:rPr>
        <w:tab/>
      </w:r>
      <w:r w:rsidR="004A5F8D">
        <w:rPr>
          <w:rFonts w:ascii="Tahoma" w:hAnsi="Tahoma" w:cs="Tahoma"/>
          <w:b/>
          <w:bCs/>
          <w:sz w:val="24"/>
          <w:szCs w:val="24"/>
        </w:rPr>
        <w:t>Introduction</w:t>
      </w:r>
    </w:p>
    <w:p w14:paraId="280EA5C5" w14:textId="77777777" w:rsidR="004A5F8D" w:rsidRDefault="004A5F8D" w:rsidP="001B1C2D">
      <w:pPr>
        <w:ind w:left="720"/>
        <w:jc w:val="both"/>
        <w:rPr>
          <w:rFonts w:ascii="Tahoma" w:hAnsi="Tahoma" w:cs="Tahoma"/>
          <w:sz w:val="24"/>
          <w:szCs w:val="24"/>
        </w:rPr>
      </w:pPr>
      <w:r>
        <w:rPr>
          <w:rFonts w:ascii="Tahoma" w:hAnsi="Tahoma" w:cs="Tahoma"/>
          <w:sz w:val="24"/>
          <w:szCs w:val="24"/>
        </w:rPr>
        <w:t xml:space="preserve">On 28 November 2024, the Hon. Prof. M. Ncube, Minister of Finance, Economic Development and Investment Promotion presented the </w:t>
      </w:r>
      <w:r w:rsidR="00A66525" w:rsidRPr="00A66525">
        <w:rPr>
          <w:rFonts w:ascii="Tahoma" w:hAnsi="Tahoma" w:cs="Tahoma"/>
          <w:sz w:val="24"/>
          <w:szCs w:val="24"/>
        </w:rPr>
        <w:t>2025 National Budget</w:t>
      </w:r>
      <w:r>
        <w:rPr>
          <w:rFonts w:ascii="Tahoma" w:hAnsi="Tahoma" w:cs="Tahoma"/>
          <w:sz w:val="24"/>
          <w:szCs w:val="24"/>
        </w:rPr>
        <w:t xml:space="preserve"> under the</w:t>
      </w:r>
      <w:r w:rsidR="00A66525" w:rsidRPr="00A66525">
        <w:rPr>
          <w:rFonts w:ascii="Tahoma" w:hAnsi="Tahoma" w:cs="Tahoma"/>
          <w:sz w:val="24"/>
          <w:szCs w:val="24"/>
        </w:rPr>
        <w:t xml:space="preserve"> theme </w:t>
      </w:r>
      <w:r w:rsidR="00A66525" w:rsidRPr="00A66525">
        <w:rPr>
          <w:rFonts w:ascii="Tahoma" w:hAnsi="Tahoma" w:cs="Tahoma"/>
          <w:b/>
          <w:bCs/>
          <w:sz w:val="24"/>
          <w:szCs w:val="24"/>
        </w:rPr>
        <w:t>"Building Resilience for Sustained Economic Transformation,"</w:t>
      </w:r>
      <w:r w:rsidR="00A66525" w:rsidRPr="00A66525">
        <w:rPr>
          <w:rFonts w:ascii="Tahoma" w:hAnsi="Tahoma" w:cs="Tahoma"/>
          <w:sz w:val="24"/>
          <w:szCs w:val="24"/>
        </w:rPr>
        <w:t xml:space="preserve"> focus</w:t>
      </w:r>
      <w:r>
        <w:rPr>
          <w:rFonts w:ascii="Tahoma" w:hAnsi="Tahoma" w:cs="Tahoma"/>
          <w:sz w:val="24"/>
          <w:szCs w:val="24"/>
        </w:rPr>
        <w:t>ing</w:t>
      </w:r>
      <w:r w:rsidR="00A66525" w:rsidRPr="00A66525">
        <w:rPr>
          <w:rFonts w:ascii="Tahoma" w:hAnsi="Tahoma" w:cs="Tahoma"/>
          <w:sz w:val="24"/>
          <w:szCs w:val="24"/>
        </w:rPr>
        <w:t xml:space="preserve"> on stabilizing Zimbabwe’s economy while fostering inclusive and sustainable growth. </w:t>
      </w:r>
    </w:p>
    <w:p w14:paraId="3A94BFF6" w14:textId="12753366" w:rsidR="00A66525" w:rsidRPr="00A66525" w:rsidRDefault="004A5F8D" w:rsidP="001B1C2D">
      <w:pPr>
        <w:ind w:left="720"/>
        <w:jc w:val="both"/>
        <w:rPr>
          <w:rFonts w:ascii="Tahoma" w:hAnsi="Tahoma" w:cs="Tahoma"/>
          <w:sz w:val="24"/>
          <w:szCs w:val="24"/>
        </w:rPr>
      </w:pPr>
      <w:r>
        <w:rPr>
          <w:rFonts w:ascii="Tahoma" w:hAnsi="Tahoma" w:cs="Tahoma"/>
          <w:sz w:val="24"/>
          <w:szCs w:val="24"/>
        </w:rPr>
        <w:t xml:space="preserve">The National Budget </w:t>
      </w:r>
      <w:r w:rsidR="00A66525" w:rsidRPr="00A66525">
        <w:rPr>
          <w:rFonts w:ascii="Tahoma" w:hAnsi="Tahoma" w:cs="Tahoma"/>
          <w:sz w:val="24"/>
          <w:szCs w:val="24"/>
        </w:rPr>
        <w:t xml:space="preserve">balances the need for fiscal consolidation with investments in critical sectors to achieve Vision 2030 objectives. </w:t>
      </w:r>
    </w:p>
    <w:p w14:paraId="77951AE1" w14:textId="1BD05931" w:rsidR="00A66525" w:rsidRDefault="00A66525" w:rsidP="001B1C2D">
      <w:pPr>
        <w:ind w:left="720"/>
        <w:jc w:val="both"/>
        <w:rPr>
          <w:rFonts w:ascii="Tahoma" w:hAnsi="Tahoma" w:cs="Tahoma"/>
          <w:sz w:val="24"/>
          <w:szCs w:val="24"/>
        </w:rPr>
      </w:pPr>
      <w:r w:rsidRPr="00A66525">
        <w:rPr>
          <w:rFonts w:ascii="Tahoma" w:hAnsi="Tahoma" w:cs="Tahoma"/>
          <w:sz w:val="24"/>
          <w:szCs w:val="24"/>
        </w:rPr>
        <w:t xml:space="preserve">The </w:t>
      </w:r>
      <w:r w:rsidR="004A5F8D">
        <w:rPr>
          <w:rFonts w:ascii="Tahoma" w:hAnsi="Tahoma" w:cs="Tahoma"/>
          <w:sz w:val="24"/>
          <w:szCs w:val="24"/>
        </w:rPr>
        <w:t>B</w:t>
      </w:r>
      <w:r w:rsidRPr="00A66525">
        <w:rPr>
          <w:rFonts w:ascii="Tahoma" w:hAnsi="Tahoma" w:cs="Tahoma"/>
          <w:sz w:val="24"/>
          <w:szCs w:val="24"/>
        </w:rPr>
        <w:t>udget introduces measures to address macroeconomic challenges, including inflationary pressures, exchange rate volatility, and public debt, while also improving public service delivery and expanding the social protection framework.</w:t>
      </w:r>
    </w:p>
    <w:p w14:paraId="04EF5716" w14:textId="77777777" w:rsidR="00AC71D6" w:rsidRPr="00A66525" w:rsidRDefault="00AC71D6" w:rsidP="00A66525">
      <w:pPr>
        <w:jc w:val="both"/>
        <w:rPr>
          <w:rFonts w:ascii="Tahoma" w:hAnsi="Tahoma" w:cs="Tahoma"/>
          <w:sz w:val="24"/>
          <w:szCs w:val="24"/>
        </w:rPr>
      </w:pPr>
    </w:p>
    <w:p w14:paraId="2E352AC4" w14:textId="3CE23225" w:rsidR="00A66525" w:rsidRPr="00185CDE" w:rsidRDefault="00A66525" w:rsidP="00185CDE">
      <w:pPr>
        <w:pStyle w:val="ListParagraph"/>
        <w:numPr>
          <w:ilvl w:val="0"/>
          <w:numId w:val="5"/>
        </w:numPr>
        <w:jc w:val="both"/>
        <w:rPr>
          <w:rFonts w:ascii="Tahoma" w:hAnsi="Tahoma" w:cs="Tahoma"/>
          <w:b/>
          <w:bCs/>
          <w:sz w:val="24"/>
          <w:szCs w:val="24"/>
        </w:rPr>
      </w:pPr>
      <w:r w:rsidRPr="00185CDE">
        <w:rPr>
          <w:rFonts w:ascii="Tahoma" w:hAnsi="Tahoma" w:cs="Tahoma"/>
          <w:b/>
          <w:bCs/>
          <w:sz w:val="24"/>
          <w:szCs w:val="24"/>
        </w:rPr>
        <w:t>Key Economic Developments</w:t>
      </w:r>
    </w:p>
    <w:p w14:paraId="48B672F3" w14:textId="35D3F284" w:rsidR="00A66525" w:rsidRPr="00A66525" w:rsidRDefault="00185CDE" w:rsidP="00185CDE">
      <w:pPr>
        <w:jc w:val="both"/>
        <w:rPr>
          <w:rFonts w:ascii="Tahoma" w:hAnsi="Tahoma" w:cs="Tahoma"/>
          <w:sz w:val="24"/>
          <w:szCs w:val="24"/>
        </w:rPr>
      </w:pPr>
      <w:r>
        <w:rPr>
          <w:rFonts w:ascii="Tahoma" w:hAnsi="Tahoma" w:cs="Tahoma"/>
          <w:b/>
          <w:bCs/>
          <w:sz w:val="24"/>
          <w:szCs w:val="24"/>
        </w:rPr>
        <w:t>2.1</w:t>
      </w:r>
      <w:r>
        <w:rPr>
          <w:rFonts w:ascii="Tahoma" w:hAnsi="Tahoma" w:cs="Tahoma"/>
          <w:b/>
          <w:bCs/>
          <w:sz w:val="24"/>
          <w:szCs w:val="24"/>
        </w:rPr>
        <w:tab/>
      </w:r>
      <w:r w:rsidR="00A66525" w:rsidRPr="00A66525">
        <w:rPr>
          <w:rFonts w:ascii="Tahoma" w:hAnsi="Tahoma" w:cs="Tahoma"/>
          <w:b/>
          <w:bCs/>
          <w:sz w:val="24"/>
          <w:szCs w:val="24"/>
        </w:rPr>
        <w:t>Economic Growth</w:t>
      </w:r>
      <w:r w:rsidR="00A66525" w:rsidRPr="00A66525">
        <w:rPr>
          <w:rFonts w:ascii="Tahoma" w:hAnsi="Tahoma" w:cs="Tahoma"/>
          <w:sz w:val="24"/>
          <w:szCs w:val="24"/>
        </w:rPr>
        <w:t>:</w:t>
      </w:r>
    </w:p>
    <w:p w14:paraId="6B40A2B8" w14:textId="273D8908" w:rsidR="000133BD" w:rsidRPr="006F1DB0" w:rsidRDefault="00AC71D6" w:rsidP="001B1C2D">
      <w:pPr>
        <w:ind w:left="720"/>
        <w:jc w:val="both"/>
        <w:rPr>
          <w:rFonts w:ascii="Tahoma" w:hAnsi="Tahoma" w:cs="Tahoma"/>
          <w:sz w:val="24"/>
          <w:szCs w:val="24"/>
        </w:rPr>
      </w:pPr>
      <w:r w:rsidRPr="006F1DB0">
        <w:rPr>
          <w:rFonts w:ascii="Tahoma" w:hAnsi="Tahoma" w:cs="Tahoma"/>
          <w:sz w:val="24"/>
          <w:szCs w:val="24"/>
        </w:rPr>
        <w:t>The economy is projected to grow by 2% in 2024</w:t>
      </w:r>
      <w:r w:rsidR="000133BD" w:rsidRPr="006F1DB0">
        <w:rPr>
          <w:rFonts w:ascii="Tahoma" w:hAnsi="Tahoma" w:cs="Tahoma"/>
          <w:sz w:val="24"/>
          <w:szCs w:val="24"/>
        </w:rPr>
        <w:t xml:space="preserve"> on the back of subpar performance in agriculture, manufacturing and mining. </w:t>
      </w:r>
    </w:p>
    <w:p w14:paraId="7F6334B2" w14:textId="77777777" w:rsidR="00DC3DCA" w:rsidRDefault="000133BD" w:rsidP="00CD7010">
      <w:pPr>
        <w:numPr>
          <w:ilvl w:val="5"/>
          <w:numId w:val="13"/>
        </w:numPr>
        <w:ind w:left="720"/>
        <w:jc w:val="both"/>
        <w:rPr>
          <w:rFonts w:ascii="Tahoma" w:hAnsi="Tahoma" w:cs="Tahoma"/>
          <w:sz w:val="24"/>
          <w:szCs w:val="24"/>
        </w:rPr>
      </w:pPr>
      <w:r w:rsidRPr="006F1DB0">
        <w:rPr>
          <w:rFonts w:ascii="Tahoma" w:hAnsi="Tahoma" w:cs="Tahoma"/>
          <w:sz w:val="24"/>
          <w:szCs w:val="24"/>
        </w:rPr>
        <w:t>In 2025, the economy is projected to grow by</w:t>
      </w:r>
      <w:r w:rsidR="00AC71D6" w:rsidRPr="006F1DB0">
        <w:rPr>
          <w:rFonts w:ascii="Tahoma" w:hAnsi="Tahoma" w:cs="Tahoma"/>
          <w:sz w:val="24"/>
          <w:szCs w:val="24"/>
        </w:rPr>
        <w:t xml:space="preserve"> </w:t>
      </w:r>
      <w:r w:rsidR="00A66525" w:rsidRPr="006F1DB0">
        <w:rPr>
          <w:rFonts w:ascii="Tahoma" w:hAnsi="Tahoma" w:cs="Tahoma"/>
          <w:sz w:val="24"/>
          <w:szCs w:val="24"/>
        </w:rPr>
        <w:t>6% in 2025</w:t>
      </w:r>
      <w:r w:rsidRPr="006F1DB0">
        <w:rPr>
          <w:rFonts w:ascii="Tahoma" w:hAnsi="Tahoma" w:cs="Tahoma"/>
          <w:sz w:val="24"/>
          <w:szCs w:val="24"/>
        </w:rPr>
        <w:t xml:space="preserve"> slightly below the initial forecast of 6.5% </w:t>
      </w:r>
      <w:r w:rsidR="00A66525" w:rsidRPr="006F1DB0">
        <w:rPr>
          <w:rFonts w:ascii="Tahoma" w:hAnsi="Tahoma" w:cs="Tahoma"/>
          <w:sz w:val="24"/>
          <w:szCs w:val="24"/>
        </w:rPr>
        <w:t xml:space="preserve">driven by agriculture (12.8%), electricity generation (10.6%), and ICT (9.9%). </w:t>
      </w:r>
    </w:p>
    <w:p w14:paraId="3BE2379E" w14:textId="2386A48B" w:rsidR="00CD7010" w:rsidRPr="006334DA" w:rsidRDefault="00CD7010" w:rsidP="00CD7010">
      <w:pPr>
        <w:numPr>
          <w:ilvl w:val="5"/>
          <w:numId w:val="13"/>
        </w:numPr>
        <w:ind w:left="720"/>
        <w:jc w:val="both"/>
        <w:rPr>
          <w:rFonts w:ascii="Tahoma" w:hAnsi="Tahoma" w:cs="Tahoma"/>
          <w:sz w:val="24"/>
          <w:szCs w:val="24"/>
        </w:rPr>
      </w:pPr>
      <w:r w:rsidRPr="006334DA">
        <w:rPr>
          <w:rFonts w:ascii="Tahoma" w:hAnsi="Tahoma" w:cs="Tahoma"/>
          <w:sz w:val="24"/>
          <w:szCs w:val="24"/>
        </w:rPr>
        <w:t>The 2025 economic growth projections are underpinned by assumptions</w:t>
      </w:r>
      <w:r w:rsidRPr="00CD7010">
        <w:rPr>
          <w:rFonts w:ascii="Tahoma" w:hAnsi="Tahoma" w:cs="Tahoma"/>
          <w:sz w:val="24"/>
          <w:szCs w:val="24"/>
        </w:rPr>
        <w:t xml:space="preserve"> that include:</w:t>
      </w:r>
      <w:r w:rsidRPr="006334DA">
        <w:rPr>
          <w:rFonts w:ascii="Tahoma" w:hAnsi="Tahoma" w:cs="Tahoma"/>
          <w:sz w:val="24"/>
          <w:szCs w:val="24"/>
        </w:rPr>
        <w:t xml:space="preserve"> </w:t>
      </w:r>
      <w:r w:rsidRPr="00CD7010">
        <w:rPr>
          <w:rFonts w:ascii="Tahoma" w:hAnsi="Tahoma" w:cs="Tahoma"/>
          <w:sz w:val="24"/>
          <w:szCs w:val="24"/>
        </w:rPr>
        <w:t>n</w:t>
      </w:r>
      <w:r w:rsidRPr="006334DA">
        <w:rPr>
          <w:rFonts w:ascii="Tahoma" w:hAnsi="Tahoma" w:cs="Tahoma"/>
          <w:sz w:val="24"/>
          <w:szCs w:val="24"/>
        </w:rPr>
        <w:t>ormal to above-normal rainfall which is expected to result in increased agricultural production</w:t>
      </w:r>
      <w:r w:rsidRPr="00CD7010">
        <w:rPr>
          <w:rFonts w:ascii="Tahoma" w:hAnsi="Tahoma" w:cs="Tahoma"/>
          <w:sz w:val="24"/>
          <w:szCs w:val="24"/>
        </w:rPr>
        <w:t>; s</w:t>
      </w:r>
      <w:r w:rsidRPr="006334DA">
        <w:rPr>
          <w:rFonts w:ascii="Tahoma" w:hAnsi="Tahoma" w:cs="Tahoma"/>
          <w:sz w:val="24"/>
          <w:szCs w:val="24"/>
        </w:rPr>
        <w:t xml:space="preserve">table exchange rate and low inflation providing a conducive doing business environment; and </w:t>
      </w:r>
      <w:r w:rsidRPr="00CD7010">
        <w:rPr>
          <w:rFonts w:ascii="Tahoma" w:hAnsi="Tahoma" w:cs="Tahoma"/>
          <w:sz w:val="24"/>
          <w:szCs w:val="24"/>
        </w:rPr>
        <w:t>t</w:t>
      </w:r>
      <w:r w:rsidRPr="006334DA">
        <w:rPr>
          <w:rFonts w:ascii="Tahoma" w:hAnsi="Tahoma" w:cs="Tahoma"/>
          <w:sz w:val="24"/>
          <w:szCs w:val="24"/>
        </w:rPr>
        <w:t xml:space="preserve">ight fiscal and monetary policies. </w:t>
      </w:r>
    </w:p>
    <w:p w14:paraId="4F1E2AFB" w14:textId="707C866E" w:rsidR="00CD7010" w:rsidRDefault="00CD7010" w:rsidP="00CD7010">
      <w:pPr>
        <w:ind w:left="1440"/>
        <w:jc w:val="both"/>
        <w:rPr>
          <w:rFonts w:ascii="Tahoma" w:hAnsi="Tahoma" w:cs="Tahoma"/>
          <w:sz w:val="24"/>
          <w:szCs w:val="24"/>
        </w:rPr>
      </w:pPr>
    </w:p>
    <w:p w14:paraId="30E8B828" w14:textId="6643AD70" w:rsidR="006F1DB0" w:rsidRPr="006F1DB0" w:rsidRDefault="006F1DB0" w:rsidP="001B1C2D">
      <w:pPr>
        <w:ind w:left="720"/>
        <w:jc w:val="both"/>
        <w:rPr>
          <w:rFonts w:ascii="Tahoma" w:hAnsi="Tahoma" w:cs="Tahoma"/>
          <w:sz w:val="24"/>
          <w:szCs w:val="24"/>
        </w:rPr>
      </w:pPr>
      <w:r>
        <w:rPr>
          <w:rFonts w:ascii="Tahoma" w:hAnsi="Tahoma" w:cs="Tahoma"/>
          <w:sz w:val="24"/>
          <w:szCs w:val="24"/>
        </w:rPr>
        <w:lastRenderedPageBreak/>
        <w:t>Regarding</w:t>
      </w:r>
      <w:r w:rsidRPr="006F1DB0">
        <w:rPr>
          <w:rFonts w:ascii="Tahoma" w:hAnsi="Tahoma" w:cs="Tahoma"/>
          <w:sz w:val="24"/>
          <w:szCs w:val="24"/>
        </w:rPr>
        <w:t xml:space="preserve"> GDP performance from the demand side, private consumption and government consumption are projected to grow by 2.5% and 5.4% in 2024, respectively. In 2025, however, private consumption is projected to drive economic growth by 6.6% due to strong recovery in household spending, while the public sector is anticipated to register a growth of 5.3%. </w:t>
      </w:r>
    </w:p>
    <w:p w14:paraId="0B98305E" w14:textId="6A7DCD3A" w:rsidR="00DC3DCA" w:rsidRPr="00DC3DCA" w:rsidRDefault="006F1DB0" w:rsidP="00DC3DCA">
      <w:pPr>
        <w:ind w:left="720"/>
        <w:jc w:val="both"/>
        <w:rPr>
          <w:rFonts w:ascii="Tahoma" w:hAnsi="Tahoma" w:cs="Tahoma"/>
          <w:sz w:val="24"/>
          <w:szCs w:val="24"/>
        </w:rPr>
      </w:pPr>
      <w:r w:rsidRPr="006F1DB0">
        <w:rPr>
          <w:rFonts w:ascii="Tahoma" w:hAnsi="Tahoma" w:cs="Tahoma"/>
          <w:sz w:val="24"/>
          <w:szCs w:val="24"/>
        </w:rPr>
        <w:t>Gross fixed capital investment is expected to grow from 0.5% in 2024, to 4.6% in 2025, driven by private sector investment on the back of an expected stable macro-economic environment.</w:t>
      </w:r>
    </w:p>
    <w:p w14:paraId="68D7D84B" w14:textId="77370A5A" w:rsidR="00DC3DCA" w:rsidRPr="006F1DB0" w:rsidRDefault="00DC3DCA" w:rsidP="00DC3DCA">
      <w:pPr>
        <w:ind w:left="720"/>
        <w:jc w:val="both"/>
        <w:rPr>
          <w:rFonts w:ascii="Tahoma" w:hAnsi="Tahoma" w:cs="Tahoma"/>
          <w:sz w:val="24"/>
          <w:szCs w:val="24"/>
        </w:rPr>
      </w:pPr>
      <w:r w:rsidRPr="00DC3DCA">
        <w:rPr>
          <w:rFonts w:ascii="Tahoma" w:hAnsi="Tahoma" w:cs="Tahoma"/>
          <w:sz w:val="24"/>
          <w:szCs w:val="24"/>
        </w:rPr>
        <w:t xml:space="preserve">Economic growth beyond 2025 is projected to remain steady at 5%, mainly driven by private consumption and investment. </w:t>
      </w:r>
    </w:p>
    <w:p w14:paraId="24729B52" w14:textId="22A1EB15" w:rsidR="00A66525" w:rsidRPr="00185CDE" w:rsidRDefault="00A66525" w:rsidP="00185CDE">
      <w:pPr>
        <w:pStyle w:val="ListParagraph"/>
        <w:numPr>
          <w:ilvl w:val="1"/>
          <w:numId w:val="6"/>
        </w:numPr>
        <w:jc w:val="both"/>
        <w:rPr>
          <w:rFonts w:ascii="Tahoma" w:hAnsi="Tahoma" w:cs="Tahoma"/>
          <w:sz w:val="24"/>
          <w:szCs w:val="24"/>
        </w:rPr>
      </w:pPr>
      <w:r w:rsidRPr="00185CDE">
        <w:rPr>
          <w:rFonts w:ascii="Tahoma" w:hAnsi="Tahoma" w:cs="Tahoma"/>
          <w:b/>
          <w:bCs/>
          <w:sz w:val="24"/>
          <w:szCs w:val="24"/>
        </w:rPr>
        <w:t>Inflation</w:t>
      </w:r>
      <w:r w:rsidRPr="00185CDE">
        <w:rPr>
          <w:rFonts w:ascii="Tahoma" w:hAnsi="Tahoma" w:cs="Tahoma"/>
          <w:sz w:val="24"/>
          <w:szCs w:val="24"/>
        </w:rPr>
        <w:t>:</w:t>
      </w:r>
    </w:p>
    <w:p w14:paraId="1E411660" w14:textId="42FE0B28" w:rsidR="00AC71D6" w:rsidRPr="006F1DB0" w:rsidRDefault="00A66525" w:rsidP="001B1C2D">
      <w:pPr>
        <w:ind w:left="720"/>
        <w:jc w:val="both"/>
        <w:rPr>
          <w:rFonts w:ascii="Tahoma" w:hAnsi="Tahoma" w:cs="Tahoma"/>
          <w:sz w:val="24"/>
          <w:szCs w:val="24"/>
        </w:rPr>
      </w:pPr>
      <w:r w:rsidRPr="006F1DB0">
        <w:rPr>
          <w:rFonts w:ascii="Tahoma" w:hAnsi="Tahoma" w:cs="Tahoma"/>
          <w:sz w:val="24"/>
          <w:szCs w:val="24"/>
        </w:rPr>
        <w:t>Following stabilization earlier in 2024, inflationary pressures reemerged due to exchange rate volatility. For 2025, month-on-month inflation is expected to remain below 3%, supported by tight fiscal and monetary policies.</w:t>
      </w:r>
    </w:p>
    <w:p w14:paraId="0BD553D5" w14:textId="170304F7" w:rsidR="00A66525" w:rsidRPr="00A66525" w:rsidRDefault="00185CDE" w:rsidP="00185CDE">
      <w:pPr>
        <w:jc w:val="both"/>
        <w:rPr>
          <w:rFonts w:ascii="Tahoma" w:hAnsi="Tahoma" w:cs="Tahoma"/>
          <w:sz w:val="24"/>
          <w:szCs w:val="24"/>
        </w:rPr>
      </w:pPr>
      <w:r>
        <w:rPr>
          <w:rFonts w:ascii="Tahoma" w:hAnsi="Tahoma" w:cs="Tahoma"/>
          <w:b/>
          <w:bCs/>
          <w:sz w:val="24"/>
          <w:szCs w:val="24"/>
        </w:rPr>
        <w:t>2.3</w:t>
      </w:r>
      <w:r>
        <w:rPr>
          <w:rFonts w:ascii="Tahoma" w:hAnsi="Tahoma" w:cs="Tahoma"/>
          <w:b/>
          <w:bCs/>
          <w:sz w:val="24"/>
          <w:szCs w:val="24"/>
        </w:rPr>
        <w:tab/>
      </w:r>
      <w:r w:rsidR="00A66525" w:rsidRPr="00A66525">
        <w:rPr>
          <w:rFonts w:ascii="Tahoma" w:hAnsi="Tahoma" w:cs="Tahoma"/>
          <w:b/>
          <w:bCs/>
          <w:sz w:val="24"/>
          <w:szCs w:val="24"/>
        </w:rPr>
        <w:t xml:space="preserve">Foreign </w:t>
      </w:r>
      <w:r w:rsidR="00A076A5">
        <w:rPr>
          <w:rFonts w:ascii="Tahoma" w:hAnsi="Tahoma" w:cs="Tahoma"/>
          <w:b/>
          <w:bCs/>
          <w:sz w:val="24"/>
          <w:szCs w:val="24"/>
        </w:rPr>
        <w:t xml:space="preserve">Currency </w:t>
      </w:r>
      <w:r w:rsidR="00A66525" w:rsidRPr="00A66525">
        <w:rPr>
          <w:rFonts w:ascii="Tahoma" w:hAnsi="Tahoma" w:cs="Tahoma"/>
          <w:b/>
          <w:bCs/>
          <w:sz w:val="24"/>
          <w:szCs w:val="24"/>
        </w:rPr>
        <w:t>Receipts</w:t>
      </w:r>
      <w:r w:rsidR="00A66525" w:rsidRPr="00A66525">
        <w:rPr>
          <w:rFonts w:ascii="Tahoma" w:hAnsi="Tahoma" w:cs="Tahoma"/>
          <w:sz w:val="24"/>
          <w:szCs w:val="24"/>
        </w:rPr>
        <w:t>:</w:t>
      </w:r>
    </w:p>
    <w:p w14:paraId="11FDB84C" w14:textId="0C59FAEE" w:rsidR="00A66525" w:rsidRPr="006F1DB0" w:rsidRDefault="00A66525" w:rsidP="006857E7">
      <w:pPr>
        <w:ind w:left="720"/>
        <w:jc w:val="both"/>
        <w:rPr>
          <w:rFonts w:ascii="Tahoma" w:hAnsi="Tahoma" w:cs="Tahoma"/>
          <w:sz w:val="24"/>
          <w:szCs w:val="24"/>
        </w:rPr>
      </w:pPr>
      <w:r w:rsidRPr="006F1DB0">
        <w:rPr>
          <w:rFonts w:ascii="Tahoma" w:hAnsi="Tahoma" w:cs="Tahoma"/>
          <w:sz w:val="24"/>
          <w:szCs w:val="24"/>
        </w:rPr>
        <w:t xml:space="preserve">Receipts rose by 17.9% </w:t>
      </w:r>
      <w:r w:rsidR="00A97E76" w:rsidRPr="00A97E76">
        <w:rPr>
          <w:rFonts w:ascii="Tahoma" w:hAnsi="Tahoma" w:cs="Tahoma"/>
          <w:sz w:val="24"/>
          <w:szCs w:val="24"/>
        </w:rPr>
        <w:t>during the first nine months of</w:t>
      </w:r>
      <w:r w:rsidRPr="006F1DB0">
        <w:rPr>
          <w:rFonts w:ascii="Tahoma" w:hAnsi="Tahoma" w:cs="Tahoma"/>
          <w:sz w:val="24"/>
          <w:szCs w:val="24"/>
        </w:rPr>
        <w:t xml:space="preserve"> 2024 to US$10 billion, driven by export earnings (59% of total receipts) and diaspora remittances (25%). </w:t>
      </w:r>
      <w:r w:rsidR="006857E7">
        <w:rPr>
          <w:rFonts w:ascii="Tahoma" w:hAnsi="Tahoma" w:cs="Tahoma"/>
          <w:sz w:val="24"/>
          <w:szCs w:val="24"/>
        </w:rPr>
        <w:t xml:space="preserve">During the same period in 2023, the country received </w:t>
      </w:r>
      <w:r w:rsidR="006857E7" w:rsidRPr="006857E7">
        <w:rPr>
          <w:rFonts w:ascii="Tahoma" w:hAnsi="Tahoma" w:cs="Tahoma"/>
          <w:sz w:val="24"/>
          <w:szCs w:val="24"/>
        </w:rPr>
        <w:t>US$8.5 billion</w:t>
      </w:r>
      <w:r w:rsidR="006857E7">
        <w:rPr>
          <w:rFonts w:ascii="Tahoma" w:hAnsi="Tahoma" w:cs="Tahoma"/>
          <w:sz w:val="24"/>
          <w:szCs w:val="24"/>
        </w:rPr>
        <w:t xml:space="preserve">. </w:t>
      </w:r>
    </w:p>
    <w:p w14:paraId="4D93EBA3" w14:textId="11A2FE15" w:rsidR="00A66525" w:rsidRPr="00A66525" w:rsidRDefault="00185CDE" w:rsidP="00185CDE">
      <w:pPr>
        <w:jc w:val="both"/>
        <w:rPr>
          <w:rFonts w:ascii="Tahoma" w:hAnsi="Tahoma" w:cs="Tahoma"/>
          <w:sz w:val="24"/>
          <w:szCs w:val="24"/>
        </w:rPr>
      </w:pPr>
      <w:r>
        <w:rPr>
          <w:rFonts w:ascii="Tahoma" w:hAnsi="Tahoma" w:cs="Tahoma"/>
          <w:b/>
          <w:bCs/>
          <w:sz w:val="24"/>
          <w:szCs w:val="24"/>
        </w:rPr>
        <w:t>2.4</w:t>
      </w:r>
      <w:r>
        <w:rPr>
          <w:rFonts w:ascii="Tahoma" w:hAnsi="Tahoma" w:cs="Tahoma"/>
          <w:b/>
          <w:bCs/>
          <w:sz w:val="24"/>
          <w:szCs w:val="24"/>
        </w:rPr>
        <w:tab/>
      </w:r>
      <w:r w:rsidR="00A66525" w:rsidRPr="00A66525">
        <w:rPr>
          <w:rFonts w:ascii="Tahoma" w:hAnsi="Tahoma" w:cs="Tahoma"/>
          <w:b/>
          <w:bCs/>
          <w:sz w:val="24"/>
          <w:szCs w:val="24"/>
        </w:rPr>
        <w:t>Public Debt</w:t>
      </w:r>
      <w:r w:rsidR="00A66525" w:rsidRPr="00A66525">
        <w:rPr>
          <w:rFonts w:ascii="Tahoma" w:hAnsi="Tahoma" w:cs="Tahoma"/>
          <w:sz w:val="24"/>
          <w:szCs w:val="24"/>
        </w:rPr>
        <w:t>:</w:t>
      </w:r>
    </w:p>
    <w:p w14:paraId="74EB8A13" w14:textId="531FB948" w:rsidR="00185CDE" w:rsidRPr="006F1DB0" w:rsidRDefault="00EB24E1" w:rsidP="00EB24E1">
      <w:pPr>
        <w:ind w:left="720"/>
        <w:jc w:val="both"/>
        <w:rPr>
          <w:rFonts w:ascii="Tahoma" w:hAnsi="Tahoma" w:cs="Tahoma"/>
          <w:sz w:val="24"/>
          <w:szCs w:val="24"/>
        </w:rPr>
      </w:pPr>
      <w:r>
        <w:rPr>
          <w:rFonts w:ascii="Tahoma" w:hAnsi="Tahoma" w:cs="Tahoma"/>
          <w:sz w:val="24"/>
          <w:szCs w:val="24"/>
        </w:rPr>
        <w:t>P</w:t>
      </w:r>
      <w:r w:rsidRPr="00EB24E1">
        <w:rPr>
          <w:rFonts w:ascii="Tahoma" w:hAnsi="Tahoma" w:cs="Tahoma"/>
          <w:sz w:val="24"/>
          <w:szCs w:val="24"/>
        </w:rPr>
        <w:t>ublic debt st</w:t>
      </w:r>
      <w:r>
        <w:rPr>
          <w:rFonts w:ascii="Tahoma" w:hAnsi="Tahoma" w:cs="Tahoma"/>
          <w:sz w:val="24"/>
          <w:szCs w:val="24"/>
        </w:rPr>
        <w:t>ands</w:t>
      </w:r>
      <w:r w:rsidRPr="00EB24E1">
        <w:rPr>
          <w:rFonts w:ascii="Tahoma" w:hAnsi="Tahoma" w:cs="Tahoma"/>
          <w:sz w:val="24"/>
          <w:szCs w:val="24"/>
        </w:rPr>
        <w:t xml:space="preserve"> at US$21.1 billion, as at end September 2024, of which external debt amounted to US$12.3 billion and domestic debt at US$8.7 billion. </w:t>
      </w:r>
      <w:r w:rsidR="00A66525" w:rsidRPr="006F1DB0">
        <w:rPr>
          <w:rFonts w:ascii="Tahoma" w:hAnsi="Tahoma" w:cs="Tahoma"/>
          <w:sz w:val="24"/>
          <w:szCs w:val="24"/>
        </w:rPr>
        <w:t xml:space="preserve"> Arrears clearance and debt restructuring efforts aim to reduce debt-servicing obligations and create fiscal space for development projects.</w:t>
      </w:r>
    </w:p>
    <w:p w14:paraId="75417C2D" w14:textId="4A2C824D" w:rsidR="00A66525" w:rsidRPr="00185CDE" w:rsidRDefault="00A66525" w:rsidP="00185CDE">
      <w:pPr>
        <w:pStyle w:val="ListParagraph"/>
        <w:numPr>
          <w:ilvl w:val="1"/>
          <w:numId w:val="7"/>
        </w:numPr>
        <w:jc w:val="both"/>
        <w:rPr>
          <w:rFonts w:ascii="Tahoma" w:hAnsi="Tahoma" w:cs="Tahoma"/>
          <w:sz w:val="24"/>
          <w:szCs w:val="24"/>
        </w:rPr>
      </w:pPr>
      <w:r w:rsidRPr="00185CDE">
        <w:rPr>
          <w:rFonts w:ascii="Tahoma" w:hAnsi="Tahoma" w:cs="Tahoma"/>
          <w:b/>
          <w:bCs/>
          <w:sz w:val="24"/>
          <w:szCs w:val="24"/>
        </w:rPr>
        <w:t>Public Deficit</w:t>
      </w:r>
      <w:r w:rsidRPr="00185CDE">
        <w:rPr>
          <w:rFonts w:ascii="Tahoma" w:hAnsi="Tahoma" w:cs="Tahoma"/>
          <w:sz w:val="24"/>
          <w:szCs w:val="24"/>
        </w:rPr>
        <w:t>:</w:t>
      </w:r>
    </w:p>
    <w:p w14:paraId="6C45ADB3" w14:textId="77777777" w:rsidR="00A66525" w:rsidRPr="00A66525" w:rsidRDefault="00A66525" w:rsidP="001B1C2D">
      <w:pPr>
        <w:ind w:left="720"/>
        <w:jc w:val="both"/>
        <w:rPr>
          <w:rFonts w:ascii="Tahoma" w:hAnsi="Tahoma" w:cs="Tahoma"/>
          <w:sz w:val="24"/>
          <w:szCs w:val="24"/>
        </w:rPr>
      </w:pPr>
      <w:r w:rsidRPr="00A66525">
        <w:rPr>
          <w:rFonts w:ascii="Tahoma" w:hAnsi="Tahoma" w:cs="Tahoma"/>
          <w:sz w:val="24"/>
          <w:szCs w:val="24"/>
        </w:rPr>
        <w:t xml:space="preserve">The fiscal deficit for 2025 is projected at </w:t>
      </w:r>
      <w:r w:rsidRPr="006F1DB0">
        <w:rPr>
          <w:rFonts w:ascii="Tahoma" w:hAnsi="Tahoma" w:cs="Tahoma"/>
          <w:sz w:val="24"/>
          <w:szCs w:val="24"/>
        </w:rPr>
        <w:t>2.5% of GDP</w:t>
      </w:r>
      <w:r w:rsidRPr="00A66525">
        <w:rPr>
          <w:rFonts w:ascii="Tahoma" w:hAnsi="Tahoma" w:cs="Tahoma"/>
          <w:sz w:val="24"/>
          <w:szCs w:val="24"/>
        </w:rPr>
        <w:t>, reflecting continued fiscal consolidation efforts.</w:t>
      </w:r>
    </w:p>
    <w:p w14:paraId="4825A6D6" w14:textId="5D098629" w:rsidR="00A66525" w:rsidRPr="00A66525" w:rsidRDefault="00185CDE" w:rsidP="00185CDE">
      <w:pPr>
        <w:jc w:val="both"/>
        <w:rPr>
          <w:rFonts w:ascii="Tahoma" w:hAnsi="Tahoma" w:cs="Tahoma"/>
          <w:sz w:val="24"/>
          <w:szCs w:val="24"/>
        </w:rPr>
      </w:pPr>
      <w:r>
        <w:rPr>
          <w:rFonts w:ascii="Tahoma" w:hAnsi="Tahoma" w:cs="Tahoma"/>
          <w:b/>
          <w:bCs/>
          <w:sz w:val="24"/>
          <w:szCs w:val="24"/>
        </w:rPr>
        <w:t>2.6</w:t>
      </w:r>
      <w:r>
        <w:rPr>
          <w:rFonts w:ascii="Tahoma" w:hAnsi="Tahoma" w:cs="Tahoma"/>
          <w:b/>
          <w:bCs/>
          <w:sz w:val="24"/>
          <w:szCs w:val="24"/>
        </w:rPr>
        <w:tab/>
      </w:r>
      <w:r w:rsidR="00A66525" w:rsidRPr="00A66525">
        <w:rPr>
          <w:rFonts w:ascii="Tahoma" w:hAnsi="Tahoma" w:cs="Tahoma"/>
          <w:b/>
          <w:bCs/>
          <w:sz w:val="24"/>
          <w:szCs w:val="24"/>
        </w:rPr>
        <w:t>Trade Performance</w:t>
      </w:r>
      <w:r w:rsidR="00A66525" w:rsidRPr="00A66525">
        <w:rPr>
          <w:rFonts w:ascii="Tahoma" w:hAnsi="Tahoma" w:cs="Tahoma"/>
          <w:sz w:val="24"/>
          <w:szCs w:val="24"/>
        </w:rPr>
        <w:t>:</w:t>
      </w:r>
    </w:p>
    <w:p w14:paraId="20232763" w14:textId="55E313D5" w:rsidR="00185CDE" w:rsidRDefault="00A66525" w:rsidP="00772813">
      <w:pPr>
        <w:ind w:left="720"/>
        <w:jc w:val="both"/>
        <w:rPr>
          <w:rFonts w:ascii="Tahoma" w:hAnsi="Tahoma" w:cs="Tahoma"/>
          <w:sz w:val="24"/>
          <w:szCs w:val="24"/>
        </w:rPr>
      </w:pPr>
      <w:r w:rsidRPr="006F1DB0">
        <w:rPr>
          <w:rFonts w:ascii="Tahoma" w:hAnsi="Tahoma" w:cs="Tahoma"/>
          <w:sz w:val="24"/>
          <w:szCs w:val="24"/>
        </w:rPr>
        <w:t xml:space="preserve">Merchandise exports rose by 3.3% </w:t>
      </w:r>
      <w:r w:rsidR="006857E7" w:rsidRPr="00A97E76">
        <w:rPr>
          <w:rFonts w:ascii="Tahoma" w:hAnsi="Tahoma" w:cs="Tahoma"/>
          <w:sz w:val="24"/>
          <w:szCs w:val="24"/>
        </w:rPr>
        <w:t>during the first nine months of</w:t>
      </w:r>
      <w:r w:rsidR="006857E7" w:rsidRPr="006F1DB0">
        <w:rPr>
          <w:rFonts w:ascii="Tahoma" w:hAnsi="Tahoma" w:cs="Tahoma"/>
          <w:sz w:val="24"/>
          <w:szCs w:val="24"/>
        </w:rPr>
        <w:t xml:space="preserve"> </w:t>
      </w:r>
      <w:r w:rsidRPr="006F1DB0">
        <w:rPr>
          <w:rFonts w:ascii="Tahoma" w:hAnsi="Tahoma" w:cs="Tahoma"/>
          <w:sz w:val="24"/>
          <w:szCs w:val="24"/>
        </w:rPr>
        <w:t>2024 to US$5.4 billion, led by gold (16.7%) and tobacco (17.1%). Imports increased by 4.4% to US$6.5 billion, driven by food and energy imports.</w:t>
      </w:r>
    </w:p>
    <w:p w14:paraId="14282275" w14:textId="3A6D54F7" w:rsidR="00DE73BD" w:rsidRPr="00DE73BD" w:rsidRDefault="00DE73BD" w:rsidP="00DE73BD">
      <w:pPr>
        <w:pStyle w:val="ListParagraph"/>
        <w:numPr>
          <w:ilvl w:val="1"/>
          <w:numId w:val="28"/>
        </w:numPr>
        <w:jc w:val="both"/>
        <w:rPr>
          <w:rFonts w:ascii="Tahoma" w:hAnsi="Tahoma" w:cs="Tahoma"/>
          <w:b/>
          <w:bCs/>
          <w:sz w:val="24"/>
          <w:szCs w:val="24"/>
        </w:rPr>
      </w:pPr>
      <w:r w:rsidRPr="00DE73BD">
        <w:rPr>
          <w:rFonts w:ascii="Tahoma" w:hAnsi="Tahoma" w:cs="Tahoma"/>
          <w:b/>
          <w:bCs/>
          <w:sz w:val="24"/>
          <w:szCs w:val="24"/>
        </w:rPr>
        <w:t>Land Tenure Reforms and Compensation Framework</w:t>
      </w:r>
    </w:p>
    <w:p w14:paraId="6A831AB5" w14:textId="10B2004B" w:rsidR="00DE73BD" w:rsidRPr="00DE73BD" w:rsidRDefault="00DE73BD" w:rsidP="00DE73BD">
      <w:pPr>
        <w:ind w:left="720"/>
        <w:jc w:val="both"/>
        <w:rPr>
          <w:rFonts w:ascii="Tahoma" w:hAnsi="Tahoma" w:cs="Tahoma"/>
          <w:sz w:val="24"/>
          <w:szCs w:val="24"/>
        </w:rPr>
      </w:pPr>
      <w:r w:rsidRPr="00DE73BD">
        <w:rPr>
          <w:rFonts w:ascii="Tahoma" w:hAnsi="Tahoma" w:cs="Tahoma"/>
          <w:sz w:val="24"/>
          <w:szCs w:val="24"/>
        </w:rPr>
        <w:t xml:space="preserve">The Budget prioritizes addressing land tenure reforms and compensation for former farm owners (FFOs) under the Global Compensation Deed (GCD) and Bilateral Investment Protection and Promotion Agreements (BIPPAs). Treasury approved 444 FFO applications worth US$331.7 million, with 1% (US$3.3 million) </w:t>
      </w:r>
      <w:r>
        <w:rPr>
          <w:rFonts w:ascii="Tahoma" w:hAnsi="Tahoma" w:cs="Tahoma"/>
          <w:sz w:val="24"/>
          <w:szCs w:val="24"/>
        </w:rPr>
        <w:t xml:space="preserve">to be </w:t>
      </w:r>
      <w:r w:rsidRPr="00DE73BD">
        <w:rPr>
          <w:rFonts w:ascii="Tahoma" w:hAnsi="Tahoma" w:cs="Tahoma"/>
          <w:sz w:val="24"/>
          <w:szCs w:val="24"/>
        </w:rPr>
        <w:t xml:space="preserve">paid upfront and the balance settled through Treasury bonds with maturities of 1–10 years and a 2% coupon rate. Compensation payments will </w:t>
      </w:r>
      <w:r w:rsidRPr="00DE73BD">
        <w:rPr>
          <w:rFonts w:ascii="Tahoma" w:hAnsi="Tahoma" w:cs="Tahoma"/>
          <w:sz w:val="24"/>
          <w:szCs w:val="24"/>
        </w:rPr>
        <w:lastRenderedPageBreak/>
        <w:t>begin in Q4 2024, supported by a US$10 million allocation in the 2025 Budget. Additionally, 94 claims under BIPPAs worth US$131.3 million were approved, with US$20 million allocated in 2024 for immediate payments, and an additional US$20 million in the 2025 Budget for a multi-year payment plan.</w:t>
      </w:r>
    </w:p>
    <w:p w14:paraId="247355DE" w14:textId="0079860D" w:rsidR="00185CDE" w:rsidRDefault="00DE73BD" w:rsidP="00DE73BD">
      <w:pPr>
        <w:ind w:left="720"/>
        <w:jc w:val="both"/>
        <w:rPr>
          <w:rFonts w:ascii="Tahoma" w:hAnsi="Tahoma" w:cs="Tahoma"/>
          <w:sz w:val="24"/>
          <w:szCs w:val="24"/>
        </w:rPr>
      </w:pPr>
      <w:r w:rsidRPr="00DE73BD">
        <w:rPr>
          <w:rFonts w:ascii="Tahoma" w:hAnsi="Tahoma" w:cs="Tahoma"/>
          <w:sz w:val="24"/>
          <w:szCs w:val="24"/>
        </w:rPr>
        <w:t xml:space="preserve">These measures aim to restore confidence in Zimbabwe’s investment environment by </w:t>
      </w:r>
      <w:r w:rsidRPr="00DE73BD">
        <w:rPr>
          <w:rFonts w:ascii="Tahoma" w:hAnsi="Tahoma" w:cs="Tahoma"/>
          <w:sz w:val="24"/>
          <w:szCs w:val="24"/>
        </w:rPr>
        <w:t>honouring</w:t>
      </w:r>
      <w:r w:rsidRPr="00DE73BD">
        <w:rPr>
          <w:rFonts w:ascii="Tahoma" w:hAnsi="Tahoma" w:cs="Tahoma"/>
          <w:sz w:val="24"/>
          <w:szCs w:val="24"/>
        </w:rPr>
        <w:t xml:space="preserve"> property rights, critical for attracting foreign direct investment and stabilizing the agricultural sector. However, reliance on Treasury bonds and future budget allocations poses risks to fiscal sustainability, underscoring the need for disciplined resource management and economic stability to ensure timely and effective implementation.</w:t>
      </w:r>
    </w:p>
    <w:p w14:paraId="6ECA6DF0" w14:textId="4A977E80" w:rsidR="00A66525" w:rsidRPr="00096760" w:rsidRDefault="00A66525" w:rsidP="00096760">
      <w:pPr>
        <w:pStyle w:val="ListParagraph"/>
        <w:numPr>
          <w:ilvl w:val="0"/>
          <w:numId w:val="17"/>
        </w:numPr>
        <w:spacing w:line="360" w:lineRule="auto"/>
        <w:jc w:val="both"/>
        <w:rPr>
          <w:rFonts w:ascii="Tahoma" w:hAnsi="Tahoma" w:cs="Tahoma"/>
          <w:b/>
          <w:bCs/>
          <w:sz w:val="24"/>
          <w:szCs w:val="24"/>
        </w:rPr>
      </w:pPr>
      <w:r w:rsidRPr="00096760">
        <w:rPr>
          <w:rFonts w:ascii="Tahoma" w:hAnsi="Tahoma" w:cs="Tahoma"/>
          <w:b/>
          <w:bCs/>
          <w:sz w:val="24"/>
          <w:szCs w:val="24"/>
        </w:rPr>
        <w:t>Fiscal Measures</w:t>
      </w:r>
    </w:p>
    <w:p w14:paraId="5CF1A07C" w14:textId="0BA8848D" w:rsidR="00EB24E1" w:rsidRDefault="00EB24E1" w:rsidP="00EB24E1">
      <w:pPr>
        <w:pStyle w:val="ListParagraph"/>
        <w:jc w:val="both"/>
        <w:rPr>
          <w:rFonts w:ascii="Tahoma" w:hAnsi="Tahoma" w:cs="Tahoma"/>
          <w:sz w:val="24"/>
          <w:szCs w:val="24"/>
        </w:rPr>
      </w:pPr>
      <w:r w:rsidRPr="00EB24E1">
        <w:rPr>
          <w:rFonts w:ascii="Tahoma" w:hAnsi="Tahoma" w:cs="Tahoma"/>
          <w:sz w:val="24"/>
          <w:szCs w:val="24"/>
        </w:rPr>
        <w:t xml:space="preserve">The following </w:t>
      </w:r>
      <w:r w:rsidR="00772813">
        <w:rPr>
          <w:rFonts w:ascii="Tahoma" w:hAnsi="Tahoma" w:cs="Tahoma"/>
          <w:sz w:val="24"/>
          <w:szCs w:val="24"/>
        </w:rPr>
        <w:t>fiscal</w:t>
      </w:r>
      <w:r w:rsidRPr="00EB24E1">
        <w:rPr>
          <w:rFonts w:ascii="Tahoma" w:hAnsi="Tahoma" w:cs="Tahoma"/>
          <w:sz w:val="24"/>
          <w:szCs w:val="24"/>
        </w:rPr>
        <w:t xml:space="preserve"> measures are being proposed in the Budget for implementation: </w:t>
      </w:r>
    </w:p>
    <w:p w14:paraId="0C1165A5" w14:textId="77777777" w:rsidR="00772813" w:rsidRDefault="00772813" w:rsidP="00EB24E1">
      <w:pPr>
        <w:pStyle w:val="ListParagraph"/>
        <w:jc w:val="both"/>
        <w:rPr>
          <w:rFonts w:ascii="Tahoma" w:hAnsi="Tahoma" w:cs="Tahoma"/>
          <w:sz w:val="24"/>
          <w:szCs w:val="24"/>
        </w:rPr>
      </w:pPr>
    </w:p>
    <w:p w14:paraId="31173F46" w14:textId="77777777" w:rsidR="00772813" w:rsidRPr="00EB24E1" w:rsidRDefault="00772813" w:rsidP="00EB24E1">
      <w:pPr>
        <w:pStyle w:val="ListParagraph"/>
        <w:jc w:val="both"/>
        <w:rPr>
          <w:rFonts w:ascii="Tahoma" w:hAnsi="Tahoma" w:cs="Tahoma"/>
          <w:sz w:val="24"/>
          <w:szCs w:val="24"/>
        </w:rPr>
      </w:pPr>
    </w:p>
    <w:p w14:paraId="66E88C0B" w14:textId="2B7047F2" w:rsidR="00A66525" w:rsidRPr="00A66525" w:rsidRDefault="00096760" w:rsidP="00185CDE">
      <w:pPr>
        <w:jc w:val="both"/>
        <w:rPr>
          <w:rFonts w:ascii="Tahoma" w:hAnsi="Tahoma" w:cs="Tahoma"/>
          <w:sz w:val="24"/>
          <w:szCs w:val="24"/>
        </w:rPr>
      </w:pPr>
      <w:r>
        <w:rPr>
          <w:rFonts w:ascii="Tahoma" w:hAnsi="Tahoma" w:cs="Tahoma"/>
          <w:b/>
          <w:bCs/>
          <w:sz w:val="24"/>
          <w:szCs w:val="24"/>
        </w:rPr>
        <w:t>3</w:t>
      </w:r>
      <w:r w:rsidR="00185CDE">
        <w:rPr>
          <w:rFonts w:ascii="Tahoma" w:hAnsi="Tahoma" w:cs="Tahoma"/>
          <w:b/>
          <w:bCs/>
          <w:sz w:val="24"/>
          <w:szCs w:val="24"/>
        </w:rPr>
        <w:t>.1</w:t>
      </w:r>
      <w:r w:rsidR="00185CDE">
        <w:rPr>
          <w:rFonts w:ascii="Tahoma" w:hAnsi="Tahoma" w:cs="Tahoma"/>
          <w:b/>
          <w:bCs/>
          <w:sz w:val="24"/>
          <w:szCs w:val="24"/>
        </w:rPr>
        <w:tab/>
      </w:r>
      <w:r w:rsidR="00A66525" w:rsidRPr="00A66525">
        <w:rPr>
          <w:rFonts w:ascii="Tahoma" w:hAnsi="Tahoma" w:cs="Tahoma"/>
          <w:b/>
          <w:bCs/>
          <w:sz w:val="24"/>
          <w:szCs w:val="24"/>
        </w:rPr>
        <w:t xml:space="preserve">Revenue </w:t>
      </w:r>
      <w:r w:rsidR="00322F9B">
        <w:rPr>
          <w:rFonts w:ascii="Tahoma" w:hAnsi="Tahoma" w:cs="Tahoma"/>
          <w:b/>
          <w:bCs/>
          <w:sz w:val="24"/>
          <w:szCs w:val="24"/>
        </w:rPr>
        <w:t xml:space="preserve">Enhancing </w:t>
      </w:r>
      <w:r w:rsidR="00A66525" w:rsidRPr="00A66525">
        <w:rPr>
          <w:rFonts w:ascii="Tahoma" w:hAnsi="Tahoma" w:cs="Tahoma"/>
          <w:b/>
          <w:bCs/>
          <w:sz w:val="24"/>
          <w:szCs w:val="24"/>
        </w:rPr>
        <w:t>Measures</w:t>
      </w:r>
    </w:p>
    <w:p w14:paraId="6AEE6BAF" w14:textId="6DD5A4B4" w:rsidR="00A66525" w:rsidRPr="006762F5" w:rsidRDefault="00A66525" w:rsidP="00096760">
      <w:pPr>
        <w:numPr>
          <w:ilvl w:val="0"/>
          <w:numId w:val="18"/>
        </w:numPr>
        <w:jc w:val="both"/>
        <w:rPr>
          <w:rFonts w:ascii="Tahoma" w:hAnsi="Tahoma" w:cs="Tahoma"/>
          <w:sz w:val="24"/>
          <w:szCs w:val="24"/>
        </w:rPr>
      </w:pPr>
      <w:r w:rsidRPr="00A66525">
        <w:rPr>
          <w:rFonts w:ascii="Tahoma" w:hAnsi="Tahoma" w:cs="Tahoma"/>
          <w:b/>
          <w:bCs/>
          <w:sz w:val="24"/>
          <w:szCs w:val="24"/>
        </w:rPr>
        <w:t>Excise Duties</w:t>
      </w:r>
      <w:r w:rsidRPr="00A66525">
        <w:rPr>
          <w:rFonts w:ascii="Tahoma" w:hAnsi="Tahoma" w:cs="Tahoma"/>
          <w:sz w:val="24"/>
          <w:szCs w:val="24"/>
        </w:rPr>
        <w:t>:</w:t>
      </w:r>
      <w:r w:rsidR="006762F5">
        <w:rPr>
          <w:rFonts w:ascii="Tahoma" w:hAnsi="Tahoma" w:cs="Tahoma"/>
          <w:sz w:val="24"/>
          <w:szCs w:val="24"/>
        </w:rPr>
        <w:t xml:space="preserve"> </w:t>
      </w:r>
      <w:r w:rsidRPr="006762F5">
        <w:rPr>
          <w:rFonts w:ascii="Tahoma" w:hAnsi="Tahoma" w:cs="Tahoma"/>
          <w:sz w:val="24"/>
          <w:szCs w:val="24"/>
        </w:rPr>
        <w:t>Increased from 30% to 40% on wines and spirits.</w:t>
      </w:r>
      <w:r w:rsidR="006762F5" w:rsidRPr="006762F5">
        <w:rPr>
          <w:rFonts w:ascii="Tahoma" w:hAnsi="Tahoma" w:cs="Tahoma"/>
          <w:sz w:val="24"/>
          <w:szCs w:val="24"/>
        </w:rPr>
        <w:t xml:space="preserve"> </w:t>
      </w:r>
      <w:r w:rsidRPr="006762F5">
        <w:rPr>
          <w:rFonts w:ascii="Tahoma" w:hAnsi="Tahoma" w:cs="Tahoma"/>
          <w:sz w:val="24"/>
          <w:szCs w:val="24"/>
        </w:rPr>
        <w:t>Tobacco excise raised by 10 percentage points.</w:t>
      </w:r>
    </w:p>
    <w:p w14:paraId="1792DCBE" w14:textId="293D9BF2" w:rsidR="00A66525" w:rsidRPr="00414506" w:rsidRDefault="00A66525" w:rsidP="00096760">
      <w:pPr>
        <w:numPr>
          <w:ilvl w:val="0"/>
          <w:numId w:val="18"/>
        </w:numPr>
        <w:jc w:val="both"/>
        <w:rPr>
          <w:rFonts w:ascii="Tahoma" w:hAnsi="Tahoma" w:cs="Tahoma"/>
          <w:sz w:val="24"/>
          <w:szCs w:val="24"/>
        </w:rPr>
      </w:pPr>
      <w:r w:rsidRPr="00A66525">
        <w:rPr>
          <w:rFonts w:ascii="Tahoma" w:hAnsi="Tahoma" w:cs="Tahoma"/>
          <w:b/>
          <w:bCs/>
          <w:sz w:val="24"/>
          <w:szCs w:val="24"/>
        </w:rPr>
        <w:t>Fast Food Tax</w:t>
      </w:r>
      <w:r w:rsidRPr="00A66525">
        <w:rPr>
          <w:rFonts w:ascii="Tahoma" w:hAnsi="Tahoma" w:cs="Tahoma"/>
          <w:sz w:val="24"/>
          <w:szCs w:val="24"/>
        </w:rPr>
        <w:t xml:space="preserve">: </w:t>
      </w:r>
      <w:r w:rsidR="00B2161C">
        <w:rPr>
          <w:rFonts w:ascii="Tahoma" w:hAnsi="Tahoma" w:cs="Tahoma"/>
          <w:sz w:val="24"/>
          <w:szCs w:val="24"/>
        </w:rPr>
        <w:t xml:space="preserve">Introduced </w:t>
      </w:r>
      <w:r w:rsidR="00B2161C" w:rsidRPr="00B2161C">
        <w:rPr>
          <w:rFonts w:ascii="Tahoma" w:hAnsi="Tahoma" w:cs="Tahoma"/>
          <w:sz w:val="24"/>
          <w:szCs w:val="24"/>
        </w:rPr>
        <w:t>a modest rate of 0.5% on the sales value</w:t>
      </w:r>
      <w:r w:rsidR="00B2161C">
        <w:rPr>
          <w:rFonts w:ascii="Tahoma" w:hAnsi="Tahoma" w:cs="Tahoma"/>
          <w:sz w:val="24"/>
          <w:szCs w:val="24"/>
        </w:rPr>
        <w:t xml:space="preserve"> of </w:t>
      </w:r>
      <w:r w:rsidR="00B2161C" w:rsidRPr="00B2161C">
        <w:rPr>
          <w:rFonts w:ascii="Tahoma" w:hAnsi="Tahoma" w:cs="Tahoma"/>
          <w:sz w:val="24"/>
          <w:szCs w:val="24"/>
        </w:rPr>
        <w:t>food items sold by Fast Food Retail Outlets and Restaurants</w:t>
      </w:r>
      <w:r w:rsidR="00B2161C" w:rsidRPr="00B2161C">
        <w:rPr>
          <w:rFonts w:ascii="Tahoma" w:hAnsi="Tahoma" w:cs="Tahoma"/>
          <w:i/>
          <w:iCs/>
          <w:sz w:val="24"/>
          <w:szCs w:val="24"/>
        </w:rPr>
        <w:t xml:space="preserve"> </w:t>
      </w:r>
      <w:r w:rsidR="00B2161C" w:rsidRPr="00B2161C">
        <w:rPr>
          <w:rFonts w:ascii="Tahoma" w:hAnsi="Tahoma" w:cs="Tahoma"/>
          <w:sz w:val="24"/>
          <w:szCs w:val="24"/>
        </w:rPr>
        <w:t>with effect from 1 January 2025</w:t>
      </w:r>
      <w:r w:rsidR="00B2161C">
        <w:rPr>
          <w:rFonts w:ascii="Tahoma" w:hAnsi="Tahoma" w:cs="Tahoma"/>
          <w:sz w:val="24"/>
          <w:szCs w:val="24"/>
        </w:rPr>
        <w:t xml:space="preserve">. The food items include </w:t>
      </w:r>
      <w:r w:rsidR="00B2161C" w:rsidRPr="00B2161C">
        <w:rPr>
          <w:rFonts w:ascii="Tahoma" w:hAnsi="Tahoma" w:cs="Tahoma"/>
          <w:sz w:val="24"/>
          <w:szCs w:val="24"/>
        </w:rPr>
        <w:t>pizza</w:t>
      </w:r>
      <w:r w:rsidR="00B2161C">
        <w:rPr>
          <w:rFonts w:ascii="Tahoma" w:hAnsi="Tahoma" w:cs="Tahoma"/>
          <w:sz w:val="24"/>
          <w:szCs w:val="24"/>
        </w:rPr>
        <w:t xml:space="preserve">, </w:t>
      </w:r>
      <w:r w:rsidR="00B2161C" w:rsidRPr="00B2161C">
        <w:rPr>
          <w:rFonts w:ascii="Tahoma" w:hAnsi="Tahoma" w:cs="Tahoma"/>
          <w:sz w:val="24"/>
          <w:szCs w:val="24"/>
        </w:rPr>
        <w:t>burger and hot dog</w:t>
      </w:r>
      <w:r w:rsidR="00B2161C">
        <w:rPr>
          <w:rFonts w:ascii="Tahoma" w:hAnsi="Tahoma" w:cs="Tahoma"/>
          <w:sz w:val="24"/>
          <w:szCs w:val="24"/>
        </w:rPr>
        <w:t xml:space="preserve">, </w:t>
      </w:r>
      <w:r w:rsidR="00B2161C" w:rsidRPr="00B2161C">
        <w:rPr>
          <w:rFonts w:ascii="Tahoma" w:hAnsi="Tahoma" w:cs="Tahoma"/>
          <w:sz w:val="24"/>
          <w:szCs w:val="24"/>
        </w:rPr>
        <w:t>shawarma</w:t>
      </w:r>
      <w:r w:rsidR="00B2161C">
        <w:rPr>
          <w:rFonts w:ascii="Tahoma" w:hAnsi="Tahoma" w:cs="Tahoma"/>
          <w:sz w:val="24"/>
          <w:szCs w:val="24"/>
        </w:rPr>
        <w:t xml:space="preserve">, </w:t>
      </w:r>
      <w:r w:rsidR="00B2161C" w:rsidRPr="00B2161C">
        <w:rPr>
          <w:rFonts w:ascii="Tahoma" w:hAnsi="Tahoma" w:cs="Tahoma"/>
          <w:sz w:val="24"/>
          <w:szCs w:val="24"/>
        </w:rPr>
        <w:t>French fries</w:t>
      </w:r>
      <w:r w:rsidR="00B2161C">
        <w:rPr>
          <w:rFonts w:ascii="Tahoma" w:hAnsi="Tahoma" w:cs="Tahoma"/>
          <w:sz w:val="24"/>
          <w:szCs w:val="24"/>
        </w:rPr>
        <w:t xml:space="preserve">, </w:t>
      </w:r>
      <w:r w:rsidR="00B2161C" w:rsidRPr="00B2161C">
        <w:rPr>
          <w:rFonts w:ascii="Tahoma" w:hAnsi="Tahoma" w:cs="Tahoma"/>
          <w:sz w:val="24"/>
          <w:szCs w:val="24"/>
        </w:rPr>
        <w:t>chicken</w:t>
      </w:r>
      <w:r w:rsidR="00B2161C">
        <w:rPr>
          <w:rFonts w:ascii="Tahoma" w:hAnsi="Tahoma" w:cs="Tahoma"/>
          <w:sz w:val="24"/>
          <w:szCs w:val="24"/>
        </w:rPr>
        <w:t xml:space="preserve">, </w:t>
      </w:r>
      <w:r w:rsidR="00B2161C" w:rsidRPr="00B2161C">
        <w:rPr>
          <w:rFonts w:ascii="Tahoma" w:hAnsi="Tahoma" w:cs="Tahoma"/>
          <w:sz w:val="24"/>
          <w:szCs w:val="24"/>
        </w:rPr>
        <w:t>doughnuts and similar products</w:t>
      </w:r>
      <w:r w:rsidR="00B2161C">
        <w:rPr>
          <w:rFonts w:ascii="Tahoma" w:hAnsi="Tahoma" w:cs="Tahoma"/>
          <w:sz w:val="24"/>
          <w:szCs w:val="24"/>
        </w:rPr>
        <w:t>,</w:t>
      </w:r>
      <w:r w:rsidR="00B2161C" w:rsidRPr="00B2161C">
        <w:rPr>
          <w:rFonts w:ascii="Tahoma" w:hAnsi="Tahoma" w:cs="Tahoma"/>
          <w:sz w:val="24"/>
          <w:szCs w:val="24"/>
        </w:rPr>
        <w:t xml:space="preserve"> and</w:t>
      </w:r>
      <w:r w:rsidR="00B2161C">
        <w:rPr>
          <w:rFonts w:ascii="Tahoma" w:hAnsi="Tahoma" w:cs="Tahoma"/>
          <w:sz w:val="24"/>
          <w:szCs w:val="24"/>
        </w:rPr>
        <w:t xml:space="preserve"> </w:t>
      </w:r>
      <w:r w:rsidR="00B2161C" w:rsidRPr="00B2161C">
        <w:rPr>
          <w:rFonts w:ascii="Tahoma" w:hAnsi="Tahoma" w:cs="Tahoma"/>
          <w:sz w:val="24"/>
          <w:szCs w:val="24"/>
        </w:rPr>
        <w:t>tacos.</w:t>
      </w:r>
    </w:p>
    <w:p w14:paraId="782B1713" w14:textId="77777777" w:rsidR="00A66525" w:rsidRPr="00A66525" w:rsidRDefault="00A66525" w:rsidP="00096760">
      <w:pPr>
        <w:numPr>
          <w:ilvl w:val="0"/>
          <w:numId w:val="18"/>
        </w:numPr>
        <w:jc w:val="both"/>
        <w:rPr>
          <w:rFonts w:ascii="Tahoma" w:hAnsi="Tahoma" w:cs="Tahoma"/>
          <w:sz w:val="24"/>
          <w:szCs w:val="24"/>
        </w:rPr>
      </w:pPr>
      <w:r w:rsidRPr="00A66525">
        <w:rPr>
          <w:rFonts w:ascii="Tahoma" w:hAnsi="Tahoma" w:cs="Tahoma"/>
          <w:b/>
          <w:bCs/>
          <w:sz w:val="24"/>
          <w:szCs w:val="24"/>
        </w:rPr>
        <w:t>Rental Income Tax</w:t>
      </w:r>
      <w:r w:rsidRPr="00A66525">
        <w:rPr>
          <w:rFonts w:ascii="Tahoma" w:hAnsi="Tahoma" w:cs="Tahoma"/>
          <w:sz w:val="24"/>
          <w:szCs w:val="24"/>
        </w:rPr>
        <w:t xml:space="preserve">: A flat </w:t>
      </w:r>
      <w:r w:rsidRPr="00A66525">
        <w:rPr>
          <w:rFonts w:ascii="Tahoma" w:hAnsi="Tahoma" w:cs="Tahoma"/>
          <w:b/>
          <w:bCs/>
          <w:sz w:val="24"/>
          <w:szCs w:val="24"/>
        </w:rPr>
        <w:t>15% withholding tax</w:t>
      </w:r>
      <w:r w:rsidRPr="00A66525">
        <w:rPr>
          <w:rFonts w:ascii="Tahoma" w:hAnsi="Tahoma" w:cs="Tahoma"/>
          <w:sz w:val="24"/>
          <w:szCs w:val="24"/>
        </w:rPr>
        <w:t xml:space="preserve"> on landlords' rental income to enhance compliance.</w:t>
      </w:r>
    </w:p>
    <w:p w14:paraId="28211AA1" w14:textId="77777777" w:rsidR="00A66525" w:rsidRDefault="00A66525" w:rsidP="00096760">
      <w:pPr>
        <w:numPr>
          <w:ilvl w:val="0"/>
          <w:numId w:val="18"/>
        </w:numPr>
        <w:jc w:val="both"/>
        <w:rPr>
          <w:rFonts w:ascii="Tahoma" w:hAnsi="Tahoma" w:cs="Tahoma"/>
          <w:sz w:val="24"/>
          <w:szCs w:val="24"/>
        </w:rPr>
      </w:pPr>
      <w:r w:rsidRPr="00A66525">
        <w:rPr>
          <w:rFonts w:ascii="Tahoma" w:hAnsi="Tahoma" w:cs="Tahoma"/>
          <w:b/>
          <w:bCs/>
          <w:sz w:val="24"/>
          <w:szCs w:val="24"/>
        </w:rPr>
        <w:t>Customs Duties</w:t>
      </w:r>
      <w:r w:rsidRPr="00A66525">
        <w:rPr>
          <w:rFonts w:ascii="Tahoma" w:hAnsi="Tahoma" w:cs="Tahoma"/>
          <w:sz w:val="24"/>
          <w:szCs w:val="24"/>
        </w:rPr>
        <w:t xml:space="preserve">: New duty of </w:t>
      </w:r>
      <w:r w:rsidRPr="00A66525">
        <w:rPr>
          <w:rFonts w:ascii="Tahoma" w:hAnsi="Tahoma" w:cs="Tahoma"/>
          <w:b/>
          <w:bCs/>
          <w:sz w:val="24"/>
          <w:szCs w:val="24"/>
        </w:rPr>
        <w:t>15%</w:t>
      </w:r>
      <w:r w:rsidRPr="00A66525">
        <w:rPr>
          <w:rFonts w:ascii="Tahoma" w:hAnsi="Tahoma" w:cs="Tahoma"/>
          <w:sz w:val="24"/>
          <w:szCs w:val="24"/>
        </w:rPr>
        <w:t xml:space="preserve"> on electric motor vehicles to promote local industry.</w:t>
      </w:r>
    </w:p>
    <w:p w14:paraId="740741B7" w14:textId="6567BDD8" w:rsidR="00322F9B" w:rsidRPr="00322F9B" w:rsidRDefault="00322F9B" w:rsidP="00096760">
      <w:pPr>
        <w:numPr>
          <w:ilvl w:val="0"/>
          <w:numId w:val="18"/>
        </w:numPr>
        <w:jc w:val="both"/>
        <w:rPr>
          <w:rFonts w:ascii="Tahoma" w:hAnsi="Tahoma" w:cs="Tahoma"/>
          <w:sz w:val="24"/>
          <w:szCs w:val="24"/>
        </w:rPr>
      </w:pPr>
      <w:r w:rsidRPr="00322F9B">
        <w:rPr>
          <w:rFonts w:ascii="Tahoma" w:hAnsi="Tahoma" w:cs="Tahoma"/>
          <w:sz w:val="24"/>
          <w:szCs w:val="24"/>
        </w:rPr>
        <w:t>Review the Special Economic Zones (SEZ) incentives</w:t>
      </w:r>
      <w:r w:rsidR="00BC0E0B">
        <w:rPr>
          <w:rFonts w:ascii="Tahoma" w:hAnsi="Tahoma" w:cs="Tahoma"/>
          <w:sz w:val="24"/>
          <w:szCs w:val="24"/>
        </w:rPr>
        <w:t xml:space="preserve"> with effect from 1 January 2025</w:t>
      </w:r>
      <w:r w:rsidRPr="00322F9B">
        <w:rPr>
          <w:rFonts w:ascii="Tahoma" w:hAnsi="Tahoma" w:cs="Tahoma"/>
          <w:sz w:val="24"/>
          <w:szCs w:val="24"/>
        </w:rPr>
        <w:t>:</w:t>
      </w:r>
    </w:p>
    <w:p w14:paraId="55711226" w14:textId="277011FF" w:rsidR="00322F9B" w:rsidRPr="00322F9B" w:rsidRDefault="00322F9B" w:rsidP="00096760">
      <w:pPr>
        <w:numPr>
          <w:ilvl w:val="1"/>
          <w:numId w:val="19"/>
        </w:numPr>
        <w:jc w:val="both"/>
        <w:rPr>
          <w:rFonts w:ascii="Tahoma" w:hAnsi="Tahoma" w:cs="Tahoma"/>
          <w:sz w:val="24"/>
          <w:szCs w:val="24"/>
        </w:rPr>
      </w:pPr>
      <w:r w:rsidRPr="00322F9B">
        <w:rPr>
          <w:rFonts w:ascii="Tahoma" w:hAnsi="Tahoma" w:cs="Tahoma"/>
          <w:sz w:val="24"/>
          <w:szCs w:val="24"/>
        </w:rPr>
        <w:t>Reduce the degree of export orientation from 100% to 80%;</w:t>
      </w:r>
    </w:p>
    <w:p w14:paraId="316117EC" w14:textId="084B5879" w:rsidR="00322F9B" w:rsidRPr="00BC0E0B" w:rsidRDefault="00322F9B" w:rsidP="00096760">
      <w:pPr>
        <w:numPr>
          <w:ilvl w:val="1"/>
          <w:numId w:val="19"/>
        </w:numPr>
        <w:jc w:val="both"/>
        <w:rPr>
          <w:rFonts w:ascii="Tahoma" w:hAnsi="Tahoma" w:cs="Tahoma"/>
          <w:sz w:val="24"/>
          <w:szCs w:val="24"/>
        </w:rPr>
      </w:pPr>
      <w:r w:rsidRPr="00322F9B">
        <w:rPr>
          <w:rFonts w:ascii="Tahoma" w:hAnsi="Tahoma" w:cs="Tahoma"/>
          <w:sz w:val="24"/>
          <w:szCs w:val="24"/>
        </w:rPr>
        <w:t>100% of the income must be derived from the carrying on</w:t>
      </w:r>
      <w:r w:rsidR="00BC0E0B">
        <w:rPr>
          <w:rFonts w:ascii="Tahoma" w:hAnsi="Tahoma" w:cs="Tahoma"/>
          <w:sz w:val="24"/>
          <w:szCs w:val="24"/>
        </w:rPr>
        <w:t xml:space="preserve"> </w:t>
      </w:r>
      <w:r w:rsidRPr="00BC0E0B">
        <w:rPr>
          <w:rFonts w:ascii="Tahoma" w:hAnsi="Tahoma" w:cs="Tahoma"/>
          <w:sz w:val="24"/>
          <w:szCs w:val="24"/>
        </w:rPr>
        <w:t>of business or provision of services within that SEZ;</w:t>
      </w:r>
    </w:p>
    <w:p w14:paraId="0CFC1FED" w14:textId="418BA0F9" w:rsidR="00322F9B" w:rsidRDefault="00322F9B" w:rsidP="00096760">
      <w:pPr>
        <w:numPr>
          <w:ilvl w:val="1"/>
          <w:numId w:val="19"/>
        </w:numPr>
        <w:jc w:val="both"/>
        <w:rPr>
          <w:rFonts w:ascii="Tahoma" w:hAnsi="Tahoma" w:cs="Tahoma"/>
          <w:sz w:val="24"/>
          <w:szCs w:val="24"/>
        </w:rPr>
      </w:pPr>
      <w:r w:rsidRPr="00322F9B">
        <w:rPr>
          <w:rFonts w:ascii="Tahoma" w:hAnsi="Tahoma" w:cs="Tahoma"/>
          <w:sz w:val="24"/>
          <w:szCs w:val="24"/>
        </w:rPr>
        <w:t>Remove the Tax Holiday for the 1st 5 years, and replace</w:t>
      </w:r>
      <w:r w:rsidR="00BC0E0B">
        <w:rPr>
          <w:rFonts w:ascii="Tahoma" w:hAnsi="Tahoma" w:cs="Tahoma"/>
          <w:sz w:val="24"/>
          <w:szCs w:val="24"/>
        </w:rPr>
        <w:t xml:space="preserve"> </w:t>
      </w:r>
      <w:r w:rsidRPr="00BC0E0B">
        <w:rPr>
          <w:rFonts w:ascii="Tahoma" w:hAnsi="Tahoma" w:cs="Tahoma"/>
          <w:sz w:val="24"/>
          <w:szCs w:val="24"/>
        </w:rPr>
        <w:t>with an effective Corporate Income Tax rate of 15%;</w:t>
      </w:r>
    </w:p>
    <w:p w14:paraId="2AD1BB09" w14:textId="2BD82262" w:rsidR="00BC0E0B" w:rsidRPr="00BC0E0B" w:rsidRDefault="00BC0E0B" w:rsidP="00096760">
      <w:pPr>
        <w:numPr>
          <w:ilvl w:val="1"/>
          <w:numId w:val="19"/>
        </w:numPr>
        <w:jc w:val="both"/>
        <w:rPr>
          <w:rFonts w:ascii="Tahoma" w:hAnsi="Tahoma" w:cs="Tahoma"/>
          <w:sz w:val="24"/>
          <w:szCs w:val="24"/>
        </w:rPr>
      </w:pPr>
      <w:r w:rsidRPr="00BC0E0B">
        <w:rPr>
          <w:rFonts w:ascii="Tahoma" w:hAnsi="Tahoma" w:cs="Tahoma"/>
          <w:sz w:val="24"/>
          <w:szCs w:val="24"/>
        </w:rPr>
        <w:t>Remove tax exemption on Withholding Taxes, and introduce</w:t>
      </w:r>
      <w:r>
        <w:rPr>
          <w:rFonts w:ascii="Tahoma" w:hAnsi="Tahoma" w:cs="Tahoma"/>
          <w:sz w:val="24"/>
          <w:szCs w:val="24"/>
        </w:rPr>
        <w:t xml:space="preserve"> </w:t>
      </w:r>
      <w:r w:rsidRPr="00BC0E0B">
        <w:rPr>
          <w:rFonts w:ascii="Tahoma" w:hAnsi="Tahoma" w:cs="Tahoma"/>
          <w:sz w:val="24"/>
          <w:szCs w:val="24"/>
        </w:rPr>
        <w:t>a lower Withholding Tax of 10%; and,</w:t>
      </w:r>
    </w:p>
    <w:p w14:paraId="6C9B19C9" w14:textId="6B8918AB" w:rsidR="00BC0E0B" w:rsidRDefault="00BC0E0B" w:rsidP="00096760">
      <w:pPr>
        <w:numPr>
          <w:ilvl w:val="1"/>
          <w:numId w:val="19"/>
        </w:numPr>
        <w:jc w:val="both"/>
        <w:rPr>
          <w:rFonts w:ascii="Tahoma" w:hAnsi="Tahoma" w:cs="Tahoma"/>
          <w:sz w:val="24"/>
          <w:szCs w:val="24"/>
        </w:rPr>
      </w:pPr>
      <w:r w:rsidRPr="00BC0E0B">
        <w:rPr>
          <w:rFonts w:ascii="Tahoma" w:hAnsi="Tahoma" w:cs="Tahoma"/>
          <w:sz w:val="24"/>
          <w:szCs w:val="24"/>
        </w:rPr>
        <w:lastRenderedPageBreak/>
        <w:t>Exclude petroleum, as well as extraction and exploitation</w:t>
      </w:r>
      <w:r>
        <w:rPr>
          <w:rFonts w:ascii="Tahoma" w:hAnsi="Tahoma" w:cs="Tahoma"/>
          <w:sz w:val="24"/>
          <w:szCs w:val="24"/>
        </w:rPr>
        <w:t xml:space="preserve"> </w:t>
      </w:r>
      <w:r w:rsidRPr="00BC0E0B">
        <w:rPr>
          <w:rFonts w:ascii="Tahoma" w:hAnsi="Tahoma" w:cs="Tahoma"/>
          <w:sz w:val="24"/>
          <w:szCs w:val="24"/>
        </w:rPr>
        <w:t>of all mineral resources from SEZ Status.</w:t>
      </w:r>
    </w:p>
    <w:p w14:paraId="300B0063" w14:textId="52C8005F" w:rsidR="00FB4107" w:rsidRDefault="00FB4107" w:rsidP="00096760">
      <w:pPr>
        <w:numPr>
          <w:ilvl w:val="0"/>
          <w:numId w:val="20"/>
        </w:numPr>
        <w:jc w:val="both"/>
        <w:rPr>
          <w:rFonts w:ascii="Tahoma" w:hAnsi="Tahoma" w:cs="Tahoma"/>
          <w:sz w:val="24"/>
          <w:szCs w:val="24"/>
        </w:rPr>
      </w:pPr>
      <w:r w:rsidRPr="00FB4107">
        <w:rPr>
          <w:rFonts w:ascii="Tahoma" w:hAnsi="Tahoma" w:cs="Tahoma"/>
          <w:b/>
          <w:bCs/>
          <w:sz w:val="24"/>
          <w:szCs w:val="24"/>
        </w:rPr>
        <w:t>Withholding Tax on Betting</w:t>
      </w:r>
      <w:r>
        <w:rPr>
          <w:rFonts w:ascii="Tahoma" w:hAnsi="Tahoma" w:cs="Tahoma"/>
          <w:sz w:val="24"/>
          <w:szCs w:val="24"/>
        </w:rPr>
        <w:t xml:space="preserve">: </w:t>
      </w:r>
      <w:r w:rsidRPr="00FB4107">
        <w:rPr>
          <w:rFonts w:ascii="Tahoma" w:hAnsi="Tahoma" w:cs="Tahoma"/>
          <w:sz w:val="24"/>
          <w:szCs w:val="24"/>
        </w:rPr>
        <w:t>10% Withholding Tax on gross winnings of Sports</w:t>
      </w:r>
      <w:r>
        <w:rPr>
          <w:rFonts w:ascii="Tahoma" w:hAnsi="Tahoma" w:cs="Tahoma"/>
          <w:sz w:val="24"/>
          <w:szCs w:val="24"/>
        </w:rPr>
        <w:t xml:space="preserve"> </w:t>
      </w:r>
      <w:r w:rsidRPr="00FB4107">
        <w:rPr>
          <w:rFonts w:ascii="Tahoma" w:hAnsi="Tahoma" w:cs="Tahoma"/>
          <w:sz w:val="24"/>
          <w:szCs w:val="24"/>
        </w:rPr>
        <w:t>Betting Punters, with effect from 1 January 2025</w:t>
      </w:r>
      <w:r>
        <w:rPr>
          <w:rFonts w:ascii="Tahoma" w:hAnsi="Tahoma" w:cs="Tahoma"/>
          <w:sz w:val="24"/>
          <w:szCs w:val="24"/>
        </w:rPr>
        <w:t>.</w:t>
      </w:r>
    </w:p>
    <w:p w14:paraId="517D8627" w14:textId="77777777" w:rsidR="00096760" w:rsidRDefault="00FB4107" w:rsidP="00096760">
      <w:pPr>
        <w:numPr>
          <w:ilvl w:val="0"/>
          <w:numId w:val="20"/>
        </w:numPr>
        <w:jc w:val="both"/>
        <w:rPr>
          <w:rFonts w:ascii="Tahoma" w:hAnsi="Tahoma" w:cs="Tahoma"/>
          <w:sz w:val="24"/>
          <w:szCs w:val="24"/>
        </w:rPr>
      </w:pPr>
      <w:r w:rsidRPr="00096760">
        <w:rPr>
          <w:rFonts w:ascii="Tahoma" w:hAnsi="Tahoma" w:cs="Tahoma"/>
          <w:b/>
          <w:bCs/>
          <w:sz w:val="24"/>
          <w:szCs w:val="24"/>
        </w:rPr>
        <w:t>Taxation of the Emerging Sector</w:t>
      </w:r>
      <w:r w:rsidRPr="00096760">
        <w:rPr>
          <w:rFonts w:ascii="Tahoma" w:hAnsi="Tahoma" w:cs="Tahoma"/>
          <w:sz w:val="24"/>
          <w:szCs w:val="24"/>
        </w:rPr>
        <w:t xml:space="preserve">: </w:t>
      </w:r>
      <w:r w:rsidR="00EC0D1E" w:rsidRPr="00096760">
        <w:rPr>
          <w:rFonts w:ascii="Tahoma" w:hAnsi="Tahoma" w:cs="Tahoma"/>
          <w:sz w:val="24"/>
          <w:szCs w:val="24"/>
        </w:rPr>
        <w:t xml:space="preserve">Introduced mandatory registration for Corporate and Personal Income Tax operators that include: </w:t>
      </w:r>
      <w:bookmarkStart w:id="0" w:name="_Hlk184386774"/>
      <w:r w:rsidR="00EC0D1E" w:rsidRPr="00096760">
        <w:rPr>
          <w:rFonts w:ascii="Tahoma" w:hAnsi="Tahoma" w:cs="Tahoma"/>
          <w:sz w:val="24"/>
          <w:szCs w:val="24"/>
        </w:rPr>
        <w:t>fabric merchandisers; clothing merchandisers/boutiques; spare parts dealers; car dealers; grocery and kitchenware merchandisers; hardware operators; and lodges</w:t>
      </w:r>
      <w:bookmarkEnd w:id="0"/>
      <w:r w:rsidR="00EC0D1E" w:rsidRPr="00096760">
        <w:rPr>
          <w:rFonts w:ascii="Tahoma" w:hAnsi="Tahoma" w:cs="Tahoma"/>
          <w:sz w:val="24"/>
          <w:szCs w:val="24"/>
        </w:rPr>
        <w:t xml:space="preserve">. </w:t>
      </w:r>
    </w:p>
    <w:p w14:paraId="5A01EFEA" w14:textId="77777777" w:rsidR="00096760" w:rsidRDefault="00EC0D1E" w:rsidP="00096760">
      <w:pPr>
        <w:ind w:left="1080"/>
        <w:jc w:val="both"/>
        <w:rPr>
          <w:rFonts w:ascii="Tahoma" w:hAnsi="Tahoma" w:cs="Tahoma"/>
          <w:sz w:val="24"/>
          <w:szCs w:val="24"/>
        </w:rPr>
      </w:pPr>
      <w:r w:rsidRPr="00096760">
        <w:rPr>
          <w:rFonts w:ascii="Tahoma" w:hAnsi="Tahoma" w:cs="Tahoma"/>
          <w:sz w:val="24"/>
          <w:szCs w:val="24"/>
        </w:rPr>
        <w:t xml:space="preserve">The operators have also been mandated to regularise registration of their operations with the Zimbabwe Revenue Authority, transact through Point-of- Sale Machines and maintain records of all transactions, by 1 January 2025. </w:t>
      </w:r>
    </w:p>
    <w:p w14:paraId="7948212A" w14:textId="57906866" w:rsidR="00EC0D1E" w:rsidRPr="00096760" w:rsidRDefault="00EC0D1E" w:rsidP="00096760">
      <w:pPr>
        <w:ind w:left="1080"/>
        <w:jc w:val="both"/>
        <w:rPr>
          <w:rFonts w:ascii="Tahoma" w:hAnsi="Tahoma" w:cs="Tahoma"/>
          <w:sz w:val="24"/>
          <w:szCs w:val="24"/>
        </w:rPr>
      </w:pPr>
      <w:r w:rsidRPr="00096760">
        <w:rPr>
          <w:rFonts w:ascii="Tahoma" w:hAnsi="Tahoma" w:cs="Tahoma"/>
          <w:sz w:val="24"/>
          <w:szCs w:val="24"/>
        </w:rPr>
        <w:t xml:space="preserve">Failure to comply, operators will be compelled to pay tax as follows: fabric merchandisers (US$12000); clothing merchandisers/boutiques (US$12000); spare parts dealers (US$9000); car dealers ($US15000); grocery and kitchenware merchandisers (US$9000); hardware operators ($15000); and lodges ($US5000). </w:t>
      </w:r>
    </w:p>
    <w:p w14:paraId="03620125" w14:textId="42F4787D" w:rsidR="00901026" w:rsidRPr="00901026" w:rsidRDefault="00901026" w:rsidP="00096760">
      <w:pPr>
        <w:numPr>
          <w:ilvl w:val="0"/>
          <w:numId w:val="20"/>
        </w:numPr>
        <w:jc w:val="both"/>
        <w:rPr>
          <w:rFonts w:ascii="Tahoma" w:hAnsi="Tahoma" w:cs="Tahoma"/>
          <w:sz w:val="24"/>
          <w:szCs w:val="24"/>
        </w:rPr>
      </w:pPr>
      <w:r w:rsidRPr="00901026">
        <w:rPr>
          <w:rFonts w:ascii="Tahoma" w:hAnsi="Tahoma" w:cs="Tahoma"/>
          <w:b/>
          <w:bCs/>
          <w:sz w:val="24"/>
          <w:szCs w:val="24"/>
        </w:rPr>
        <w:t>Tax compliance of Micro and Small Enterprises</w:t>
      </w:r>
      <w:r>
        <w:rPr>
          <w:rFonts w:ascii="Tahoma" w:hAnsi="Tahoma" w:cs="Tahoma"/>
          <w:sz w:val="24"/>
          <w:szCs w:val="24"/>
        </w:rPr>
        <w:t xml:space="preserve">: </w:t>
      </w:r>
      <w:r w:rsidRPr="00901026">
        <w:rPr>
          <w:rFonts w:ascii="Tahoma" w:hAnsi="Tahoma" w:cs="Tahoma"/>
          <w:sz w:val="24"/>
          <w:szCs w:val="24"/>
        </w:rPr>
        <w:t xml:space="preserve">The Virtual Fiscalisation System for the recording of VAT taxable transactions to Micro and Small Enterprises whose turnover falls below the VAT registration threshold for purposes of monitoring sales, has been extended to the first quarter of 2025. </w:t>
      </w:r>
    </w:p>
    <w:p w14:paraId="1FE71040" w14:textId="78BC518E" w:rsidR="00FB4107" w:rsidRPr="009E5FDE" w:rsidRDefault="00901026" w:rsidP="00096760">
      <w:pPr>
        <w:numPr>
          <w:ilvl w:val="0"/>
          <w:numId w:val="20"/>
        </w:numPr>
        <w:jc w:val="both"/>
        <w:rPr>
          <w:rFonts w:ascii="Tahoma" w:hAnsi="Tahoma" w:cs="Tahoma"/>
          <w:sz w:val="24"/>
          <w:szCs w:val="24"/>
        </w:rPr>
      </w:pPr>
      <w:r w:rsidRPr="009E5FDE">
        <w:rPr>
          <w:rFonts w:ascii="Tahoma" w:hAnsi="Tahoma" w:cs="Tahoma"/>
          <w:b/>
          <w:bCs/>
          <w:sz w:val="24"/>
          <w:szCs w:val="24"/>
        </w:rPr>
        <w:t>Rebate of Duty on Goods Imported for COVID-19 Mitigation</w:t>
      </w:r>
      <w:r>
        <w:rPr>
          <w:rFonts w:ascii="Tahoma" w:hAnsi="Tahoma" w:cs="Tahoma"/>
          <w:sz w:val="24"/>
          <w:szCs w:val="24"/>
        </w:rPr>
        <w:t xml:space="preserve">: </w:t>
      </w:r>
      <w:r w:rsidRPr="00901026">
        <w:rPr>
          <w:rFonts w:ascii="Tahoma" w:hAnsi="Tahoma" w:cs="Tahoma"/>
          <w:sz w:val="24"/>
          <w:szCs w:val="24"/>
        </w:rPr>
        <w:t>Duty on the medical</w:t>
      </w:r>
      <w:r>
        <w:rPr>
          <w:rFonts w:ascii="Tahoma" w:hAnsi="Tahoma" w:cs="Tahoma"/>
          <w:sz w:val="24"/>
          <w:szCs w:val="24"/>
        </w:rPr>
        <w:t xml:space="preserve"> </w:t>
      </w:r>
      <w:r w:rsidRPr="00901026">
        <w:rPr>
          <w:rFonts w:ascii="Tahoma" w:hAnsi="Tahoma" w:cs="Tahoma"/>
          <w:sz w:val="24"/>
          <w:szCs w:val="24"/>
        </w:rPr>
        <w:t>products</w:t>
      </w:r>
      <w:r>
        <w:rPr>
          <w:rFonts w:ascii="Tahoma" w:hAnsi="Tahoma" w:cs="Tahoma"/>
          <w:sz w:val="24"/>
          <w:szCs w:val="24"/>
        </w:rPr>
        <w:t xml:space="preserve"> has been introduced with effect from 1 January 2025 given that </w:t>
      </w:r>
      <w:r w:rsidR="009E5FDE">
        <w:rPr>
          <w:rFonts w:ascii="Tahoma" w:hAnsi="Tahoma" w:cs="Tahoma"/>
          <w:sz w:val="24"/>
          <w:szCs w:val="24"/>
        </w:rPr>
        <w:t xml:space="preserve">since May 2023 the WHO </w:t>
      </w:r>
      <w:r w:rsidR="009E5FDE" w:rsidRPr="009E5FDE">
        <w:rPr>
          <w:rFonts w:ascii="Tahoma" w:hAnsi="Tahoma" w:cs="Tahoma"/>
          <w:sz w:val="24"/>
          <w:szCs w:val="24"/>
        </w:rPr>
        <w:t>declared COVID-19 as a disease which is no longer a medical</w:t>
      </w:r>
      <w:r w:rsidR="009E5FDE">
        <w:rPr>
          <w:rFonts w:ascii="Tahoma" w:hAnsi="Tahoma" w:cs="Tahoma"/>
          <w:sz w:val="24"/>
          <w:szCs w:val="24"/>
        </w:rPr>
        <w:t xml:space="preserve"> </w:t>
      </w:r>
      <w:r w:rsidR="009E5FDE" w:rsidRPr="009E5FDE">
        <w:rPr>
          <w:rFonts w:ascii="Tahoma" w:hAnsi="Tahoma" w:cs="Tahoma"/>
          <w:sz w:val="24"/>
          <w:szCs w:val="24"/>
        </w:rPr>
        <w:t>health emergency</w:t>
      </w:r>
    </w:p>
    <w:p w14:paraId="19076D87" w14:textId="5AE9A78F" w:rsidR="00A66525" w:rsidRPr="00096760" w:rsidRDefault="00A66525" w:rsidP="00096760">
      <w:pPr>
        <w:pStyle w:val="ListParagraph"/>
        <w:numPr>
          <w:ilvl w:val="1"/>
          <w:numId w:val="25"/>
        </w:numPr>
        <w:jc w:val="both"/>
        <w:rPr>
          <w:rFonts w:ascii="Tahoma" w:hAnsi="Tahoma" w:cs="Tahoma"/>
          <w:sz w:val="24"/>
          <w:szCs w:val="24"/>
        </w:rPr>
      </w:pPr>
      <w:r w:rsidRPr="00096760">
        <w:rPr>
          <w:rFonts w:ascii="Tahoma" w:hAnsi="Tahoma" w:cs="Tahoma"/>
          <w:b/>
          <w:bCs/>
          <w:sz w:val="24"/>
          <w:szCs w:val="24"/>
        </w:rPr>
        <w:t>Tax Compliance Measures</w:t>
      </w:r>
      <w:r w:rsidRPr="00096760">
        <w:rPr>
          <w:rFonts w:ascii="Tahoma" w:hAnsi="Tahoma" w:cs="Tahoma"/>
          <w:sz w:val="24"/>
          <w:szCs w:val="24"/>
        </w:rPr>
        <w:t>:</w:t>
      </w:r>
    </w:p>
    <w:p w14:paraId="520016D8" w14:textId="6E9E947D" w:rsidR="009E5FDE" w:rsidRPr="009E5FDE" w:rsidRDefault="009E5FDE" w:rsidP="00096760">
      <w:pPr>
        <w:numPr>
          <w:ilvl w:val="0"/>
          <w:numId w:val="22"/>
        </w:numPr>
        <w:jc w:val="both"/>
        <w:rPr>
          <w:rFonts w:ascii="Tahoma" w:hAnsi="Tahoma" w:cs="Tahoma"/>
          <w:sz w:val="24"/>
          <w:szCs w:val="24"/>
        </w:rPr>
      </w:pPr>
      <w:r w:rsidRPr="009E5FDE">
        <w:rPr>
          <w:rFonts w:ascii="Tahoma" w:hAnsi="Tahoma" w:cs="Tahoma"/>
          <w:b/>
          <w:bCs/>
          <w:sz w:val="24"/>
          <w:szCs w:val="24"/>
        </w:rPr>
        <w:t>Methodology for Determination of Mineral Royalties</w:t>
      </w:r>
      <w:r>
        <w:rPr>
          <w:rFonts w:ascii="Tahoma" w:hAnsi="Tahoma" w:cs="Tahoma"/>
          <w:b/>
          <w:bCs/>
          <w:sz w:val="24"/>
          <w:szCs w:val="24"/>
        </w:rPr>
        <w:t xml:space="preserve">:  </w:t>
      </w:r>
      <w:r w:rsidRPr="009E5FDE">
        <w:rPr>
          <w:rFonts w:ascii="Tahoma" w:hAnsi="Tahoma" w:cs="Tahoma"/>
          <w:sz w:val="24"/>
          <w:szCs w:val="24"/>
        </w:rPr>
        <w:t xml:space="preserve">Royalties shall be payable on any mineral or mineral bearing ore or products during any period of assessment. </w:t>
      </w:r>
    </w:p>
    <w:p w14:paraId="46F1694D" w14:textId="61584711" w:rsidR="009E5FDE" w:rsidRDefault="00096760" w:rsidP="00096760">
      <w:pPr>
        <w:ind w:left="1080"/>
        <w:jc w:val="both"/>
        <w:rPr>
          <w:rFonts w:ascii="Tahoma" w:hAnsi="Tahoma" w:cs="Tahoma"/>
          <w:sz w:val="24"/>
          <w:szCs w:val="24"/>
        </w:rPr>
      </w:pPr>
      <w:r>
        <w:rPr>
          <w:rFonts w:ascii="Tahoma" w:hAnsi="Tahoma" w:cs="Tahoma"/>
          <w:sz w:val="24"/>
          <w:szCs w:val="24"/>
        </w:rPr>
        <w:t>T</w:t>
      </w:r>
      <w:r w:rsidR="009E5FDE" w:rsidRPr="009E5FDE">
        <w:rPr>
          <w:rFonts w:ascii="Tahoma" w:hAnsi="Tahoma" w:cs="Tahoma"/>
          <w:sz w:val="24"/>
          <w:szCs w:val="24"/>
        </w:rPr>
        <w:t>he Minister of Finance to be empowered to designate any mineral as being subject to royalties, notwithstanding the provisions of any other legislation.</w:t>
      </w:r>
    </w:p>
    <w:p w14:paraId="4031B2E1" w14:textId="41327098" w:rsidR="009E5FDE" w:rsidRPr="009E5FDE" w:rsidRDefault="009E5FDE" w:rsidP="009E5FDE">
      <w:pPr>
        <w:pStyle w:val="ListParagraph"/>
        <w:numPr>
          <w:ilvl w:val="0"/>
          <w:numId w:val="15"/>
        </w:numPr>
        <w:jc w:val="both"/>
        <w:rPr>
          <w:rFonts w:ascii="Tahoma" w:hAnsi="Tahoma" w:cs="Tahoma"/>
          <w:sz w:val="24"/>
          <w:szCs w:val="24"/>
        </w:rPr>
      </w:pPr>
      <w:r w:rsidRPr="009E5FDE">
        <w:rPr>
          <w:rFonts w:ascii="Tahoma" w:hAnsi="Tahoma" w:cs="Tahoma"/>
          <w:b/>
          <w:bCs/>
          <w:sz w:val="24"/>
          <w:szCs w:val="24"/>
        </w:rPr>
        <w:t>Royalty on Quarry Stones and Coal</w:t>
      </w:r>
      <w:r w:rsidRPr="009E5FDE">
        <w:rPr>
          <w:rFonts w:ascii="Tahoma" w:hAnsi="Tahoma" w:cs="Tahoma"/>
          <w:sz w:val="24"/>
          <w:szCs w:val="24"/>
        </w:rPr>
        <w:t xml:space="preserve">: </w:t>
      </w:r>
      <w:r>
        <w:rPr>
          <w:rFonts w:ascii="Tahoma" w:hAnsi="Tahoma" w:cs="Tahoma"/>
          <w:sz w:val="24"/>
          <w:szCs w:val="24"/>
        </w:rPr>
        <w:t>L</w:t>
      </w:r>
      <w:r w:rsidRPr="009E5FDE">
        <w:rPr>
          <w:rFonts w:ascii="Tahoma" w:hAnsi="Tahoma" w:cs="Tahoma"/>
          <w:sz w:val="24"/>
          <w:szCs w:val="24"/>
        </w:rPr>
        <w:t xml:space="preserve">egislation </w:t>
      </w:r>
      <w:r>
        <w:rPr>
          <w:rFonts w:ascii="Tahoma" w:hAnsi="Tahoma" w:cs="Tahoma"/>
          <w:sz w:val="24"/>
          <w:szCs w:val="24"/>
        </w:rPr>
        <w:t xml:space="preserve">to </w:t>
      </w:r>
      <w:r w:rsidRPr="009E5FDE">
        <w:rPr>
          <w:rFonts w:ascii="Tahoma" w:hAnsi="Tahoma" w:cs="Tahoma"/>
          <w:sz w:val="24"/>
          <w:szCs w:val="24"/>
        </w:rPr>
        <w:t xml:space="preserve">be amended to designate quarry stones as a mineral, where royalty will be payable at a rate of 0.5% of the sales value. </w:t>
      </w:r>
      <w:r>
        <w:rPr>
          <w:rFonts w:ascii="Tahoma" w:hAnsi="Tahoma" w:cs="Tahoma"/>
          <w:sz w:val="24"/>
          <w:szCs w:val="24"/>
        </w:rPr>
        <w:t xml:space="preserve">Also, </w:t>
      </w:r>
      <w:r w:rsidRPr="009E5FDE">
        <w:rPr>
          <w:rFonts w:ascii="Tahoma" w:hAnsi="Tahoma" w:cs="Tahoma"/>
          <w:sz w:val="24"/>
          <w:szCs w:val="24"/>
        </w:rPr>
        <w:t xml:space="preserve">royalty rate on coal </w:t>
      </w:r>
      <w:r>
        <w:rPr>
          <w:rFonts w:ascii="Tahoma" w:hAnsi="Tahoma" w:cs="Tahoma"/>
          <w:sz w:val="24"/>
          <w:szCs w:val="24"/>
        </w:rPr>
        <w:t xml:space="preserve">to </w:t>
      </w:r>
      <w:r w:rsidRPr="009E5FDE">
        <w:rPr>
          <w:rFonts w:ascii="Tahoma" w:hAnsi="Tahoma" w:cs="Tahoma"/>
          <w:sz w:val="24"/>
          <w:szCs w:val="24"/>
        </w:rPr>
        <w:t xml:space="preserve">be extended on all types of coal, regardless of the market where it is sold. </w:t>
      </w:r>
    </w:p>
    <w:p w14:paraId="3DA7AAF3" w14:textId="523D4E46" w:rsidR="009E5FDE" w:rsidRPr="009E5FDE" w:rsidRDefault="009E5FDE" w:rsidP="009E5FDE">
      <w:pPr>
        <w:pStyle w:val="ListParagraph"/>
        <w:numPr>
          <w:ilvl w:val="0"/>
          <w:numId w:val="15"/>
        </w:numPr>
        <w:jc w:val="both"/>
        <w:rPr>
          <w:rFonts w:ascii="Tahoma" w:hAnsi="Tahoma" w:cs="Tahoma"/>
          <w:sz w:val="24"/>
          <w:szCs w:val="24"/>
        </w:rPr>
      </w:pPr>
      <w:r w:rsidRPr="009E5FDE">
        <w:rPr>
          <w:rFonts w:ascii="Tahoma" w:hAnsi="Tahoma" w:cs="Tahoma"/>
          <w:b/>
          <w:bCs/>
          <w:sz w:val="24"/>
          <w:szCs w:val="24"/>
        </w:rPr>
        <w:t>Designation of Royalty as a Tax</w:t>
      </w:r>
      <w:r>
        <w:rPr>
          <w:rFonts w:ascii="Tahoma" w:hAnsi="Tahoma" w:cs="Tahoma"/>
          <w:sz w:val="24"/>
          <w:szCs w:val="24"/>
        </w:rPr>
        <w:t>: L</w:t>
      </w:r>
      <w:r w:rsidRPr="009E5FDE">
        <w:rPr>
          <w:rFonts w:ascii="Tahoma" w:hAnsi="Tahoma" w:cs="Tahoma"/>
          <w:sz w:val="24"/>
          <w:szCs w:val="24"/>
        </w:rPr>
        <w:t xml:space="preserve">egislation be amended to include mineral royalties in the definition of taxes. </w:t>
      </w:r>
    </w:p>
    <w:p w14:paraId="0707E41D" w14:textId="2D424519" w:rsidR="00414506" w:rsidRPr="00414506" w:rsidRDefault="00414506" w:rsidP="00414506">
      <w:pPr>
        <w:pStyle w:val="ListParagraph"/>
        <w:numPr>
          <w:ilvl w:val="0"/>
          <w:numId w:val="15"/>
        </w:numPr>
        <w:jc w:val="both"/>
        <w:rPr>
          <w:rFonts w:ascii="Tahoma" w:hAnsi="Tahoma" w:cs="Tahoma"/>
          <w:sz w:val="24"/>
          <w:szCs w:val="24"/>
        </w:rPr>
      </w:pPr>
      <w:r w:rsidRPr="00414506">
        <w:rPr>
          <w:rFonts w:ascii="Tahoma" w:hAnsi="Tahoma" w:cs="Tahoma"/>
          <w:b/>
          <w:bCs/>
          <w:sz w:val="24"/>
          <w:szCs w:val="24"/>
        </w:rPr>
        <w:lastRenderedPageBreak/>
        <w:t>Deemed Date of Sale of Minerals</w:t>
      </w:r>
      <w:r>
        <w:rPr>
          <w:rFonts w:ascii="Tahoma" w:hAnsi="Tahoma" w:cs="Tahoma"/>
          <w:sz w:val="24"/>
          <w:szCs w:val="24"/>
        </w:rPr>
        <w:t>: A</w:t>
      </w:r>
      <w:r w:rsidRPr="00414506">
        <w:rPr>
          <w:rFonts w:ascii="Tahoma" w:hAnsi="Tahoma" w:cs="Tahoma"/>
          <w:sz w:val="24"/>
          <w:szCs w:val="24"/>
        </w:rPr>
        <w:t xml:space="preserve">ll minerals, except for </w:t>
      </w:r>
      <w:r>
        <w:rPr>
          <w:rFonts w:ascii="Tahoma" w:hAnsi="Tahoma" w:cs="Tahoma"/>
          <w:sz w:val="24"/>
          <w:szCs w:val="24"/>
        </w:rPr>
        <w:t>Platinum Group of Minerals (</w:t>
      </w:r>
      <w:r w:rsidRPr="00414506">
        <w:rPr>
          <w:rFonts w:ascii="Tahoma" w:hAnsi="Tahoma" w:cs="Tahoma"/>
          <w:sz w:val="24"/>
          <w:szCs w:val="24"/>
        </w:rPr>
        <w:t>PGMs</w:t>
      </w:r>
      <w:r>
        <w:rPr>
          <w:rFonts w:ascii="Tahoma" w:hAnsi="Tahoma" w:cs="Tahoma"/>
          <w:sz w:val="24"/>
          <w:szCs w:val="24"/>
        </w:rPr>
        <w:t>)</w:t>
      </w:r>
      <w:r w:rsidRPr="00414506">
        <w:rPr>
          <w:rFonts w:ascii="Tahoma" w:hAnsi="Tahoma" w:cs="Tahoma"/>
          <w:sz w:val="24"/>
          <w:szCs w:val="24"/>
        </w:rPr>
        <w:t xml:space="preserve"> and gold, </w:t>
      </w:r>
      <w:r>
        <w:rPr>
          <w:rFonts w:ascii="Tahoma" w:hAnsi="Tahoma" w:cs="Tahoma"/>
          <w:sz w:val="24"/>
          <w:szCs w:val="24"/>
        </w:rPr>
        <w:t xml:space="preserve">to </w:t>
      </w:r>
      <w:r w:rsidRPr="00414506">
        <w:rPr>
          <w:rFonts w:ascii="Tahoma" w:hAnsi="Tahoma" w:cs="Tahoma"/>
          <w:sz w:val="24"/>
          <w:szCs w:val="24"/>
        </w:rPr>
        <w:t xml:space="preserve">be deemed as sold at the value determined on the date on which any sales contract is entered or the date on which the purchaser receives the product, whichever is higher. </w:t>
      </w:r>
    </w:p>
    <w:p w14:paraId="548045A2" w14:textId="5816739C" w:rsidR="00414506" w:rsidRPr="00414506" w:rsidRDefault="00414506" w:rsidP="00414506">
      <w:pPr>
        <w:pStyle w:val="ListParagraph"/>
        <w:numPr>
          <w:ilvl w:val="0"/>
          <w:numId w:val="15"/>
        </w:numPr>
        <w:jc w:val="both"/>
        <w:rPr>
          <w:rFonts w:ascii="Tahoma" w:hAnsi="Tahoma" w:cs="Tahoma"/>
          <w:sz w:val="24"/>
          <w:szCs w:val="24"/>
        </w:rPr>
      </w:pPr>
      <w:r w:rsidRPr="00414506">
        <w:rPr>
          <w:rFonts w:ascii="Tahoma" w:hAnsi="Tahoma" w:cs="Tahoma"/>
          <w:b/>
          <w:bCs/>
          <w:sz w:val="24"/>
          <w:szCs w:val="24"/>
        </w:rPr>
        <w:t>Registration for Income Tax</w:t>
      </w:r>
      <w:r>
        <w:rPr>
          <w:rFonts w:ascii="Tahoma" w:hAnsi="Tahoma" w:cs="Tahoma"/>
          <w:sz w:val="24"/>
          <w:szCs w:val="24"/>
        </w:rPr>
        <w:t xml:space="preserve">: </w:t>
      </w:r>
      <w:r w:rsidRPr="00414506">
        <w:rPr>
          <w:rFonts w:ascii="Tahoma" w:hAnsi="Tahoma" w:cs="Tahoma"/>
          <w:sz w:val="24"/>
          <w:szCs w:val="24"/>
        </w:rPr>
        <w:t xml:space="preserve">With a view to compel operators to register for taxes, no corporate or legal person will be allowed to access, on an annual cumulative basis, any loan above US$20 000 without registration for Corporate Income Tax. </w:t>
      </w:r>
    </w:p>
    <w:p w14:paraId="136EF1B4" w14:textId="326A1669" w:rsidR="00414506" w:rsidRPr="00414506" w:rsidRDefault="00414506" w:rsidP="00414506">
      <w:pPr>
        <w:pStyle w:val="ListParagraph"/>
        <w:numPr>
          <w:ilvl w:val="0"/>
          <w:numId w:val="15"/>
        </w:numPr>
        <w:jc w:val="both"/>
        <w:rPr>
          <w:rFonts w:ascii="Tahoma" w:hAnsi="Tahoma" w:cs="Tahoma"/>
          <w:sz w:val="24"/>
          <w:szCs w:val="24"/>
        </w:rPr>
      </w:pPr>
      <w:r w:rsidRPr="00414506">
        <w:rPr>
          <w:rFonts w:ascii="Tahoma" w:hAnsi="Tahoma" w:cs="Tahoma"/>
          <w:b/>
          <w:bCs/>
          <w:sz w:val="24"/>
          <w:szCs w:val="24"/>
        </w:rPr>
        <w:t>Rental Income Tax: Change of Principal Purpose</w:t>
      </w:r>
      <w:r>
        <w:rPr>
          <w:rFonts w:ascii="Tahoma" w:hAnsi="Tahoma" w:cs="Tahoma"/>
          <w:sz w:val="24"/>
          <w:szCs w:val="24"/>
        </w:rPr>
        <w:t xml:space="preserve">: </w:t>
      </w:r>
      <w:r w:rsidRPr="00414506">
        <w:rPr>
          <w:rFonts w:ascii="Tahoma" w:hAnsi="Tahoma" w:cs="Tahoma"/>
          <w:sz w:val="24"/>
          <w:szCs w:val="24"/>
        </w:rPr>
        <w:t xml:space="preserve">All properties that have been converted from residential to business properties to be subject to Rental Income Tax at a rate of 25% and accounted separately by the Zimbabwe Revenue Authority. </w:t>
      </w:r>
    </w:p>
    <w:p w14:paraId="5246985E" w14:textId="1B46C797" w:rsidR="00F94EA6" w:rsidRPr="00F94EA6" w:rsidRDefault="00F94EA6" w:rsidP="00F94EA6">
      <w:pPr>
        <w:pStyle w:val="ListParagraph"/>
        <w:numPr>
          <w:ilvl w:val="0"/>
          <w:numId w:val="15"/>
        </w:numPr>
        <w:jc w:val="both"/>
        <w:rPr>
          <w:rFonts w:ascii="Tahoma" w:hAnsi="Tahoma" w:cs="Tahoma"/>
          <w:sz w:val="24"/>
          <w:szCs w:val="24"/>
        </w:rPr>
      </w:pPr>
      <w:r w:rsidRPr="00F94EA6">
        <w:rPr>
          <w:rFonts w:ascii="Tahoma" w:hAnsi="Tahoma" w:cs="Tahoma"/>
          <w:b/>
          <w:bCs/>
          <w:sz w:val="24"/>
          <w:szCs w:val="24"/>
        </w:rPr>
        <w:t>Smuggling of Cement</w:t>
      </w:r>
      <w:r>
        <w:rPr>
          <w:rFonts w:ascii="Tahoma" w:hAnsi="Tahoma" w:cs="Tahoma"/>
          <w:sz w:val="24"/>
          <w:szCs w:val="24"/>
        </w:rPr>
        <w:t xml:space="preserve">: </w:t>
      </w:r>
      <w:r w:rsidRPr="00F94EA6">
        <w:rPr>
          <w:rFonts w:ascii="Tahoma" w:hAnsi="Tahoma" w:cs="Tahoma"/>
          <w:sz w:val="24"/>
          <w:szCs w:val="24"/>
        </w:rPr>
        <w:t xml:space="preserve">Government </w:t>
      </w:r>
      <w:r>
        <w:rPr>
          <w:rFonts w:ascii="Tahoma" w:hAnsi="Tahoma" w:cs="Tahoma"/>
          <w:sz w:val="24"/>
          <w:szCs w:val="24"/>
        </w:rPr>
        <w:t xml:space="preserve">through the responsible Agencies </w:t>
      </w:r>
      <w:r w:rsidRPr="00F94EA6">
        <w:rPr>
          <w:rFonts w:ascii="Tahoma" w:hAnsi="Tahoma" w:cs="Tahoma"/>
          <w:sz w:val="24"/>
          <w:szCs w:val="24"/>
        </w:rPr>
        <w:t xml:space="preserve">to instigate necessary measures that </w:t>
      </w:r>
      <w:r>
        <w:rPr>
          <w:rFonts w:ascii="Tahoma" w:hAnsi="Tahoma" w:cs="Tahoma"/>
          <w:sz w:val="24"/>
          <w:szCs w:val="24"/>
        </w:rPr>
        <w:t xml:space="preserve">eliminates smuggling of cement and in turn </w:t>
      </w:r>
      <w:r w:rsidRPr="00F94EA6">
        <w:rPr>
          <w:rFonts w:ascii="Tahoma" w:hAnsi="Tahoma" w:cs="Tahoma"/>
          <w:sz w:val="24"/>
          <w:szCs w:val="24"/>
        </w:rPr>
        <w:t xml:space="preserve">guarantee the survival of local producers. </w:t>
      </w:r>
    </w:p>
    <w:p w14:paraId="75450817" w14:textId="27652AD4" w:rsidR="00F94EA6" w:rsidRPr="00F94EA6" w:rsidRDefault="00F94EA6" w:rsidP="00F94EA6">
      <w:pPr>
        <w:pStyle w:val="ListParagraph"/>
        <w:numPr>
          <w:ilvl w:val="0"/>
          <w:numId w:val="15"/>
        </w:numPr>
        <w:jc w:val="both"/>
        <w:rPr>
          <w:rFonts w:ascii="Tahoma" w:hAnsi="Tahoma" w:cs="Tahoma"/>
          <w:sz w:val="24"/>
          <w:szCs w:val="24"/>
        </w:rPr>
      </w:pPr>
      <w:r w:rsidRPr="00F94EA6">
        <w:rPr>
          <w:rFonts w:ascii="Tahoma" w:hAnsi="Tahoma" w:cs="Tahoma"/>
          <w:b/>
          <w:bCs/>
          <w:sz w:val="24"/>
          <w:szCs w:val="24"/>
        </w:rPr>
        <w:t>Deemed Smuggled Products</w:t>
      </w:r>
      <w:r>
        <w:rPr>
          <w:rFonts w:ascii="Tahoma" w:hAnsi="Tahoma" w:cs="Tahoma"/>
          <w:sz w:val="24"/>
          <w:szCs w:val="24"/>
        </w:rPr>
        <w:t xml:space="preserve">: With immediate effect, products that include; </w:t>
      </w:r>
      <w:r w:rsidRPr="00F94EA6">
        <w:rPr>
          <w:rFonts w:ascii="Tahoma" w:hAnsi="Tahoma" w:cs="Tahoma"/>
          <w:sz w:val="24"/>
          <w:szCs w:val="24"/>
        </w:rPr>
        <w:t>Alcoholic &amp; non-alcoholic Beverages; Cement; Clothing &amp; footwear; Dairy products;  Diapers; Electrical appliances, cables &amp; accessories; Ploughs &amp; parts thereof; Processed meat; Rice &amp; Pasta; Sugar;</w:t>
      </w:r>
      <w:r>
        <w:rPr>
          <w:rFonts w:ascii="Tahoma" w:hAnsi="Tahoma" w:cs="Tahoma"/>
          <w:sz w:val="24"/>
          <w:szCs w:val="24"/>
        </w:rPr>
        <w:t xml:space="preserve"> </w:t>
      </w:r>
      <w:r w:rsidRPr="00F94EA6">
        <w:rPr>
          <w:rFonts w:ascii="Tahoma" w:hAnsi="Tahoma" w:cs="Tahoma"/>
          <w:sz w:val="24"/>
          <w:szCs w:val="24"/>
        </w:rPr>
        <w:t xml:space="preserve">Tyres &amp; motor spare parts and, Washing powder and Detergents </w:t>
      </w:r>
      <w:r>
        <w:rPr>
          <w:rFonts w:ascii="Tahoma" w:hAnsi="Tahoma" w:cs="Tahoma"/>
          <w:sz w:val="24"/>
          <w:szCs w:val="24"/>
        </w:rPr>
        <w:t xml:space="preserve">will be deemed as smuggled if the seller doe not provide documentation to the Commissioner the customs duty has been paid. </w:t>
      </w:r>
    </w:p>
    <w:p w14:paraId="757C364B" w14:textId="7B06D427" w:rsidR="00F94EA6" w:rsidRPr="00F94EA6" w:rsidRDefault="00F94EA6" w:rsidP="00F94EA6">
      <w:pPr>
        <w:pStyle w:val="ListParagraph"/>
        <w:numPr>
          <w:ilvl w:val="0"/>
          <w:numId w:val="15"/>
        </w:numPr>
        <w:jc w:val="both"/>
        <w:rPr>
          <w:rFonts w:ascii="Tahoma" w:hAnsi="Tahoma" w:cs="Tahoma"/>
          <w:sz w:val="24"/>
          <w:szCs w:val="24"/>
        </w:rPr>
      </w:pPr>
      <w:r w:rsidRPr="00F94EA6">
        <w:rPr>
          <w:rFonts w:ascii="Tahoma" w:hAnsi="Tahoma" w:cs="Tahoma"/>
          <w:b/>
          <w:bCs/>
          <w:sz w:val="24"/>
          <w:szCs w:val="24"/>
        </w:rPr>
        <w:t>Income Tax Exemption: Building Societies</w:t>
      </w:r>
      <w:r>
        <w:rPr>
          <w:rFonts w:ascii="Tahoma" w:hAnsi="Tahoma" w:cs="Tahoma"/>
          <w:sz w:val="24"/>
          <w:szCs w:val="24"/>
        </w:rPr>
        <w:t xml:space="preserve">: </w:t>
      </w:r>
      <w:r w:rsidRPr="00F94EA6">
        <w:rPr>
          <w:rFonts w:ascii="Tahoma" w:hAnsi="Tahoma" w:cs="Tahoma"/>
          <w:sz w:val="24"/>
          <w:szCs w:val="24"/>
        </w:rPr>
        <w:t xml:space="preserve">Receipts and accruals arising from commercial activities outside the scope and definition of a Building Societies should, be subject to tax, with effect from 1 January 2025. </w:t>
      </w:r>
    </w:p>
    <w:p w14:paraId="7B795E11" w14:textId="4847FC3F" w:rsidR="00D63E31" w:rsidRPr="00D63E31" w:rsidRDefault="00D63E31" w:rsidP="00D63E31">
      <w:pPr>
        <w:pStyle w:val="ListParagraph"/>
        <w:numPr>
          <w:ilvl w:val="0"/>
          <w:numId w:val="15"/>
        </w:numPr>
        <w:jc w:val="both"/>
        <w:rPr>
          <w:rFonts w:ascii="Tahoma" w:hAnsi="Tahoma" w:cs="Tahoma"/>
          <w:sz w:val="24"/>
          <w:szCs w:val="24"/>
        </w:rPr>
      </w:pPr>
      <w:r w:rsidRPr="00D63E31">
        <w:rPr>
          <w:rFonts w:ascii="Tahoma" w:hAnsi="Tahoma" w:cs="Tahoma"/>
          <w:b/>
          <w:bCs/>
          <w:sz w:val="24"/>
          <w:szCs w:val="24"/>
        </w:rPr>
        <w:t>Enhanced Post Clearance Audits</w:t>
      </w:r>
      <w:r>
        <w:rPr>
          <w:rFonts w:ascii="Tahoma" w:hAnsi="Tahoma" w:cs="Tahoma"/>
          <w:sz w:val="24"/>
          <w:szCs w:val="24"/>
        </w:rPr>
        <w:t>: There will be i</w:t>
      </w:r>
      <w:r w:rsidRPr="00D63E31">
        <w:rPr>
          <w:rFonts w:ascii="Tahoma" w:hAnsi="Tahoma" w:cs="Tahoma"/>
          <w:sz w:val="24"/>
          <w:szCs w:val="24"/>
        </w:rPr>
        <w:t>ntroduc</w:t>
      </w:r>
      <w:r>
        <w:rPr>
          <w:rFonts w:ascii="Tahoma" w:hAnsi="Tahoma" w:cs="Tahoma"/>
          <w:sz w:val="24"/>
          <w:szCs w:val="24"/>
        </w:rPr>
        <w:t>tion of</w:t>
      </w:r>
      <w:r w:rsidRPr="00D63E31">
        <w:rPr>
          <w:rFonts w:ascii="Tahoma" w:hAnsi="Tahoma" w:cs="Tahoma"/>
          <w:sz w:val="24"/>
          <w:szCs w:val="24"/>
        </w:rPr>
        <w:t xml:space="preserve"> measures</w:t>
      </w:r>
      <w:r>
        <w:rPr>
          <w:rFonts w:ascii="Tahoma" w:hAnsi="Tahoma" w:cs="Tahoma"/>
          <w:sz w:val="24"/>
          <w:szCs w:val="24"/>
        </w:rPr>
        <w:t xml:space="preserve"> to complete the recently introduced drones at Ports of Entry</w:t>
      </w:r>
      <w:r w:rsidRPr="00D63E31">
        <w:rPr>
          <w:rFonts w:ascii="Tahoma" w:hAnsi="Tahoma" w:cs="Tahoma"/>
          <w:sz w:val="24"/>
          <w:szCs w:val="24"/>
        </w:rPr>
        <w:t>, as smuggled goods continue to flood the market</w:t>
      </w:r>
      <w:r>
        <w:rPr>
          <w:rFonts w:ascii="Tahoma" w:hAnsi="Tahoma" w:cs="Tahoma"/>
          <w:sz w:val="24"/>
          <w:szCs w:val="24"/>
        </w:rPr>
        <w:t xml:space="preserve">. </w:t>
      </w:r>
    </w:p>
    <w:p w14:paraId="0DF4FC7D" w14:textId="5387605B" w:rsidR="00A66525" w:rsidRPr="00A66525" w:rsidRDefault="00096760" w:rsidP="00185CDE">
      <w:pPr>
        <w:jc w:val="both"/>
        <w:rPr>
          <w:rFonts w:ascii="Tahoma" w:hAnsi="Tahoma" w:cs="Tahoma"/>
          <w:sz w:val="24"/>
          <w:szCs w:val="24"/>
        </w:rPr>
      </w:pPr>
      <w:r>
        <w:rPr>
          <w:rFonts w:ascii="Tahoma" w:hAnsi="Tahoma" w:cs="Tahoma"/>
          <w:b/>
          <w:bCs/>
          <w:sz w:val="24"/>
          <w:szCs w:val="24"/>
        </w:rPr>
        <w:t>3</w:t>
      </w:r>
      <w:r w:rsidR="00185CDE">
        <w:rPr>
          <w:rFonts w:ascii="Tahoma" w:hAnsi="Tahoma" w:cs="Tahoma"/>
          <w:b/>
          <w:bCs/>
          <w:sz w:val="24"/>
          <w:szCs w:val="24"/>
        </w:rPr>
        <w:t>.3</w:t>
      </w:r>
      <w:r w:rsidR="00185CDE">
        <w:rPr>
          <w:rFonts w:ascii="Tahoma" w:hAnsi="Tahoma" w:cs="Tahoma"/>
          <w:b/>
          <w:bCs/>
          <w:sz w:val="24"/>
          <w:szCs w:val="24"/>
        </w:rPr>
        <w:tab/>
      </w:r>
      <w:r w:rsidR="00A66525" w:rsidRPr="00A66525">
        <w:rPr>
          <w:rFonts w:ascii="Tahoma" w:hAnsi="Tahoma" w:cs="Tahoma"/>
          <w:b/>
          <w:bCs/>
          <w:sz w:val="24"/>
          <w:szCs w:val="24"/>
        </w:rPr>
        <w:t>Tax Relief Measures</w:t>
      </w:r>
      <w:r w:rsidR="00A66525" w:rsidRPr="00A66525">
        <w:rPr>
          <w:rFonts w:ascii="Tahoma" w:hAnsi="Tahoma" w:cs="Tahoma"/>
          <w:sz w:val="24"/>
          <w:szCs w:val="24"/>
        </w:rPr>
        <w:t>:</w:t>
      </w:r>
    </w:p>
    <w:p w14:paraId="0A87012F" w14:textId="151F72D8" w:rsidR="00A66525" w:rsidRPr="00B54481" w:rsidRDefault="00D63E31" w:rsidP="00B54481">
      <w:pPr>
        <w:numPr>
          <w:ilvl w:val="0"/>
          <w:numId w:val="23"/>
        </w:numPr>
        <w:jc w:val="both"/>
        <w:rPr>
          <w:rFonts w:ascii="Tahoma" w:hAnsi="Tahoma" w:cs="Tahoma"/>
          <w:sz w:val="24"/>
          <w:szCs w:val="24"/>
        </w:rPr>
      </w:pPr>
      <w:r>
        <w:rPr>
          <w:rFonts w:ascii="Tahoma" w:hAnsi="Tahoma" w:cs="Tahoma"/>
          <w:sz w:val="24"/>
          <w:szCs w:val="24"/>
        </w:rPr>
        <w:t>Local currency t</w:t>
      </w:r>
      <w:r w:rsidR="00A66525" w:rsidRPr="00A66525">
        <w:rPr>
          <w:rFonts w:ascii="Tahoma" w:hAnsi="Tahoma" w:cs="Tahoma"/>
          <w:sz w:val="24"/>
          <w:szCs w:val="24"/>
        </w:rPr>
        <w:t xml:space="preserve">ax-free threshold raised to </w:t>
      </w:r>
      <w:r w:rsidR="00A66525" w:rsidRPr="00096760">
        <w:rPr>
          <w:rFonts w:ascii="Tahoma" w:hAnsi="Tahoma" w:cs="Tahoma"/>
          <w:sz w:val="24"/>
          <w:szCs w:val="24"/>
        </w:rPr>
        <w:t xml:space="preserve">ZiG </w:t>
      </w:r>
      <w:r w:rsidRPr="00096760">
        <w:rPr>
          <w:rFonts w:ascii="Tahoma" w:hAnsi="Tahoma" w:cs="Tahoma"/>
          <w:sz w:val="24"/>
          <w:szCs w:val="24"/>
        </w:rPr>
        <w:t>2 8</w:t>
      </w:r>
      <w:r w:rsidR="00A66525" w:rsidRPr="00096760">
        <w:rPr>
          <w:rFonts w:ascii="Tahoma" w:hAnsi="Tahoma" w:cs="Tahoma"/>
          <w:sz w:val="24"/>
          <w:szCs w:val="24"/>
        </w:rPr>
        <w:t>00/month</w:t>
      </w:r>
      <w:r w:rsidR="00096760">
        <w:rPr>
          <w:rFonts w:ascii="Tahoma" w:hAnsi="Tahoma" w:cs="Tahoma"/>
          <w:sz w:val="24"/>
          <w:szCs w:val="24"/>
        </w:rPr>
        <w:t xml:space="preserve"> in view of the recent devaluation of the ZiG. </w:t>
      </w:r>
      <w:r w:rsidR="00B54481">
        <w:rPr>
          <w:rFonts w:ascii="Tahoma" w:hAnsi="Tahoma" w:cs="Tahoma"/>
          <w:sz w:val="24"/>
          <w:szCs w:val="24"/>
        </w:rPr>
        <w:t xml:space="preserve">For foreign currency, tax-free threshold remains unchanged at US$100 with </w:t>
      </w:r>
      <w:r w:rsidR="00B54481" w:rsidRPr="00B54481">
        <w:rPr>
          <w:rFonts w:ascii="Tahoma" w:hAnsi="Tahoma" w:cs="Tahoma"/>
          <w:sz w:val="24"/>
          <w:szCs w:val="24"/>
        </w:rPr>
        <w:t xml:space="preserve">any subsequent income taxed at rates ranging from 20%, up to a marginal income tax rate of 40% for incomes above US$3 000 per month. </w:t>
      </w:r>
    </w:p>
    <w:p w14:paraId="0B88A71C" w14:textId="3ED75B21" w:rsidR="00D63E31" w:rsidRPr="00D63E31" w:rsidRDefault="00D63E31" w:rsidP="00096760">
      <w:pPr>
        <w:numPr>
          <w:ilvl w:val="0"/>
          <w:numId w:val="23"/>
        </w:numPr>
        <w:jc w:val="both"/>
        <w:rPr>
          <w:rFonts w:ascii="Tahoma" w:hAnsi="Tahoma" w:cs="Tahoma"/>
          <w:sz w:val="24"/>
          <w:szCs w:val="24"/>
        </w:rPr>
      </w:pPr>
      <w:r>
        <w:rPr>
          <w:rFonts w:ascii="Tahoma" w:hAnsi="Tahoma" w:cs="Tahoma"/>
          <w:sz w:val="24"/>
          <w:szCs w:val="24"/>
        </w:rPr>
        <w:t>M</w:t>
      </w:r>
      <w:r w:rsidRPr="00D63E31">
        <w:rPr>
          <w:rFonts w:ascii="Tahoma" w:hAnsi="Tahoma" w:cs="Tahoma"/>
          <w:sz w:val="24"/>
          <w:szCs w:val="24"/>
        </w:rPr>
        <w:t xml:space="preserve">arketable securities </w:t>
      </w:r>
      <w:r>
        <w:rPr>
          <w:rFonts w:ascii="Tahoma" w:hAnsi="Tahoma" w:cs="Tahoma"/>
          <w:sz w:val="24"/>
          <w:szCs w:val="24"/>
        </w:rPr>
        <w:t xml:space="preserve">to </w:t>
      </w:r>
      <w:r w:rsidRPr="00D63E31">
        <w:rPr>
          <w:rFonts w:ascii="Tahoma" w:hAnsi="Tahoma" w:cs="Tahoma"/>
          <w:sz w:val="24"/>
          <w:szCs w:val="24"/>
        </w:rPr>
        <w:t>be subject to</w:t>
      </w:r>
      <w:r>
        <w:rPr>
          <w:rFonts w:ascii="Tahoma" w:hAnsi="Tahoma" w:cs="Tahoma"/>
          <w:sz w:val="24"/>
          <w:szCs w:val="24"/>
        </w:rPr>
        <w:t xml:space="preserve"> </w:t>
      </w:r>
      <w:r w:rsidRPr="00D63E31">
        <w:rPr>
          <w:rFonts w:ascii="Tahoma" w:hAnsi="Tahoma" w:cs="Tahoma"/>
          <w:sz w:val="24"/>
          <w:szCs w:val="24"/>
        </w:rPr>
        <w:t>Capital Gains Withholding Tax at a rate of 1% on the gross</w:t>
      </w:r>
      <w:r>
        <w:rPr>
          <w:rFonts w:ascii="Tahoma" w:hAnsi="Tahoma" w:cs="Tahoma"/>
          <w:sz w:val="24"/>
          <w:szCs w:val="24"/>
        </w:rPr>
        <w:t xml:space="preserve"> </w:t>
      </w:r>
      <w:r w:rsidRPr="00D63E31">
        <w:rPr>
          <w:rFonts w:ascii="Tahoma" w:hAnsi="Tahoma" w:cs="Tahoma"/>
          <w:sz w:val="24"/>
          <w:szCs w:val="24"/>
        </w:rPr>
        <w:t>value of the price at which the security is sold, with effect from</w:t>
      </w:r>
      <w:r>
        <w:rPr>
          <w:rFonts w:ascii="Tahoma" w:hAnsi="Tahoma" w:cs="Tahoma"/>
          <w:sz w:val="24"/>
          <w:szCs w:val="24"/>
        </w:rPr>
        <w:t xml:space="preserve"> </w:t>
      </w:r>
      <w:r w:rsidRPr="00D63E31">
        <w:rPr>
          <w:rFonts w:ascii="Tahoma" w:hAnsi="Tahoma" w:cs="Tahoma"/>
          <w:sz w:val="24"/>
          <w:szCs w:val="24"/>
        </w:rPr>
        <w:t>1 January 2025.</w:t>
      </w:r>
      <w:r>
        <w:rPr>
          <w:rFonts w:ascii="Tahoma" w:hAnsi="Tahoma" w:cs="Tahoma"/>
          <w:sz w:val="24"/>
          <w:szCs w:val="24"/>
        </w:rPr>
        <w:t xml:space="preserve"> </w:t>
      </w:r>
      <w:r w:rsidRPr="00D63E31">
        <w:rPr>
          <w:rFonts w:ascii="Tahoma" w:hAnsi="Tahoma" w:cs="Tahoma"/>
          <w:sz w:val="24"/>
          <w:szCs w:val="24"/>
        </w:rPr>
        <w:t>Withholding Tax</w:t>
      </w:r>
      <w:r w:rsidRPr="00D63E31">
        <w:rPr>
          <w:rFonts w:ascii="Tahoma" w:hAnsi="Tahoma" w:cs="Tahoma"/>
          <w:i/>
          <w:iCs/>
          <w:sz w:val="24"/>
          <w:szCs w:val="24"/>
        </w:rPr>
        <w:t xml:space="preserve"> </w:t>
      </w:r>
      <w:r w:rsidRPr="00D63E31">
        <w:rPr>
          <w:rFonts w:ascii="Tahoma" w:hAnsi="Tahoma" w:cs="Tahoma"/>
          <w:sz w:val="24"/>
          <w:szCs w:val="24"/>
        </w:rPr>
        <w:t xml:space="preserve">be treated as a final tax. </w:t>
      </w:r>
    </w:p>
    <w:p w14:paraId="4930F47B" w14:textId="3B285775" w:rsidR="00D63E31" w:rsidRDefault="00D63E31" w:rsidP="00096760">
      <w:pPr>
        <w:numPr>
          <w:ilvl w:val="0"/>
          <w:numId w:val="23"/>
        </w:numPr>
        <w:jc w:val="both"/>
        <w:rPr>
          <w:rFonts w:ascii="Tahoma" w:hAnsi="Tahoma" w:cs="Tahoma"/>
          <w:sz w:val="24"/>
          <w:szCs w:val="24"/>
        </w:rPr>
      </w:pPr>
      <w:r w:rsidRPr="00D63E31">
        <w:rPr>
          <w:rFonts w:ascii="Tahoma" w:hAnsi="Tahoma" w:cs="Tahoma"/>
          <w:sz w:val="24"/>
          <w:szCs w:val="24"/>
        </w:rPr>
        <w:t>In order to create a level playing field between Ready-to-Drink</w:t>
      </w:r>
      <w:r>
        <w:rPr>
          <w:rFonts w:ascii="Tahoma" w:hAnsi="Tahoma" w:cs="Tahoma"/>
          <w:sz w:val="24"/>
          <w:szCs w:val="24"/>
        </w:rPr>
        <w:t xml:space="preserve"> </w:t>
      </w:r>
      <w:r w:rsidRPr="00D63E31">
        <w:rPr>
          <w:rFonts w:ascii="Tahoma" w:hAnsi="Tahoma" w:cs="Tahoma"/>
          <w:sz w:val="24"/>
          <w:szCs w:val="24"/>
        </w:rPr>
        <w:t>beverages and cordials, the Special Surtax</w:t>
      </w:r>
      <w:r>
        <w:rPr>
          <w:rFonts w:ascii="Tahoma" w:hAnsi="Tahoma" w:cs="Tahoma"/>
          <w:sz w:val="24"/>
          <w:szCs w:val="24"/>
        </w:rPr>
        <w:t xml:space="preserve"> </w:t>
      </w:r>
      <w:r w:rsidRPr="00D63E31">
        <w:rPr>
          <w:rFonts w:ascii="Tahoma" w:hAnsi="Tahoma" w:cs="Tahoma"/>
          <w:sz w:val="24"/>
          <w:szCs w:val="24"/>
        </w:rPr>
        <w:t xml:space="preserve">on Beverages’ Sugar Content on cordials </w:t>
      </w:r>
      <w:r>
        <w:rPr>
          <w:rFonts w:ascii="Tahoma" w:hAnsi="Tahoma" w:cs="Tahoma"/>
          <w:sz w:val="24"/>
          <w:szCs w:val="24"/>
        </w:rPr>
        <w:t xml:space="preserve">will be reviewed </w:t>
      </w:r>
      <w:r w:rsidRPr="00D63E31">
        <w:rPr>
          <w:rFonts w:ascii="Tahoma" w:hAnsi="Tahoma" w:cs="Tahoma"/>
          <w:sz w:val="24"/>
          <w:szCs w:val="24"/>
        </w:rPr>
        <w:t>from US$0.001/g to</w:t>
      </w:r>
      <w:r>
        <w:rPr>
          <w:rFonts w:ascii="Tahoma" w:hAnsi="Tahoma" w:cs="Tahoma"/>
          <w:sz w:val="24"/>
          <w:szCs w:val="24"/>
        </w:rPr>
        <w:t xml:space="preserve"> </w:t>
      </w:r>
      <w:r w:rsidRPr="00D63E31">
        <w:rPr>
          <w:rFonts w:ascii="Tahoma" w:hAnsi="Tahoma" w:cs="Tahoma"/>
          <w:sz w:val="24"/>
          <w:szCs w:val="24"/>
        </w:rPr>
        <w:t>US$0.0005/g, with effect from 1 January 2025.</w:t>
      </w:r>
    </w:p>
    <w:p w14:paraId="63AF2CEE" w14:textId="43A14F10" w:rsidR="00772813" w:rsidRPr="00772813" w:rsidRDefault="00772813" w:rsidP="00096760">
      <w:pPr>
        <w:numPr>
          <w:ilvl w:val="0"/>
          <w:numId w:val="23"/>
        </w:numPr>
        <w:jc w:val="both"/>
        <w:rPr>
          <w:rFonts w:ascii="Tahoma" w:hAnsi="Tahoma" w:cs="Tahoma"/>
          <w:sz w:val="24"/>
          <w:szCs w:val="24"/>
        </w:rPr>
      </w:pPr>
      <w:r w:rsidRPr="00772813">
        <w:rPr>
          <w:rFonts w:ascii="Tahoma" w:hAnsi="Tahoma" w:cs="Tahoma"/>
          <w:b/>
          <w:bCs/>
          <w:sz w:val="24"/>
          <w:szCs w:val="24"/>
        </w:rPr>
        <w:lastRenderedPageBreak/>
        <w:t>VAT Deferment: Energy Sector</w:t>
      </w:r>
      <w:r>
        <w:rPr>
          <w:rFonts w:ascii="Tahoma" w:hAnsi="Tahoma" w:cs="Tahoma"/>
          <w:sz w:val="24"/>
          <w:szCs w:val="24"/>
        </w:rPr>
        <w:t xml:space="preserve">: In order to incentivise the energy sector and </w:t>
      </w:r>
      <w:r w:rsidRPr="00772813">
        <w:rPr>
          <w:rFonts w:ascii="Tahoma" w:hAnsi="Tahoma" w:cs="Tahoma"/>
          <w:sz w:val="24"/>
          <w:szCs w:val="24"/>
        </w:rPr>
        <w:t>accelerate the implementation of an integrated power generation and transmission framework, VAT deferment facility on capital equipment by operators in the energy sector will be extended to the energy sector with effect from 1 January 2025.</w:t>
      </w:r>
    </w:p>
    <w:p w14:paraId="0E80DEEC" w14:textId="0D600731" w:rsidR="00A66525" w:rsidRPr="00A66525" w:rsidRDefault="00096760" w:rsidP="00185CDE">
      <w:pPr>
        <w:jc w:val="both"/>
        <w:rPr>
          <w:rFonts w:ascii="Tahoma" w:hAnsi="Tahoma" w:cs="Tahoma"/>
          <w:sz w:val="24"/>
          <w:szCs w:val="24"/>
        </w:rPr>
      </w:pPr>
      <w:r>
        <w:rPr>
          <w:rFonts w:ascii="Tahoma" w:hAnsi="Tahoma" w:cs="Tahoma"/>
          <w:b/>
          <w:bCs/>
          <w:sz w:val="24"/>
          <w:szCs w:val="24"/>
        </w:rPr>
        <w:t>3</w:t>
      </w:r>
      <w:r w:rsidR="00185CDE">
        <w:rPr>
          <w:rFonts w:ascii="Tahoma" w:hAnsi="Tahoma" w:cs="Tahoma"/>
          <w:b/>
          <w:bCs/>
          <w:sz w:val="24"/>
          <w:szCs w:val="24"/>
        </w:rPr>
        <w:t>.4</w:t>
      </w:r>
      <w:r w:rsidR="00185CDE">
        <w:rPr>
          <w:rFonts w:ascii="Tahoma" w:hAnsi="Tahoma" w:cs="Tahoma"/>
          <w:b/>
          <w:bCs/>
          <w:sz w:val="24"/>
          <w:szCs w:val="24"/>
        </w:rPr>
        <w:tab/>
      </w:r>
      <w:r w:rsidR="00A66525" w:rsidRPr="00A66525">
        <w:rPr>
          <w:rFonts w:ascii="Tahoma" w:hAnsi="Tahoma" w:cs="Tahoma"/>
          <w:b/>
          <w:bCs/>
          <w:sz w:val="24"/>
          <w:szCs w:val="24"/>
        </w:rPr>
        <w:t>Support to Industry</w:t>
      </w:r>
      <w:r w:rsidR="00A66525" w:rsidRPr="00A66525">
        <w:rPr>
          <w:rFonts w:ascii="Tahoma" w:hAnsi="Tahoma" w:cs="Tahoma"/>
          <w:sz w:val="24"/>
          <w:szCs w:val="24"/>
        </w:rPr>
        <w:t>:</w:t>
      </w:r>
    </w:p>
    <w:p w14:paraId="44E9907F" w14:textId="3C7F8D7C" w:rsidR="00EB24E1" w:rsidRDefault="00EB24E1" w:rsidP="00096760">
      <w:pPr>
        <w:numPr>
          <w:ilvl w:val="0"/>
          <w:numId w:val="24"/>
        </w:numPr>
        <w:jc w:val="both"/>
        <w:rPr>
          <w:rFonts w:ascii="Tahoma" w:hAnsi="Tahoma" w:cs="Tahoma"/>
          <w:sz w:val="24"/>
          <w:szCs w:val="24"/>
        </w:rPr>
      </w:pPr>
      <w:r w:rsidRPr="00EB24E1">
        <w:rPr>
          <w:rFonts w:ascii="Tahoma" w:hAnsi="Tahoma" w:cs="Tahoma"/>
          <w:sz w:val="24"/>
          <w:szCs w:val="24"/>
        </w:rPr>
        <w:t>Suspension of Duty Facility</w:t>
      </w:r>
      <w:r>
        <w:rPr>
          <w:rFonts w:ascii="Tahoma" w:hAnsi="Tahoma" w:cs="Tahoma"/>
          <w:sz w:val="24"/>
          <w:szCs w:val="24"/>
        </w:rPr>
        <w:t xml:space="preserve"> </w:t>
      </w:r>
      <w:r w:rsidRPr="00EB24E1">
        <w:rPr>
          <w:rFonts w:ascii="Tahoma" w:hAnsi="Tahoma" w:cs="Tahoma"/>
          <w:sz w:val="24"/>
          <w:szCs w:val="24"/>
        </w:rPr>
        <w:t>on imported buses, with effect from 1 January 2025</w:t>
      </w:r>
      <w:r>
        <w:rPr>
          <w:rFonts w:ascii="Tahoma" w:hAnsi="Tahoma" w:cs="Tahoma"/>
          <w:sz w:val="24"/>
          <w:szCs w:val="24"/>
        </w:rPr>
        <w:t xml:space="preserve"> with a view to channel resources to</w:t>
      </w:r>
      <w:r w:rsidR="00322F9B">
        <w:rPr>
          <w:rFonts w:ascii="Tahoma" w:hAnsi="Tahoma" w:cs="Tahoma"/>
          <w:sz w:val="24"/>
          <w:szCs w:val="24"/>
        </w:rPr>
        <w:t>wards value addition</w:t>
      </w:r>
      <w:r>
        <w:rPr>
          <w:rFonts w:ascii="Tahoma" w:hAnsi="Tahoma" w:cs="Tahoma"/>
          <w:sz w:val="24"/>
          <w:szCs w:val="24"/>
        </w:rPr>
        <w:t xml:space="preserve">. </w:t>
      </w:r>
    </w:p>
    <w:p w14:paraId="7AF945FE" w14:textId="1ED70402" w:rsidR="00322F9B" w:rsidRDefault="00322F9B" w:rsidP="00096760">
      <w:pPr>
        <w:numPr>
          <w:ilvl w:val="0"/>
          <w:numId w:val="24"/>
        </w:numPr>
        <w:jc w:val="both"/>
        <w:rPr>
          <w:rFonts w:ascii="Tahoma" w:hAnsi="Tahoma" w:cs="Tahoma"/>
          <w:sz w:val="24"/>
          <w:szCs w:val="24"/>
        </w:rPr>
      </w:pPr>
      <w:r>
        <w:rPr>
          <w:rFonts w:ascii="Tahoma" w:hAnsi="Tahoma" w:cs="Tahoma"/>
          <w:sz w:val="24"/>
          <w:szCs w:val="24"/>
        </w:rPr>
        <w:t>S</w:t>
      </w:r>
      <w:r w:rsidRPr="00322F9B">
        <w:rPr>
          <w:rFonts w:ascii="Tahoma" w:hAnsi="Tahoma" w:cs="Tahoma"/>
          <w:sz w:val="24"/>
          <w:szCs w:val="24"/>
        </w:rPr>
        <w:t>uspen</w:t>
      </w:r>
      <w:r>
        <w:rPr>
          <w:rFonts w:ascii="Tahoma" w:hAnsi="Tahoma" w:cs="Tahoma"/>
          <w:sz w:val="24"/>
          <w:szCs w:val="24"/>
        </w:rPr>
        <w:t xml:space="preserve">sion of </w:t>
      </w:r>
      <w:r w:rsidRPr="00322F9B">
        <w:rPr>
          <w:rFonts w:ascii="Tahoma" w:hAnsi="Tahoma" w:cs="Tahoma"/>
          <w:sz w:val="24"/>
          <w:szCs w:val="24"/>
        </w:rPr>
        <w:t>customs duty on Semi Knocked</w:t>
      </w:r>
      <w:r>
        <w:rPr>
          <w:rFonts w:ascii="Tahoma" w:hAnsi="Tahoma" w:cs="Tahoma"/>
          <w:sz w:val="24"/>
          <w:szCs w:val="24"/>
        </w:rPr>
        <w:t xml:space="preserve"> </w:t>
      </w:r>
      <w:r w:rsidRPr="00322F9B">
        <w:rPr>
          <w:rFonts w:ascii="Tahoma" w:hAnsi="Tahoma" w:cs="Tahoma"/>
          <w:sz w:val="24"/>
          <w:szCs w:val="24"/>
        </w:rPr>
        <w:t>Down Kits for a period of 2 years, beginning 1 January 2025</w:t>
      </w:r>
      <w:r>
        <w:rPr>
          <w:rFonts w:ascii="Tahoma" w:hAnsi="Tahoma" w:cs="Tahoma"/>
          <w:sz w:val="24"/>
          <w:szCs w:val="24"/>
        </w:rPr>
        <w:t xml:space="preserve"> to </w:t>
      </w:r>
      <w:r w:rsidRPr="00322F9B">
        <w:rPr>
          <w:rFonts w:ascii="Tahoma" w:hAnsi="Tahoma" w:cs="Tahoma"/>
          <w:sz w:val="24"/>
          <w:szCs w:val="24"/>
        </w:rPr>
        <w:t>support the local assembly of motor vehicles</w:t>
      </w:r>
      <w:r>
        <w:rPr>
          <w:rFonts w:ascii="Tahoma" w:hAnsi="Tahoma" w:cs="Tahoma"/>
          <w:sz w:val="24"/>
          <w:szCs w:val="24"/>
        </w:rPr>
        <w:t xml:space="preserve">. </w:t>
      </w:r>
    </w:p>
    <w:p w14:paraId="52174C93" w14:textId="1691B8AB" w:rsidR="00322F9B" w:rsidRDefault="00322F9B" w:rsidP="00096760">
      <w:pPr>
        <w:numPr>
          <w:ilvl w:val="0"/>
          <w:numId w:val="24"/>
        </w:numPr>
        <w:jc w:val="both"/>
        <w:rPr>
          <w:rFonts w:ascii="Tahoma" w:hAnsi="Tahoma" w:cs="Tahoma"/>
          <w:sz w:val="24"/>
          <w:szCs w:val="24"/>
        </w:rPr>
      </w:pPr>
      <w:r>
        <w:rPr>
          <w:rFonts w:ascii="Tahoma" w:hAnsi="Tahoma" w:cs="Tahoma"/>
          <w:sz w:val="24"/>
          <w:szCs w:val="24"/>
        </w:rPr>
        <w:t>R</w:t>
      </w:r>
      <w:r w:rsidRPr="00322F9B">
        <w:rPr>
          <w:rFonts w:ascii="Tahoma" w:hAnsi="Tahoma" w:cs="Tahoma"/>
          <w:sz w:val="24"/>
          <w:szCs w:val="24"/>
        </w:rPr>
        <w:t>eview excise duty on selected</w:t>
      </w:r>
      <w:r>
        <w:rPr>
          <w:rFonts w:ascii="Tahoma" w:hAnsi="Tahoma" w:cs="Tahoma"/>
          <w:sz w:val="24"/>
          <w:szCs w:val="24"/>
        </w:rPr>
        <w:t xml:space="preserve"> </w:t>
      </w:r>
      <w:r w:rsidRPr="00322F9B">
        <w:rPr>
          <w:rFonts w:ascii="Tahoma" w:hAnsi="Tahoma" w:cs="Tahoma"/>
          <w:sz w:val="24"/>
          <w:szCs w:val="24"/>
        </w:rPr>
        <w:t>alcoholic beverages, including wine and spirits, from US$0.25</w:t>
      </w:r>
      <w:r>
        <w:rPr>
          <w:rFonts w:ascii="Tahoma" w:hAnsi="Tahoma" w:cs="Tahoma"/>
          <w:sz w:val="24"/>
          <w:szCs w:val="24"/>
        </w:rPr>
        <w:t xml:space="preserve"> </w:t>
      </w:r>
      <w:r w:rsidRPr="00322F9B">
        <w:rPr>
          <w:rFonts w:ascii="Tahoma" w:hAnsi="Tahoma" w:cs="Tahoma"/>
          <w:sz w:val="24"/>
          <w:szCs w:val="24"/>
        </w:rPr>
        <w:t>per litre to US$0.30 per litre, with effect from 1 January 2025</w:t>
      </w:r>
      <w:r>
        <w:rPr>
          <w:rFonts w:ascii="Tahoma" w:hAnsi="Tahoma" w:cs="Tahoma"/>
          <w:sz w:val="24"/>
          <w:szCs w:val="24"/>
        </w:rPr>
        <w:t xml:space="preserve">. </w:t>
      </w:r>
    </w:p>
    <w:p w14:paraId="3E80B44C" w14:textId="62B06586" w:rsidR="00322F9B" w:rsidRDefault="00322F9B" w:rsidP="00096760">
      <w:pPr>
        <w:numPr>
          <w:ilvl w:val="0"/>
          <w:numId w:val="24"/>
        </w:numPr>
        <w:jc w:val="both"/>
        <w:rPr>
          <w:rFonts w:ascii="Tahoma" w:hAnsi="Tahoma" w:cs="Tahoma"/>
          <w:sz w:val="24"/>
          <w:szCs w:val="24"/>
        </w:rPr>
      </w:pPr>
      <w:r>
        <w:rPr>
          <w:rFonts w:ascii="Tahoma" w:hAnsi="Tahoma" w:cs="Tahoma"/>
          <w:sz w:val="24"/>
          <w:szCs w:val="24"/>
        </w:rPr>
        <w:t>R</w:t>
      </w:r>
      <w:r w:rsidRPr="00322F9B">
        <w:rPr>
          <w:rFonts w:ascii="Tahoma" w:hAnsi="Tahoma" w:cs="Tahoma"/>
          <w:sz w:val="24"/>
          <w:szCs w:val="24"/>
        </w:rPr>
        <w:t>ing-fenced suspension</w:t>
      </w:r>
      <w:r>
        <w:rPr>
          <w:rFonts w:ascii="Tahoma" w:hAnsi="Tahoma" w:cs="Tahoma"/>
          <w:sz w:val="24"/>
          <w:szCs w:val="24"/>
        </w:rPr>
        <w:t xml:space="preserve"> </w:t>
      </w:r>
      <w:r w:rsidRPr="00322F9B">
        <w:rPr>
          <w:rFonts w:ascii="Tahoma" w:hAnsi="Tahoma" w:cs="Tahoma"/>
          <w:sz w:val="24"/>
          <w:szCs w:val="24"/>
        </w:rPr>
        <w:t>of duty facility of 100 000 litres of raw wine per annum for a</w:t>
      </w:r>
      <w:r>
        <w:rPr>
          <w:rFonts w:ascii="Tahoma" w:hAnsi="Tahoma" w:cs="Tahoma"/>
          <w:sz w:val="24"/>
          <w:szCs w:val="24"/>
        </w:rPr>
        <w:t xml:space="preserve"> </w:t>
      </w:r>
      <w:r w:rsidRPr="00322F9B">
        <w:rPr>
          <w:rFonts w:ascii="Tahoma" w:hAnsi="Tahoma" w:cs="Tahoma"/>
          <w:sz w:val="24"/>
          <w:szCs w:val="24"/>
        </w:rPr>
        <w:t>period of 2 years beginning 1 January 2025.</w:t>
      </w:r>
    </w:p>
    <w:p w14:paraId="70944EAD" w14:textId="036C86B0" w:rsidR="00322F9B" w:rsidRPr="00322F9B" w:rsidRDefault="00322F9B" w:rsidP="00096760">
      <w:pPr>
        <w:numPr>
          <w:ilvl w:val="0"/>
          <w:numId w:val="24"/>
        </w:numPr>
        <w:jc w:val="both"/>
        <w:rPr>
          <w:rFonts w:ascii="Tahoma" w:hAnsi="Tahoma" w:cs="Tahoma"/>
          <w:sz w:val="24"/>
          <w:szCs w:val="24"/>
        </w:rPr>
      </w:pPr>
      <w:r>
        <w:rPr>
          <w:rFonts w:ascii="Tahoma" w:hAnsi="Tahoma" w:cs="Tahoma"/>
          <w:sz w:val="24"/>
          <w:szCs w:val="24"/>
        </w:rPr>
        <w:t xml:space="preserve">Proposal </w:t>
      </w:r>
      <w:r w:rsidRPr="00322F9B">
        <w:rPr>
          <w:rFonts w:ascii="Tahoma" w:hAnsi="Tahoma" w:cs="Tahoma"/>
          <w:sz w:val="24"/>
          <w:szCs w:val="24"/>
        </w:rPr>
        <w:t>to incentivise the</w:t>
      </w:r>
      <w:r>
        <w:rPr>
          <w:rFonts w:ascii="Tahoma" w:hAnsi="Tahoma" w:cs="Tahoma"/>
          <w:sz w:val="24"/>
          <w:szCs w:val="24"/>
        </w:rPr>
        <w:t xml:space="preserve"> </w:t>
      </w:r>
      <w:r w:rsidRPr="00322F9B">
        <w:rPr>
          <w:rFonts w:ascii="Tahoma" w:hAnsi="Tahoma" w:cs="Tahoma"/>
          <w:sz w:val="24"/>
          <w:szCs w:val="24"/>
        </w:rPr>
        <w:t>film production industry through a number of tax incentives, in</w:t>
      </w:r>
      <w:r>
        <w:rPr>
          <w:rFonts w:ascii="Tahoma" w:hAnsi="Tahoma" w:cs="Tahoma"/>
          <w:sz w:val="24"/>
          <w:szCs w:val="24"/>
        </w:rPr>
        <w:t xml:space="preserve"> </w:t>
      </w:r>
      <w:r w:rsidRPr="00322F9B">
        <w:rPr>
          <w:rFonts w:ascii="Tahoma" w:hAnsi="Tahoma" w:cs="Tahoma"/>
          <w:sz w:val="24"/>
          <w:szCs w:val="24"/>
        </w:rPr>
        <w:t>consultation with stakeholders</w:t>
      </w:r>
      <w:r>
        <w:rPr>
          <w:rFonts w:ascii="Tahoma" w:hAnsi="Tahoma" w:cs="Tahoma"/>
          <w:sz w:val="24"/>
          <w:szCs w:val="24"/>
        </w:rPr>
        <w:t xml:space="preserve"> during the course of 2025.</w:t>
      </w:r>
    </w:p>
    <w:p w14:paraId="386EC9F5" w14:textId="1549FBD1" w:rsidR="00185CDE" w:rsidRDefault="00772813" w:rsidP="00772813">
      <w:pPr>
        <w:jc w:val="both"/>
        <w:rPr>
          <w:rFonts w:ascii="Tahoma" w:hAnsi="Tahoma" w:cs="Tahoma"/>
          <w:sz w:val="24"/>
          <w:szCs w:val="24"/>
        </w:rPr>
      </w:pPr>
      <w:r w:rsidRPr="00096760">
        <w:rPr>
          <w:rFonts w:ascii="Tahoma" w:hAnsi="Tahoma" w:cs="Tahoma"/>
          <w:b/>
          <w:bCs/>
          <w:sz w:val="24"/>
          <w:szCs w:val="24"/>
        </w:rPr>
        <w:t>3.5</w:t>
      </w:r>
      <w:r>
        <w:rPr>
          <w:rFonts w:ascii="Tahoma" w:hAnsi="Tahoma" w:cs="Tahoma"/>
          <w:sz w:val="24"/>
          <w:szCs w:val="24"/>
        </w:rPr>
        <w:tab/>
      </w:r>
      <w:r w:rsidRPr="00096760">
        <w:rPr>
          <w:rFonts w:ascii="Tahoma" w:hAnsi="Tahoma" w:cs="Tahoma"/>
          <w:b/>
          <w:bCs/>
          <w:sz w:val="24"/>
          <w:szCs w:val="24"/>
        </w:rPr>
        <w:t>Support for Climate-Friendly</w:t>
      </w:r>
      <w:r>
        <w:rPr>
          <w:rFonts w:ascii="Tahoma" w:hAnsi="Tahoma" w:cs="Tahoma"/>
          <w:sz w:val="24"/>
          <w:szCs w:val="24"/>
        </w:rPr>
        <w:t xml:space="preserve"> </w:t>
      </w:r>
    </w:p>
    <w:p w14:paraId="20B55D21" w14:textId="05B546C6" w:rsidR="00772813" w:rsidRPr="00096760" w:rsidRDefault="006762F5" w:rsidP="00096760">
      <w:pPr>
        <w:pStyle w:val="ListParagraph"/>
        <w:numPr>
          <w:ilvl w:val="0"/>
          <w:numId w:val="16"/>
        </w:numPr>
        <w:jc w:val="both"/>
        <w:rPr>
          <w:rFonts w:ascii="Tahoma" w:hAnsi="Tahoma" w:cs="Tahoma"/>
          <w:sz w:val="24"/>
          <w:szCs w:val="24"/>
        </w:rPr>
      </w:pPr>
      <w:r w:rsidRPr="00096760">
        <w:rPr>
          <w:rFonts w:ascii="Tahoma" w:hAnsi="Tahoma" w:cs="Tahoma"/>
          <w:sz w:val="24"/>
          <w:szCs w:val="24"/>
        </w:rPr>
        <w:t xml:space="preserve">Customs Duty on Electric Motor Vehicles will be reduced from 40% to 25% for buses, motor vehicles (for public transportation of people), and motor vehicles (for transportation of goods) with only electric motor for propulsion with effect from 1 January 2025. </w:t>
      </w:r>
    </w:p>
    <w:p w14:paraId="2B7F8267" w14:textId="567E374F" w:rsidR="006762F5" w:rsidRPr="00096760" w:rsidRDefault="006762F5" w:rsidP="00096760">
      <w:pPr>
        <w:pStyle w:val="ListParagraph"/>
        <w:numPr>
          <w:ilvl w:val="0"/>
          <w:numId w:val="16"/>
        </w:numPr>
        <w:jc w:val="both"/>
        <w:rPr>
          <w:rFonts w:ascii="Tahoma" w:hAnsi="Tahoma" w:cs="Tahoma"/>
          <w:sz w:val="24"/>
          <w:szCs w:val="24"/>
        </w:rPr>
      </w:pPr>
      <w:r w:rsidRPr="00096760">
        <w:rPr>
          <w:rFonts w:ascii="Tahoma" w:hAnsi="Tahoma" w:cs="Tahoma"/>
          <w:sz w:val="24"/>
          <w:szCs w:val="24"/>
        </w:rPr>
        <w:t xml:space="preserve">Rebate of Duty will be extended equipment used for setting up Electrical Vehicles Solar Powered Charging Stations imported by approved operators with a view to incentivise the use of electric vehicles. This is with effect from 1 January 2025. </w:t>
      </w:r>
    </w:p>
    <w:p w14:paraId="3F6C4E06" w14:textId="165436EE" w:rsidR="006762F5" w:rsidRPr="00096760" w:rsidRDefault="006762F5" w:rsidP="00096760">
      <w:pPr>
        <w:pStyle w:val="ListParagraph"/>
        <w:numPr>
          <w:ilvl w:val="0"/>
          <w:numId w:val="16"/>
        </w:numPr>
        <w:jc w:val="both"/>
        <w:rPr>
          <w:rFonts w:ascii="Tahoma" w:hAnsi="Tahoma" w:cs="Tahoma"/>
          <w:sz w:val="24"/>
          <w:szCs w:val="24"/>
        </w:rPr>
      </w:pPr>
      <w:r w:rsidRPr="00096760">
        <w:rPr>
          <w:rFonts w:ascii="Tahoma" w:hAnsi="Tahoma" w:cs="Tahoma"/>
          <w:sz w:val="24"/>
          <w:szCs w:val="24"/>
        </w:rPr>
        <w:t xml:space="preserve">In order to reduce the cost of Liquefied Petroleum Gas (LPG), the product will be exempted t from Value Added Tax, with effect from 1 January 2025. </w:t>
      </w:r>
    </w:p>
    <w:p w14:paraId="3CE15DF6" w14:textId="77777777" w:rsidR="006762F5" w:rsidRPr="00096760" w:rsidRDefault="006762F5" w:rsidP="00096760">
      <w:pPr>
        <w:pStyle w:val="ListParagraph"/>
        <w:numPr>
          <w:ilvl w:val="0"/>
          <w:numId w:val="16"/>
        </w:numPr>
        <w:jc w:val="both"/>
        <w:rPr>
          <w:rFonts w:ascii="Tahoma" w:hAnsi="Tahoma" w:cs="Tahoma"/>
          <w:sz w:val="24"/>
          <w:szCs w:val="24"/>
        </w:rPr>
      </w:pPr>
      <w:r w:rsidRPr="00096760">
        <w:rPr>
          <w:rFonts w:ascii="Tahoma" w:hAnsi="Tahoma" w:cs="Tahoma"/>
          <w:b/>
          <w:bCs/>
          <w:sz w:val="24"/>
          <w:szCs w:val="24"/>
        </w:rPr>
        <w:t>Plastic Bag Tax</w:t>
      </w:r>
      <w:r w:rsidRPr="00096760">
        <w:rPr>
          <w:rFonts w:ascii="Tahoma" w:hAnsi="Tahoma" w:cs="Tahoma"/>
          <w:sz w:val="24"/>
          <w:szCs w:val="24"/>
        </w:rPr>
        <w:t>: Introduced at US$0.10 per bag to discourage use and protect the environment.</w:t>
      </w:r>
    </w:p>
    <w:p w14:paraId="2D325A38" w14:textId="35DBFBD0" w:rsidR="006762F5" w:rsidRPr="00096760" w:rsidRDefault="006762F5" w:rsidP="00096760">
      <w:pPr>
        <w:pStyle w:val="ListParagraph"/>
        <w:numPr>
          <w:ilvl w:val="0"/>
          <w:numId w:val="16"/>
        </w:numPr>
        <w:jc w:val="both"/>
        <w:rPr>
          <w:rFonts w:ascii="Tahoma" w:hAnsi="Tahoma" w:cs="Tahoma"/>
          <w:sz w:val="24"/>
          <w:szCs w:val="24"/>
        </w:rPr>
      </w:pPr>
      <w:r w:rsidRPr="00096760">
        <w:rPr>
          <w:rFonts w:ascii="Tahoma" w:hAnsi="Tahoma" w:cs="Tahoma"/>
          <w:sz w:val="24"/>
          <w:szCs w:val="24"/>
        </w:rPr>
        <w:t>In order to support persons promoting the recycling of plastics, any supply of recyclable plastics, provided the aggregate amount supplied does not exceed US$5 000 in any year of assessment will be exempt from withholding tax</w:t>
      </w:r>
      <w:r w:rsidR="00096760" w:rsidRPr="00096760">
        <w:rPr>
          <w:rFonts w:ascii="Tahoma" w:hAnsi="Tahoma" w:cs="Tahoma"/>
          <w:sz w:val="24"/>
          <w:szCs w:val="24"/>
        </w:rPr>
        <w:t xml:space="preserve">. </w:t>
      </w:r>
    </w:p>
    <w:p w14:paraId="43046074" w14:textId="3045F742" w:rsidR="00A66525" w:rsidRDefault="00DF6442" w:rsidP="00A66525">
      <w:pPr>
        <w:jc w:val="both"/>
        <w:rPr>
          <w:rFonts w:ascii="Tahoma" w:hAnsi="Tahoma" w:cs="Tahoma"/>
          <w:b/>
          <w:bCs/>
          <w:sz w:val="24"/>
          <w:szCs w:val="24"/>
        </w:rPr>
      </w:pPr>
      <w:r>
        <w:rPr>
          <w:rFonts w:ascii="Tahoma" w:hAnsi="Tahoma" w:cs="Tahoma"/>
          <w:b/>
          <w:bCs/>
          <w:sz w:val="24"/>
          <w:szCs w:val="24"/>
        </w:rPr>
        <w:t>3.6</w:t>
      </w:r>
      <w:r>
        <w:rPr>
          <w:rFonts w:ascii="Tahoma" w:hAnsi="Tahoma" w:cs="Tahoma"/>
          <w:b/>
          <w:bCs/>
          <w:sz w:val="24"/>
          <w:szCs w:val="24"/>
        </w:rPr>
        <w:tab/>
        <w:t>Other Legislative Amendments</w:t>
      </w:r>
    </w:p>
    <w:p w14:paraId="6DD08A9B" w14:textId="72AEE561" w:rsidR="00DF6442" w:rsidRPr="00DF6442" w:rsidRDefault="00DF6442" w:rsidP="00DF6442">
      <w:pPr>
        <w:pStyle w:val="ListParagraph"/>
        <w:numPr>
          <w:ilvl w:val="0"/>
          <w:numId w:val="26"/>
        </w:numPr>
        <w:jc w:val="both"/>
        <w:rPr>
          <w:rFonts w:ascii="Tahoma" w:hAnsi="Tahoma" w:cs="Tahoma"/>
          <w:sz w:val="24"/>
          <w:szCs w:val="24"/>
        </w:rPr>
      </w:pPr>
      <w:r w:rsidRPr="00DF6442">
        <w:rPr>
          <w:rFonts w:ascii="Tahoma" w:hAnsi="Tahoma" w:cs="Tahoma"/>
          <w:sz w:val="24"/>
          <w:szCs w:val="24"/>
        </w:rPr>
        <w:t>Cattle sales by smallholder farmers on aggregate sales below US$5 000 per annum will be exempted from Withholding Tax.</w:t>
      </w:r>
    </w:p>
    <w:p w14:paraId="746240DC" w14:textId="77777777" w:rsidR="00DF6442" w:rsidRPr="00DF6442" w:rsidRDefault="00DF6442" w:rsidP="00DF6442">
      <w:pPr>
        <w:jc w:val="both"/>
        <w:rPr>
          <w:rFonts w:ascii="Tahoma" w:hAnsi="Tahoma" w:cs="Tahoma"/>
          <w:b/>
          <w:bCs/>
          <w:sz w:val="24"/>
          <w:szCs w:val="24"/>
        </w:rPr>
      </w:pPr>
    </w:p>
    <w:p w14:paraId="3D6D704B" w14:textId="675BE8A0" w:rsidR="00A66525" w:rsidRDefault="00096760" w:rsidP="00A66525">
      <w:pPr>
        <w:jc w:val="both"/>
        <w:rPr>
          <w:rFonts w:ascii="Tahoma" w:hAnsi="Tahoma" w:cs="Tahoma"/>
          <w:b/>
          <w:bCs/>
          <w:sz w:val="24"/>
          <w:szCs w:val="24"/>
        </w:rPr>
      </w:pPr>
      <w:r>
        <w:rPr>
          <w:rFonts w:ascii="Tahoma" w:hAnsi="Tahoma" w:cs="Tahoma"/>
          <w:b/>
          <w:bCs/>
          <w:sz w:val="24"/>
          <w:szCs w:val="24"/>
        </w:rPr>
        <w:lastRenderedPageBreak/>
        <w:t>4</w:t>
      </w:r>
      <w:r w:rsidR="00185CDE">
        <w:rPr>
          <w:rFonts w:ascii="Tahoma" w:hAnsi="Tahoma" w:cs="Tahoma"/>
          <w:b/>
          <w:bCs/>
          <w:sz w:val="24"/>
          <w:szCs w:val="24"/>
        </w:rPr>
        <w:t>.0</w:t>
      </w:r>
      <w:r w:rsidR="00185CDE">
        <w:rPr>
          <w:rFonts w:ascii="Tahoma" w:hAnsi="Tahoma" w:cs="Tahoma"/>
          <w:b/>
          <w:bCs/>
          <w:sz w:val="24"/>
          <w:szCs w:val="24"/>
        </w:rPr>
        <w:tab/>
      </w:r>
      <w:r w:rsidR="00FE7388">
        <w:rPr>
          <w:rFonts w:ascii="Tahoma" w:hAnsi="Tahoma" w:cs="Tahoma"/>
          <w:b/>
          <w:bCs/>
          <w:sz w:val="24"/>
          <w:szCs w:val="24"/>
        </w:rPr>
        <w:t xml:space="preserve">NECF Views </w:t>
      </w:r>
    </w:p>
    <w:p w14:paraId="436846B8" w14:textId="77777777" w:rsidR="0060462D" w:rsidRPr="0060462D" w:rsidRDefault="00A7745A" w:rsidP="00096760">
      <w:pPr>
        <w:ind w:left="720" w:hanging="720"/>
        <w:jc w:val="both"/>
        <w:rPr>
          <w:rFonts w:ascii="Tahoma" w:hAnsi="Tahoma" w:cs="Tahoma"/>
          <w:sz w:val="24"/>
          <w:szCs w:val="24"/>
        </w:rPr>
      </w:pPr>
      <w:r>
        <w:rPr>
          <w:rFonts w:ascii="Tahoma" w:hAnsi="Tahoma" w:cs="Tahoma"/>
          <w:sz w:val="24"/>
          <w:szCs w:val="24"/>
          <w:lang w:val="en-ZW"/>
        </w:rPr>
        <w:t>4.1</w:t>
      </w:r>
      <w:r>
        <w:rPr>
          <w:rFonts w:ascii="Tahoma" w:hAnsi="Tahoma" w:cs="Tahoma"/>
          <w:sz w:val="24"/>
          <w:szCs w:val="24"/>
          <w:lang w:val="en-ZW"/>
        </w:rPr>
        <w:tab/>
      </w:r>
      <w:r w:rsidR="0060462D" w:rsidRPr="0060462D">
        <w:rPr>
          <w:rFonts w:ascii="Tahoma" w:hAnsi="Tahoma" w:cs="Tahoma"/>
          <w:sz w:val="24"/>
          <w:szCs w:val="24"/>
        </w:rPr>
        <w:t>The 2025 National Budget introduces commendable fiscal policy measures that align with the goals of National Development Strategy 1 (NDS1) and Vision 2030, while laying a solid foundation for transitioning to National Development Strategy 2 (NDS2). By focusing on macroeconomic stability, structural reforms, and investments in critical sectors, the budget ensures that Zimbabwe is well-positioned to embrace the next phase of its economic transformation agenda. However, certain measures warrant careful review to avoid unintended consequences on aggregate demand, consumer welfare, and business competitiveness.</w:t>
      </w:r>
    </w:p>
    <w:p w14:paraId="1EA353F9" w14:textId="1C1742BE" w:rsidR="00A66525" w:rsidRPr="00A66525" w:rsidRDefault="00096760" w:rsidP="00096760">
      <w:pPr>
        <w:ind w:left="720" w:hanging="720"/>
        <w:jc w:val="both"/>
        <w:rPr>
          <w:rFonts w:ascii="Tahoma" w:hAnsi="Tahoma" w:cs="Tahoma"/>
          <w:sz w:val="24"/>
          <w:szCs w:val="24"/>
        </w:rPr>
      </w:pPr>
      <w:r>
        <w:rPr>
          <w:rFonts w:ascii="Tahoma" w:hAnsi="Tahoma" w:cs="Tahoma"/>
          <w:sz w:val="24"/>
          <w:szCs w:val="24"/>
        </w:rPr>
        <w:t>4.</w:t>
      </w:r>
      <w:r w:rsidR="00A7745A">
        <w:rPr>
          <w:rFonts w:ascii="Tahoma" w:hAnsi="Tahoma" w:cs="Tahoma"/>
          <w:sz w:val="24"/>
          <w:szCs w:val="24"/>
        </w:rPr>
        <w:t>2</w:t>
      </w:r>
      <w:r>
        <w:rPr>
          <w:rFonts w:ascii="Tahoma" w:hAnsi="Tahoma" w:cs="Tahoma"/>
          <w:sz w:val="24"/>
          <w:szCs w:val="24"/>
        </w:rPr>
        <w:tab/>
      </w:r>
      <w:r w:rsidR="00A66525" w:rsidRPr="00A66525">
        <w:rPr>
          <w:rFonts w:ascii="Tahoma" w:hAnsi="Tahoma" w:cs="Tahoma"/>
          <w:sz w:val="24"/>
          <w:szCs w:val="24"/>
        </w:rPr>
        <w:t>The new fast-food tax and other measures such as the plastic bag tax could negatively impact aggregate demand and consumer welfare. These taxes should be reviewed to avoid redundancy, especially since consumers already bear VAT, IMTT, and bank charges. A targeted, equitable approach to revenue generation is recommended, such as incentivizing environmentally friendly alternatives and healthy eating habits.</w:t>
      </w:r>
      <w:r w:rsidR="0079069E" w:rsidRPr="0079069E">
        <w:rPr>
          <w:rFonts w:ascii="Tahoma" w:hAnsi="Tahoma" w:cs="Tahoma"/>
          <w:sz w:val="24"/>
          <w:szCs w:val="24"/>
        </w:rPr>
        <w:t xml:space="preserve"> </w:t>
      </w:r>
    </w:p>
    <w:p w14:paraId="4B9F16AF" w14:textId="578CCFBB" w:rsidR="0079069E" w:rsidRPr="0079069E" w:rsidRDefault="00DF6442" w:rsidP="00DF6442">
      <w:pPr>
        <w:ind w:left="720" w:hanging="720"/>
        <w:jc w:val="both"/>
        <w:rPr>
          <w:rFonts w:ascii="Tahoma" w:hAnsi="Tahoma" w:cs="Tahoma"/>
          <w:sz w:val="24"/>
          <w:szCs w:val="24"/>
        </w:rPr>
      </w:pPr>
      <w:r>
        <w:rPr>
          <w:rFonts w:ascii="Tahoma" w:hAnsi="Tahoma" w:cs="Tahoma"/>
          <w:sz w:val="24"/>
          <w:szCs w:val="24"/>
        </w:rPr>
        <w:t>4.</w:t>
      </w:r>
      <w:r w:rsidR="00A7745A">
        <w:rPr>
          <w:rFonts w:ascii="Tahoma" w:hAnsi="Tahoma" w:cs="Tahoma"/>
          <w:sz w:val="24"/>
          <w:szCs w:val="24"/>
        </w:rPr>
        <w:t>3</w:t>
      </w:r>
      <w:r w:rsidR="0079069E" w:rsidRPr="0079069E">
        <w:rPr>
          <w:rFonts w:ascii="Tahoma" w:hAnsi="Tahoma" w:cs="Tahoma"/>
          <w:sz w:val="24"/>
          <w:szCs w:val="24"/>
        </w:rPr>
        <w:tab/>
        <w:t>The suspension of duty on public service buses is a beneficial measure that provides local bus manufacturers with a critical reprieve. However, the relatively small scale of the industry may hinder competitive pricing and economies of scale, leading to higher prices due to a limited number of suppliers. Conversely, removing duty on Knocked Down Kits (CKD) for buses and cars would strategically position the industry for growth, enabling the establishment of local manufacturing capabilities for simpler components.</w:t>
      </w:r>
    </w:p>
    <w:p w14:paraId="427D2994" w14:textId="2E11A102" w:rsidR="0079069E" w:rsidRPr="0079069E" w:rsidRDefault="00DF6442" w:rsidP="00DF6442">
      <w:pPr>
        <w:ind w:left="720" w:hanging="720"/>
        <w:jc w:val="both"/>
        <w:rPr>
          <w:rFonts w:ascii="Tahoma" w:hAnsi="Tahoma" w:cs="Tahoma"/>
          <w:sz w:val="24"/>
          <w:szCs w:val="24"/>
        </w:rPr>
      </w:pPr>
      <w:r>
        <w:rPr>
          <w:rFonts w:ascii="Tahoma" w:hAnsi="Tahoma" w:cs="Tahoma"/>
          <w:sz w:val="24"/>
          <w:szCs w:val="24"/>
        </w:rPr>
        <w:t>4.</w:t>
      </w:r>
      <w:r w:rsidR="00A7745A">
        <w:rPr>
          <w:rFonts w:ascii="Tahoma" w:hAnsi="Tahoma" w:cs="Tahoma"/>
          <w:sz w:val="24"/>
          <w:szCs w:val="24"/>
        </w:rPr>
        <w:t>4</w:t>
      </w:r>
      <w:r w:rsidR="0079069E" w:rsidRPr="0079069E">
        <w:rPr>
          <w:rFonts w:ascii="Tahoma" w:hAnsi="Tahoma" w:cs="Tahoma"/>
          <w:sz w:val="24"/>
          <w:szCs w:val="24"/>
        </w:rPr>
        <w:tab/>
        <w:t>Increasing excise duties on wines and spirits could help revitalise the domestic wine sector while generating additional government revenue that can be allocated to the healthcare system. However, this may result in higher prices for consumers.</w:t>
      </w:r>
    </w:p>
    <w:p w14:paraId="56B0F96B" w14:textId="2E7043CF" w:rsidR="0079069E" w:rsidRPr="0079069E" w:rsidRDefault="00DF6442" w:rsidP="00DF6442">
      <w:pPr>
        <w:ind w:left="720" w:hanging="720"/>
        <w:jc w:val="both"/>
        <w:rPr>
          <w:rFonts w:ascii="Tahoma" w:hAnsi="Tahoma" w:cs="Tahoma"/>
          <w:sz w:val="24"/>
          <w:szCs w:val="24"/>
        </w:rPr>
      </w:pPr>
      <w:r>
        <w:rPr>
          <w:rFonts w:ascii="Tahoma" w:hAnsi="Tahoma" w:cs="Tahoma"/>
          <w:sz w:val="24"/>
          <w:szCs w:val="24"/>
        </w:rPr>
        <w:t>4.</w:t>
      </w:r>
      <w:r w:rsidR="00A7745A">
        <w:rPr>
          <w:rFonts w:ascii="Tahoma" w:hAnsi="Tahoma" w:cs="Tahoma"/>
          <w:sz w:val="24"/>
          <w:szCs w:val="24"/>
        </w:rPr>
        <w:t>5</w:t>
      </w:r>
      <w:r>
        <w:rPr>
          <w:rFonts w:ascii="Tahoma" w:hAnsi="Tahoma" w:cs="Tahoma"/>
          <w:sz w:val="24"/>
          <w:szCs w:val="24"/>
        </w:rPr>
        <w:tab/>
      </w:r>
      <w:r w:rsidR="0079069E" w:rsidRPr="0079069E">
        <w:rPr>
          <w:rFonts w:ascii="Tahoma" w:hAnsi="Tahoma" w:cs="Tahoma"/>
          <w:sz w:val="24"/>
          <w:szCs w:val="24"/>
        </w:rPr>
        <w:t>While reducing SEZs incentives may enhance fiscal revenues and promote fairness in the market, it could pose challenges for firms that previously benefited from preferential treatment, making it more difficult for them to remain competitive. Conversely, conducting a thorough review of the reasons behind the lack of popularity of SEZs over the past seven years, and identifying strategies to attract investments within these zones is equally crucial.</w:t>
      </w:r>
    </w:p>
    <w:p w14:paraId="0016699A" w14:textId="516EF268" w:rsidR="00475B7D" w:rsidRDefault="00DF6442" w:rsidP="00DF6442">
      <w:pPr>
        <w:ind w:left="720" w:hanging="720"/>
        <w:jc w:val="both"/>
        <w:rPr>
          <w:rFonts w:ascii="Tahoma" w:hAnsi="Tahoma" w:cs="Tahoma"/>
          <w:sz w:val="24"/>
          <w:szCs w:val="24"/>
        </w:rPr>
      </w:pPr>
      <w:r>
        <w:rPr>
          <w:rFonts w:ascii="Tahoma" w:hAnsi="Tahoma" w:cs="Tahoma"/>
          <w:sz w:val="24"/>
          <w:szCs w:val="24"/>
        </w:rPr>
        <w:t>4.</w:t>
      </w:r>
      <w:r w:rsidR="00A7745A">
        <w:rPr>
          <w:rFonts w:ascii="Tahoma" w:hAnsi="Tahoma" w:cs="Tahoma"/>
          <w:sz w:val="24"/>
          <w:szCs w:val="24"/>
        </w:rPr>
        <w:t>6</w:t>
      </w:r>
      <w:r>
        <w:rPr>
          <w:rFonts w:ascii="Tahoma" w:hAnsi="Tahoma" w:cs="Tahoma"/>
          <w:sz w:val="24"/>
          <w:szCs w:val="24"/>
        </w:rPr>
        <w:tab/>
      </w:r>
      <w:r w:rsidR="00B54481" w:rsidRPr="00B54481">
        <w:rPr>
          <w:rFonts w:ascii="Tahoma" w:hAnsi="Tahoma" w:cs="Tahoma"/>
          <w:sz w:val="24"/>
          <w:szCs w:val="24"/>
        </w:rPr>
        <w:t>There is need to consider r</w:t>
      </w:r>
      <w:r w:rsidR="0079069E" w:rsidRPr="00B54481">
        <w:rPr>
          <w:rFonts w:ascii="Tahoma" w:hAnsi="Tahoma" w:cs="Tahoma"/>
          <w:sz w:val="24"/>
          <w:szCs w:val="24"/>
        </w:rPr>
        <w:t>eviewing the tax-free threshold</w:t>
      </w:r>
      <w:r w:rsidR="00B54481" w:rsidRPr="00B54481">
        <w:rPr>
          <w:rFonts w:ascii="Tahoma" w:hAnsi="Tahoma" w:cs="Tahoma"/>
          <w:sz w:val="24"/>
          <w:szCs w:val="24"/>
        </w:rPr>
        <w:t xml:space="preserve"> by </w:t>
      </w:r>
      <w:r w:rsidR="0079069E" w:rsidRPr="00B54481">
        <w:rPr>
          <w:rFonts w:ascii="Tahoma" w:hAnsi="Tahoma" w:cs="Tahoma"/>
          <w:sz w:val="24"/>
          <w:szCs w:val="24"/>
        </w:rPr>
        <w:t xml:space="preserve">raising it from $100 to $150 </w:t>
      </w:r>
      <w:r w:rsidR="00B54481" w:rsidRPr="00B54481">
        <w:rPr>
          <w:rFonts w:ascii="Tahoma" w:hAnsi="Tahoma" w:cs="Tahoma"/>
          <w:sz w:val="24"/>
          <w:szCs w:val="24"/>
        </w:rPr>
        <w:t xml:space="preserve">as it </w:t>
      </w:r>
      <w:r w:rsidR="0079069E" w:rsidRPr="00B54481">
        <w:rPr>
          <w:rFonts w:ascii="Tahoma" w:hAnsi="Tahoma" w:cs="Tahoma"/>
          <w:sz w:val="24"/>
          <w:szCs w:val="24"/>
        </w:rPr>
        <w:t>would provide relief to low-income earners</w:t>
      </w:r>
      <w:r w:rsidR="00B54481" w:rsidRPr="00B54481">
        <w:rPr>
          <w:rFonts w:ascii="Tahoma" w:hAnsi="Tahoma" w:cs="Tahoma"/>
          <w:sz w:val="24"/>
          <w:szCs w:val="24"/>
        </w:rPr>
        <w:t xml:space="preserve"> given that </w:t>
      </w:r>
      <w:r w:rsidR="0079069E" w:rsidRPr="00B54481">
        <w:rPr>
          <w:rFonts w:ascii="Tahoma" w:hAnsi="Tahoma" w:cs="Tahoma"/>
          <w:sz w:val="24"/>
          <w:szCs w:val="24"/>
        </w:rPr>
        <w:t>the current threshold is significantly below the Poverty Datum Line.</w:t>
      </w:r>
    </w:p>
    <w:p w14:paraId="1B83CF8A" w14:textId="16FA94EF" w:rsidR="0079069E" w:rsidRPr="00E10B6B" w:rsidRDefault="00DF6442" w:rsidP="00DF6442">
      <w:pPr>
        <w:ind w:left="720" w:hanging="720"/>
        <w:jc w:val="both"/>
        <w:rPr>
          <w:rFonts w:ascii="Tahoma" w:hAnsi="Tahoma" w:cs="Tahoma"/>
          <w:sz w:val="24"/>
          <w:szCs w:val="24"/>
        </w:rPr>
      </w:pPr>
      <w:r>
        <w:rPr>
          <w:rFonts w:ascii="Tahoma" w:hAnsi="Tahoma" w:cs="Tahoma"/>
          <w:sz w:val="24"/>
          <w:szCs w:val="24"/>
        </w:rPr>
        <w:t>4.</w:t>
      </w:r>
      <w:r w:rsidR="00A7745A">
        <w:rPr>
          <w:rFonts w:ascii="Tahoma" w:hAnsi="Tahoma" w:cs="Tahoma"/>
          <w:sz w:val="24"/>
          <w:szCs w:val="24"/>
        </w:rPr>
        <w:t>7</w:t>
      </w:r>
      <w:r>
        <w:rPr>
          <w:rFonts w:ascii="Tahoma" w:hAnsi="Tahoma" w:cs="Tahoma"/>
          <w:sz w:val="24"/>
          <w:szCs w:val="24"/>
        </w:rPr>
        <w:tab/>
      </w:r>
      <w:r w:rsidR="0079069E" w:rsidRPr="00E10B6B">
        <w:rPr>
          <w:rFonts w:ascii="Tahoma" w:hAnsi="Tahoma" w:cs="Tahoma"/>
          <w:sz w:val="24"/>
          <w:szCs w:val="24"/>
        </w:rPr>
        <w:t>Introducing a tax on betting activities could enhance tax revenue and regulate the sector, while also deterring these addictive behaviours, particularly among young people.</w:t>
      </w:r>
    </w:p>
    <w:p w14:paraId="0038E6D3" w14:textId="24610E83" w:rsidR="0079069E" w:rsidRPr="00E10B6B" w:rsidRDefault="00DF6442" w:rsidP="00DF6442">
      <w:pPr>
        <w:ind w:left="720" w:hanging="720"/>
        <w:jc w:val="both"/>
        <w:rPr>
          <w:rFonts w:ascii="Tahoma" w:hAnsi="Tahoma" w:cs="Tahoma"/>
          <w:sz w:val="24"/>
          <w:szCs w:val="24"/>
        </w:rPr>
      </w:pPr>
      <w:r>
        <w:rPr>
          <w:rFonts w:ascii="Tahoma" w:hAnsi="Tahoma" w:cs="Tahoma"/>
          <w:sz w:val="24"/>
          <w:szCs w:val="24"/>
          <w:lang w:val="en-ZW"/>
        </w:rPr>
        <w:lastRenderedPageBreak/>
        <w:t>4.</w:t>
      </w:r>
      <w:r w:rsidR="00A7745A">
        <w:rPr>
          <w:rFonts w:ascii="Tahoma" w:hAnsi="Tahoma" w:cs="Tahoma"/>
          <w:sz w:val="24"/>
          <w:szCs w:val="24"/>
          <w:lang w:val="en-ZW"/>
        </w:rPr>
        <w:t>8</w:t>
      </w:r>
      <w:r>
        <w:rPr>
          <w:rFonts w:ascii="Tahoma" w:hAnsi="Tahoma" w:cs="Tahoma"/>
          <w:sz w:val="24"/>
          <w:szCs w:val="24"/>
          <w:lang w:val="en-ZW"/>
        </w:rPr>
        <w:tab/>
      </w:r>
      <w:r w:rsidR="0079069E" w:rsidRPr="00E10B6B">
        <w:rPr>
          <w:rFonts w:ascii="Tahoma" w:hAnsi="Tahoma" w:cs="Tahoma"/>
          <w:sz w:val="24"/>
          <w:szCs w:val="24"/>
          <w:lang w:val="en-ZW"/>
        </w:rPr>
        <w:t>Imposing taxes on emerging enterprises is a positive move that can enhance revenue collection, with substantial penalties acting as incentives for compliance. However, this approach may stifle business growth.</w:t>
      </w:r>
    </w:p>
    <w:p w14:paraId="160C9CB5" w14:textId="6C077C12" w:rsidR="0079069E" w:rsidRPr="00E10B6B" w:rsidRDefault="00DF6442" w:rsidP="00DF6442">
      <w:pPr>
        <w:ind w:left="720" w:hanging="720"/>
        <w:jc w:val="both"/>
        <w:rPr>
          <w:rFonts w:ascii="Tahoma" w:hAnsi="Tahoma" w:cs="Tahoma"/>
          <w:sz w:val="24"/>
          <w:szCs w:val="24"/>
        </w:rPr>
      </w:pPr>
      <w:r>
        <w:rPr>
          <w:rFonts w:ascii="Tahoma" w:hAnsi="Tahoma" w:cs="Tahoma"/>
          <w:sz w:val="24"/>
          <w:szCs w:val="24"/>
          <w:lang w:val="en-ZW"/>
        </w:rPr>
        <w:t>4.</w:t>
      </w:r>
      <w:r w:rsidR="00A7745A">
        <w:rPr>
          <w:rFonts w:ascii="Tahoma" w:hAnsi="Tahoma" w:cs="Tahoma"/>
          <w:sz w:val="24"/>
          <w:szCs w:val="24"/>
          <w:lang w:val="en-ZW"/>
        </w:rPr>
        <w:t>9</w:t>
      </w:r>
      <w:r>
        <w:rPr>
          <w:rFonts w:ascii="Tahoma" w:hAnsi="Tahoma" w:cs="Tahoma"/>
          <w:sz w:val="24"/>
          <w:szCs w:val="24"/>
          <w:lang w:val="en-ZW"/>
        </w:rPr>
        <w:tab/>
      </w:r>
      <w:r w:rsidR="0079069E" w:rsidRPr="00E10B6B">
        <w:rPr>
          <w:rFonts w:ascii="Tahoma" w:hAnsi="Tahoma" w:cs="Tahoma"/>
          <w:sz w:val="24"/>
          <w:szCs w:val="24"/>
          <w:lang w:val="en-ZW"/>
        </w:rPr>
        <w:t>The introduction of a rental income tax is a welcome development and presents a low-effort opportunity for tax authorities to boost collection. However, the tax rate appears disproportionately high, potentially eroding landlords' profits and increasing the overall cost of doing business through higher rental rates. This could also result in double taxation, given the existing personal income tax, property taxes, and wealth taxes associated with rental income.</w:t>
      </w:r>
    </w:p>
    <w:p w14:paraId="48B283CC" w14:textId="2A7D7ABD" w:rsidR="005C3165" w:rsidRPr="00E10B6B" w:rsidRDefault="00DF6442" w:rsidP="00DF6442">
      <w:pPr>
        <w:ind w:left="720" w:hanging="720"/>
        <w:jc w:val="both"/>
        <w:rPr>
          <w:rFonts w:ascii="Tahoma" w:hAnsi="Tahoma" w:cs="Tahoma"/>
          <w:sz w:val="24"/>
          <w:szCs w:val="24"/>
        </w:rPr>
      </w:pPr>
      <w:r>
        <w:rPr>
          <w:rFonts w:ascii="Tahoma" w:hAnsi="Tahoma" w:cs="Tahoma"/>
          <w:sz w:val="24"/>
          <w:szCs w:val="24"/>
          <w:lang w:val="en-ZW"/>
        </w:rPr>
        <w:t>4.</w:t>
      </w:r>
      <w:r w:rsidR="00A7745A">
        <w:rPr>
          <w:rFonts w:ascii="Tahoma" w:hAnsi="Tahoma" w:cs="Tahoma"/>
          <w:sz w:val="24"/>
          <w:szCs w:val="24"/>
          <w:lang w:val="en-ZW"/>
        </w:rPr>
        <w:t>10</w:t>
      </w:r>
      <w:r>
        <w:rPr>
          <w:rFonts w:ascii="Tahoma" w:hAnsi="Tahoma" w:cs="Tahoma"/>
          <w:sz w:val="24"/>
          <w:szCs w:val="24"/>
          <w:lang w:val="en-ZW"/>
        </w:rPr>
        <w:tab/>
      </w:r>
      <w:r w:rsidR="005C3165" w:rsidRPr="00E10B6B">
        <w:rPr>
          <w:rFonts w:ascii="Tahoma" w:hAnsi="Tahoma" w:cs="Tahoma"/>
          <w:sz w:val="24"/>
          <w:szCs w:val="24"/>
          <w:lang w:val="en-ZW"/>
        </w:rPr>
        <w:t xml:space="preserve">Reducing the sugar tax on cordials can enhance the competitiveness of domestic producers, who have been negatively impacted by smuggled goods due to inflated local prices. Lower prices can diminish the appeal of smuggling, although sugar taxes are regressive and disproportionately affect low-income consumers while suppressing demand and harming the sugar industry. Fast-track the utilisation of the sugar tax revenue to finance the acquisition of cancer treatment machines, thereby enhancing public trust in government fiscal policies and working toward achieving the 15% healthcare spending target outlined in the Abuja Declaration. </w:t>
      </w:r>
    </w:p>
    <w:p w14:paraId="5B28F56E" w14:textId="184587EE" w:rsidR="005C3165" w:rsidRPr="00E10B6B" w:rsidRDefault="00DF6442" w:rsidP="00DF6442">
      <w:pPr>
        <w:ind w:left="720" w:hanging="720"/>
        <w:jc w:val="both"/>
        <w:rPr>
          <w:rFonts w:ascii="Tahoma" w:hAnsi="Tahoma" w:cs="Tahoma"/>
          <w:sz w:val="24"/>
          <w:szCs w:val="24"/>
        </w:rPr>
      </w:pPr>
      <w:r>
        <w:rPr>
          <w:rFonts w:ascii="Tahoma" w:hAnsi="Tahoma" w:cs="Tahoma"/>
          <w:sz w:val="24"/>
          <w:szCs w:val="24"/>
          <w:lang w:val="en-ZW"/>
        </w:rPr>
        <w:t>4.1</w:t>
      </w:r>
      <w:r w:rsidR="00A7745A">
        <w:rPr>
          <w:rFonts w:ascii="Tahoma" w:hAnsi="Tahoma" w:cs="Tahoma"/>
          <w:sz w:val="24"/>
          <w:szCs w:val="24"/>
          <w:lang w:val="en-ZW"/>
        </w:rPr>
        <w:t>1</w:t>
      </w:r>
      <w:r>
        <w:rPr>
          <w:rFonts w:ascii="Tahoma" w:hAnsi="Tahoma" w:cs="Tahoma"/>
          <w:sz w:val="24"/>
          <w:szCs w:val="24"/>
          <w:lang w:val="en-ZW"/>
        </w:rPr>
        <w:tab/>
      </w:r>
      <w:r w:rsidR="005C3165" w:rsidRPr="00E10B6B">
        <w:rPr>
          <w:rFonts w:ascii="Tahoma" w:hAnsi="Tahoma" w:cs="Tahoma"/>
          <w:sz w:val="24"/>
          <w:szCs w:val="24"/>
          <w:lang w:val="en-ZW"/>
        </w:rPr>
        <w:t>Deferring VAT on energy equipment will facilitate universal energy access and support the nation’s re-industrialization efforts.</w:t>
      </w:r>
    </w:p>
    <w:p w14:paraId="4D5C6EED" w14:textId="45F7EF2E" w:rsidR="005C3165" w:rsidRPr="00E10B6B" w:rsidRDefault="00DF6442" w:rsidP="00DF6442">
      <w:pPr>
        <w:ind w:left="720" w:hanging="720"/>
        <w:jc w:val="both"/>
        <w:rPr>
          <w:rFonts w:ascii="Tahoma" w:hAnsi="Tahoma" w:cs="Tahoma"/>
          <w:sz w:val="24"/>
          <w:szCs w:val="24"/>
        </w:rPr>
      </w:pPr>
      <w:r>
        <w:rPr>
          <w:rFonts w:ascii="Tahoma" w:hAnsi="Tahoma" w:cs="Tahoma"/>
          <w:sz w:val="24"/>
          <w:szCs w:val="24"/>
          <w:lang w:val="en-ZW"/>
        </w:rPr>
        <w:t>4.1</w:t>
      </w:r>
      <w:r w:rsidR="00A7745A">
        <w:rPr>
          <w:rFonts w:ascii="Tahoma" w:hAnsi="Tahoma" w:cs="Tahoma"/>
          <w:sz w:val="24"/>
          <w:szCs w:val="24"/>
          <w:lang w:val="en-ZW"/>
        </w:rPr>
        <w:t>2</w:t>
      </w:r>
      <w:r>
        <w:rPr>
          <w:rFonts w:ascii="Tahoma" w:hAnsi="Tahoma" w:cs="Tahoma"/>
          <w:sz w:val="24"/>
          <w:szCs w:val="24"/>
          <w:lang w:val="en-ZW"/>
        </w:rPr>
        <w:tab/>
      </w:r>
      <w:r w:rsidR="005C3165" w:rsidRPr="00E10B6B">
        <w:rPr>
          <w:rFonts w:ascii="Tahoma" w:hAnsi="Tahoma" w:cs="Tahoma"/>
          <w:sz w:val="24"/>
          <w:szCs w:val="24"/>
          <w:lang w:val="en-ZW"/>
        </w:rPr>
        <w:t>A reduction in customs duty on electric motor vehicles and the rebate on duties for solar charging stations will encourage the adoption of green energy solutions, thereby decreasing the country’s reliance on imported fossil fuels and reducing carbon emissions.</w:t>
      </w:r>
    </w:p>
    <w:p w14:paraId="6E185E80" w14:textId="2946DAED" w:rsidR="005C3165" w:rsidRPr="00E10B6B" w:rsidRDefault="00DF6442" w:rsidP="00DF6442">
      <w:pPr>
        <w:ind w:left="720" w:hanging="720"/>
        <w:jc w:val="both"/>
        <w:rPr>
          <w:rFonts w:ascii="Tahoma" w:hAnsi="Tahoma" w:cs="Tahoma"/>
          <w:sz w:val="24"/>
          <w:szCs w:val="24"/>
        </w:rPr>
      </w:pPr>
      <w:r>
        <w:rPr>
          <w:rFonts w:ascii="Tahoma" w:hAnsi="Tahoma" w:cs="Tahoma"/>
          <w:sz w:val="24"/>
          <w:szCs w:val="24"/>
          <w:lang w:val="en-ZW"/>
        </w:rPr>
        <w:t>4.1</w:t>
      </w:r>
      <w:r w:rsidR="00A7745A">
        <w:rPr>
          <w:rFonts w:ascii="Tahoma" w:hAnsi="Tahoma" w:cs="Tahoma"/>
          <w:sz w:val="24"/>
          <w:szCs w:val="24"/>
          <w:lang w:val="en-ZW"/>
        </w:rPr>
        <w:t>3</w:t>
      </w:r>
      <w:r>
        <w:rPr>
          <w:rFonts w:ascii="Tahoma" w:hAnsi="Tahoma" w:cs="Tahoma"/>
          <w:sz w:val="24"/>
          <w:szCs w:val="24"/>
          <w:lang w:val="en-ZW"/>
        </w:rPr>
        <w:tab/>
      </w:r>
      <w:r w:rsidR="005C3165" w:rsidRPr="00E10B6B">
        <w:rPr>
          <w:rFonts w:ascii="Tahoma" w:hAnsi="Tahoma" w:cs="Tahoma"/>
          <w:sz w:val="24"/>
          <w:szCs w:val="24"/>
          <w:lang w:val="en-ZW"/>
        </w:rPr>
        <w:t>The imposition of a special capital gains tax on the transfer of mining assets at retrospective rates is likely to generate additional revenue while deterring speculative holding of mining claims. This policy compels mining companies to develop their resources, benefiting the current generation.</w:t>
      </w:r>
    </w:p>
    <w:p w14:paraId="37EE3DA0" w14:textId="03EAC0FB" w:rsidR="005C3165" w:rsidRDefault="00DF6442" w:rsidP="00DF6442">
      <w:pPr>
        <w:ind w:left="720" w:hanging="720"/>
        <w:jc w:val="both"/>
        <w:rPr>
          <w:rFonts w:ascii="Tahoma" w:hAnsi="Tahoma" w:cs="Tahoma"/>
          <w:sz w:val="24"/>
          <w:szCs w:val="24"/>
          <w:lang w:val="en-ZW"/>
        </w:rPr>
      </w:pPr>
      <w:r>
        <w:rPr>
          <w:rFonts w:ascii="Tahoma" w:hAnsi="Tahoma" w:cs="Tahoma"/>
          <w:sz w:val="24"/>
          <w:szCs w:val="24"/>
          <w:lang w:val="en-ZW"/>
        </w:rPr>
        <w:t>4.1</w:t>
      </w:r>
      <w:r w:rsidR="00A7745A">
        <w:rPr>
          <w:rFonts w:ascii="Tahoma" w:hAnsi="Tahoma" w:cs="Tahoma"/>
          <w:sz w:val="24"/>
          <w:szCs w:val="24"/>
          <w:lang w:val="en-ZW"/>
        </w:rPr>
        <w:t>4</w:t>
      </w:r>
      <w:r>
        <w:rPr>
          <w:rFonts w:ascii="Tahoma" w:hAnsi="Tahoma" w:cs="Tahoma"/>
          <w:sz w:val="24"/>
          <w:szCs w:val="24"/>
          <w:lang w:val="en-ZW"/>
        </w:rPr>
        <w:tab/>
      </w:r>
      <w:r w:rsidR="005C3165" w:rsidRPr="00A7745A">
        <w:rPr>
          <w:rFonts w:ascii="Tahoma" w:hAnsi="Tahoma" w:cs="Tahoma"/>
          <w:sz w:val="24"/>
          <w:szCs w:val="24"/>
          <w:lang w:val="en-ZW"/>
        </w:rPr>
        <w:t>Exempting smallholder farmers from withholding taxes on cattle sales under $5,000 is highly advisable, especially as these farmers have faced drought-related challenges and livestock losses due to disease. This exemption will significantly contribute to the sustainability of their operations.</w:t>
      </w:r>
    </w:p>
    <w:p w14:paraId="67C6AFCD" w14:textId="77777777" w:rsidR="00DF6442" w:rsidRDefault="00DF6442" w:rsidP="00DF6442">
      <w:pPr>
        <w:ind w:left="720" w:hanging="720"/>
        <w:jc w:val="both"/>
        <w:rPr>
          <w:rFonts w:ascii="Tahoma" w:hAnsi="Tahoma" w:cs="Tahoma"/>
          <w:sz w:val="24"/>
          <w:szCs w:val="24"/>
          <w:lang w:val="en-ZW"/>
        </w:rPr>
      </w:pPr>
    </w:p>
    <w:p w14:paraId="4BBF6788" w14:textId="53F2CC3D" w:rsidR="00DF6442" w:rsidRDefault="00DF6442" w:rsidP="00DF6442">
      <w:pPr>
        <w:ind w:left="720" w:hanging="720"/>
        <w:jc w:val="both"/>
        <w:rPr>
          <w:rFonts w:ascii="Tahoma" w:hAnsi="Tahoma" w:cs="Tahoma"/>
          <w:sz w:val="24"/>
          <w:szCs w:val="24"/>
          <w:lang w:val="en-ZW"/>
        </w:rPr>
      </w:pPr>
      <w:r>
        <w:rPr>
          <w:rFonts w:ascii="Tahoma" w:hAnsi="Tahoma" w:cs="Tahoma"/>
          <w:sz w:val="24"/>
          <w:szCs w:val="24"/>
          <w:lang w:val="en-ZW"/>
        </w:rPr>
        <w:tab/>
      </w:r>
      <w:r>
        <w:rPr>
          <w:rFonts w:ascii="Tahoma" w:hAnsi="Tahoma" w:cs="Tahoma"/>
          <w:sz w:val="24"/>
          <w:szCs w:val="24"/>
          <w:lang w:val="en-ZW"/>
        </w:rPr>
        <w:tab/>
      </w:r>
      <w:r>
        <w:rPr>
          <w:rFonts w:ascii="Tahoma" w:hAnsi="Tahoma" w:cs="Tahoma"/>
          <w:sz w:val="24"/>
          <w:szCs w:val="24"/>
          <w:lang w:val="en-ZW"/>
        </w:rPr>
        <w:tab/>
      </w:r>
      <w:r>
        <w:rPr>
          <w:rFonts w:ascii="Tahoma" w:hAnsi="Tahoma" w:cs="Tahoma"/>
          <w:sz w:val="24"/>
          <w:szCs w:val="24"/>
          <w:lang w:val="en-ZW"/>
        </w:rPr>
        <w:tab/>
      </w:r>
      <w:r>
        <w:rPr>
          <w:rFonts w:ascii="Tahoma" w:hAnsi="Tahoma" w:cs="Tahoma"/>
          <w:sz w:val="24"/>
          <w:szCs w:val="24"/>
          <w:lang w:val="en-ZW"/>
        </w:rPr>
        <w:tab/>
      </w:r>
      <w:r>
        <w:rPr>
          <w:rFonts w:ascii="Tahoma" w:hAnsi="Tahoma" w:cs="Tahoma"/>
          <w:sz w:val="24"/>
          <w:szCs w:val="24"/>
          <w:lang w:val="en-ZW"/>
        </w:rPr>
        <w:tab/>
      </w:r>
      <w:r>
        <w:rPr>
          <w:rFonts w:ascii="Tahoma" w:hAnsi="Tahoma" w:cs="Tahoma"/>
          <w:sz w:val="24"/>
          <w:szCs w:val="24"/>
          <w:lang w:val="en-ZW"/>
        </w:rPr>
        <w:tab/>
      </w:r>
      <w:r>
        <w:rPr>
          <w:rFonts w:ascii="Tahoma" w:hAnsi="Tahoma" w:cs="Tahoma"/>
          <w:sz w:val="24"/>
          <w:szCs w:val="24"/>
          <w:lang w:val="en-ZW"/>
        </w:rPr>
        <w:tab/>
      </w:r>
    </w:p>
    <w:p w14:paraId="0928EEF0" w14:textId="77777777" w:rsidR="00DF6442" w:rsidRDefault="00DF6442" w:rsidP="00DF6442">
      <w:pPr>
        <w:ind w:left="720" w:hanging="720"/>
        <w:jc w:val="both"/>
        <w:rPr>
          <w:rFonts w:ascii="Tahoma" w:hAnsi="Tahoma" w:cs="Tahoma"/>
          <w:sz w:val="24"/>
          <w:szCs w:val="24"/>
          <w:lang w:val="en-ZW"/>
        </w:rPr>
      </w:pPr>
    </w:p>
    <w:p w14:paraId="2AAC75F0" w14:textId="126DD691" w:rsidR="0079069E" w:rsidRPr="0060462D" w:rsidRDefault="00DF6442" w:rsidP="0060462D">
      <w:pPr>
        <w:ind w:left="5760"/>
        <w:jc w:val="both"/>
        <w:rPr>
          <w:rFonts w:ascii="Tahoma" w:hAnsi="Tahoma" w:cs="Tahoma"/>
          <w:b/>
          <w:bCs/>
          <w:sz w:val="24"/>
          <w:szCs w:val="24"/>
        </w:rPr>
      </w:pPr>
      <w:r w:rsidRPr="00DF6442">
        <w:rPr>
          <w:rFonts w:ascii="Tahoma" w:hAnsi="Tahoma" w:cs="Tahoma"/>
          <w:b/>
          <w:bCs/>
          <w:sz w:val="24"/>
          <w:szCs w:val="24"/>
          <w:lang w:val="en-ZW"/>
        </w:rPr>
        <w:t>NECF Secretariat, 2024</w:t>
      </w:r>
    </w:p>
    <w:sectPr w:rsidR="0079069E" w:rsidRPr="006046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B4408" w14:textId="77777777" w:rsidR="00261882" w:rsidRDefault="00261882" w:rsidP="004A5F8D">
      <w:pPr>
        <w:spacing w:after="0" w:line="240" w:lineRule="auto"/>
      </w:pPr>
      <w:r>
        <w:separator/>
      </w:r>
    </w:p>
  </w:endnote>
  <w:endnote w:type="continuationSeparator" w:id="0">
    <w:p w14:paraId="4C2110FC" w14:textId="77777777" w:rsidR="00261882" w:rsidRDefault="00261882" w:rsidP="004A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F286E" w14:textId="77777777" w:rsidR="00261882" w:rsidRDefault="00261882" w:rsidP="004A5F8D">
      <w:pPr>
        <w:spacing w:after="0" w:line="240" w:lineRule="auto"/>
      </w:pPr>
      <w:r>
        <w:separator/>
      </w:r>
    </w:p>
  </w:footnote>
  <w:footnote w:type="continuationSeparator" w:id="0">
    <w:p w14:paraId="15BD230A" w14:textId="77777777" w:rsidR="00261882" w:rsidRDefault="00261882" w:rsidP="004A5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4742C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2A7D7F"/>
    <w:multiLevelType w:val="multilevel"/>
    <w:tmpl w:val="6AE40B4C"/>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A41201"/>
    <w:multiLevelType w:val="multilevel"/>
    <w:tmpl w:val="A23EC110"/>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0E00D4A"/>
    <w:multiLevelType w:val="multilevel"/>
    <w:tmpl w:val="9DF6895C"/>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7775C28"/>
    <w:multiLevelType w:val="multilevel"/>
    <w:tmpl w:val="43081AA2"/>
    <w:lvl w:ilvl="0">
      <w:start w:val="2"/>
      <w:numFmt w:val="decimal"/>
      <w:lvlText w:val="%1"/>
      <w:lvlJc w:val="left"/>
      <w:pPr>
        <w:ind w:left="375" w:hanging="37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17A95F4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FA0155"/>
    <w:multiLevelType w:val="multilevel"/>
    <w:tmpl w:val="83C48D78"/>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D7F4824"/>
    <w:multiLevelType w:val="multilevel"/>
    <w:tmpl w:val="EF58BB58"/>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8BE463B"/>
    <w:multiLevelType w:val="multilevel"/>
    <w:tmpl w:val="8506D4FA"/>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DCE03F7"/>
    <w:multiLevelType w:val="multilevel"/>
    <w:tmpl w:val="FFB686E0"/>
    <w:lvl w:ilvl="0">
      <w:start w:val="1"/>
      <w:numFmt w:val="decimal"/>
      <w:lvlText w:val="%1."/>
      <w:lvlJc w:val="left"/>
      <w:pPr>
        <w:tabs>
          <w:tab w:val="num" w:pos="1080"/>
        </w:tabs>
        <w:ind w:left="1080" w:hanging="360"/>
      </w:p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4764BB5"/>
    <w:multiLevelType w:val="multilevel"/>
    <w:tmpl w:val="2B9AFF2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36FF062E"/>
    <w:multiLevelType w:val="multilevel"/>
    <w:tmpl w:val="76AACEC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8BB17D4"/>
    <w:multiLevelType w:val="multilevel"/>
    <w:tmpl w:val="A5E6E7D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BF9051C"/>
    <w:multiLevelType w:val="hybridMultilevel"/>
    <w:tmpl w:val="50645C12"/>
    <w:lvl w:ilvl="0" w:tplc="30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6766549"/>
    <w:multiLevelType w:val="multilevel"/>
    <w:tmpl w:val="EEACF98A"/>
    <w:lvl w:ilvl="0">
      <w:start w:val="3"/>
      <w:numFmt w:val="decimal"/>
      <w:lvlText w:val="%1"/>
      <w:lvlJc w:val="left"/>
      <w:pPr>
        <w:ind w:left="375" w:hanging="37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4F7D2672"/>
    <w:multiLevelType w:val="hybridMultilevel"/>
    <w:tmpl w:val="1848D85C"/>
    <w:lvl w:ilvl="0" w:tplc="30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FF957C0"/>
    <w:multiLevelType w:val="multilevel"/>
    <w:tmpl w:val="362A6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E1ED9"/>
    <w:multiLevelType w:val="multilevel"/>
    <w:tmpl w:val="339A27A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2BA67D1"/>
    <w:multiLevelType w:val="multilevel"/>
    <w:tmpl w:val="15A0ECA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544B04AC"/>
    <w:multiLevelType w:val="multilevel"/>
    <w:tmpl w:val="89F0546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5845F99"/>
    <w:multiLevelType w:val="multilevel"/>
    <w:tmpl w:val="D7347DE6"/>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C29488D"/>
    <w:multiLevelType w:val="multilevel"/>
    <w:tmpl w:val="2432FEEA"/>
    <w:lvl w:ilvl="0">
      <w:start w:val="4"/>
      <w:numFmt w:val="decimal"/>
      <w:lvlText w:val="%1"/>
      <w:lvlJc w:val="left"/>
      <w:pPr>
        <w:ind w:left="375" w:hanging="37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65414974"/>
    <w:multiLevelType w:val="multilevel"/>
    <w:tmpl w:val="3DFA2786"/>
    <w:lvl w:ilvl="0">
      <w:start w:val="4"/>
      <w:numFmt w:val="decimal"/>
      <w:lvlText w:val="%1"/>
      <w:lvlJc w:val="left"/>
      <w:pPr>
        <w:ind w:left="375" w:hanging="37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6E8118F7"/>
    <w:multiLevelType w:val="multilevel"/>
    <w:tmpl w:val="CD70C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1F0BE2"/>
    <w:multiLevelType w:val="multilevel"/>
    <w:tmpl w:val="9DF6895C"/>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3FE2D1B"/>
    <w:multiLevelType w:val="multilevel"/>
    <w:tmpl w:val="2028031E"/>
    <w:lvl w:ilvl="0">
      <w:start w:val="2"/>
      <w:numFmt w:val="decimal"/>
      <w:lvlText w:val="%1"/>
      <w:lvlJc w:val="left"/>
      <w:pPr>
        <w:ind w:left="375" w:hanging="37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76F853F7"/>
    <w:multiLevelType w:val="multilevel"/>
    <w:tmpl w:val="05B69068"/>
    <w:lvl w:ilvl="0">
      <w:start w:val="3"/>
      <w:numFmt w:val="decimal"/>
      <w:lvlText w:val="%1"/>
      <w:lvlJc w:val="left"/>
      <w:pPr>
        <w:ind w:left="375" w:hanging="37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7" w15:restartNumberingAfterBreak="0">
    <w:nsid w:val="780B1222"/>
    <w:multiLevelType w:val="multilevel"/>
    <w:tmpl w:val="9F18C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039009">
    <w:abstractNumId w:val="23"/>
  </w:num>
  <w:num w:numId="2" w16cid:durableId="229510149">
    <w:abstractNumId w:val="11"/>
  </w:num>
  <w:num w:numId="3" w16cid:durableId="1168980875">
    <w:abstractNumId w:val="16"/>
  </w:num>
  <w:num w:numId="4" w16cid:durableId="1489325975">
    <w:abstractNumId w:val="27"/>
  </w:num>
  <w:num w:numId="5" w16cid:durableId="831529128">
    <w:abstractNumId w:val="17"/>
  </w:num>
  <w:num w:numId="6" w16cid:durableId="6102947">
    <w:abstractNumId w:val="4"/>
  </w:num>
  <w:num w:numId="7" w16cid:durableId="1862235191">
    <w:abstractNumId w:val="25"/>
  </w:num>
  <w:num w:numId="8" w16cid:durableId="1001927046">
    <w:abstractNumId w:val="12"/>
  </w:num>
  <w:num w:numId="9" w16cid:durableId="983387576">
    <w:abstractNumId w:val="26"/>
  </w:num>
  <w:num w:numId="10" w16cid:durableId="538250358">
    <w:abstractNumId w:val="18"/>
  </w:num>
  <w:num w:numId="11" w16cid:durableId="1383560450">
    <w:abstractNumId w:val="22"/>
  </w:num>
  <w:num w:numId="12" w16cid:durableId="2137672310">
    <w:abstractNumId w:val="21"/>
  </w:num>
  <w:num w:numId="13" w16cid:durableId="1604191294">
    <w:abstractNumId w:val="0"/>
  </w:num>
  <w:num w:numId="14" w16cid:durableId="1314333711">
    <w:abstractNumId w:val="6"/>
  </w:num>
  <w:num w:numId="15" w16cid:durableId="268632092">
    <w:abstractNumId w:val="15"/>
  </w:num>
  <w:num w:numId="16" w16cid:durableId="1063410712">
    <w:abstractNumId w:val="13"/>
  </w:num>
  <w:num w:numId="17" w16cid:durableId="783769810">
    <w:abstractNumId w:val="10"/>
  </w:num>
  <w:num w:numId="18" w16cid:durableId="382212729">
    <w:abstractNumId w:val="8"/>
  </w:num>
  <w:num w:numId="19" w16cid:durableId="1971596656">
    <w:abstractNumId w:val="2"/>
  </w:num>
  <w:num w:numId="20" w16cid:durableId="1927110156">
    <w:abstractNumId w:val="19"/>
  </w:num>
  <w:num w:numId="21" w16cid:durableId="1360005600">
    <w:abstractNumId w:val="9"/>
  </w:num>
  <w:num w:numId="22" w16cid:durableId="1308559092">
    <w:abstractNumId w:val="20"/>
  </w:num>
  <w:num w:numId="23" w16cid:durableId="1285892718">
    <w:abstractNumId w:val="7"/>
  </w:num>
  <w:num w:numId="24" w16cid:durableId="173616726">
    <w:abstractNumId w:val="3"/>
  </w:num>
  <w:num w:numId="25" w16cid:durableId="1925147639">
    <w:abstractNumId w:val="14"/>
  </w:num>
  <w:num w:numId="26" w16cid:durableId="719203983">
    <w:abstractNumId w:val="24"/>
  </w:num>
  <w:num w:numId="27" w16cid:durableId="1486118373">
    <w:abstractNumId w:val="5"/>
  </w:num>
  <w:num w:numId="28" w16cid:durableId="1758792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5"/>
    <w:rsid w:val="000133BD"/>
    <w:rsid w:val="00096760"/>
    <w:rsid w:val="00142A0A"/>
    <w:rsid w:val="00185CDE"/>
    <w:rsid w:val="001B1C2D"/>
    <w:rsid w:val="00261882"/>
    <w:rsid w:val="00263DAC"/>
    <w:rsid w:val="00322F9B"/>
    <w:rsid w:val="00341CB8"/>
    <w:rsid w:val="003E5666"/>
    <w:rsid w:val="0041121B"/>
    <w:rsid w:val="00414506"/>
    <w:rsid w:val="00430E9E"/>
    <w:rsid w:val="00475B7D"/>
    <w:rsid w:val="004A5F8D"/>
    <w:rsid w:val="004E68FC"/>
    <w:rsid w:val="005514B9"/>
    <w:rsid w:val="005C3165"/>
    <w:rsid w:val="005D24CB"/>
    <w:rsid w:val="0060462D"/>
    <w:rsid w:val="006762F5"/>
    <w:rsid w:val="006857E7"/>
    <w:rsid w:val="006F1DB0"/>
    <w:rsid w:val="00772813"/>
    <w:rsid w:val="0079069E"/>
    <w:rsid w:val="007E1E5E"/>
    <w:rsid w:val="008648DD"/>
    <w:rsid w:val="00901026"/>
    <w:rsid w:val="00945666"/>
    <w:rsid w:val="00970167"/>
    <w:rsid w:val="009E5FDE"/>
    <w:rsid w:val="00A076A5"/>
    <w:rsid w:val="00A5677E"/>
    <w:rsid w:val="00A66525"/>
    <w:rsid w:val="00A7745A"/>
    <w:rsid w:val="00A97E76"/>
    <w:rsid w:val="00AC71D6"/>
    <w:rsid w:val="00B2161C"/>
    <w:rsid w:val="00B54481"/>
    <w:rsid w:val="00BC0E0B"/>
    <w:rsid w:val="00C617D5"/>
    <w:rsid w:val="00CD7010"/>
    <w:rsid w:val="00D63E31"/>
    <w:rsid w:val="00D81488"/>
    <w:rsid w:val="00DC3DCA"/>
    <w:rsid w:val="00DE2DBA"/>
    <w:rsid w:val="00DE73BD"/>
    <w:rsid w:val="00DF6442"/>
    <w:rsid w:val="00E10B6B"/>
    <w:rsid w:val="00E36BAB"/>
    <w:rsid w:val="00EA044A"/>
    <w:rsid w:val="00EB24E1"/>
    <w:rsid w:val="00EB7013"/>
    <w:rsid w:val="00EC0D1E"/>
    <w:rsid w:val="00F566E5"/>
    <w:rsid w:val="00F94EA6"/>
    <w:rsid w:val="00FB4107"/>
    <w:rsid w:val="00FE738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6CE0"/>
  <w15:chartTrackingRefBased/>
  <w15:docId w15:val="{EB243563-D2D6-4E42-955C-1DFF0E5A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6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6652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6652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6652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6652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6652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6652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6652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6652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66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66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66525"/>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5"/>
    <w:rPr>
      <w:i/>
      <w:iCs/>
      <w:color w:val="404040" w:themeColor="text1" w:themeTint="BF"/>
      <w:lang w:val="en-GB"/>
    </w:rPr>
  </w:style>
  <w:style w:type="paragraph" w:styleId="ListParagraph">
    <w:name w:val="List Paragraph"/>
    <w:basedOn w:val="Normal"/>
    <w:uiPriority w:val="34"/>
    <w:qFormat/>
    <w:rsid w:val="00A66525"/>
    <w:pPr>
      <w:ind w:left="720"/>
      <w:contextualSpacing/>
    </w:pPr>
  </w:style>
  <w:style w:type="character" w:styleId="IntenseEmphasis">
    <w:name w:val="Intense Emphasis"/>
    <w:basedOn w:val="DefaultParagraphFont"/>
    <w:uiPriority w:val="21"/>
    <w:qFormat/>
    <w:rsid w:val="00A66525"/>
    <w:rPr>
      <w:i/>
      <w:iCs/>
      <w:color w:val="0F4761" w:themeColor="accent1" w:themeShade="BF"/>
    </w:rPr>
  </w:style>
  <w:style w:type="paragraph" w:styleId="IntenseQuote">
    <w:name w:val="Intense Quote"/>
    <w:basedOn w:val="Normal"/>
    <w:next w:val="Normal"/>
    <w:link w:val="IntenseQuoteChar"/>
    <w:uiPriority w:val="30"/>
    <w:qFormat/>
    <w:rsid w:val="00A66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525"/>
    <w:rPr>
      <w:i/>
      <w:iCs/>
      <w:color w:val="0F4761" w:themeColor="accent1" w:themeShade="BF"/>
      <w:lang w:val="en-GB"/>
    </w:rPr>
  </w:style>
  <w:style w:type="character" w:styleId="IntenseReference">
    <w:name w:val="Intense Reference"/>
    <w:basedOn w:val="DefaultParagraphFont"/>
    <w:uiPriority w:val="32"/>
    <w:qFormat/>
    <w:rsid w:val="00A66525"/>
    <w:rPr>
      <w:b/>
      <w:bCs/>
      <w:smallCaps/>
      <w:color w:val="0F4761" w:themeColor="accent1" w:themeShade="BF"/>
      <w:spacing w:val="5"/>
    </w:rPr>
  </w:style>
  <w:style w:type="paragraph" w:styleId="Header">
    <w:name w:val="header"/>
    <w:basedOn w:val="Normal"/>
    <w:link w:val="HeaderChar"/>
    <w:uiPriority w:val="99"/>
    <w:unhideWhenUsed/>
    <w:rsid w:val="004A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F8D"/>
    <w:rPr>
      <w:lang w:val="en-GB"/>
    </w:rPr>
  </w:style>
  <w:style w:type="paragraph" w:styleId="Footer">
    <w:name w:val="footer"/>
    <w:basedOn w:val="Normal"/>
    <w:link w:val="FooterChar"/>
    <w:uiPriority w:val="99"/>
    <w:unhideWhenUsed/>
    <w:rsid w:val="004A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F8D"/>
    <w:rPr>
      <w:lang w:val="en-GB"/>
    </w:rPr>
  </w:style>
  <w:style w:type="paragraph" w:customStyle="1" w:styleId="Default">
    <w:name w:val="Default"/>
    <w:rsid w:val="006F1DB0"/>
    <w:pPr>
      <w:autoSpaceDE w:val="0"/>
      <w:autoSpaceDN w:val="0"/>
      <w:adjustRightInd w:val="0"/>
      <w:spacing w:after="0" w:line="240" w:lineRule="auto"/>
    </w:pPr>
    <w:rPr>
      <w:rFonts w:ascii="Helvetica" w:hAnsi="Helvetica" w:cs="Helvetica"/>
      <w:color w:val="000000"/>
      <w:sz w:val="24"/>
      <w:szCs w:val="24"/>
      <w:lang w:val="en-GB"/>
    </w:rPr>
  </w:style>
  <w:style w:type="character" w:customStyle="1" w:styleId="A7">
    <w:name w:val="A7"/>
    <w:uiPriority w:val="99"/>
    <w:rsid w:val="006F1DB0"/>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05021">
      <w:bodyDiv w:val="1"/>
      <w:marLeft w:val="0"/>
      <w:marRight w:val="0"/>
      <w:marTop w:val="0"/>
      <w:marBottom w:val="0"/>
      <w:divBdr>
        <w:top w:val="none" w:sz="0" w:space="0" w:color="auto"/>
        <w:left w:val="none" w:sz="0" w:space="0" w:color="auto"/>
        <w:bottom w:val="none" w:sz="0" w:space="0" w:color="auto"/>
        <w:right w:val="none" w:sz="0" w:space="0" w:color="auto"/>
      </w:divBdr>
    </w:div>
    <w:div w:id="740059134">
      <w:bodyDiv w:val="1"/>
      <w:marLeft w:val="0"/>
      <w:marRight w:val="0"/>
      <w:marTop w:val="0"/>
      <w:marBottom w:val="0"/>
      <w:divBdr>
        <w:top w:val="none" w:sz="0" w:space="0" w:color="auto"/>
        <w:left w:val="none" w:sz="0" w:space="0" w:color="auto"/>
        <w:bottom w:val="none" w:sz="0" w:space="0" w:color="auto"/>
        <w:right w:val="none" w:sz="0" w:space="0" w:color="auto"/>
      </w:divBdr>
    </w:div>
    <w:div w:id="12757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23</cp:revision>
  <dcterms:created xsi:type="dcterms:W3CDTF">2024-12-05T14:37:00Z</dcterms:created>
  <dcterms:modified xsi:type="dcterms:W3CDTF">2024-12-07T15:22:00Z</dcterms:modified>
</cp:coreProperties>
</file>