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Figure</w:t>
      </w:r>
      <w:r>
        <w:t xml:space="preserve"> </w:t>
      </w:r>
      <w:r>
        <w:t xml:space="preserve">Legends</w:t>
      </w:r>
    </w:p>
    <w:p>
      <w:pPr>
        <w:pStyle w:val="FirstParagraph"/>
      </w:pPr>
      <w:r>
        <w:rPr>
          <w:i/>
        </w:rPr>
        <w:t xml:space="preserve">CIDER T-cell immune infiltration manuscript — figures output to</w:t>
      </w:r>
      <w:r>
        <w:rPr>
          <w:i/>
        </w:rPr>
        <w:t xml:space="preserve"> </w:t>
      </w:r>
      <w:r>
        <w:rPr>
          <w:rStyle w:val="VerbatimChar"/>
          <w:i/>
        </w:rPr>
        <w:t xml:space="preserve">figs/paper/</w:t>
      </w:r>
    </w:p>
    <w:p>
      <w:pPr>
        <w:pStyle w:val="BodyText"/>
      </w:pPr>
      <w:r>
        <w:rPr>
          <w:i/>
          <w:b/>
        </w:rPr>
        <w:t xml:space="preserve">DRAFT — machine-generated from source code (</w:t>
      </w:r>
      <w:r>
        <w:rPr>
          <w:rStyle w:val="VerbatimChar"/>
          <w:i/>
          <w:b/>
        </w:rPr>
        <w:t xml:space="preserve">assemble_*.R</w:t>
      </w:r>
      <w:r>
        <w:rPr>
          <w:i/>
          <w:b/>
        </w:rPr>
        <w:t xml:space="preserve"> </w:t>
      </w:r>
      <w:r>
        <w:rPr>
          <w:i/>
          <w:b/>
        </w:rPr>
        <w:t xml:space="preserve">scripts and</w:t>
      </w:r>
      <w:r>
        <w:rPr>
          <w:i/>
          <w:b/>
        </w:rPr>
        <w:t xml:space="preserve"> </w:t>
      </w:r>
      <w:r>
        <w:rPr>
          <w:rStyle w:val="VerbatimChar"/>
          <w:i/>
          <w:b/>
        </w:rPr>
        <w:t xml:space="preserve">1_figures/*.ipynb</w:t>
      </w:r>
      <w:r>
        <w:rPr>
          <w:i/>
          <w:b/>
        </w:rPr>
        <w:t xml:space="preserve">).</w:t>
      </w:r>
      <w:r>
        <w:t xml:space="preserve"> </w:t>
      </w:r>
      <w:r>
        <w:rPr>
          <w:i/>
        </w:rPr>
        <w:t xml:space="preserve">Notebook outputs are stripped from version control, so all sample sizes (n), effect estimates</w:t>
      </w:r>
      <w:r>
        <w:rPr>
          <w:i/>
        </w:rPr>
        <w:t xml:space="preserve"> </w:t>
      </w:r>
      <w:r>
        <w:rPr>
          <w:i/>
        </w:rPr>
        <w:t xml:space="preserve">(HR, OR, AUC, r, ρ), and p-values below are marked</w:t>
      </w:r>
      <w:r>
        <w:rPr>
          <w:i/>
        </w:rPr>
        <w:t xml:space="preserve"> </w:t>
      </w:r>
      <w:r>
        <w:rPr>
          <w:b/>
          <w:i/>
        </w:rPr>
        <w:t xml:space="preserve">[TBD]</w:t>
      </w:r>
      <w:r>
        <w:rPr>
          <w:i/>
        </w:rPr>
        <w:t xml:space="preserve"> </w:t>
      </w:r>
      <w:r>
        <w:rPr>
          <w:i/>
        </w:rPr>
        <w:t xml:space="preserve">and must be filled in from a fresh</w:t>
      </w:r>
      <w:r>
        <w:rPr>
          <w:i/>
        </w:rPr>
        <w:t xml:space="preserve"> </w:t>
      </w:r>
      <w:r>
        <w:rPr>
          <w:i/>
        </w:rPr>
        <w:t xml:space="preserve">pipeline run or the rendered PNGs before submission. Please verify panel order, titles, and</w:t>
      </w:r>
      <w:r>
        <w:rPr>
          <w:i/>
        </w:rPr>
        <w:t xml:space="preserve"> </w:t>
      </w:r>
      <w:r>
        <w:rPr>
          <w:i/>
        </w:rPr>
        <w:t xml:space="preserve">statistical methods against the actual figures — this text has not been checked against rendered</w:t>
      </w:r>
      <w:r>
        <w:rPr>
          <w:i/>
        </w:rPr>
        <w:t xml:space="preserve"> </w:t>
      </w:r>
      <w:r>
        <w:rPr>
          <w:i/>
        </w:rPr>
        <w:t xml:space="preserve">output.</w:t>
      </w:r>
    </w:p>
    <w:p>
      <w:pPr>
        <w:pStyle w:val="Heading2"/>
      </w:pPr>
      <w:bookmarkStart w:id="20" w:name="main-figures"/>
      <w:r>
        <w:t xml:space="preserve">Main Figures</w:t>
      </w:r>
      <w:bookmarkEnd w:id="20"/>
    </w:p>
    <w:p>
      <w:pPr>
        <w:pStyle w:val="FirstParagraph"/>
      </w:pPr>
      <w:r>
        <w:rPr>
          <w:b/>
          <w:i w:val="0"/>
        </w:rPr>
        <w:t>Figure 1. Overview of the CIDER T-cell score: from tumor biopsy to a WGS-derived immune-infiltration proxy.</w:t>
      </w:r>
      <w:r>
        <w:rPr>
          <w:b w:val="0"/>
          <w:i w:val="0"/>
        </w:rPr>
        <w:t xml:space="preserve"> </w:t>
      </w:r>
      <w:r>
        <w:rPr>
          <w:b w:val="0"/>
          <w:i/>
        </w:rPr>
        <w:t>(A)</w:t>
      </w:r>
      <w:r>
        <w:rPr>
          <w:b w:val="0"/>
          <w:i w:val="0"/>
        </w:rPr>
        <w:t xml:space="preserve"> A core-needle biopsy samples the tumor immune microenvironment (TME): tumor cells presenting surface HLA class I, infiltrating T cells (one engaged in TCR–HLA contact), stromal cells (fibroblasts, endothelial), and other immune cells (macrophages, NK, B cells). Of the five illustrative T cells, four express paired αβ (TRA/TRB) receptors and one a γδ (TRG/TRD) receptor; each carries an illustrative CDR3 sequence (colored by locus). Two T cells share an identical TRA sequence, representing clonal expansion, so the five cells yield four unique CDR3s (one TRA, two TRB, one TRG) — traced by a dashed connector to the repertoire table in (B).</w:t>
      </w:r>
      <w:r>
        <w:rPr>
          <w:b w:val="0"/>
          <w:i w:val="0"/>
        </w:rPr>
        <w:t xml:space="preserve"> </w:t>
      </w:r>
      <w:r>
        <w:rPr>
          <w:b w:val="0"/>
          <w:i/>
        </w:rPr>
        <w:t>(B)</w:t>
      </w:r>
      <w:r>
        <w:rPr>
          <w:b w:val="0"/>
          <w:i w:val="0"/>
        </w:rPr>
        <w:t xml:space="preserve"> DNA from the biopsy core is extracted, library-prepped, and whole-genome sequenced (WGS). CIDER identifies unique CDR3 sequences across the TRA, TRB, and TRG loci from the resulting reads (illustrative repertoire shown); a worked example shows the four unique CDR3s normalized by sequencing depth. The CIDER T-cell score — unique CDR3s per 100 genome-equivalents of sequencing depth — is a continuous, WGS-derived proxy for tumor immune infiltration (Low to High).</w:t>
      </w:r>
    </w:p>
    <w:p>
      <w:pPr>
        <w:pStyle w:val="BodyText"/>
      </w:pPr>
      <w:r>
        <w:rPr>
          <w:b/>
        </w:rPr>
        <w:t xml:space="preserve">Figure 2. CIDER T-cell Score across cancer types and validation against orthogonal immune-infiltration measures.</w:t>
      </w:r>
      <w:r>
        <w:t xml:space="preserve"> </w:t>
      </w:r>
      <w:r>
        <w:t xml:space="preserve">(A) Boxplots (median, interquartile range, with underlying jittered points) of the CIDER T-cell</w:t>
      </w:r>
      <w:r>
        <w:t xml:space="preserve"> </w:t>
      </w:r>
      <w:r>
        <w:t xml:space="preserve">Score (depth-normalized CDR3 read count, log10(x+1) scale) across Hartwig Medical Foundation</w:t>
      </w:r>
      <w:r>
        <w:t xml:space="preserve"> </w:t>
      </w:r>
      <w:r>
        <w:t xml:space="preserve">whole-genome-sequenced tumor cohorts, ordered by descending median score (Pan-Cancer pooled at</w:t>
      </w:r>
      <w:r>
        <w:t xml:space="preserve"> </w:t>
      </w:r>
      <w:r>
        <w:t xml:space="preserve">left;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at right). n = [TBD] patients (all Hartwig WGS patients with a T-cell CDR3 call).</w:t>
      </w:r>
      <w:r>
        <w:t xml:space="preserve"> </w:t>
      </w:r>
      <w:r>
        <w:t xml:space="preserve">(B, left) Validation against an orthogonal RNA-based T-cell expression signature (mean adjusted</w:t>
      </w:r>
      <w:r>
        <w:t xml:space="preserve"> </w:t>
      </w:r>
      <w:r>
        <w:t xml:space="preserve">TPM of T-cell marker genes) in the subset of Hartwig patients with matched RNA-seq (n = [TBD]);</w:t>
      </w:r>
      <w:r>
        <w:t xml:space="preserve"> </w:t>
      </w:r>
      <w:r>
        <w:t xml:space="preserve">both axes log10(x+1)-transformed, linear fit shown, Pearson r = [TBD]. (B, right) Validation</w:t>
      </w:r>
      <w:r>
        <w:t xml:space="preserve"> </w:t>
      </w:r>
      <w:r>
        <w:t xml:space="preserve">against ImmuneLENS-estimated T-cell fraction, faceted by TCR locus (T-cell [mean of all loci],</w:t>
      </w:r>
      <w:r>
        <w:t xml:space="preserve"> </w:t>
      </w:r>
      <w:r>
        <w:t xml:space="preserve">TRA/TRD, TRB, TRG), restricted to the ICI-treated cohort (n = [TBD]); Pearson r per facet = [TBD].</w:t>
      </w:r>
      <w:r>
        <w:t xml:space="preserve"> </w:t>
      </w:r>
      <w:r>
        <w:t xml:space="preserve">(C) Lower-triangular heatmap of pairwise Pearson correlations among the CIDER T-cell Score and its</w:t>
      </w:r>
      <w:r>
        <w:t xml:space="preserve"> </w:t>
      </w:r>
      <w:r>
        <w:t xml:space="preserve">three constituent TCR loci (TRA/TRD, TRB, TRG), computed across all Hartwig WGS patients</w:t>
      </w:r>
      <w:r>
        <w:t xml:space="preserve"> </w:t>
      </w:r>
      <w:r>
        <w:t xml:space="preserve">(n = [TBD]); tile color and printed value indicate the correlation coefficient (0–1 scale).</w:t>
      </w:r>
    </w:p>
    <w:p>
      <w:pPr>
        <w:pStyle w:val="BodyText"/>
      </w:pPr>
      <w:r>
        <w:rPr>
          <w:b/>
        </w:rPr>
        <w:t xml:space="preserve">Figure 3. CIDER T-cell Score is associated with response to immune checkpoint inhibition (ICI).</w:t>
      </w:r>
      <w:r>
        <w:t xml:space="preserve"> </w:t>
      </w:r>
      <w:r>
        <w:t xml:space="preserve">CIDER T-cell Score (depth-normalized, log10(x+1) scale) by best overall response (Responder =</w:t>
      </w:r>
      <w:r>
        <w:t xml:space="preserve"> </w:t>
      </w:r>
      <w:r>
        <w:t xml:space="preserve">confirmed complete/partial response; Non-Responder = all other outcomes) across ICI-treated</w:t>
      </w:r>
      <w:r>
        <w:t xml:space="preserve"> </w:t>
      </w:r>
      <w:r>
        <w:t xml:space="preserve">cohorts (pooled</w:t>
      </w:r>
      <w:r>
        <w:t xml:space="preserve"> </w:t>
      </w:r>
      <w:r>
        <w:t xml:space="preserve">“</w:t>
      </w:r>
      <w:r>
        <w:t xml:space="preserve">ICI-Treated</w:t>
      </w:r>
      <w:r>
        <w:t xml:space="preserve">”</w:t>
      </w:r>
      <w:r>
        <w:t xml:space="preserve"> </w:t>
      </w:r>
      <w:r>
        <w:t xml:space="preserve">plus individual cancer types: melanoma [SKCM], non-small-cell lung</w:t>
      </w:r>
      <w:r>
        <w:t xml:space="preserve"> </w:t>
      </w:r>
      <w:r>
        <w:t xml:space="preserve">cancer [NSCLC], bladder [BLCA], MSI-high colorectal [CRC-MSI], Other), shown as jittered points</w:t>
      </w:r>
      <w:r>
        <w:t xml:space="preserve"> </w:t>
      </w:r>
      <w:r>
        <w:t xml:space="preserve">with overlaid boxplots and per-cohort median labels. Sample sizes (n) are annotated below each</w:t>
      </w:r>
      <w:r>
        <w:t xml:space="preserve"> </w:t>
      </w:r>
      <w:r>
        <w:t xml:space="preserve">box. P-values from two-sided Wilcoxon rank-sum tests are shown above each cohort.</w:t>
      </w:r>
    </w:p>
    <w:p>
      <w:pPr>
        <w:pStyle w:val="BodyText"/>
      </w:pPr>
      <w:r>
        <w:rPr>
          <w:b/>
        </w:rPr>
        <w:t xml:space="preserve">Figure 3b. As Figure 3, decomposed by TCR locus.</w:t>
      </w:r>
      <w:r>
        <w:t xml:space="preserve"> </w:t>
      </w:r>
      <w:r>
        <w:t xml:space="preserve">(Top) Pan-cohort response comparison as in Figure 3 (T-cell, all loci). (Bottom) Identical</w:t>
      </w:r>
      <w:r>
        <w:t xml:space="preserve"> </w:t>
      </w:r>
      <w:r>
        <w:t xml:space="preserve">analysis restricted to each of the three individual TCR loci: TRA/TRD, TRB, and TRG.</w:t>
      </w:r>
    </w:p>
    <w:p>
      <w:pPr>
        <w:pStyle w:val="BodyText"/>
      </w:pPr>
      <w:r>
        <w:rPr>
          <w:b/>
        </w:rPr>
        <w:t xml:space="preserve">Figure 3c. As Figure 3, with TRA/TRD and TRB summed.</w:t>
      </w:r>
      <w:r>
        <w:t xml:space="preserve"> </w:t>
      </w:r>
      <w:r>
        <w:t xml:space="preserve">(Top) Pan-cohort response comparison as in Figure 3. (Bottom) Two-facet comparison: CIDER score</w:t>
      </w:r>
      <w:r>
        <w:t xml:space="preserve"> </w:t>
      </w:r>
      <w:r>
        <w:t xml:space="preserve">summed across TRA/TRD and TRB loci per patient (left) versus TRG alone (right); same</w:t>
      </w:r>
      <w:r>
        <w:t xml:space="preserve"> </w:t>
      </w:r>
      <w:r>
        <w:t xml:space="preserve">jitter/boxplot/Wilcoxon presentation as Figure 3.</w:t>
      </w:r>
    </w:p>
    <w:p>
      <w:pPr>
        <w:pStyle w:val="BodyText"/>
      </w:pPr>
      <w:r>
        <w:rPr>
          <w:b/>
        </w:rPr>
        <w:t xml:space="preserve">Figure 4. CIDER T-cell Score stratifies overall survival on ICI therapy.</w:t>
      </w:r>
      <w:r>
        <w:t xml:space="preserve"> </w:t>
      </w:r>
      <w:r>
        <w:t xml:space="preserve">Kaplan–Meier curves of overall survival (time in months) for ICI-treated patients, stratified by</w:t>
      </w:r>
      <w:r>
        <w:t xml:space="preserve"> </w:t>
      </w:r>
      <w:r>
        <w:t xml:space="preserve">CIDER T-cell High versus Low (median split of the depth-normalized CIDER T-cell Score, computed</w:t>
      </w:r>
      <w:r>
        <w:t xml:space="preserve"> </w:t>
      </w:r>
      <w:r>
        <w:t xml:space="preserve">within each cancer-type group), shown per cohort. Hazard ratio (HR) and log-rank p-value from a</w:t>
      </w:r>
      <w:r>
        <w:t xml:space="preserve"> </w:t>
      </w:r>
      <w:r>
        <w:t xml:space="preserve">Cox proportional-hazards model are annotated on each panel. Low = sky blue; High = bluish green.</w:t>
      </w:r>
    </w:p>
    <w:p>
      <w:pPr>
        <w:pStyle w:val="BodyText"/>
      </w:pPr>
      <w:r>
        <w:rPr>
          <w:b/>
        </w:rPr>
        <w:t xml:space="preserve">Figure 5. CIDER T-cell Score complements tumor mutational burden (TMB) for predicting ICI response.</w:t>
      </w:r>
      <w:r>
        <w:t xml:space="preserve"> </w:t>
      </w:r>
      <w:r>
        <w:t xml:space="preserve">(A) Relationship between CIDER T-cell Score and TMB (mutations/Mb) in the ICI-treated cohort;</w:t>
      </w:r>
      <w:r>
        <w:t xml:space="preserve"> </w:t>
      </w:r>
      <w:r>
        <w:t xml:space="preserve">log10(x+1) axes, linear fit, Pearson r = [TBD]. (B) Receiver-operating-characteristic (ROC) curves</w:t>
      </w:r>
      <w:r>
        <w:t xml:space="preserve"> </w:t>
      </w:r>
      <w:r>
        <w:t xml:space="preserve">for predicting best overall response using CIDER T-cell Score alone, TMB alone, or both combined</w:t>
      </w:r>
      <w:r>
        <w:t xml:space="preserve"> </w:t>
      </w:r>
      <w:r>
        <w:t xml:space="preserve">(logistic regression); curve labels report 10-fold, 10-repeat cross-validated AUC ± SD; DeLong’s</w:t>
      </w:r>
      <w:r>
        <w:t xml:space="preserve"> </w:t>
      </w:r>
      <w:r>
        <w:t xml:space="preserve">test p-values compare the combined model against each univariate model. (C) Kaplan–Meier</w:t>
      </w:r>
      <w:r>
        <w:t xml:space="preserve"> </w:t>
      </w:r>
      <w:r>
        <w:t xml:space="preserve">overall-survival curves for four groups defined by crossing CIDER T-cell High/Low (median split)</w:t>
      </w:r>
      <w:r>
        <w:t xml:space="preserve"> </w:t>
      </w:r>
      <w:r>
        <w:t xml:space="preserve">with TMB High/Low status; stratified Cox hazard ratios (CIDER High vs Low) are reported within</w:t>
      </w:r>
      <w:r>
        <w:t xml:space="preserve"> </w:t>
      </w:r>
      <w:r>
        <w:t xml:space="preserve">each TMB stratum.</w:t>
      </w:r>
    </w:p>
    <w:p>
      <w:pPr>
        <w:pStyle w:val="BodyText"/>
      </w:pPr>
      <w:r>
        <w:rPr>
          <w:b/>
        </w:rPr>
        <w:t xml:space="preserve">Figure 6. A CIDER T-cell Score + TMB model predicts ICI response and projects response likelihood across the pan-cancer Hartwig cohort.</w:t>
      </w:r>
      <w:r>
        <w:t xml:space="preserve"> </w:t>
      </w:r>
      <w:r>
        <w:t xml:space="preserve">(A) Schematic of the predictive model: CIDER T-cell Score (log1p-transformed) and TMB</w:t>
      </w:r>
      <w:r>
        <w:t xml:space="preserve"> </w:t>
      </w:r>
      <w:r>
        <w:t xml:space="preserve">(log-transformed) as inputs to a logistic regression model trained on ICI-treated patients with</w:t>
      </w:r>
      <w:r>
        <w:t xml:space="preserve"> </w:t>
      </w:r>
      <w:r>
        <w:t xml:space="preserve">known RECIST response. (B) Model-predicted response probability by actual response status,</w:t>
      </w:r>
      <w:r>
        <w:t xml:space="preserve"> </w:t>
      </w:r>
      <w:r>
        <w:t xml:space="preserve">faceted by cancer-type cohort, with per-cohort Wilcoxon test p-values. (C) Model-predicted</w:t>
      </w:r>
      <w:r>
        <w:t xml:space="preserve"> </w:t>
      </w:r>
      <w:r>
        <w:t xml:space="preserve">response probability applied to all Hartwig patients who did not receive ICI therapy, ordered by</w:t>
      </w:r>
      <w:r>
        <w:t xml:space="preserve"> </w:t>
      </w:r>
      <w:r>
        <w:t xml:space="preserve">descending median predicted probability; shaded bands mark very-low (0–5%) and likely-responsive</w:t>
      </w:r>
      <w:r>
        <w:t xml:space="preserve"> </w:t>
      </w:r>
      <w:r>
        <w:t xml:space="preserve">(&gt;50%) predicted-probability ranges. Red reference marks indicate published literature objective</w:t>
      </w:r>
      <w:r>
        <w:t xml:space="preserve"> </w:t>
      </w:r>
      <w:r>
        <w:t xml:space="preserve">response rates (ORR) for each cancer type as an external validation benchmark; a version without</w:t>
      </w:r>
      <w:r>
        <w:t xml:space="preserve"> </w:t>
      </w:r>
      <w:r>
        <w:t xml:space="preserve">this overlay is output separately (</w:t>
      </w:r>
      <w:r>
        <w:rPr>
          <w:rStyle w:val="VerbatimChar"/>
        </w:rPr>
        <w:t xml:space="preserve">predicted_response_landscape_no_overlay.png</w:t>
      </w:r>
      <w:r>
        <w:t xml:space="preserve">). Model AUC =</w:t>
      </w:r>
      <w:r>
        <w:t xml:space="preserve"> </w:t>
      </w:r>
      <w:r>
        <w:t xml:space="preserve">[TBD] (in-sample; upper-bound estimate, not cross-validated).</w:t>
      </w:r>
    </w:p>
    <w:p>
      <w:pPr>
        <w:pStyle w:val="Heading2"/>
      </w:pPr>
      <w:bookmarkStart w:id="21" w:name="supplementary-figures"/>
      <w:r>
        <w:t xml:space="preserve">Supplementary Figures</w:t>
      </w:r>
      <w:bookmarkEnd w:id="21"/>
    </w:p>
    <w:p>
      <w:pPr>
        <w:pStyle w:val="FirstParagraph"/>
      </w:pPr>
      <w:r>
        <w:rPr>
          <w:b/>
        </w:rPr>
        <w:t xml:space="preserve">Supplement — Tumour purity and CIDER Score adjustment.</w:t>
      </w:r>
      <w:r>
        <w:t xml:space="preserve"> </w:t>
      </w:r>
      <w:r>
        <w:t xml:space="preserve">(A) Relationship between the depth-normalized and the fully purity-and-depth-adjusted CIDER</w:t>
      </w:r>
      <w:r>
        <w:t xml:space="preserve"> </w:t>
      </w:r>
      <w:r>
        <w:t xml:space="preserve">T-cell Score (adjustment = depth-normalized score ÷ max(1 − tumor purity, 0.1)), colored by</w:t>
      </w:r>
      <w:r>
        <w:t xml:space="preserve"> </w:t>
      </w:r>
      <w:r>
        <w:t xml:space="preserve">tumor purity; dashed line indicates identity. (B) Tumor purity by ICI response status across</w:t>
      </w:r>
      <w:r>
        <w:t xml:space="preserve"> </w:t>
      </w:r>
      <w:r>
        <w:t xml:space="preserve">cohorts, with per-cohort Wilcoxon tests. (C) CIDER T-cell Score (fully purity-adjusted) versus ICI</w:t>
      </w:r>
      <w:r>
        <w:t xml:space="preserve"> </w:t>
      </w:r>
      <w:r>
        <w:t xml:space="preserve">response, as a sensitivity analysis paralleling Figure 3.</w:t>
      </w:r>
    </w:p>
    <w:p>
      <w:pPr>
        <w:pStyle w:val="BodyText"/>
      </w:pPr>
      <w:r>
        <w:rPr>
          <w:b/>
        </w:rPr>
        <w:t xml:space="preserve">Supplement — Forest plots of CIDER T-cell Score associations with response and survival, by tumor type and ICI mechanism.</w:t>
      </w:r>
      <w:r>
        <w:t xml:space="preserve"> </w:t>
      </w:r>
      <w:r>
        <w:t xml:space="preserve">Four stacked panels showing effect estimates (log odds ratio for best-overall-response/durable-</w:t>
      </w:r>
      <w:r>
        <w:t xml:space="preserve"> </w:t>
      </w:r>
      <w:r>
        <w:t xml:space="preserve">clinical-benefit; log hazard ratio for overall/progression-free survival) for the</w:t>
      </w:r>
      <w:r>
        <w:t xml:space="preserve"> </w:t>
      </w:r>
      <w:r>
        <w:t xml:space="preserve">purity-and-depth-adjusted CIDER T-cell Score and its three TCR loci, from unadjusted models and</w:t>
      </w:r>
      <w:r>
        <w:t xml:space="preserve"> </w:t>
      </w:r>
      <w:r>
        <w:t xml:space="preserve">models additionally adjusted for TMB, clinical covariates, and purity. (A, C) Faceted by</w:t>
      </w:r>
      <w:r>
        <w:t xml:space="preserve"> </w:t>
      </w:r>
      <w:r>
        <w:t xml:space="preserve">cancer-type cohort. (B, D) Faceted by ICI mechanism (anti-PD-1, anti-PD-L1, anti-CTLA-4,</w:t>
      </w:r>
      <w:r>
        <w:t xml:space="preserve"> </w:t>
      </w:r>
      <w:r>
        <w:t xml:space="preserve">combinations). Point shape distinguishes unadjusted from adjusted models; fainter points indicate</w:t>
      </w:r>
      <w:r>
        <w:t xml:space="preserve"> </w:t>
      </w:r>
      <w:r>
        <w:t xml:space="preserve">95% confidence intervals crossing the null.</w:t>
      </w:r>
    </w:p>
    <w:p>
      <w:pPr>
        <w:pStyle w:val="BodyText"/>
      </w:pPr>
      <w:r>
        <w:rPr>
          <w:b/>
        </w:rPr>
        <w:t xml:space="preserve">Supplement — Unique versus total CDR3 reads: a robustness check.</w:t>
      </w:r>
      <w:r>
        <w:t xml:space="preserve"> </w:t>
      </w:r>
      <w:r>
        <w:t xml:space="preserve">(A) Correlation between the CIDER T-cell Score computed from unique clonotypes versus from total</w:t>
      </w:r>
      <w:r>
        <w:t xml:space="preserve"> </w:t>
      </w:r>
      <w:r>
        <w:t xml:space="preserve">(non-deduplicated) CDR3 reads. (B) Comparison of external-validation correlation strength</w:t>
      </w:r>
      <w:r>
        <w:t xml:space="preserve"> </w:t>
      </w:r>
      <w:r>
        <w:t xml:space="preserve">(Pearson r against RNA and ImmuneLENS T-cell signatures) for the unique-read versus total-read</w:t>
      </w:r>
      <w:r>
        <w:t xml:space="preserve"> </w:t>
      </w:r>
      <w:r>
        <w:t xml:space="preserve">score variants. (C, D) Forest plots comparing unique- versus total-read score associations with</w:t>
      </w:r>
      <w:r>
        <w:t xml:space="preserve"> </w:t>
      </w:r>
      <w:r>
        <w:t xml:space="preserve">response/durable clinical benefit (C) and overall/progression-free survival (D), by cohort.</w:t>
      </w:r>
    </w:p>
    <w:p>
      <w:pPr>
        <w:pStyle w:val="BodyText"/>
      </w:pPr>
      <w:r>
        <w:rPr>
          <w:b/>
        </w:rPr>
        <w:t xml:space="preserve">Supplement — A simple CIDER T-cell Score + TMB model achieves competitive predictive performance.</w:t>
      </w:r>
      <w:r>
        <w:t xml:space="preserve"> </w:t>
      </w:r>
      <w:r>
        <w:t xml:space="preserve">(A) Cross-validated AUC (with 95% CI) for logistic-regression models using CIDER T-cell Score,</w:t>
      </w:r>
      <w:r>
        <w:t xml:space="preserve"> </w:t>
      </w:r>
      <w:r>
        <w:t xml:space="preserve">TMB, CIDER+TMB, or a</w:t>
      </w:r>
      <w:r>
        <w:t xml:space="preserve"> </w:t>
      </w:r>
      <w:r>
        <w:t xml:space="preserve">“</w:t>
      </w:r>
      <w:r>
        <w:t xml:space="preserve">Full</w:t>
      </w:r>
      <w:r>
        <w:t xml:space="preserve">”</w:t>
      </w:r>
      <w:r>
        <w:t xml:space="preserve"> </w:t>
      </w:r>
      <w:r>
        <w:t xml:space="preserve">model (adding MSI status, HLA LOH, driver-gene mutations, and</w:t>
      </w:r>
      <w:r>
        <w:t xml:space="preserve"> </w:t>
      </w:r>
      <w:r>
        <w:t xml:space="preserve">tumor-type indicators), by cohort and pooled pan-cancer. (B) Cross-validated ROC curves for all</w:t>
      </w:r>
      <w:r>
        <w:t xml:space="preserve"> </w:t>
      </w:r>
      <w:r>
        <w:t xml:space="preserve">model/algorithm combinations (logistic regression vs XGBoost). (C) Mean ± SD cross-validated AUC</w:t>
      </w:r>
      <w:r>
        <w:t xml:space="preserve"> </w:t>
      </w:r>
      <w:r>
        <w:t xml:space="preserve">across repeated 10-fold cross-validation, comparing logistic regression to XGBoost for each</w:t>
      </w:r>
      <w:r>
        <w:t xml:space="preserve"> </w:t>
      </w:r>
      <w:r>
        <w:t xml:space="preserve">feature set.</w:t>
      </w:r>
    </w:p>
    <w:p>
      <w:pPr>
        <w:pStyle w:val="BodyText"/>
      </w:pPr>
      <w:r>
        <w:rPr>
          <w:b/>
        </w:rPr>
        <w:t xml:space="preserve">Supplement — CIDER T-cell Score is stable across sequencing depth (ICI-treated cohort).</w:t>
      </w:r>
      <w:r>
        <w:t xml:space="preserve"> </w:t>
      </w:r>
      <w:r>
        <w:t xml:space="preserve">(A) Unadjusted CDR3 read count versus COBALT median sequencing depth. (B) Depth-normalized CIDER</w:t>
      </w:r>
      <w:r>
        <w:t xml:space="preserve"> </w:t>
      </w:r>
      <w:r>
        <w:t xml:space="preserve">T-cell Score versus sequencing depth. Spearman correlation coefficients and p-values are</w:t>
      </w:r>
      <w:r>
        <w:t xml:space="preserve"> </w:t>
      </w:r>
      <w:r>
        <w:t xml:space="preserve">annotated per panel, restricted to ICI-treated patients.</w:t>
      </w:r>
    </w:p>
    <w:p>
      <w:pPr>
        <w:pStyle w:val="BodyText"/>
      </w:pPr>
      <w:r>
        <w:rPr>
          <w:b/>
        </w:rPr>
        <w:t xml:space="preserve">Supplement — CIDER T-cell Score is stable across sequencing depth (pan-cancer Hartwig cohort).</w:t>
      </w:r>
      <w:r>
        <w:t xml:space="preserve"> </w:t>
      </w:r>
      <w:r>
        <w:t xml:space="preserve">As the depth-stability supplement above, but computed across all Hartwig patients regardless of</w:t>
      </w:r>
      <w:r>
        <w:t xml:space="preserve"> </w:t>
      </w:r>
      <w:r>
        <w:t xml:space="preserve">ICI treatment status, confirming that depth-normalization removes sequencing-depth confounding</w:t>
      </w:r>
      <w:r>
        <w:t xml:space="preserve"> </w:t>
      </w:r>
      <w:r>
        <w:t xml:space="preserve">pan-cancer.</w:t>
      </w:r>
    </w:p>
    <w:p>
      <w:pPr>
        <w:pStyle w:val="BodyText"/>
      </w:pPr>
      <w:r>
        <w:rPr>
          <w:b/>
        </w:rPr>
        <w:t xml:space="preserve">Supplement — CIDER T-cell Score’s association with response is largely specific to ICI therapy.</w:t>
      </w:r>
      <w:r>
        <w:t xml:space="preserve"> </w:t>
      </w:r>
      <w:r>
        <w:t xml:space="preserve">Forest plot of odds ratios (best overall response, durable clinical benefit) and hazard ratios</w:t>
      </w:r>
      <w:r>
        <w:t xml:space="preserve"> </w:t>
      </w:r>
      <w:r>
        <w:t xml:space="preserve">(progression-free and overall survival) for the CIDER T-cell Score, stratified by treatment class</w:t>
      </w:r>
      <w:r>
        <w:t xml:space="preserve"> </w:t>
      </w:r>
      <w:r>
        <w:t xml:space="preserve">(ICI, non-ICI, chemotherapy, multi-agent, targeted, hormonal therapy, and ICI-mechanism</w:t>
      </w:r>
      <w:r>
        <w:t xml:space="preserve"> </w:t>
      </w:r>
      <w:r>
        <w:t xml:space="preserve">subgroups), with 90% confidence intervals on a log scale. Groups meeting minimum sample-size</w:t>
      </w:r>
      <w:r>
        <w:t xml:space="preserve"> </w:t>
      </w:r>
      <w:r>
        <w:t xml:space="preserve">thresholds (≥20 patients, ≥5 events) are shown; asterisks denote significance (</w:t>
      </w:r>
      <w:r>
        <w:rPr>
          <w:i/>
        </w:rPr>
        <w:t xml:space="preserve">p&lt;0.1,</w:t>
      </w:r>
      <w:r>
        <w:rPr>
          <w:i/>
        </w:rPr>
        <w:t xml:space="preserve"> </w:t>
      </w:r>
      <w:r>
        <w:rPr>
          <w:b/>
          <w:i/>
        </w:rPr>
        <w:t xml:space="preserve">p&lt;0.01,</w:t>
      </w:r>
      <w:r>
        <w:rPr>
          <w:b/>
          <w:i/>
        </w:rPr>
        <w:t xml:space="preserve"> </w:t>
      </w:r>
      <w:r>
        <w:t xml:space="preserve">p&lt;0.001).</w:t>
      </w:r>
    </w:p>
    <w:p>
      <w:pPr>
        <w:pStyle w:val="BodyText"/>
      </w:pPr>
      <w:r>
        <w:rPr>
          <w:b/>
        </w:rPr>
        <w:t xml:space="preserve">Supplement — Somatic driver-gene mutations associated with CIDER T-cell Score (raw p-values).</w:t>
      </w:r>
      <w:r>
        <w:t xml:space="preserve"> </w:t>
      </w:r>
      <w:r>
        <w:t xml:space="preserve">(A) Volcano plot of effect size versus −log10(p-value) for the association between each</w:t>
      </w:r>
      <w:r>
        <w:t xml:space="preserve"> </w:t>
      </w:r>
      <w:r>
        <w:t xml:space="preserve">recurrently mutated driver gene (LINX driver catalog, driver likelihood &gt; 0.8, plus HLA LOH) and</w:t>
      </w:r>
      <w:r>
        <w:t xml:space="preserve"> </w:t>
      </w:r>
      <w:r>
        <w:t xml:space="preserve">the CIDER T-cell Score, pan-cancer, adjusted for tumor type. Immune-related genes are labeled</w:t>
      </w:r>
      <w:r>
        <w:t xml:space="preserve"> </w:t>
      </w:r>
      <w:r>
        <w:t xml:space="preserve">regardless of significance. (B) Forest plot of effect estimates (±95% CI) for genes reaching</w:t>
      </w:r>
      <w:r>
        <w:t xml:space="preserve"> </w:t>
      </w:r>
      <w:r>
        <w:t xml:space="preserve">p&lt;0.01 pan-cancer (with &gt;45 mutated samples), shown across individual cohorts and pooled</w:t>
      </w:r>
      <w:r>
        <w:t xml:space="preserve"> </w:t>
      </w:r>
      <w:r>
        <w:t xml:space="preserve">ICI-treated/pan-cancer groups.</w:t>
      </w:r>
    </w:p>
    <w:p>
      <w:pPr>
        <w:pStyle w:val="BodyText"/>
      </w:pPr>
      <w:r>
        <w:rPr>
          <w:b/>
        </w:rPr>
        <w:t xml:space="preserve">Supplement — Somatic driver-gene mutations associated with CIDER T-cell Score (FDR-adjusted).</w:t>
      </w:r>
      <w:r>
        <w:t xml:space="preserve"> </w:t>
      </w:r>
      <w:r>
        <w:t xml:space="preserve">As the preceding supplement, with Benjamini–Hochberg FDR correction applied within each analysis</w:t>
      </w:r>
      <w:r>
        <w:t xml:space="preserve"> </w:t>
      </w:r>
      <w:r>
        <w:t xml:space="preserve">scope. (A) Volcano plot with −log10(FDR-adjusted p-value) on the y-axis; dashed red line marks</w:t>
      </w:r>
      <w:r>
        <w:t xml:space="preserve"> </w:t>
      </w:r>
      <w:r>
        <w:t xml:space="preserve">FDR = 0.05. (B) Forest plot restricted to genes reaching FDR &lt; 0.05 pan-cancer (with &gt;45 mutated</w:t>
      </w:r>
      <w:r>
        <w:t xml:space="preserve"> </w:t>
      </w:r>
      <w:r>
        <w:t xml:space="preserve">samples) — this gene set may differ from the raw-p-value version above.</w:t>
      </w:r>
    </w:p>
    <w:p>
      <w:pPr>
        <w:pStyle w:val="BodyText"/>
      </w:pPr>
      <w:r>
        <w:rPr>
          <w:b/>
        </w:rPr>
        <w:t xml:space="preserve">Supplement — TCR repertoire diversity metrics and their relationship to ICI response.</w:t>
      </w:r>
      <w:r>
        <w:t xml:space="preserve"> </w:t>
      </w:r>
      <w:r>
        <w:t xml:space="preserve">(A) Boxplots of four repertoire diversity metrics (unique CDR3 count, total CDR3 read count,</w:t>
      </w:r>
      <w:r>
        <w:t xml:space="preserve"> </w:t>
      </w:r>
      <w:r>
        <w:t xml:space="preserve">Shannon entropy, clonality) by best overall response, with Wilcoxon tests. (B) Pairwise</w:t>
      </w:r>
      <w:r>
        <w:t xml:space="preserve"> </w:t>
      </w:r>
      <w:r>
        <w:t xml:space="preserve">correlation matrix (Spearman) among the four diversity metrics. (C) Forest plot of odds/hazard</w:t>
      </w:r>
      <w:r>
        <w:t xml:space="preserve"> </w:t>
      </w:r>
      <w:r>
        <w:t xml:space="preserve">ratios for each diversity metric against response, durable clinical benefit, progression-free</w:t>
      </w:r>
      <w:r>
        <w:t xml:space="preserve"> </w:t>
      </w:r>
      <w:r>
        <w:t xml:space="preserve">survival, and overall survival, in models unadjusted and adjusted for unique CDR3 count (all</w:t>
      </w:r>
      <w:r>
        <w:t xml:space="preserve"> </w:t>
      </w:r>
      <w:r>
        <w:t xml:space="preserve">predictors standardized; effects expressed per standard deviation).</w:t>
      </w:r>
    </w:p>
    <w:p>
      <w:pPr>
        <w:pStyle w:val="BodyText"/>
      </w:pPr>
      <w:r>
        <w:rPr>
          <w:b/>
        </w:rPr>
        <w:t>Supplement — CIDER T-cell Score vs ICI response is robust to CDR3 read-confidence filtering.</w:t>
      </w:r>
      <w:r>
        <w:rPr>
          <w:b w:val="0"/>
        </w:rPr>
        <w:t xml:space="preserve"> Boxplots of the CIDER T-cell Score (depth-normalized, log10(x+1) scale) by best overall response (Responder vs Non-Responder), computed under three CDR3-calling filters: (A) high-confidence calls only ("PASS"), (B) low-confidence calls only ("NO_HIGH_QUAL_SUPPORT"), and (C) the combination of both (the primary pipeline definition used throughout the paper). Within each panel, patients are shown both pooled across the ICI-treated cohort and broken down by cancer type, as in Figure 3. Per-group medians and sample sizes are annotated; P-values from two-sided Wilcoxon rank-sum tests are shown above each pair. Demonstrates that the association between CIDER T-cell Score and ICI response is not driven by low-confidence CDR3 calls, and holds within individual cancer types.</w:t>
      </w:r>
    </w:p>
    <w:p>
      <w:pPr>
        <w:pStyle w:val="BodyText"/>
      </w:pPr>
      <w:r>
        <w:rPr>
          <w:b/>
        </w:rPr>
        <w:t>Supplement — CIDER T-cell Score and RNA-based T-cell measurements in ICI-treated patients.</w:t>
      </w:r>
      <w:r>
        <w:t xml:space="preserve"> (A) RNA T-cell Signature (mean adjusted TPM of CD3D, CD3E, CD3G, CD2) versus the CIDER T-cell Score, among ICI-treated patients with matched RNA-seq (n = [TBD]); both axes log10(x+1)-transformed, linear fit shown. (B) As in (A), for the RNA T-cell Effector (tGE8) score (mean adjusted TPM of CD8A, GZMA, GZMB, IFNG, CXCL9, CXCL10, PRF1, TBX21), an independent T-effector/IFN-γ signature used across Roche/Genentech atezolizumab trials (Mariathasan et al., 2018; Rosenberg et al., 2016). (C) As in (A), for PD-L1 (CD274) expression (AdjTPM), the transcript-level correlate of the IHC-based PD-L1 biomarker used clinically to select patients for checkpoint inhibitor therapy. (D) CIDER T-cell Score and all three RNA-based metrics compared between responders and non-responders, restricted to patients with all four metrics and a known best overall response so all four comparisons describe the same patient set (n = [TBD]); boxplots show medians (annotated) and interquartile range with jittered points, P-values from two-sided Wilcoxon rank-sum tests. Demonstrates how much of CIDER's response association is shared with, versus independent of, RNA-based T-cell measurement and PD-L1 expression.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 Legends</dc:title>
  <dc:creator/>
  <cp:keywords/>
  <dcterms:created xsi:type="dcterms:W3CDTF">2026-09-04T13:41:36Z</dcterms:created>
  <dcterms:modified xsi:type="dcterms:W3CDTF">2026-09-04T13:41:36Z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