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Softmax: loss precision and epsilon matrix</w:t>
      </w:r>
    </w:p>
    <w:p>
      <w:pPr>
        <w:pStyle w:val="CaptionedFigure"/>
      </w:pPr>
      <w:r>
        <w:drawing>
          <wp:inline>
            <wp:extent cx="5334000" cy="3788843"/>
            <wp:effectExtent b="0" l="0" r="0" t="0"/>
            <wp:docPr descr="All seeds and both repair arms across the supported matrix." title="" id="10" name="Picture"/>
            <a:graphic>
              <a:graphicData uri="http://schemas.openxmlformats.org/drawingml/2006/picture">
                <pic:pic>
                  <pic:nvPicPr>
                    <pic:cNvPr descr="accuracy-matri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seeds and both repair arms across the supported matrix.</w:t>
      </w:r>
    </w:p>
    <w:bookmarkStart w:id="22" w:name="X317f0774c7765a99190db7d5371c46f92b81eb0"/>
    <w:p>
      <w:pPr>
        <w:pStyle w:val="Heading1"/>
      </w:pPr>
      <w:r>
        <w:t xml:space="preserve">Loss precision × epsilon: paired reconstruction</w:t>
      </w:r>
    </w:p>
    <w:p>
      <w:pPr>
        <w:pStyle w:val="FirstParagraph"/>
      </w:pPr>
      <w:r>
        <w:t xml:space="preserve">All 36 specified training trajectories completed, with independently checked final models and gradient endpoints.</w:t>
      </w:r>
    </w:p>
    <w:p>
      <w:pPr>
        <w:pStyle w:val="BodyText"/>
      </w:pPr>
      <w:r>
        <w:rPr>
          <w:b/>
          <w:bCs/>
        </w:rPr>
        <w:t xml:space="preserve">Observed result:</w:t>
      </w:r>
      <w:r>
        <w:t xml:space="preserve"> </w:t>
      </w:r>
      <w:r>
        <w:t xml:space="preserve">fixed CE is higher in 5/18 paired endpoints, lower in 12/18, and tied in 1/18. The best final held-out accuracy across all arms is 79.210%. These runs do not reproduce the paper’s high-generalization table and do not establish a uniform finite-budget generalization benefit.</w:t>
      </w:r>
    </w:p>
    <w:p>
      <w:pPr>
        <w:pStyle w:val="BodyText"/>
      </w:pPr>
      <w:r>
        <w:t xml:space="preserve">At the model interface, the fixed arm’s maximum target-zero count is 0 across 918 producer-recorded checkpoints; standard CE reaches 243/480. Final gradient counts are independently reloaded; intermediate counts are recorded by the producer.</w:t>
      </w:r>
    </w:p>
    <w:p>
      <w:pPr>
        <w:pStyle w:val="BodyText"/>
      </w:pPr>
      <w:r>
        <w:t xml:space="preserve">Locally registered follow-up; three seeds, float32 model/forward, two supported loss precisions and three epsilon values. Not an exact paper reproduction. bfloat16 remains UNQUALIFIED.</w:t>
      </w:r>
    </w:p>
    <w:p>
      <w:pPr>
        <w:pStyle w:val="BodyText"/>
      </w:pPr>
      <w:r>
        <w:t xml:space="preserve">All cells below are retained. Delta is fixed minus standard in percentage points; no population inference or significance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Loss dtype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Epsilon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test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test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(pp)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+42.204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-0.416</w:t>
            </w:r>
          </w:p>
        </w:tc>
      </w:tr>
    </w:tbl>
    <w:bookmarkStart w:id="21" w:name="evidence-and-limitations"/>
    <w:p>
      <w:pPr>
        <w:pStyle w:val="Heading2"/>
      </w:pPr>
      <w:r>
        <w:t xml:space="preserve">Evidence and limitations</w:t>
      </w:r>
    </w:p>
    <w:p>
      <w:pPr>
        <w:pStyle w:val="FirstParagraph"/>
      </w:pPr>
      <w:r>
        <w:t xml:space="preserve">Six float32/epsilon=1e-8 final model hashes exactly replay the parent experiment. All cells reuse that parent’s original initial models and splits.</w:t>
      </w:r>
    </w:p>
    <w:p>
      <w:pPr>
        <w:pStyle w:val="BodyText"/>
      </w:pPr>
      <w:r>
        <w:t xml:space="preserve">Each trajectory records 51 checkpoints, including actual training-batch target-gradient zero counts before and after the loss-to-model precision boundary. Final counts are independently replayed from all 36 saved models on the recorded CUDA runtime. Intermediate counters remain producer logs, not an independently reloaded trajectory.</w:t>
      </w:r>
    </w:p>
    <w:p>
      <w:pPr>
        <w:pStyle w:val="BodyText"/>
      </w:pPr>
      <w:r>
        <w:t xml:space="preserve">Final held-out predictions, margins and float64 cross-entropy are independently recomputed from raw saved tensors by NumPy. Cross-entropy comparisons use relative error with no absolute floor.</w:t>
      </w:r>
    </w:p>
    <w:p>
      <w:pPr>
        <w:pStyle w:val="BodyText"/>
      </w:pPr>
      <w:r>
        <w:t xml:space="preserve">The full loss-precision/epsilon grid of supported kernels is covered; the paper’s bf16 grid, additional baselines, unspecified architecture/initialization choices and further tasks remain outside this reconstruction. Generalization can depend strongly on seed and implementation choices.</w:t>
      </w:r>
    </w:p>
    <w:p>
      <w:pPr>
        <w:pStyle w:val="BodyText"/>
      </w:pPr>
      <w:hyperlink r:id="rId12">
        <w:r>
          <w:rPr>
            <w:rStyle w:val="Hyperlink"/>
          </w:rPr>
          <w:t xml:space="preserve">Source paper, section 6 and Table 1</w:t>
        </w:r>
      </w:hyperlink>
      <w:r>
        <w:t xml:space="preserve">. The protocol and source hashes define this local study; completed cells are not selected for favorable outcomes.</w:t>
      </w:r>
    </w:p>
    <w:p>
      <w:pPr>
        <w:pStyle w:val="BodyText"/>
      </w:pPr>
      <w:r>
        <w:t xml:space="preserve">Downloads:</w:t>
      </w:r>
      <w:r>
        <w:t xml:space="preserve"> </w:t>
      </w:r>
      <w:hyperlink r:id="rId13">
        <w:r>
          <w:rPr>
            <w:rStyle w:val="Hyperlink"/>
          </w:rPr>
          <w:t xml:space="preserve">trajectories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paired endpoints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protocol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raw evidence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final gradient audit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source and checkpoints</w:t>
        </w:r>
      </w:hyperlink>
      <w:r>
        <w:t xml:space="preserve">.</w:t>
      </w:r>
    </w:p>
    <w:p>
      <w:pPr>
        <w:pStyle w:val="BodyText"/>
      </w:pPr>
      <w:r>
        <w:t xml:space="preserve">Publication masters:</w:t>
      </w:r>
      <w:r>
        <w:t xml:space="preserve"> </w:t>
      </w:r>
      <w:hyperlink r:id="rId19">
        <w:r>
          <w:rPr>
            <w:rStyle w:val="Hyperlink"/>
          </w:rPr>
          <w:t xml:space="preserve">editable SVG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PDF at 183 mm</w:t>
        </w:r>
      </w:hyperlink>
      <w:r>
        <w:t xml:space="preserve">.</w:t>
      </w:r>
    </w:p>
    <w:p>
      <w:pPr>
        <w:pStyle w:val="BodyText"/>
      </w:pPr>
      <w:r>
        <w:t xml:space="preserve">CPU acceptance:</w:t>
      </w:r>
      <w:r>
        <w:t xml:space="preserve"> </w:t>
      </w:r>
      <w:r>
        <w:rPr>
          <w:rStyle w:val="VerbatimChar"/>
        </w:rPr>
        <w:t xml:space="preserve">python reference/softmax_matrix/verify.py</w:t>
      </w:r>
      <w:r>
        <w:t xml:space="preserve">. Retraining needs the recorded CUDA runtime and a separately registered output location; the original producer refuses overwrite.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ccuracy-matrix.pdf" TargetMode="External" /><Relationship Type="http://schemas.openxmlformats.org/officeDocument/2006/relationships/hyperlink" Id="rId19" Target="accuracy-matrix.svg" TargetMode="External" /><Relationship Type="http://schemas.openxmlformats.org/officeDocument/2006/relationships/hyperlink" Id="rId16" Target="evidence.json" TargetMode="External" /><Relationship Type="http://schemas.openxmlformats.org/officeDocument/2006/relationships/hyperlink" Id="rId17" Target="final-gradient-check.json" TargetMode="External" /><Relationship Type="http://schemas.openxmlformats.org/officeDocument/2006/relationships/hyperlink" Id="rId12" Target="https://arxiv.org/html/2610.31642v3#S6" TargetMode="External" /><Relationship Type="http://schemas.openxmlformats.org/officeDocument/2006/relationships/hyperlink" Id="rId14" Target="paired.csv" TargetMode="External" /><Relationship Type="http://schemas.openxmlformats.org/officeDocument/2006/relationships/hyperlink" Id="rId15" Target="protocol.json" TargetMode="External" /><Relationship Type="http://schemas.openxmlformats.org/officeDocument/2006/relationships/hyperlink" Id="rId18" Target="reproduce.zip" TargetMode="External" /><Relationship Type="http://schemas.openxmlformats.org/officeDocument/2006/relationships/hyperlink" Id="rId13" Target="trajectorie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ccuracy-matrix.pdf" TargetMode="External" /><Relationship Type="http://schemas.openxmlformats.org/officeDocument/2006/relationships/hyperlink" Id="rId19" Target="accuracy-matrix.svg" TargetMode="External" /><Relationship Type="http://schemas.openxmlformats.org/officeDocument/2006/relationships/hyperlink" Id="rId16" Target="evidence.json" TargetMode="External" /><Relationship Type="http://schemas.openxmlformats.org/officeDocument/2006/relationships/hyperlink" Id="rId17" Target="final-gradient-check.json" TargetMode="External" /><Relationship Type="http://schemas.openxmlformats.org/officeDocument/2006/relationships/hyperlink" Id="rId12" Target="https://arxiv.org/html/2610.31642v3#S6" TargetMode="External" /><Relationship Type="http://schemas.openxmlformats.org/officeDocument/2006/relationships/hyperlink" Id="rId14" Target="paired.csv" TargetMode="External" /><Relationship Type="http://schemas.openxmlformats.org/officeDocument/2006/relationships/hyperlink" Id="rId15" Target="protocol.json" TargetMode="External" /><Relationship Type="http://schemas.openxmlformats.org/officeDocument/2006/relationships/hyperlink" Id="rId18" Target="reproduce.zip" TargetMode="External" /><Relationship Type="http://schemas.openxmlformats.org/officeDocument/2006/relationships/hyperlink" Id="rId13" Target="trajectorie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Softmax: loss precision and epsilon matrix</dc:title>
  <dc:creator/>
  <dc:language>en</dc:language>
  <cp:keywords/>
  <dcterms:created xsi:type="dcterms:W3CDTF">2026-10-31T13:16:07Z</dcterms:created>
  <dcterms:modified xsi:type="dcterms:W3CDTF">2026-10-31T13:16:07Z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