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eidos-pagination.xml" ContentType="application/vnd.openxmlformats-officedocument.wordprocessingml.footer+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left"/>
      </w:pPr>
      <w:r>
        <w:t xml:space="preserve">Precision and epsilon shape the outcome of a Softmax repair</w:t>
      </w:r>
    </w:p>
    <w:p>
      <w:pPr>
        <w:pStyle w:val="Date"/>
        <w:jc w:val="left"/>
      </w:pPr>
      <w:r>
        <w:t xml:space="preserve">2026-10-31</w:t>
      </w:r>
    </w:p>
    <w:bookmarkStart w:id="9" w:name="summary"/>
    <w:p>
      <w:pPr>
        <w:pStyle w:val="Heading2"/>
      </w:pPr>
      <w:r>
        <w:t xml:space="preserve">Summary</w:t>
      </w:r>
    </w:p>
    <w:p>
      <w:pPr>
        <w:pStyle w:val="FirstParagraph"/>
      </w:pPr>
      <w:r>
        <w:t xml:space="preserve">A numerical repair and a downstream learning benefit require separate evidence. This registered local reconstruction retains 36 complete trajectories and 18 paired endpoints. Fixed cross-entropy improves 5 endpoints and reduces 12; 1 is tied. The tested repair removes recorded target-gradient zeros within its qualified scope, while the specified training budget does not reproduce the cited paper’s generalisation result. All seeds, models and unfavorable outcomes are preserved.</w:t>
      </w:r>
    </w:p>
    <w:bookmarkEnd w:id="9"/>
    <w:bookmarkStart w:id="13" w:name="results"/>
    <w:p>
      <w:pPr>
        <w:pStyle w:val="Heading2"/>
      </w:pPr>
      <w:r>
        <w:t xml:space="preserve">Results</w:t>
      </w:r>
    </w:p>
    <w:p>
      <w:pPr>
        <w:pStyle w:val="FirstParagraph"/>
      </w:pPr>
      <w:r>
        <w:t xml:space="preserve">All 36 specified training trajectories completed, with independently checked final models and gradient endpoints.</w:t>
      </w:r>
    </w:p>
    <w:p>
      <w:pPr>
        <w:pStyle w:val="BodyText"/>
      </w:pPr>
      <w:r>
        <w:rPr>
          <w:b/>
          <w:bCs/>
        </w:rPr>
        <w:t xml:space="preserve">Observed result:</w:t>
      </w:r>
      <w:r>
        <w:t xml:space="preserve"> </w:t>
      </w:r>
      <w:r>
        <w:t xml:space="preserve">fixed CE is higher in 5/18 paired endpoints, lower in 12/18, and tied in 1/18. The best final held-out accuracy across all arms is 79.210%. These runs do not reproduce the paper’s high-generalization table and do not establish a uniform finite-budget generalization benefit.</w:t>
      </w:r>
    </w:p>
    <w:p>
      <w:pPr>
        <w:pStyle w:val="BodyText"/>
      </w:pPr>
      <w:r>
        <w:t xml:space="preserve">At the model interface, the fixed arm’s maximum target-zero count is 0 across 918 producer-recorded checkpoints; standard CE reaches 243/480. Final gradient counts are independently reloaded; intermediate counts are recorded by the producer.</w:t>
      </w:r>
    </w:p>
    <w:p>
      <w:pPr>
        <w:pStyle w:val="BodyText"/>
      </w:pPr>
      <w:r>
        <w:t xml:space="preserve">Locally registered follow-up; three seeds, float32 model/forward, two supported loss precisions and three epsilon values. Not an exact paper reproduction. bfloat16 remains UNQUALIFIED.</w:t>
      </w:r>
    </w:p>
    <w:p>
      <w:pPr>
        <w:pStyle w:val="BodyText"/>
      </w:pPr>
      <w:r>
        <w:t xml:space="preserve">All cells below are retained. Delta is fixed minus standard in percentage points; no population inference or significance test.</w:t>
      </w:r>
    </w:p>
    <w:p>
      <w:pPr>
        <w:pStyle w:val="CaptionedFigure"/>
        <w:keepNext w:val="1"/>
        <w:keepLines w:val="1"/>
      </w:pPr>
      <w:r>
        <w:drawing>
          <wp:inline>
            <wp:extent cx="6578600" cy="4672906"/>
            <wp:effectExtent b="0" l="0" r="0" t="0"/>
            <wp:docPr descr="Figure 1 | Every seed and repair arm. a-c, float32 loss-entry logits; d-f, float64 loss-entry logits. Columns give epsilon 1e-8, 1e-12 and 1e-16. Lines show individual trajectories; three seed markers, dashed standard CE and solid fixed CE. Model parameters and forward remain float32. No error bars or population inference." title="" id="11" name="Picture"/>
            <a:graphic>
              <a:graphicData uri="http://schemas.openxmlformats.org/drawingml/2006/picture">
                <pic:pic>
                  <pic:nvPicPr>
                    <pic:cNvPr descr="accuracy-matrix.png" id="12" name="Picture"/>
                    <pic:cNvPicPr>
                      <a:picLocks noChangeArrowheads="1" noChangeAspect="1"/>
                    </pic:cNvPicPr>
                  </pic:nvPicPr>
                  <pic:blipFill>
                    <a:blip r:embed="rId10"/>
                    <a:stretch>
                      <a:fillRect/>
                    </a:stretch>
                  </pic:blipFill>
                  <pic:spPr bwMode="auto">
                    <a:xfrm>
                      <a:off x="0" y="0"/>
                      <a:ext cx="6578600" cy="4672906"/>
                    </a:xfrm>
                    <a:prstGeom prst="rect">
                      <a:avLst/>
                    </a:prstGeom>
                    <a:noFill/>
                    <a:ln w="9525">
                      <a:noFill/>
                      <a:headEnd/>
                      <a:tailEnd/>
                    </a:ln>
                  </pic:spPr>
                </pic:pic>
              </a:graphicData>
            </a:graphic>
          </wp:inline>
        </w:drawing>
      </w:r>
    </w:p>
    <w:p>
      <w:pPr>
        <w:pStyle w:val="ImageCaption"/>
        <w:keepLines w:val="1"/>
      </w:pPr>
      <w:r>
        <w:rPr>
          <w:b/>
          <w:bCs/>
        </w:rPr>
        <w:t xml:space="preserve">Figure 1 | Every seed and repair arm.</w:t>
      </w:r>
      <w:r>
        <w:t xml:space="preserve"> </w:t>
      </w:r>
      <w:r>
        <w:t xml:space="preserve">a-c, float32 loss-entry logits; d-f, float64 loss-entry logits. Columns give epsilon 1e-8, 1e-12 and 1e-16. Lines show individual trajectories; three seed markers, dashed standard CE and solid fixed CE. Model parameters and forward remain float32. No error bars or population inference.</w:t>
      </w:r>
    </w:p>
    <w:p>
      <w:pPr>
        <w:pStyle w:val="TableCaption"/>
        <w:keepNext w:val="1"/>
        <w:pageBreakBefore w:val="1"/>
      </w:pPr>
      <w:r>
        <w:rPr>
          <w:b/>
          <w:bCs/>
        </w:rPr>
        <w:t xml:space="preserve">Table 1 | Every final paired held-out outcome.</w:t>
      </w:r>
      <w:r>
        <w:t xml:space="preserve"> </w:t>
      </w:r>
      <w:r>
        <w:t xml:space="preserve">Delta is fixed minus standard in percentage points; all three seeds and all conditions are retained.</w:t>
      </w:r>
    </w:p>
    <w:tbl>
      <w:tblPr>
        <w:tblStyle w:val="Table"/>
        <w:tblW w:type="pct" w:w="5000"/>
        <w:tblLayout w:type="fixed"/>
        <w:tblLook w:firstRow="1" w:lastRow="0" w:firstColumn="0" w:lastColumn="0" w:noHBand="0" w:noVBand="0" w:val="0020"/>
        <w:tblCaption w:val="Table 1 | Every final paired held-out outcome. Delta is fixed minus standard in percentage points; all three seeds and all conditions are retained."/>
      </w:tblPr>
      <w:tblGrid>
        <w:gridCol w:w="1033"/>
        <w:gridCol w:w="1377"/>
        <w:gridCol w:w="1377"/>
        <w:gridCol w:w="1377"/>
        <w:gridCol w:w="1377"/>
        <w:gridCol w:w="1377"/>
      </w:tblGrid>
      <w:tr>
        <w:trPr>
          <w:tblHeader w:val="1"/>
          <w:cantSplit w:val="1"/>
        </w:trPr>
        <w:tc>
          <w:tcPr/>
          <w:p>
            <w:pPr>
              <w:pStyle w:val="Compact"/>
            </w:pPr>
            <w:r>
              <w:t xml:space="preserve">Loss dtype</w:t>
            </w:r>
          </w:p>
        </w:tc>
        <w:tc>
          <w:tcPr/>
          <w:p>
            <w:pPr>
              <w:pStyle w:val="Compact"/>
              <w:jc w:val="right"/>
            </w:pPr>
            <w:r>
              <w:t xml:space="preserve">Epsilon</w:t>
            </w:r>
          </w:p>
        </w:tc>
        <w:tc>
          <w:tcPr/>
          <w:p>
            <w:pPr>
              <w:pStyle w:val="Compact"/>
              <w:jc w:val="right"/>
            </w:pPr>
            <w:r>
              <w:t xml:space="preserve">Seed</w:t>
            </w:r>
          </w:p>
        </w:tc>
        <w:tc>
          <w:tcPr/>
          <w:p>
            <w:pPr>
              <w:pStyle w:val="Compact"/>
              <w:jc w:val="right"/>
            </w:pPr>
            <w:r>
              <w:t xml:space="preserve">Standard test (%)</w:t>
            </w:r>
          </w:p>
        </w:tc>
        <w:tc>
          <w:tcPr/>
          <w:p>
            <w:pPr>
              <w:pStyle w:val="Compact"/>
              <w:jc w:val="right"/>
            </w:pPr>
            <w:r>
              <w:t xml:space="preserve">Fixed test (%)</w:t>
            </w:r>
          </w:p>
        </w:tc>
        <w:tc>
          <w:tcPr/>
          <w:p>
            <w:pPr>
              <w:pStyle w:val="Compact"/>
              <w:jc w:val="right"/>
            </w:pPr>
            <w:r>
              <w:t xml:space="preserve">Delta (pp)</w:t>
            </w:r>
          </w:p>
        </w:tc>
      </w:tr>
      <w:tr>
        <w:tc>
          <w:tcPr/>
          <w:p>
            <w:pPr>
              <w:pStyle w:val="Compact"/>
            </w:pPr>
            <w:r>
              <w:t xml:space="preserve">float32</w:t>
            </w:r>
          </w:p>
        </w:tc>
        <w:tc>
          <w:tcPr/>
          <w:p>
            <w:pPr>
              <w:pStyle w:val="Compact"/>
              <w:jc w:val="right"/>
            </w:pPr>
            <w:r>
              <w:t xml:space="preserve">1e-08</w:t>
            </w:r>
          </w:p>
        </w:tc>
        <w:tc>
          <w:tcPr/>
          <w:p>
            <w:pPr>
              <w:pStyle w:val="Compact"/>
              <w:jc w:val="right"/>
            </w:pPr>
            <w:r>
              <w:t xml:space="preserve">0</w:t>
            </w:r>
          </w:p>
        </w:tc>
        <w:tc>
          <w:tcPr/>
          <w:p>
            <w:pPr>
              <w:pStyle w:val="Compact"/>
              <w:jc w:val="right"/>
            </w:pPr>
            <w:r>
              <w:t xml:space="preserve">26.611</w:t>
            </w:r>
          </w:p>
        </w:tc>
        <w:tc>
          <w:tcPr/>
          <w:p>
            <w:pPr>
              <w:pStyle w:val="Compact"/>
              <w:jc w:val="right"/>
            </w:pPr>
            <w:r>
              <w:t xml:space="preserve">68.815</w:t>
            </w:r>
          </w:p>
        </w:tc>
        <w:tc>
          <w:tcPr/>
          <w:p>
            <w:pPr>
              <w:pStyle w:val="Compact"/>
              <w:jc w:val="right"/>
            </w:pPr>
            <w:r>
              <w:t xml:space="preserve">+42.204</w:t>
            </w:r>
          </w:p>
        </w:tc>
        <w:trPr>
          <w:cantSplit w:val="1"/>
        </w:trPr>
      </w:tr>
      <w:tr>
        <w:tc>
          <w:tcPr/>
          <w:p>
            <w:pPr>
              <w:pStyle w:val="Compact"/>
            </w:pPr>
            <w:r>
              <w:t xml:space="preserve">float32</w:t>
            </w:r>
          </w:p>
        </w:tc>
        <w:tc>
          <w:tcPr/>
          <w:p>
            <w:pPr>
              <w:pStyle w:val="Compact"/>
              <w:jc w:val="right"/>
            </w:pPr>
            <w:r>
              <w:t xml:space="preserve">1e-08</w:t>
            </w:r>
          </w:p>
        </w:tc>
        <w:tc>
          <w:tcPr/>
          <w:p>
            <w:pPr>
              <w:pStyle w:val="Compact"/>
              <w:jc w:val="right"/>
            </w:pPr>
            <w:r>
              <w:t xml:space="preserve">1</w:t>
            </w:r>
          </w:p>
        </w:tc>
        <w:tc>
          <w:tcPr/>
          <w:p>
            <w:pPr>
              <w:pStyle w:val="Compact"/>
              <w:jc w:val="right"/>
            </w:pPr>
            <w:r>
              <w:t xml:space="preserve">11.435</w:t>
            </w:r>
          </w:p>
        </w:tc>
        <w:tc>
          <w:tcPr/>
          <w:p>
            <w:pPr>
              <w:pStyle w:val="Compact"/>
              <w:jc w:val="right"/>
            </w:pPr>
            <w:r>
              <w:t xml:space="preserve">10.603</w:t>
            </w:r>
          </w:p>
        </w:tc>
        <w:tc>
          <w:tcPr/>
          <w:p>
            <w:pPr>
              <w:pStyle w:val="Compact"/>
              <w:jc w:val="right"/>
            </w:pPr>
            <w:r>
              <w:t xml:space="preserve">-0.832</w:t>
            </w:r>
          </w:p>
        </w:tc>
        <w:trPr>
          <w:cantSplit w:val="1"/>
        </w:trPr>
      </w:tr>
      <w:tr>
        <w:tc>
          <w:tcPr/>
          <w:p>
            <w:pPr>
              <w:pStyle w:val="Compact"/>
            </w:pPr>
            <w:r>
              <w:t xml:space="preserve">float32</w:t>
            </w:r>
          </w:p>
        </w:tc>
        <w:tc>
          <w:tcPr/>
          <w:p>
            <w:pPr>
              <w:pStyle w:val="Compact"/>
              <w:jc w:val="right"/>
            </w:pPr>
            <w:r>
              <w:t xml:space="preserve">1e-08</w:t>
            </w:r>
          </w:p>
        </w:tc>
        <w:tc>
          <w:tcPr/>
          <w:p>
            <w:pPr>
              <w:pStyle w:val="Compact"/>
              <w:jc w:val="right"/>
            </w:pPr>
            <w:r>
              <w:t xml:space="preserve">2</w:t>
            </w:r>
          </w:p>
        </w:tc>
        <w:tc>
          <w:tcPr/>
          <w:p>
            <w:pPr>
              <w:pStyle w:val="Compact"/>
              <w:jc w:val="right"/>
            </w:pPr>
            <w:r>
              <w:t xml:space="preserve">4.990</w:t>
            </w:r>
          </w:p>
        </w:tc>
        <w:tc>
          <w:tcPr/>
          <w:p>
            <w:pPr>
              <w:pStyle w:val="Compact"/>
              <w:jc w:val="right"/>
            </w:pPr>
            <w:r>
              <w:t xml:space="preserve">4.158</w:t>
            </w:r>
          </w:p>
        </w:tc>
        <w:tc>
          <w:tcPr/>
          <w:p>
            <w:pPr>
              <w:pStyle w:val="Compact"/>
              <w:jc w:val="right"/>
            </w:pPr>
            <w:r>
              <w:t xml:space="preserve">-0.832</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0</w:t>
            </w:r>
          </w:p>
        </w:tc>
        <w:tc>
          <w:tcPr/>
          <w:p>
            <w:pPr>
              <w:pStyle w:val="Compact"/>
              <w:jc w:val="right"/>
            </w:pPr>
            <w:r>
              <w:t xml:space="preserve">54.470</w:t>
            </w:r>
          </w:p>
        </w:tc>
        <w:tc>
          <w:tcPr/>
          <w:p>
            <w:pPr>
              <w:pStyle w:val="Compact"/>
              <w:jc w:val="right"/>
            </w:pPr>
            <w:r>
              <w:t xml:space="preserve">11.435</w:t>
            </w:r>
          </w:p>
        </w:tc>
        <w:tc>
          <w:tcPr/>
          <w:p>
            <w:pPr>
              <w:pStyle w:val="Compact"/>
              <w:jc w:val="right"/>
            </w:pPr>
            <w:r>
              <w:t xml:space="preserve">-43.035</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1</w:t>
            </w:r>
          </w:p>
        </w:tc>
        <w:tc>
          <w:tcPr/>
          <w:p>
            <w:pPr>
              <w:pStyle w:val="Compact"/>
              <w:jc w:val="right"/>
            </w:pPr>
            <w:r>
              <w:t xml:space="preserve">15.800</w:t>
            </w:r>
          </w:p>
        </w:tc>
        <w:tc>
          <w:tcPr/>
          <w:p>
            <w:pPr>
              <w:pStyle w:val="Compact"/>
              <w:jc w:val="right"/>
            </w:pPr>
            <w:r>
              <w:t xml:space="preserve">10.811</w:t>
            </w:r>
          </w:p>
        </w:tc>
        <w:tc>
          <w:tcPr/>
          <w:p>
            <w:pPr>
              <w:pStyle w:val="Compact"/>
              <w:jc w:val="right"/>
            </w:pPr>
            <w:r>
              <w:t xml:space="preserve">-4.990</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2</w:t>
            </w:r>
          </w:p>
        </w:tc>
        <w:tc>
          <w:tcPr/>
          <w:p>
            <w:pPr>
              <w:pStyle w:val="Compact"/>
              <w:jc w:val="right"/>
            </w:pPr>
            <w:r>
              <w:t xml:space="preserve">6.237</w:t>
            </w:r>
          </w:p>
        </w:tc>
        <w:tc>
          <w:tcPr/>
          <w:p>
            <w:pPr>
              <w:pStyle w:val="Compact"/>
              <w:jc w:val="right"/>
            </w:pPr>
            <w:r>
              <w:t xml:space="preserve">3.534</w:t>
            </w:r>
          </w:p>
        </w:tc>
        <w:tc>
          <w:tcPr/>
          <w:p>
            <w:pPr>
              <w:pStyle w:val="Compact"/>
              <w:jc w:val="right"/>
            </w:pPr>
            <w:r>
              <w:t xml:space="preserve">-2.703</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0</w:t>
            </w:r>
          </w:p>
        </w:tc>
        <w:tc>
          <w:tcPr/>
          <w:p>
            <w:pPr>
              <w:pStyle w:val="Compact"/>
              <w:jc w:val="right"/>
            </w:pPr>
            <w:r>
              <w:t xml:space="preserve">61.331</w:t>
            </w:r>
          </w:p>
        </w:tc>
        <w:tc>
          <w:tcPr/>
          <w:p>
            <w:pPr>
              <w:pStyle w:val="Compact"/>
              <w:jc w:val="right"/>
            </w:pPr>
            <w:r>
              <w:t xml:space="preserve">9.356</w:t>
            </w:r>
          </w:p>
        </w:tc>
        <w:tc>
          <w:tcPr/>
          <w:p>
            <w:pPr>
              <w:pStyle w:val="Compact"/>
              <w:jc w:val="right"/>
            </w:pPr>
            <w:r>
              <w:t xml:space="preserve">-51.975</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1</w:t>
            </w:r>
          </w:p>
        </w:tc>
        <w:tc>
          <w:tcPr/>
          <w:p>
            <w:pPr>
              <w:pStyle w:val="Compact"/>
              <w:jc w:val="right"/>
            </w:pPr>
            <w:r>
              <w:t xml:space="preserve">13.721</w:t>
            </w:r>
          </w:p>
        </w:tc>
        <w:tc>
          <w:tcPr/>
          <w:p>
            <w:pPr>
              <w:pStyle w:val="Compact"/>
              <w:jc w:val="right"/>
            </w:pPr>
            <w:r>
              <w:t xml:space="preserve">12.058</w:t>
            </w:r>
          </w:p>
        </w:tc>
        <w:tc>
          <w:tcPr/>
          <w:p>
            <w:pPr>
              <w:pStyle w:val="Compact"/>
              <w:jc w:val="right"/>
            </w:pPr>
            <w:r>
              <w:t xml:space="preserve">-1.663</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2</w:t>
            </w:r>
          </w:p>
        </w:tc>
        <w:tc>
          <w:tcPr/>
          <w:p>
            <w:pPr>
              <w:pStyle w:val="Compact"/>
              <w:jc w:val="right"/>
            </w:pPr>
            <w:r>
              <w:t xml:space="preserve">6.445</w:t>
            </w:r>
          </w:p>
        </w:tc>
        <w:tc>
          <w:tcPr/>
          <w:p>
            <w:pPr>
              <w:pStyle w:val="Compact"/>
              <w:jc w:val="right"/>
            </w:pPr>
            <w:r>
              <w:t xml:space="preserve">4.574</w:t>
            </w:r>
          </w:p>
        </w:tc>
        <w:tc>
          <w:tcPr/>
          <w:p>
            <w:pPr>
              <w:pStyle w:val="Compact"/>
              <w:jc w:val="right"/>
            </w:pPr>
            <w:r>
              <w:t xml:space="preserve">-1.871</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0</w:t>
            </w:r>
          </w:p>
        </w:tc>
        <w:tc>
          <w:tcPr/>
          <w:p>
            <w:pPr>
              <w:pStyle w:val="Compact"/>
              <w:jc w:val="right"/>
            </w:pPr>
            <w:r>
              <w:t xml:space="preserve">79.002</w:t>
            </w:r>
          </w:p>
        </w:tc>
        <w:tc>
          <w:tcPr/>
          <w:p>
            <w:pPr>
              <w:pStyle w:val="Compact"/>
              <w:jc w:val="right"/>
            </w:pPr>
            <w:r>
              <w:t xml:space="preserve">79.210</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1</w:t>
            </w:r>
          </w:p>
        </w:tc>
        <w:tc>
          <w:tcPr/>
          <w:p>
            <w:pPr>
              <w:pStyle w:val="Compact"/>
              <w:jc w:val="right"/>
            </w:pPr>
            <w:r>
              <w:t xml:space="preserve">10.603</w:t>
            </w:r>
          </w:p>
        </w:tc>
        <w:tc>
          <w:tcPr/>
          <w:p>
            <w:pPr>
              <w:pStyle w:val="Compact"/>
              <w:jc w:val="right"/>
            </w:pPr>
            <w:r>
              <w:t xml:space="preserve">10.395</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2</w:t>
            </w:r>
          </w:p>
        </w:tc>
        <w:tc>
          <w:tcPr/>
          <w:p>
            <w:pPr>
              <w:pStyle w:val="Compact"/>
              <w:jc w:val="right"/>
            </w:pPr>
            <w:r>
              <w:t xml:space="preserve">3.742</w:t>
            </w:r>
          </w:p>
        </w:tc>
        <w:tc>
          <w:tcPr/>
          <w:p>
            <w:pPr>
              <w:pStyle w:val="Compact"/>
              <w:jc w:val="right"/>
            </w:pPr>
            <w:r>
              <w:t xml:space="preserve">3.742</w:t>
            </w:r>
          </w:p>
        </w:tc>
        <w:tc>
          <w:tcPr/>
          <w:p>
            <w:pPr>
              <w:pStyle w:val="Compact"/>
              <w:jc w:val="right"/>
            </w:pPr>
            <w:r>
              <w:t xml:space="preserve">+0.000</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0</w:t>
            </w:r>
          </w:p>
        </w:tc>
        <w:tc>
          <w:tcPr/>
          <w:p>
            <w:pPr>
              <w:pStyle w:val="Compact"/>
              <w:jc w:val="right"/>
            </w:pPr>
            <w:r>
              <w:t xml:space="preserve">11.019</w:t>
            </w:r>
          </w:p>
        </w:tc>
        <w:tc>
          <w:tcPr/>
          <w:p>
            <w:pPr>
              <w:pStyle w:val="Compact"/>
              <w:jc w:val="right"/>
            </w:pPr>
            <w:r>
              <w:t xml:space="preserve">11.642</w:t>
            </w:r>
          </w:p>
        </w:tc>
        <w:tc>
          <w:tcPr/>
          <w:p>
            <w:pPr>
              <w:pStyle w:val="Compact"/>
              <w:jc w:val="right"/>
            </w:pPr>
            <w:r>
              <w:t xml:space="preserve">+0.624</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1</w:t>
            </w:r>
          </w:p>
        </w:tc>
        <w:tc>
          <w:tcPr/>
          <w:p>
            <w:pPr>
              <w:pStyle w:val="Compact"/>
              <w:jc w:val="right"/>
            </w:pPr>
            <w:r>
              <w:t xml:space="preserve">11.019</w:t>
            </w:r>
          </w:p>
        </w:tc>
        <w:tc>
          <w:tcPr/>
          <w:p>
            <w:pPr>
              <w:pStyle w:val="Compact"/>
              <w:jc w:val="right"/>
            </w:pPr>
            <w:r>
              <w:t xml:space="preserve">11.227</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2</w:t>
            </w:r>
          </w:p>
        </w:tc>
        <w:tc>
          <w:tcPr/>
          <w:p>
            <w:pPr>
              <w:pStyle w:val="Compact"/>
              <w:jc w:val="right"/>
            </w:pPr>
            <w:r>
              <w:t xml:space="preserve">4.366</w:t>
            </w:r>
          </w:p>
        </w:tc>
        <w:tc>
          <w:tcPr/>
          <w:p>
            <w:pPr>
              <w:pStyle w:val="Compact"/>
              <w:jc w:val="right"/>
            </w:pPr>
            <w:r>
              <w:t xml:space="preserve">4.158</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0</w:t>
            </w:r>
          </w:p>
        </w:tc>
        <w:tc>
          <w:tcPr/>
          <w:p>
            <w:pPr>
              <w:pStyle w:val="Compact"/>
              <w:jc w:val="right"/>
            </w:pPr>
            <w:r>
              <w:t xml:space="preserve">9.563</w:t>
            </w:r>
          </w:p>
        </w:tc>
        <w:tc>
          <w:tcPr/>
          <w:p>
            <w:pPr>
              <w:pStyle w:val="Compact"/>
              <w:jc w:val="right"/>
            </w:pPr>
            <w:r>
              <w:t xml:space="preserve">9.979</w:t>
            </w:r>
          </w:p>
        </w:tc>
        <w:tc>
          <w:tcPr/>
          <w:p>
            <w:pPr>
              <w:pStyle w:val="Compact"/>
              <w:jc w:val="right"/>
            </w:pPr>
            <w:r>
              <w:t xml:space="preserve">+0.416</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1</w:t>
            </w:r>
          </w:p>
        </w:tc>
        <w:tc>
          <w:tcPr/>
          <w:p>
            <w:pPr>
              <w:pStyle w:val="Compact"/>
              <w:jc w:val="right"/>
            </w:pPr>
            <w:r>
              <w:t xml:space="preserve">13.306</w:t>
            </w:r>
          </w:p>
        </w:tc>
        <w:tc>
          <w:tcPr/>
          <w:p>
            <w:pPr>
              <w:pStyle w:val="Compact"/>
              <w:jc w:val="right"/>
            </w:pPr>
            <w:r>
              <w:t xml:space="preserve">11.642</w:t>
            </w:r>
          </w:p>
        </w:tc>
        <w:tc>
          <w:tcPr/>
          <w:p>
            <w:pPr>
              <w:pStyle w:val="Compact"/>
              <w:jc w:val="right"/>
            </w:pPr>
            <w:r>
              <w:t xml:space="preserve">-1.663</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2</w:t>
            </w:r>
          </w:p>
        </w:tc>
        <w:tc>
          <w:tcPr/>
          <w:p>
            <w:pPr>
              <w:pStyle w:val="Compact"/>
              <w:jc w:val="right"/>
            </w:pPr>
            <w:r>
              <w:t xml:space="preserve">4.990</w:t>
            </w:r>
          </w:p>
        </w:tc>
        <w:tc>
          <w:tcPr/>
          <w:p>
            <w:pPr>
              <w:pStyle w:val="Compact"/>
              <w:jc w:val="right"/>
            </w:pPr>
            <w:r>
              <w:t xml:space="preserve">4.574</w:t>
            </w:r>
          </w:p>
        </w:tc>
        <w:tc>
          <w:tcPr/>
          <w:p>
            <w:pPr>
              <w:pStyle w:val="Compact"/>
              <w:jc w:val="right"/>
            </w:pPr>
            <w:r>
              <w:t xml:space="preserve">-0.416</w:t>
            </w:r>
          </w:p>
        </w:tc>
        <w:trPr>
          <w:cantSplit w:val="1"/>
        </w:trPr>
      </w:tr>
    </w:tbl>
    <w:bookmarkEnd w:id="13"/>
    <w:bookmarkStart w:id="23" w:name="evidence-and-limitations"/>
    <w:p>
      <w:pPr>
        <w:pStyle w:val="Heading2"/>
      </w:pPr>
      <w:r>
        <w:t xml:space="preserve">Evidence and limitations</w:t>
      </w:r>
    </w:p>
    <w:p>
      <w:pPr>
        <w:pStyle w:val="FirstParagraph"/>
      </w:pPr>
      <w:r>
        <w:t xml:space="preserve">Six float32/epsilon=1e-8 final model hashes exactly replay the parent experiment. All cells reuse that parent’s original initial models and splits.</w:t>
      </w:r>
    </w:p>
    <w:p>
      <w:pPr>
        <w:pStyle w:val="BodyText"/>
      </w:pPr>
      <w:r>
        <w:t xml:space="preserve">Each trajectory records 51 checkpoints, including actual training-batch target-gradient zero counts before and after the loss-to-model precision boundary. Final counts are independently replayed from all 36 saved models on the recorded CUDA runtime. Intermediate counters remain producer logs, not an independently reloaded trajectory.</w:t>
      </w:r>
    </w:p>
    <w:p>
      <w:pPr>
        <w:pStyle w:val="BodyText"/>
      </w:pPr>
      <w:r>
        <w:t xml:space="preserve">Final held-out predictions, margins and float64 cross-entropy are independently recomputed from raw saved tensors by NumPy. Cross-entropy comparisons use relative error with no absolute floor.</w:t>
      </w:r>
    </w:p>
    <w:p>
      <w:pPr>
        <w:pStyle w:val="BodyText"/>
      </w:pPr>
      <w:r>
        <w:t xml:space="preserve">The full loss-precision/epsilon grid of supported kernels is covered; the paper’s bf16 grid, additional baselines, unspecified architecture/initialization choices and further tasks remain outside this reconstruction. Generalization can depend strongly on seed and implementation choices.</w:t>
      </w:r>
    </w:p>
    <w:p>
      <w:pPr>
        <w:pStyle w:val="BodyText"/>
      </w:pPr>
      <w:hyperlink r:id="rId14">
        <w:r>
          <w:rPr>
            <w:rStyle w:val="Hyperlink"/>
          </w:rPr>
          <w:t xml:space="preserve">Source paper, section 6 and Table 1</w:t>
        </w:r>
      </w:hyperlink>
      <w:r>
        <w:t xml:space="preserve">. The protocol and source hashes define this local study; completed cells are not selected for favorable outcomes.</w:t>
      </w:r>
    </w:p>
    <w:p>
      <w:pPr>
        <w:pStyle w:val="BodyText"/>
      </w:pPr>
      <w:r>
        <w:t xml:space="preserve">Downloads:</w:t>
      </w:r>
      <w:r>
        <w:t xml:space="preserve"> </w:t>
      </w:r>
      <w:hyperlink r:id="rId15">
        <w:r>
          <w:rPr>
            <w:rStyle w:val="Hyperlink"/>
          </w:rPr>
          <w:t xml:space="preserve">trajectories</w:t>
        </w:r>
      </w:hyperlink>
      <w:r>
        <w:t xml:space="preserve">,</w:t>
      </w:r>
      <w:r>
        <w:t xml:space="preserve"> </w:t>
      </w:r>
      <w:hyperlink r:id="rId16">
        <w:r>
          <w:rPr>
            <w:rStyle w:val="Hyperlink"/>
          </w:rPr>
          <w:t xml:space="preserve">paired endpoints</w:t>
        </w:r>
      </w:hyperlink>
      <w:r>
        <w:t xml:space="preserve">,</w:t>
      </w:r>
      <w:r>
        <w:t xml:space="preserve"> </w:t>
      </w:r>
      <w:hyperlink r:id="rId17">
        <w:r>
          <w:rPr>
            <w:rStyle w:val="Hyperlink"/>
          </w:rPr>
          <w:t xml:space="preserve">protocol</w:t>
        </w:r>
      </w:hyperlink>
      <w:r>
        <w:t xml:space="preserve">,</w:t>
      </w:r>
      <w:r>
        <w:t xml:space="preserve"> </w:t>
      </w:r>
      <w:hyperlink r:id="rId18">
        <w:r>
          <w:rPr>
            <w:rStyle w:val="Hyperlink"/>
          </w:rPr>
          <w:t xml:space="preserve">raw evidence</w:t>
        </w:r>
      </w:hyperlink>
      <w:r>
        <w:t xml:space="preserve">,</w:t>
      </w:r>
      <w:r>
        <w:t xml:space="preserve"> </w:t>
      </w:r>
      <w:hyperlink r:id="rId19">
        <w:r>
          <w:rPr>
            <w:rStyle w:val="Hyperlink"/>
          </w:rPr>
          <w:t xml:space="preserve">final gradient audit</w:t>
        </w:r>
      </w:hyperlink>
      <w:r>
        <w:t xml:space="preserve">,</w:t>
      </w:r>
      <w:r>
        <w:t xml:space="preserve"> </w:t>
      </w:r>
      <w:hyperlink r:id="rId20">
        <w:r>
          <w:rPr>
            <w:rStyle w:val="Hyperlink"/>
          </w:rPr>
          <w:t xml:space="preserve">source and checkpoints</w:t>
        </w:r>
      </w:hyperlink>
      <w:r>
        <w:t xml:space="preserve">.</w:t>
      </w:r>
    </w:p>
    <w:p>
      <w:pPr>
        <w:pStyle w:val="BodyText"/>
      </w:pPr>
      <w:r>
        <w:t xml:space="preserve">Publication masters:</w:t>
      </w:r>
      <w:r>
        <w:t xml:space="preserve"> </w:t>
      </w:r>
      <w:hyperlink r:id="rId21">
        <w:r>
          <w:rPr>
            <w:rStyle w:val="Hyperlink"/>
          </w:rPr>
          <w:t xml:space="preserve">editable SVG</w:t>
        </w:r>
      </w:hyperlink>
      <w:r>
        <w:t xml:space="preserve">,</w:t>
      </w:r>
      <w:r>
        <w:t xml:space="preserve"> </w:t>
      </w:r>
      <w:hyperlink r:id="rId22">
        <w:r>
          <w:rPr>
            <w:rStyle w:val="Hyperlink"/>
          </w:rPr>
          <w:t xml:space="preserve">PDF at 183 mm</w:t>
        </w:r>
      </w:hyperlink>
      <w:r>
        <w:t xml:space="preserve">.</w:t>
      </w:r>
    </w:p>
    <w:p>
      <w:pPr>
        <w:pStyle w:val="BodyText"/>
      </w:pPr>
      <w:r>
        <w:t xml:space="preserve">CPU acceptance:</w:t>
      </w:r>
      <w:r>
        <w:t xml:space="preserve"> </w:t>
      </w:r>
      <w:r>
        <w:rPr>
          <w:rStyle w:val="VerbatimChar"/>
        </w:rPr>
        <w:t xml:space="preserve">python reference/softmax_matrix/verify.py</w:t>
      </w:r>
      <w:r>
        <w:t xml:space="preserve">. Retraining needs the recorded CUDA runtime and a separately registered output location; the original producer refuses overwrite.</w:t>
      </w:r>
    </w:p>
    <w:bookmarkEnd w:id="23"/>
    <w:bookmarkStart w:id="28" w:name="methods"/>
    <w:p>
      <w:pPr>
        <w:pStyle w:val="Heading2"/>
      </w:pPr>
      <w:r>
        <w:t xml:space="preserve">Methods</w:t>
      </w:r>
    </w:p>
    <w:bookmarkStart w:id="24" w:name="study-design-and-experimental-units"/>
    <w:p>
      <w:pPr>
        <w:pStyle w:val="Heading3"/>
      </w:pPr>
      <w:r>
        <w:t xml:space="preserve">Study design and experimental units</w:t>
      </w:r>
    </w:p>
    <w:p>
      <w:pPr>
        <w:pStyle w:val="FirstParagraph"/>
      </w:pPr>
      <w:r>
        <w:t xml:space="preserve">Modular addition modulo 31 uses a 50% training split. Three initialization/split seeds (0, 1, 2) are reused across the loss-precision and epsilon conditions. Both arms in each pair copy identical initial weights. Every run uses 10,000 epochs; checkpoints are logged every 200 epochs. No seeds or cells are excluded and no favorable-outcome stopping rule is applied.</w:t>
      </w:r>
    </w:p>
    <w:bookmarkEnd w:id="24"/>
    <w:bookmarkStart w:id="25" w:name="architecture-optimizer-and-precision"/>
    <w:p>
      <w:pPr>
        <w:pStyle w:val="Heading3"/>
      </w:pPr>
      <w:r>
        <w:t xml:space="preserve">Architecture, optimizer and precision</w:t>
      </w:r>
    </w:p>
    <w:p>
      <w:pPr>
        <w:pStyle w:val="FirstParagraph"/>
      </w:pPr>
      <w:r>
        <w:t xml:space="preserve">A 1-layer, 4-head Transformer of width 64 uses ReLU and no LayerNorm. AdamW uses learning rate 0.001, betas (0.9, 0.98), and weight decay 1. Parameters and model forward remain float32. Only loss-entry logits switch between float32 and float64; the full protocol lists input representation, attention, initialization and decay details that are not specified by the paper.</w:t>
      </w:r>
    </w:p>
    <w:bookmarkEnd w:id="25"/>
    <w:bookmarkStart w:id="26" w:name="statistical-analysis"/>
    <w:p>
      <w:pPr>
        <w:pStyle w:val="Heading3"/>
      </w:pPr>
      <w:r>
        <w:t xml:space="preserve">Statistical analysis</w:t>
      </w:r>
    </w:p>
    <w:p>
      <w:pPr>
        <w:pStyle w:val="FirstParagraph"/>
      </w:pPr>
      <w:r>
        <w:t xml:space="preserve">An experimental unit is a seed-specific training run. The 18 condition-specific pairs share three initialization/split seeds and must not be treated as 18 independent seed replicates. All individual trajectories and final paired differences are reported. There is no significance test, confidence interval or error bar; the study is descriptive and does not estimate a population effect.</w:t>
      </w:r>
    </w:p>
    <w:bookmarkEnd w:id="26"/>
    <w:bookmarkStart w:id="27" w:name="independent-checks-and-provenance"/>
    <w:p>
      <w:pPr>
        <w:pStyle w:val="Heading3"/>
      </w:pPr>
      <w:r>
        <w:t xml:space="preserve">Independent checks and provenance</w:t>
      </w:r>
    </w:p>
    <w:p>
      <w:pPr>
        <w:pStyle w:val="FirstParagraph"/>
      </w:pPr>
      <w:r>
        <w:t xml:space="preserve">Raw model tensors and final held-out predictions are checked by an independent NumPy forward path. Final gradients are independently reloaded on the recorded CUDA runtime; intermediate gradient counts remain producer logs. Source, data, protocol, initial state, checkpoint and environment hashes are verified. The original experimental lock is archived unchanged when the local EIDOS release label changes; any dependency/source/marker/hash change still fails that equivalence check.</w:t>
      </w:r>
    </w:p>
    <w:bookmarkEnd w:id="27"/>
    <w:bookmarkEnd w:id="28"/>
    <w:bookmarkStart w:id="29" w:name="data-availability"/>
    <w:p>
      <w:pPr>
        <w:pStyle w:val="Heading2"/>
      </w:pPr>
      <w:r>
        <w:t xml:space="preserve">Data availability</w:t>
      </w:r>
    </w:p>
    <w:p>
      <w:pPr>
        <w:pStyle w:val="FirstParagraph"/>
      </w:pPr>
      <w:r>
        <w:t xml:space="preserve">Original protocols, raw measurements, seed/split identifiers and saved-model</w:t>
      </w:r>
      <w:r>
        <w:t xml:space="preserve"> </w:t>
      </w:r>
      <w:r>
        <w:t xml:space="preserve">artifacts are available in</w:t>
      </w:r>
      <w:r>
        <w:t xml:space="preserve"> </w:t>
      </w:r>
      <w:hyperlink r:id="rId18">
        <w:r>
          <w:rPr>
            <w:rStyle w:val="Hyperlink"/>
          </w:rPr>
          <w:t xml:space="preserve">the evidence record</w:t>
        </w:r>
      </w:hyperlink>
      <w:r>
        <w:t xml:space="preserve"> </w:t>
      </w:r>
      <w:r>
        <w:t xml:space="preserve">and</w:t>
      </w:r>
      <w:r>
        <w:t xml:space="preserve"> </w:t>
      </w:r>
      <w:hyperlink r:id="rId20">
        <w:r>
          <w:rPr>
            <w:rStyle w:val="Hyperlink"/>
          </w:rPr>
          <w:t xml:space="preserve">the checksummed reproduction bundle</w:t>
        </w:r>
      </w:hyperlink>
      <w:r>
        <w:t xml:space="preserve">. Every specified outcome is retained. The repository records code, data</w:t>
      </w:r>
      <w:r>
        <w:t xml:space="preserve"> </w:t>
      </w:r>
      <w:r>
        <w:t xml:space="preserve">and environment hashes; artifact acceptance can be rerun independently.</w:t>
      </w:r>
    </w:p>
    <w:bookmarkEnd w:id="29"/>
    <w:bookmarkStart w:id="31" w:name="code-availability"/>
    <w:p>
      <w:pPr>
        <w:pStyle w:val="Heading2"/>
      </w:pPr>
      <w:r>
        <w:t xml:space="preserve">Code availability</w:t>
      </w:r>
    </w:p>
    <w:p>
      <w:pPr>
        <w:pStyle w:val="FirstParagraph"/>
      </w:pPr>
      <w:r>
        <w:t xml:space="preserve">Source and tests are included in</w:t>
      </w:r>
      <w:r>
        <w:t xml:space="preserve"> </w:t>
      </w:r>
      <w:r>
        <w:rPr>
          <w:rStyle w:val="VerbatimChar"/>
        </w:rPr>
        <w:t xml:space="preserve">reproduce.zip</w:t>
      </w:r>
      <w:r>
        <w:t xml:space="preserve"> </w:t>
      </w:r>
      <w:r>
        <w:t xml:space="preserve">and in the</w:t>
      </w:r>
      <w:r>
        <w:t xml:space="preserve"> </w:t>
      </w:r>
      <w:hyperlink r:id="rId30">
        <w:r>
          <w:rPr>
            <w:rStyle w:val="Hyperlink"/>
          </w:rPr>
          <w:t xml:space="preserve">EIDOS repository</w:t>
        </w:r>
      </w:hyperlink>
      <w:r>
        <w:t xml:space="preserve">.</w:t>
      </w:r>
      <w:r>
        <w:t xml:space="preserve"> </w:t>
      </w:r>
      <w:r>
        <w:t xml:space="preserve">Follow the bundle README for CPU acceptance and the recorded runtime for retraining.</w:t>
      </w:r>
      <w:r>
        <w:t xml:space="preserve"> </w:t>
      </w:r>
      <w:r>
        <w:t xml:space="preserve">The original numerical method is attributed to its authors in the references.</w:t>
      </w:r>
    </w:p>
    <w:bookmarkEnd w:id="31"/>
    <w:bookmarkStart w:id="32" w:name="reporting-and-submission-metadata"/>
    <w:p>
      <w:pPr>
        <w:pStyle w:val="Heading2"/>
      </w:pPr>
      <w:r>
        <w:t xml:space="preserve">Reporting and submission metadata</w:t>
      </w:r>
    </w:p>
    <w:p>
      <w:pPr>
        <w:pStyle w:val="FirstParagraph"/>
      </w:pPr>
      <w:r>
        <w:t xml:space="preserve">This is a technical validation report. Authors, affiliations, funding, author</w:t>
      </w:r>
      <w:r>
        <w:t xml:space="preserve"> </w:t>
      </w:r>
      <w:r>
        <w:t xml:space="preserve">contributions and competing-interest declarations must be completed by the human</w:t>
      </w:r>
      <w:r>
        <w:t xml:space="preserve"> </w:t>
      </w:r>
      <w:r>
        <w:t xml:space="preserve">research team before journal submission. No inferred personal or funding metadata</w:t>
      </w:r>
      <w:r>
        <w:t xml:space="preserve"> </w:t>
      </w:r>
      <w:r>
        <w:t xml:space="preserve">has been supplied. Technical production follows the linked figure and manuscript</w:t>
      </w:r>
      <w:r>
        <w:t xml:space="preserve"> </w:t>
      </w:r>
      <w:r>
        <w:t xml:space="preserve">guides; scientific suitability and editorial acceptance require separate review.</w:t>
      </w:r>
    </w:p>
    <w:bookmarkEnd w:id="32"/>
    <w:bookmarkStart w:id="36" w:name="references"/>
    <w:p>
      <w:pPr>
        <w:pStyle w:val="Heading2"/>
      </w:pPr>
      <w:r>
        <w:t xml:space="preserve">References</w:t>
      </w:r>
    </w:p>
    <w:p>
      <w:pPr>
        <w:pStyle w:val="Compact"/>
        <w:numPr>
          <w:ilvl w:val="0"/>
          <w:numId w:val="1001"/>
        </w:numPr>
      </w:pPr>
      <w:r>
        <w:t xml:space="preserve">Barron, J. T., Gnanapragasam, D. &amp; Tschannen, M.</w:t>
      </w:r>
      <w:r>
        <w:t xml:space="preserve"> </w:t>
      </w:r>
      <w:r>
        <w:rPr>
          <w:i/>
          <w:iCs/>
        </w:rPr>
        <w:t xml:space="preserve">A Fix for Softmax and</w:t>
      </w:r>
      <w:r>
        <w:rPr>
          <w:i/>
          <w:iCs/>
        </w:rPr>
        <w:t xml:space="preserve"> </w:t>
      </w:r>
      <w:r>
        <w:rPr>
          <w:i/>
          <w:iCs/>
        </w:rPr>
        <w:t xml:space="preserve">Cross-Entropy</w:t>
      </w:r>
      <w:r>
        <w:t xml:space="preserve">, version 3.</w:t>
      </w:r>
      <w:r>
        <w:t xml:space="preserve"> </w:t>
      </w:r>
      <w:hyperlink r:id="rId33">
        <w:r>
          <w:rPr>
            <w:rStyle w:val="Hyperlink"/>
          </w:rPr>
          <w:t xml:space="preserve">arXiv:2610.31642v3</w:t>
        </w:r>
      </w:hyperlink>
      <w:r>
        <w:t xml:space="preserve">.</w:t>
      </w:r>
    </w:p>
    <w:p>
      <w:pPr>
        <w:pStyle w:val="Compact"/>
        <w:numPr>
          <w:ilvl w:val="0"/>
          <w:numId w:val="1001"/>
        </w:numPr>
      </w:pPr>
      <w:r>
        <w:t xml:space="preserve">Nature.</w:t>
      </w:r>
      <w:r>
        <w:t xml:space="preserve"> </w:t>
      </w:r>
      <w:hyperlink r:id="rId34">
        <w:r>
          <w:rPr>
            <w:rStyle w:val="Hyperlink"/>
          </w:rPr>
          <w:t xml:space="preserve">Research figure guide</w:t>
        </w:r>
      </w:hyperlink>
      <w:r>
        <w:t xml:space="preserve">.</w:t>
      </w:r>
    </w:p>
    <w:p>
      <w:pPr>
        <w:pStyle w:val="Compact"/>
        <w:numPr>
          <w:ilvl w:val="0"/>
          <w:numId w:val="1001"/>
        </w:numPr>
      </w:pPr>
      <w:r>
        <w:t xml:space="preserve">Nature.</w:t>
      </w:r>
      <w:r>
        <w:t xml:space="preserve"> </w:t>
      </w:r>
      <w:hyperlink r:id="rId35">
        <w:r>
          <w:rPr>
            <w:rStyle w:val="Hyperlink"/>
          </w:rPr>
          <w:t xml:space="preserve">Formatting guide</w:t>
        </w:r>
      </w:hyperlink>
      <w:r>
        <w:t xml:space="preserve">.</w:t>
      </w:r>
    </w:p>
    <w:bookmarkEnd w:id="36"/>
    <w:sectPr>
      <w:footerReference r:id="rIdEidosPagination" w:type="default"/>
      <w:footnotePr>
        <w:numRestart w:val="eachSect"/>
      </w:footnotePr>
      <w:pgSz w:h="16838" w:w="11906"/>
      <w:pgMar w:bottom="1247" w:left="765" w:right="765" w:top="1247"/>
      <w:lnNumType w:countBy="1" w:distance="20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eidos-pagination.xml><?xml version="1.0" encoding="utf-8"?>
<w:ftr xmlns:w="http://schemas.openxmlformats.org/wordprocessingml/2006/main">
  <w:p>
    <w:pPr>
      <w:pStyle w:val="Footer"/>
      <w:jc w:val="center"/>
    </w:pPr>
    <w:fldSimple w:instr=" PAGE ">
      <w:r>
        <w:t>1</w:t>
      </w:r>
    </w:fldSimple>
  </w:p>
</w:ftr>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hAnsi="Times New Roman"/>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hAnsi="Times New Roman"/>
      <w:b w:val="1"/>
      <w:color w:val="000000"/>
      <w:spacing w:val="0"/>
      <w:sz w:val="24"/>
      <w:szCs w:val="24"/>
    </w:rPr>
  </w:style>
  <w:style w:customStyle="1" w:styleId="TitleChar" w:type="character">
    <w:name w:val="Title Char"/>
    <w:basedOn w:val="DefaultParagraphFont"/>
    <w:link w:val="Title"/>
    <w:uiPriority w:val="10"/>
    <w:rsid w:val="00A10FD9"/>
    <w:rPr>
      <w:rFonts w:ascii="Times New Roman" w:cs="Times New Roman" w:hAnsi="Times New Roman"/>
      <w:b w:val="1"/>
      <w:color w:val="000000"/>
      <w:spacing w:val="0"/>
      <w:sz w:val="24"/>
      <w:szCs w:val="24"/>
    </w:rPr>
  </w:style>
  <w:style w:styleId="Subtitle" w:type="paragraph">
    <w:name w:val="Subtitle"/>
    <w:basedOn w:val="Title"/>
    <w:next w:val="BodyText"/>
    <w:link w:val="SubtitleChar"/>
    <w:uiPriority w:val="11"/>
    <w:qFormat/>
    <w:rsid w:val="00A10FD9"/>
    <w:pPr>
      <w:numPr>
        <w:ilvl w:val="1"/>
      </w:numPr>
      <w:spacing w:line="480" w:lineRule="auto"/>
    </w:pPr>
    <w:rPr>
      <w:rFonts w:ascii="Times New Roman" w:cs="Times New Roman" w:hAnsi="Times New Roman"/>
      <w:color w:val="000000"/>
      <w:spacing w:val="0"/>
      <w:sz w:val="24"/>
      <w:szCs w:val="24"/>
    </w:rPr>
  </w:style>
  <w:style w:customStyle="1" w:styleId="SubtitleChar" w:type="character">
    <w:name w:val="Subtitle Char"/>
    <w:basedOn w:val="DefaultParagraphFont"/>
    <w:link w:val="Subtitle"/>
    <w:uiPriority w:val="11"/>
    <w:rsid w:val="00A10FD9"/>
    <w:rPr>
      <w:rFonts w:ascii="Times New Roman" w:cs="Times New Roman" w:hAnsi="Times New Roman"/>
      <w:color w:val="000000"/>
      <w:spacing w:val="0"/>
      <w:sz w:val="24"/>
      <w:szCs w:val="24"/>
    </w:rPr>
  </w:style>
  <w:style w:customStyle="1" w:styleId="Author" w:type="paragraph">
    <w:name w:val="Author"/>
    <w:basedOn w:val="Title"/>
    <w:next w:val="BodyText"/>
    <w:qFormat/>
    <w:pPr>
      <w:keepNext/>
      <w:keepLines/>
      <w:spacing w:line="480" w:lineRule="auto"/>
    </w:pPr>
    <w:rPr>
      <w:rFonts w:ascii="Times New Roman" w:cs="Times New Roman" w:hAnsi="Times New Roman"/>
      <w:sz w:val="24"/>
      <w:szCs w:val="24"/>
    </w:rPr>
  </w:style>
  <w:style w:styleId="Date" w:type="paragraph">
    <w:name w:val="Date"/>
    <w:basedOn w:val="Title"/>
    <w:next w:val="BodyText"/>
    <w:qFormat/>
    <w:pPr>
      <w:keepNext/>
      <w:keepLines/>
      <w:spacing w:line="480" w:lineRule="auto"/>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line="480" w:lineRule="auto"/>
    </w:pPr>
    <w:rPr>
      <w:rFonts w:ascii="Times New Roman" w:cs="Times New Roman" w:hAnsi="Times New Roman"/>
      <w:sz w:val="24"/>
      <w:szCs w:val="24"/>
    </w:rPr>
  </w:style>
  <w:style w:styleId="Bibliography" w:type="paragraph">
    <w:name w:val="Bibliography"/>
    <w:basedOn w:val="Normal"/>
    <w:next w:val="Bibliography"/>
    <w:qFormat/>
    <w:pPr>
      <w:spacing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hAnsi="Times New Roman"/>
      <w:b w:val="1"/>
      <w:color w:val="000000"/>
      <w:spacing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hAnsi="Times New Roman"/>
      <w:b w:val="1"/>
      <w:color w:val="000000"/>
      <w:spacing w:val="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hAnsi="Times New Roman"/>
      <w:b w:val="1"/>
      <w:color w:val="000000"/>
      <w:spacing w:val="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hAnsi="Times New Roman"/>
      <w:b w:val="1"/>
      <w:i/>
      <w:iCs/>
      <w:color w:val="000000"/>
      <w:spacing w:val="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hAnsi="Times New Roman"/>
      <w:b w:val="1"/>
      <w:color w:val="000000"/>
      <w:spacing w:val="0"/>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hAnsi="Times New Roman"/>
      <w:b w:val="1"/>
      <w:i/>
      <w:iCs/>
      <w:color w:val="000000"/>
      <w:spacing w:val="0"/>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hAnsi="Times New Roman"/>
      <w:b w:val="1"/>
      <w:color w:val="000000"/>
      <w:spacing w:val="0"/>
      <w:sz w:val="24"/>
      <w:szCs w:val="24"/>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hAnsi="Times New Roman"/>
      <w:b w:val="1"/>
      <w:i/>
      <w:iCs/>
      <w:color w:val="000000"/>
      <w:spacing w:val="0"/>
      <w:sz w:val="24"/>
      <w:szCs w:val="24"/>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hAnsi="Times New Roman"/>
      <w:b w:val="1"/>
      <w:color w:val="000000"/>
      <w:spacing w:val="0"/>
      <w:sz w:val="24"/>
      <w:szCs w:val="24"/>
    </w:rPr>
  </w:style>
  <w:style w:customStyle="1" w:styleId="Heading1Char" w:type="character">
    <w:name w:val="Heading 1 Char"/>
    <w:basedOn w:val="DefaultParagraphFont"/>
    <w:link w:val="Heading1"/>
    <w:uiPriority w:val="9"/>
    <w:rsid w:val="00A10FD9"/>
    <w:rPr>
      <w:rFonts w:ascii="Times New Roman" w:cs="Times New Roman" w:hAnsi="Times New Roman"/>
      <w:b w:val="1"/>
      <w:color w:val="000000"/>
      <w:spacing w:val="0"/>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b w:val="1"/>
      <w:color w:val="000000"/>
      <w:spacing w:val="0"/>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b w:val="1"/>
      <w:color w:val="000000"/>
      <w:spacing w:val="0"/>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b w:val="1"/>
      <w:i/>
      <w:iCs/>
      <w:color w:val="000000"/>
      <w:spacing w:val="0"/>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b w:val="1"/>
      <w:color w:val="000000"/>
      <w:spacing w:val="0"/>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b w:val="1"/>
      <w:i/>
      <w:iCs/>
      <w:color w:val="000000"/>
      <w:spacing w:val="0"/>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b w:val="1"/>
      <w:color w:val="000000"/>
      <w:spacing w:val="0"/>
      <w:sz w:val="24"/>
      <w:szCs w:val="24"/>
    </w:rPr>
  </w:style>
  <w:style w:customStyle="1" w:styleId="Heading8Char" w:type="character">
    <w:name w:val="Heading 8 Char"/>
    <w:basedOn w:val="DefaultParagraphFont"/>
    <w:link w:val="Heading8"/>
    <w:uiPriority w:val="9"/>
    <w:semiHidden/>
    <w:rsid w:val="00A10FD9"/>
    <w:rPr>
      <w:rFonts w:ascii="Times New Roman" w:cs="Times New Roman" w:hAnsi="Times New Roman"/>
      <w:b w:val="1"/>
      <w:i/>
      <w:iCs/>
      <w:color w:val="000000"/>
      <w:spacing w:val="0"/>
      <w:sz w:val="24"/>
      <w:szCs w:val="24"/>
    </w:rPr>
  </w:style>
  <w:style w:customStyle="1" w:styleId="Heading9Char" w:type="character">
    <w:name w:val="Heading 9 Char"/>
    <w:basedOn w:val="DefaultParagraphFont"/>
    <w:link w:val="Heading9"/>
    <w:uiPriority w:val="9"/>
    <w:semiHidden/>
    <w:rsid w:val="00A10FD9"/>
    <w:rPr>
      <w:rFonts w:ascii="Times New Roman" w:cs="Times New Roman" w:hAnsi="Times New Roman"/>
      <w:b w:val="1"/>
      <w:color w:val="000000"/>
      <w:spacing w:val="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cs="Times New Roman" w:hAnsi="Times New Roman"/>
      <w:b/>
      <w:sz w:val="24"/>
      <w:szCs w:val="24"/>
    </w:rPr>
  </w:style>
  <w:style w:customStyle="1" w:styleId="Definition" w:type="paragraph">
    <w:name w:val="Definition"/>
    <w:basedOn w:val="Normal"/>
    <w:pPr>
      <w:spacing w:line="480" w:lineRule="auto"/>
    </w:pPr>
  </w:style>
  <w:style w:styleId="Caption" w:type="paragraph">
    <w:name w:val="Caption"/>
    <w:basedOn w:val="Normal"/>
    <w:link w:val="BodyTextChar"/>
    <w:pPr>
      <w:keepLines w:val="1"/>
      <w:spacing w:after="120" w:before="0" w:line="480" w:lineRule="auto"/>
    </w:pPr>
    <w:rPr>
      <w:rFonts w:ascii="Times New Roman" w:cs="Times New Roman" w:hAnsi="Times New Roman"/>
      <w:i w:val="0"/>
      <w:sz w:val="24"/>
      <w:szCs w:val="24"/>
    </w:rPr>
  </w:style>
  <w:style w:customStyle="1" w:styleId="TableCaption" w:type="paragraph">
    <w:name w:val="Table Caption"/>
    <w:basedOn w:val="Caption"/>
    <w:pPr>
      <w:keepNext/>
      <w:keepLines w:val="1"/>
      <w:spacing w:line="480" w:lineRule="auto"/>
    </w:pPr>
    <w:rPr>
      <w:rFonts w:ascii="Times New Roman" w:hAnsi="Times New Roman" w:cs="Times New Roman"/>
      <w:i w:val="0"/>
      <w:sz w:val="24"/>
      <w:szCs w:val="24"/>
    </w:rPr>
  </w:style>
  <w:style w:customStyle="1" w:styleId="ImageCaption" w:type="paragraph">
    <w:name w:val="Image Caption"/>
    <w:basedOn w:val="Caption"/>
    <w:pPr>
      <w:keepLines w:val="1"/>
      <w:spacing w:line="480" w:lineRule="auto"/>
    </w:pPr>
    <w:rPr>
      <w:rFonts w:ascii="Times New Roman" w:hAnsi="Times New Roman" w:cs="Times New Roman"/>
      <w:i w:val="0"/>
      <w:sz w:val="24"/>
      <w:szCs w:val="24"/>
    </w:rPr>
  </w:style>
  <w:style w:customStyle="1" w:styleId="Figure" w:type="paragraph">
    <w:name w:val="Figure"/>
    <w:basedOn w:val="Normal"/>
    <w:pPr>
      <w:spacing w:line="480" w:lineRule="auto"/>
    </w:pPr>
  </w:style>
  <w:style w:customStyle="1" w:styleId="CaptionedFigure" w:type="paragraph">
    <w:name w:val="Captioned Figure"/>
    <w:basedOn w:val="Figure"/>
    <w:pPr>
      <w:keepNext/>
      <w:keepLines w:val="1"/>
      <w:spacing w:line="480" w:lineRule="auto"/>
    </w:pPr>
    <w:rPr>
      <w:rFonts w:ascii="Times New Roman" w:hAnsi="Times New Roman" w:cs="Times New Roman"/>
      <w:i w:val="0"/>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hAnsi="Times New Roman"/>
      <w:sz w:val="24"/>
      <w:szCs w:val="24"/>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hAnsi="Times New Roman"/>
      <w:sz w:val="24"/>
      <w:szCs w:val="24"/>
      <w:vertAlign w:val="superscript"/>
    </w:rPr>
  </w:style>
  <w:style w:styleId="Hyperlink" w:type="character">
    <w:name w:val="Hyperlink"/>
    <w:basedOn w:val="BodyTextChar"/>
    <w:rPr>
      <w:rFonts w:ascii="Times New Roman" w:cs="Times New Roman" w:hAnsi="Times New Roman"/>
      <w:color w:themeColor="accent1" w:val="4F81BD"/>
      <w:sz w:val="24"/>
      <w:szCs w:val="24"/>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hAnsi="Times New Roman"/>
      <w:b w:val="0"/>
      <w:bCs w:val="0"/>
      <w:color w:themeColor="accent1" w:themeShade="BF" w:val="365F91"/>
      <w:sz w:val="24"/>
      <w:szCs w:val="24"/>
    </w:rPr>
  </w:style>
  <w:style w:type="paragraph" w:customStyle="1" w:styleId="SourceCode">
    <w:name w:val="Source Code"/>
    <w:basedOn w:val="Normal"/>
    <w:link w:val="VerbatimChar"/>
    <w:pPr>
      <w:shd w:val="clear" w:fill="f1f3f5"/>
      <w:wordWrap w:val="off"/>
      <w:spacing w:line="480" w:lineRule="auto"/>
    </w:pPr>
  </w:style>
  <w:style w:type="character" w:customStyle="1" w:styleId="KeywordTok">
    <w:name w:val="KeywordTok"/>
    <w:basedOn w:val="VerbatimChar"/>
    <w:rPr>
      <w:rFonts w:ascii="Times New Roman" w:hAnsi="Times New Roman" w:cs="Times New Roman"/>
      <w:b/>
      <w:color w:val="003b4f"/>
      <w:sz w:val="24"/>
      <w:szCs w:val="24"/>
      <w:shd w:val="clear" w:fill="f1f3f5"/>
    </w:rPr>
  </w:style>
  <w:style w:type="character" w:customStyle="1" w:styleId="DataTypeTok">
    <w:name w:val="DataTypeTok"/>
    <w:basedOn w:val="VerbatimChar"/>
    <w:rPr>
      <w:rFonts w:ascii="Times New Roman" w:hAnsi="Times New Roman" w:cs="Times New Roman"/>
      <w:color w:val="ad0000"/>
      <w:sz w:val="24"/>
      <w:szCs w:val="24"/>
      <w:shd w:val="clear" w:fill="f1f3f5"/>
    </w:rPr>
  </w:style>
  <w:style w:type="character" w:customStyle="1" w:styleId="DecValTok">
    <w:name w:val="DecValTok"/>
    <w:basedOn w:val="VerbatimChar"/>
    <w:rPr>
      <w:rFonts w:ascii="Times New Roman" w:hAnsi="Times New Roman" w:cs="Times New Roman"/>
      <w:color w:val="ad0000"/>
      <w:sz w:val="24"/>
      <w:szCs w:val="24"/>
      <w:shd w:val="clear" w:fill="f1f3f5"/>
    </w:rPr>
  </w:style>
  <w:style w:type="character" w:customStyle="1" w:styleId="BaseNTok">
    <w:name w:val="BaseNTok"/>
    <w:basedOn w:val="VerbatimChar"/>
    <w:rPr>
      <w:rFonts w:ascii="Times New Roman" w:hAnsi="Times New Roman" w:cs="Times New Roman"/>
      <w:color w:val="ad0000"/>
      <w:sz w:val="24"/>
      <w:szCs w:val="24"/>
      <w:shd w:val="clear" w:fill="f1f3f5"/>
    </w:rPr>
  </w:style>
  <w:style w:type="character" w:customStyle="1" w:styleId="FloatTok">
    <w:name w:val="FloatTok"/>
    <w:basedOn w:val="VerbatimChar"/>
    <w:rPr>
      <w:rFonts w:ascii="Times New Roman" w:hAnsi="Times New Roman" w:cs="Times New Roman"/>
      <w:color w:val="ad0000"/>
      <w:sz w:val="24"/>
      <w:szCs w:val="24"/>
      <w:shd w:val="clear" w:fill="f1f3f5"/>
    </w:rPr>
  </w:style>
  <w:style w:type="character" w:customStyle="1" w:styleId="ConstantTok">
    <w:name w:val="ConstantTok"/>
    <w:basedOn w:val="VerbatimChar"/>
    <w:rPr>
      <w:rFonts w:ascii="Times New Roman" w:hAnsi="Times New Roman" w:cs="Times New Roman"/>
      <w:color w:val="8f5902"/>
      <w:sz w:val="24"/>
      <w:szCs w:val="24"/>
      <w:shd w:val="clear" w:fill="f1f3f5"/>
    </w:rPr>
  </w:style>
  <w:style w:type="character" w:customStyle="1" w:styleId="CharTok">
    <w:name w:val="CharTok"/>
    <w:basedOn w:val="VerbatimChar"/>
    <w:rPr>
      <w:rFonts w:ascii="Times New Roman" w:hAnsi="Times New Roman" w:cs="Times New Roman"/>
      <w:color w:val="20794d"/>
      <w:sz w:val="24"/>
      <w:szCs w:val="24"/>
      <w:shd w:val="clear" w:fill="f1f3f5"/>
    </w:rPr>
  </w:style>
  <w:style w:type="character" w:customStyle="1" w:styleId="SpecialCharTok">
    <w:name w:val="SpecialCharTok"/>
    <w:basedOn w:val="VerbatimChar"/>
    <w:rPr>
      <w:rFonts w:ascii="Times New Roman" w:hAnsi="Times New Roman" w:cs="Times New Roman"/>
      <w:color w:val="5e5e5e"/>
      <w:sz w:val="24"/>
      <w:szCs w:val="24"/>
      <w:shd w:val="clear" w:fill="f1f3f5"/>
    </w:rPr>
  </w:style>
  <w:style w:type="character" w:customStyle="1" w:styleId="StringTok">
    <w:name w:val="StringTok"/>
    <w:basedOn w:val="VerbatimChar"/>
    <w:rPr>
      <w:rFonts w:ascii="Times New Roman" w:hAnsi="Times New Roman" w:cs="Times New Roman"/>
      <w:color w:val="20794d"/>
      <w:sz w:val="24"/>
      <w:szCs w:val="24"/>
      <w:shd w:val="clear" w:fill="f1f3f5"/>
    </w:rPr>
  </w:style>
  <w:style w:type="character" w:customStyle="1" w:styleId="VerbatimStringTok">
    <w:name w:val="VerbatimStringTok"/>
    <w:basedOn w:val="VerbatimChar"/>
    <w:rPr>
      <w:rFonts w:ascii="Times New Roman" w:hAnsi="Times New Roman" w:cs="Times New Roman"/>
      <w:color w:val="20794d"/>
      <w:sz w:val="24"/>
      <w:szCs w:val="24"/>
      <w:shd w:val="clear" w:fill="f1f3f5"/>
    </w:rPr>
  </w:style>
  <w:style w:type="character" w:customStyle="1" w:styleId="SpecialStringTok">
    <w:name w:val="SpecialStringTok"/>
    <w:basedOn w:val="VerbatimChar"/>
    <w:rPr>
      <w:rFonts w:ascii="Times New Roman" w:hAnsi="Times New Roman" w:cs="Times New Roman"/>
      <w:color w:val="20794d"/>
      <w:sz w:val="24"/>
      <w:szCs w:val="24"/>
      <w:shd w:val="clear" w:fill="f1f3f5"/>
    </w:rPr>
  </w:style>
  <w:style w:type="character" w:customStyle="1" w:styleId="ImportTok">
    <w:name w:val="ImportTok"/>
    <w:basedOn w:val="VerbatimChar"/>
    <w:rPr>
      <w:rFonts w:ascii="Times New Roman" w:hAnsi="Times New Roman" w:cs="Times New Roman"/>
      <w:color w:val="00769e"/>
      <w:sz w:val="24"/>
      <w:szCs w:val="24"/>
      <w:shd w:val="clear" w:fill="f1f3f5"/>
    </w:rPr>
  </w:style>
  <w:style w:type="character" w:customStyle="1" w:styleId="CommentTok">
    <w:name w:val="CommentTok"/>
    <w:basedOn w:val="VerbatimChar"/>
    <w:rPr>
      <w:rFonts w:ascii="Times New Roman" w:hAnsi="Times New Roman" w:cs="Times New Roman"/>
      <w:color w:val="5e5e5e"/>
      <w:sz w:val="24"/>
      <w:szCs w:val="24"/>
      <w:shd w:val="clear" w:fill="f1f3f5"/>
    </w:rPr>
  </w:style>
  <w:style w:type="character" w:customStyle="1" w:styleId="DocumentationTok">
    <w:name w:val="DocumentationTok"/>
    <w:basedOn w:val="VerbatimChar"/>
    <w:rPr>
      <w:rFonts w:ascii="Times New Roman" w:hAnsi="Times New Roman" w:cs="Times New Roman"/>
      <w:i/>
      <w:color w:val="5e5e5e"/>
      <w:sz w:val="24"/>
      <w:szCs w:val="24"/>
      <w:shd w:val="clear" w:fill="f1f3f5"/>
    </w:rPr>
  </w:style>
  <w:style w:type="character" w:customStyle="1" w:styleId="AnnotationTok">
    <w:name w:val="AnnotationTok"/>
    <w:basedOn w:val="VerbatimChar"/>
    <w:rPr>
      <w:rFonts w:ascii="Times New Roman" w:hAnsi="Times New Roman" w:cs="Times New Roman"/>
      <w:color w:val="5e5e5e"/>
      <w:sz w:val="24"/>
      <w:szCs w:val="24"/>
      <w:shd w:val="clear" w:fill="f1f3f5"/>
    </w:rPr>
  </w:style>
  <w:style w:type="character" w:customStyle="1" w:styleId="CommentVarTok">
    <w:name w:val="CommentVarTok"/>
    <w:basedOn w:val="VerbatimChar"/>
    <w:rPr>
      <w:rFonts w:ascii="Times New Roman" w:hAnsi="Times New Roman" w:cs="Times New Roman"/>
      <w:i/>
      <w:color w:val="5e5e5e"/>
      <w:sz w:val="24"/>
      <w:szCs w:val="24"/>
      <w:shd w:val="clear" w:fill="f1f3f5"/>
    </w:rPr>
  </w:style>
  <w:style w:type="character" w:customStyle="1" w:styleId="OtherTok">
    <w:name w:val="OtherTok"/>
    <w:basedOn w:val="VerbatimChar"/>
    <w:rPr>
      <w:rFonts w:ascii="Times New Roman" w:hAnsi="Times New Roman" w:cs="Times New Roman"/>
      <w:color w:val="003b4f"/>
      <w:sz w:val="24"/>
      <w:szCs w:val="24"/>
      <w:shd w:val="clear" w:fill="f1f3f5"/>
    </w:rPr>
  </w:style>
  <w:style w:type="character" w:customStyle="1" w:styleId="FunctionTok">
    <w:name w:val="FunctionTok"/>
    <w:basedOn w:val="VerbatimChar"/>
    <w:rPr>
      <w:rFonts w:ascii="Times New Roman" w:hAnsi="Times New Roman" w:cs="Times New Roman"/>
      <w:color w:val="4758ab"/>
      <w:sz w:val="24"/>
      <w:szCs w:val="24"/>
      <w:shd w:val="clear" w:fill="f1f3f5"/>
    </w:rPr>
  </w:style>
  <w:style w:type="character" w:customStyle="1" w:styleId="VariableTok">
    <w:name w:val="VariableTok"/>
    <w:basedOn w:val="VerbatimChar"/>
    <w:rPr>
      <w:rFonts w:ascii="Times New Roman" w:hAnsi="Times New Roman" w:cs="Times New Roman"/>
      <w:color w:val="111111"/>
      <w:sz w:val="24"/>
      <w:szCs w:val="24"/>
      <w:shd w:val="clear" w:fill="f1f3f5"/>
    </w:rPr>
  </w:style>
  <w:style w:type="character" w:customStyle="1" w:styleId="ControlFlowTok">
    <w:name w:val="ControlFlowTok"/>
    <w:basedOn w:val="VerbatimChar"/>
    <w:rPr>
      <w:rFonts w:ascii="Times New Roman" w:hAnsi="Times New Roman" w:cs="Times New Roman"/>
      <w:b/>
      <w:color w:val="003b4f"/>
      <w:sz w:val="24"/>
      <w:szCs w:val="24"/>
      <w:shd w:val="clear" w:fill="f1f3f5"/>
    </w:rPr>
  </w:style>
  <w:style w:type="character" w:customStyle="1" w:styleId="OperatorTok">
    <w:name w:val="OperatorTok"/>
    <w:basedOn w:val="VerbatimChar"/>
    <w:rPr>
      <w:rFonts w:ascii="Times New Roman" w:hAnsi="Times New Roman" w:cs="Times New Roman"/>
      <w:color w:val="5e5e5e"/>
      <w:sz w:val="24"/>
      <w:szCs w:val="24"/>
      <w:shd w:val="clear" w:fill="f1f3f5"/>
    </w:rPr>
  </w:style>
  <w:style w:type="character" w:customStyle="1" w:styleId="BuiltInTok">
    <w:name w:val="BuiltInTok"/>
    <w:basedOn w:val="VerbatimChar"/>
    <w:rPr>
      <w:rFonts w:ascii="Times New Roman" w:hAnsi="Times New Roman" w:cs="Times New Roman"/>
      <w:color w:val="003b4f"/>
      <w:sz w:val="24"/>
      <w:szCs w:val="24"/>
      <w:shd w:val="clear" w:fill="f1f3f5"/>
    </w:rPr>
  </w:style>
  <w:style w:type="character" w:customStyle="1" w:styleId="ExtensionTok">
    <w:name w:val="ExtensionTok"/>
    <w:basedOn w:val="VerbatimChar"/>
    <w:rPr>
      <w:rFonts w:ascii="Times New Roman" w:hAnsi="Times New Roman" w:cs="Times New Roman"/>
      <w:color w:val="003b4f"/>
      <w:sz w:val="24"/>
      <w:szCs w:val="24"/>
      <w:shd w:val="clear" w:fill="f1f3f5"/>
    </w:rPr>
  </w:style>
  <w:style w:type="character" w:customStyle="1" w:styleId="PreprocessorTok">
    <w:name w:val="PreprocessorTok"/>
    <w:basedOn w:val="VerbatimChar"/>
    <w:rPr>
      <w:rFonts w:ascii="Times New Roman" w:hAnsi="Times New Roman" w:cs="Times New Roman"/>
      <w:color w:val="ad0000"/>
      <w:sz w:val="24"/>
      <w:szCs w:val="24"/>
      <w:shd w:val="clear" w:fill="f1f3f5"/>
    </w:rPr>
  </w:style>
  <w:style w:type="character" w:customStyle="1" w:styleId="AttributeTok">
    <w:name w:val="AttributeTok"/>
    <w:basedOn w:val="VerbatimChar"/>
    <w:rPr>
      <w:rFonts w:ascii="Times New Roman" w:hAnsi="Times New Roman" w:cs="Times New Roman"/>
      <w:color w:val="657422"/>
      <w:sz w:val="24"/>
      <w:szCs w:val="24"/>
      <w:shd w:val="clear" w:fill="f1f3f5"/>
    </w:rPr>
  </w:style>
  <w:style w:type="character" w:customStyle="1" w:styleId="RegionMarkerTok">
    <w:name w:val="RegionMarkerTok"/>
    <w:basedOn w:val="VerbatimChar"/>
    <w:rPr>
      <w:rFonts w:ascii="Times New Roman" w:hAnsi="Times New Roman" w:cs="Times New Roman"/>
      <w:color w:val="003b4f"/>
      <w:sz w:val="24"/>
      <w:szCs w:val="24"/>
      <w:shd w:val="clear" w:fill="f1f3f5"/>
    </w:rPr>
  </w:style>
  <w:style w:type="character" w:customStyle="1" w:styleId="InformationTok">
    <w:name w:val="InformationTok"/>
    <w:basedOn w:val="VerbatimChar"/>
    <w:rPr>
      <w:rFonts w:ascii="Times New Roman" w:hAnsi="Times New Roman" w:cs="Times New Roman"/>
      <w:color w:val="5e5e5e"/>
      <w:sz w:val="24"/>
      <w:szCs w:val="24"/>
      <w:shd w:val="clear" w:fill="f1f3f5"/>
    </w:rPr>
  </w:style>
  <w:style w:type="character" w:customStyle="1" w:styleId="WarningTok">
    <w:name w:val="WarningTok"/>
    <w:basedOn w:val="VerbatimChar"/>
    <w:rPr>
      <w:rFonts w:ascii="Times New Roman" w:hAnsi="Times New Roman" w:cs="Times New Roman"/>
      <w:i/>
      <w:color w:val="5e5e5e"/>
      <w:sz w:val="24"/>
      <w:szCs w:val="24"/>
      <w:shd w:val="clear" w:fill="f1f3f5"/>
    </w:rPr>
  </w:style>
  <w:style w:type="character" w:customStyle="1" w:styleId="AlertTok">
    <w:name w:val="AlertTok"/>
    <w:basedOn w:val="VerbatimChar"/>
    <w:rPr>
      <w:rFonts w:ascii="Times New Roman" w:hAnsi="Times New Roman" w:cs="Times New Roman"/>
      <w:color w:val="ad0000"/>
      <w:sz w:val="24"/>
      <w:szCs w:val="24"/>
      <w:shd w:val="clear" w:fill="f1f3f5"/>
    </w:rPr>
  </w:style>
  <w:style w:type="character" w:customStyle="1" w:styleId="ErrorTok">
    <w:name w:val="ErrorTok"/>
    <w:basedOn w:val="VerbatimChar"/>
    <w:rPr>
      <w:rFonts w:ascii="Times New Roman" w:hAnsi="Times New Roman" w:cs="Times New Roman"/>
      <w:color w:val="ad0000"/>
      <w:sz w:val="24"/>
      <w:szCs w:val="24"/>
      <w:shd w:val="clear" w:fill="f1f3f5"/>
    </w:rPr>
  </w:style>
  <w:style w:type="character" w:customStyle="1" w:styleId="NormalTok">
    <w:name w:val="NormalTok"/>
    <w:basedOn w:val="VerbatimChar"/>
    <w:rPr>
      <w:rFonts w:ascii="Times New Roman" w:hAnsi="Times New Roman" w:cs="Times New Roman"/>
      <w:color w:val="003b4f"/>
      <w:sz w:val="24"/>
      <w:szCs w:val="24"/>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idosPagination" Target="eidos-pagination.xml" Type="http://schemas.openxmlformats.org/officeDocument/2006/relationships/footer" /><Relationship Type="http://schemas.openxmlformats.org/officeDocument/2006/relationships/image" Id="rId10" Target="media/rId10.png" /><Relationship Type="http://schemas.openxmlformats.org/officeDocument/2006/relationships/hyperlink" Id="rId22" Target="accuracy-matrix.pdf" TargetMode="External" /><Relationship Type="http://schemas.openxmlformats.org/officeDocument/2006/relationships/hyperlink" Id="rId21" Target="accuracy-matrix.svg" TargetMode="External" /><Relationship Type="http://schemas.openxmlformats.org/officeDocument/2006/relationships/hyperlink" Id="rId18" Target="evidence.json" TargetMode="External" /><Relationship Type="http://schemas.openxmlformats.org/officeDocument/2006/relationships/hyperlink" Id="rId19" Target="final-gradient-check.json" TargetMode="External" /><Relationship Type="http://schemas.openxmlformats.org/officeDocument/2006/relationships/hyperlink" Id="rId33" Target="https://arxiv.org/html/2610.31642v3" TargetMode="External" /><Relationship Type="http://schemas.openxmlformats.org/officeDocument/2006/relationships/hyperlink" Id="rId14" Target="https://arxiv.org/html/2610.31642v3#S6" TargetMode="External" /><Relationship Type="http://schemas.openxmlformats.org/officeDocument/2006/relationships/hyperlink" Id="rId30" Target="https://github.com/Computational-social-science/Eidos" TargetMode="External" /><Relationship Type="http://schemas.openxmlformats.org/officeDocument/2006/relationships/hyperlink" Id="rId34" Target="https://research-figure-guide.nature.com/figures/building-and-exporting-figure-panels/" TargetMode="External" /><Relationship Type="http://schemas.openxmlformats.org/officeDocument/2006/relationships/hyperlink" Id="rId35" Target="https://www.nature.com/nature/for-authors/formatting-guide" TargetMode="External" /><Relationship Type="http://schemas.openxmlformats.org/officeDocument/2006/relationships/hyperlink" Id="rId16" Target="paired.csv" TargetMode="External" /><Relationship Type="http://schemas.openxmlformats.org/officeDocument/2006/relationships/hyperlink" Id="rId17" Target="protocol.json" TargetMode="External" /><Relationship Type="http://schemas.openxmlformats.org/officeDocument/2006/relationships/hyperlink" Id="rId20" Target="reproduce.zip" TargetMode="External" /><Relationship Type="http://schemas.openxmlformats.org/officeDocument/2006/relationships/hyperlink" Id="rId15" Target="trajectories.csv" TargetMode="External" /></Relationships>
</file>

<file path=word/_rels/footnotes.xml.rels><?xml version="1.0" encoding="UTF-8"?><Relationships xmlns="http://schemas.openxmlformats.org/package/2006/relationships"><Relationship Type="http://schemas.openxmlformats.org/officeDocument/2006/relationships/hyperlink" Id="rId22" Target="accuracy-matrix.pdf" TargetMode="External" /><Relationship Type="http://schemas.openxmlformats.org/officeDocument/2006/relationships/hyperlink" Id="rId21" Target="accuracy-matrix.svg" TargetMode="External" /><Relationship Type="http://schemas.openxmlformats.org/officeDocument/2006/relationships/hyperlink" Id="rId18" Target="evidence.json" TargetMode="External" /><Relationship Type="http://schemas.openxmlformats.org/officeDocument/2006/relationships/hyperlink" Id="rId19" Target="final-gradient-check.json" TargetMode="External" /><Relationship Type="http://schemas.openxmlformats.org/officeDocument/2006/relationships/hyperlink" Id="rId33" Target="https://arxiv.org/html/2610.31642v3" TargetMode="External" /><Relationship Type="http://schemas.openxmlformats.org/officeDocument/2006/relationships/hyperlink" Id="rId14" Target="https://arxiv.org/html/2610.31642v3#S6" TargetMode="External" /><Relationship Type="http://schemas.openxmlformats.org/officeDocument/2006/relationships/hyperlink" Id="rId30" Target="https://github.com/Computational-social-science/Eidos" TargetMode="External" /><Relationship Type="http://schemas.openxmlformats.org/officeDocument/2006/relationships/hyperlink" Id="rId34" Target="https://research-figure-guide.nature.com/figures/building-and-exporting-figure-panels/" TargetMode="External" /><Relationship Type="http://schemas.openxmlformats.org/officeDocument/2006/relationships/hyperlink" Id="rId35" Target="https://www.nature.com/nature/for-authors/formatting-guide" TargetMode="External" /><Relationship Type="http://schemas.openxmlformats.org/officeDocument/2006/relationships/hyperlink" Id="rId16" Target="paired.csv" TargetMode="External" /><Relationship Type="http://schemas.openxmlformats.org/officeDocument/2006/relationships/hyperlink" Id="rId17" Target="protocol.json" TargetMode="External" /><Relationship Type="http://schemas.openxmlformats.org/officeDocument/2006/relationships/hyperlink" Id="rId20" Target="reproduce.zip" TargetMode="External" /><Relationship Type="http://schemas.openxmlformats.org/officeDocument/2006/relationships/hyperlink" Id="rId15" Target="trajectories.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Precision and epsilon shape the outcome of a Softmax repair</dc:title>
  <dc:creator/>
  <dc:language>en</dc:language>
  <cp:keywords/>
  <dcterms:created xsi:type="dcterms:W3CDTF">2026-10-31T20:58:23Z</dcterms:created>
  <dcterms:modified xsi:type="dcterms:W3CDTF">2026-10-31T20:58:23Z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