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</w:pPr>
    </w:p>
    <w:p>
      <w:pPr>
        <w:spacing w:before="1400"/>
      </w:pPr>
      <w:r>
        <w:rPr>
          <w:rFonts w:ascii="Microsoft YaHei" w:hAnsi="Microsoft YaHei"/>
          <w:b/>
          <w:color w:val="1F3864"/>
          <w:sz w:val="56"/>
        </w:rPr>
        <w:t>FigPipeline 能力验证报告</w:t>
      </w:r>
    </w:p>
    <w:p>
      <w:r>
        <w:rPr>
          <w:rFonts w:ascii="Microsoft YaHei" w:hAnsi="Microsoft YaHei"/>
          <w:color w:val="2E74B5"/>
          <w:sz w:val="26"/>
        </w:rPr>
        <w:t>从同行汲取 → 可转化能力 → 权威基准 E2E 状态</w:t>
      </w:r>
    </w:p>
    <w:p>
      <w:pPr>
        <w:spacing w:before="520"/>
      </w:pPr>
      <w:r>
        <w:rPr>
          <w:i/>
          <w:color w:val="595959"/>
          <w:sz w:val="18"/>
        </w:rPr>
        <w:t>本报告所有数字由仓库内脚本生成，证据路径见附录。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sz w:val="18"/>
              </w:rPr>
              <w:t>知识库版本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8"/>
              </w:rPr>
              <w:t>v16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sz w:val="18"/>
              </w:rPr>
              <w:t>代码提交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8"/>
              </w:rPr>
              <w:t>6bb8c1d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sz w:val="18"/>
              </w:rPr>
              <w:t>测试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8"/>
              </w:rPr>
              <w:t>200 tests collected (pytest --collect-only)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sz w:val="18"/>
              </w:rPr>
              <w:t>报告日期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8"/>
              </w:rPr>
              <w:t>2026-10-18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1F3864"/>
          <w:sz w:val="30"/>
        </w:rPr>
        <w:t>1  执行摘要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19"/>
        </w:rPr>
        <w:t>同行资源已按</w:t>
      </w:r>
      <w:r>
        <w:rPr>
          <w:rFonts w:ascii="Microsoft YaHei" w:hAnsi="Microsoft YaHei"/>
          <w:b/>
          <w:sz w:val="19"/>
        </w:rPr>
        <w:t>许可分级</w:t>
      </w:r>
      <w:r>
        <w:rPr>
          <w:rFonts w:ascii="Microsoft YaHei" w:hAnsi="Microsoft YaHei"/>
          <w:b w:val="0"/>
          <w:sz w:val="19"/>
        </w:rPr>
        <w:t>吸收，而不是「读过就算」：DeTi*k*Zify 的 MCTS 以 MIT 许可整包 vendor 并接入搜索（third_party/mcts 保留许可与出处）；NaturePanelForge 的 P0/P1/P2 维度表以确定性度量重写为 score.py；无 LICENSE 的 FigMirror / Math-VR / ChartCoder 只借思想，未复制任何代码、prompt 或数据。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19"/>
        </w:rPr>
        <w:t>出现了第一个</w:t>
      </w:r>
      <w:r>
        <w:rPr>
          <w:rFonts w:ascii="Microsoft YaHei" w:hAnsi="Microsoft YaHei"/>
          <w:b/>
          <w:sz w:val="19"/>
        </w:rPr>
        <w:t>可转化的能力</w:t>
      </w:r>
      <w:r>
        <w:rPr>
          <w:rFonts w:ascii="Microsoft YaHei" w:hAnsi="Microsoft YaHei"/>
          <w:b w:val="0"/>
          <w:sz w:val="19"/>
        </w:rPr>
        <w:t>：style_transfer 用发表的 PDF 区域作为风格目标，把种子 Fig. 7 复现版的风格距离从 0.122 降到 0.093（降幅 24%），八个变体全部通过 Nature 硬门槛，同一输入可复现同一结果。</w:t>
      </w:r>
    </w:p>
    <w:p>
      <w:pPr>
        <w:pStyle w:val="ListBullet"/>
        <w:spacing w:after="40"/>
      </w:pPr>
      <w:r>
        <w:rPr>
          <w:rFonts w:ascii="Microsoft YaHei" w:hAnsi="Microsoft YaHei"/>
          <w:b/>
          <w:sz w:val="19"/>
        </w:rPr>
        <w:t>权威 benchmark 的 E2E 尚未通过</w:t>
      </w:r>
      <w:r>
        <w:rPr>
          <w:rFonts w:ascii="Microsoft YaHei" w:hAnsi="Microsoft YaHei"/>
          <w:b w:val="0"/>
          <w:sz w:val="19"/>
        </w:rPr>
        <w:t>：已完成 PlotTwin-Bench（CC BY-NC 4.0）的许可核对、schema 与10 任务探针（Distribution / Box-Violin / Heatmap，multi 面板，18–24 列、520–12,197 行）。缺口不是「跑不动」，而是缺一个数据→图表映射器与多面板组装规则；第 4 节给出可验收的 E2E 协议。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AF1F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/>
                <w:b/>
                <w:color w:val="1F3864"/>
                <w:sz w:val="40"/>
              </w:rPr>
              <w:t>−24%</w:t>
            </w:r>
          </w:p>
        </w:tc>
        <w:tc>
          <w:tcPr>
            <w:tcW w:type="dxa" w:w="3213"/>
            <w:shd w:val="clear" w:color="auto" w:fill="EAF1F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/>
                <w:b/>
                <w:color w:val="1F3864"/>
                <w:sz w:val="40"/>
              </w:rPr>
              <w:t>15 / 15</w:t>
            </w:r>
          </w:p>
        </w:tc>
        <w:tc>
          <w:tcPr>
            <w:tcW w:type="dxa" w:w="3213"/>
            <w:shd w:val="clear" w:color="auto" w:fill="EAF1F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/>
                <w:b/>
                <w:color w:val="1F3864"/>
                <w:sz w:val="40"/>
              </w:rPr>
              <w:t>0</w:t>
            </w:r>
          </w:p>
        </w:tc>
      </w:tr>
      <w:tr>
        <w:tc>
          <w:tcPr>
            <w:tcW w:type="dxa" w:w="3213"/>
            <w:shd w:val="clear" w:color="auto" w:fill="EAF1F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/>
                <w:b w:val="0"/>
                <w:color w:val="595959"/>
                <w:sz w:val="16"/>
              </w:rPr>
              <w:t>风格距离（0.122 → 0.093）</w:t>
            </w:r>
          </w:p>
        </w:tc>
        <w:tc>
          <w:tcPr>
            <w:tcW w:type="dxa" w:w="3213"/>
            <w:shd w:val="clear" w:color="auto" w:fill="EAF1F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/>
                <w:b w:val="0"/>
                <w:color w:val="595959"/>
                <w:sz w:val="16"/>
              </w:rPr>
              <w:t>发表统计量复现，误差 ≤0.005</w:t>
            </w:r>
          </w:p>
        </w:tc>
        <w:tc>
          <w:tcPr>
            <w:tcW w:type="dxa" w:w="3213"/>
            <w:shd w:val="clear" w:color="auto" w:fill="EAF1F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/>
                <w:b w:val="0"/>
                <w:color w:val="595959"/>
                <w:sz w:val="16"/>
              </w:rPr>
              <w:t>八个迁移变体的文字碰撞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before="160" w:after="80"/>
      </w:pPr>
      <w:r>
        <w:rPr>
          <w:rFonts w:ascii="Microsoft YaHei" w:hAnsi="Microsoft YaHei"/>
          <w:b/>
          <w:color w:val="2E74B5"/>
          <w:sz w:val="23"/>
        </w:rPr>
        <w:t>能力记分卡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515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模板 / 组图（10 drawers · 6 intents）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drawlib + composite + tests</w:t>
            </w:r>
          </w:p>
        </w:tc>
        <w:tc>
          <w:tcPr>
            <w:tcW w:type="dxa" w:w="1587"/>
            <w:shd w:val="clear" w:color="auto" w:fill="C6EFCE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006100"/>
                <w:sz w:val="17"/>
              </w:rPr>
              <w:t>✓ 已验证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数据复现与统计核验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种子 15 项发表统计量，误差 ≤0.005</w:t>
            </w:r>
          </w:p>
        </w:tc>
        <w:tc>
          <w:tcPr>
            <w:tcW w:type="dxa" w:w="1587"/>
            <w:shd w:val="clear" w:color="auto" w:fill="C6EFCE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006100"/>
                <w:sz w:val="17"/>
              </w:rPr>
              <w:t>✓ 已验证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PDF 原生风格测量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styleprofile：字号/字母/配色/线宽/框线，自比=0</w:t>
            </w:r>
          </w:p>
        </w:tc>
        <w:tc>
          <w:tcPr>
            <w:tcW w:type="dxa" w:w="1587"/>
            <w:shd w:val="clear" w:color="auto" w:fill="C6EFCE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006100"/>
                <w:sz w:val="17"/>
              </w:rPr>
              <w:t>✓ 已验证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风格迁移（参考→成图）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距离 0.122→0.093，8 变体合规</w:t>
            </w:r>
          </w:p>
        </w:tc>
        <w:tc>
          <w:tcPr>
            <w:tcW w:type="dxa" w:w="1587"/>
            <w:shd w:val="clear" w:color="auto" w:fill="C6EFCE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006100"/>
                <w:sz w:val="17"/>
              </w:rPr>
              <w:t>✓ 已验证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同行代码整合（MCTS）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third_party/mcts（MIT）+ figpipe/search.py</w:t>
            </w:r>
          </w:p>
        </w:tc>
        <w:tc>
          <w:tcPr>
            <w:tcW w:type="dxa" w:w="1587"/>
            <w:shd w:val="clear" w:color="auto" w:fill="C6EFCE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006100"/>
                <w:sz w:val="17"/>
              </w:rPr>
              <w:t>✓ 已验证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权威 benchmark E2E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PlotTwin-Bench 探针完成；映射器未实现</w:t>
            </w:r>
          </w:p>
        </w:tc>
        <w:tc>
          <w:tcPr>
            <w:tcW w:type="dxa" w:w="1587"/>
            <w:shd w:val="clear" w:color="auto" w:fill="FFEB9C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9C6500"/>
                <w:sz w:val="17"/>
              </w:rPr>
              <w:t>◐ 进行中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自进化（自增强）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27 次运行仅 4 次知识变更，均非循环自主发现</w:t>
            </w:r>
          </w:p>
        </w:tc>
        <w:tc>
          <w:tcPr>
            <w:tcW w:type="dxa" w:w="1587"/>
            <w:shd w:val="clear" w:color="auto" w:fill="FFC7CE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9C0006"/>
                <w:sz w:val="17"/>
              </w:rPr>
              <w:t>✗ 未达成</w:t>
            </w:r>
          </w:p>
        </w:tc>
      </w:tr>
    </w:tbl>
    <w:p>
      <w:pPr>
        <w:pStyle w:val="Heading1"/>
        <w:pageBreakBefore/>
        <w:spacing w:before="280" w:after="120"/>
      </w:pPr>
      <w:r>
        <w:rPr>
          <w:rFonts w:ascii="Microsoft YaHei" w:hAnsi="Microsoft YaHei"/>
          <w:b/>
          <w:color w:val="1F3864"/>
          <w:sz w:val="30"/>
        </w:rPr>
        <w:t>2  同行版图与汲取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644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核心方法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规模 / 评测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许可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我们的处置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FigMirror</w:t>
            </w:r>
          </w:p>
        </w:tc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Drawer/Reviewer 双 agent；Grounded Measurement（VLM 读坐标与颜色）；preserve list；quality floor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PlotTwin-Bench：399 参考 / 150 任务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 LICENSE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只用思想：参考条件化循环、质量地板（与 audit 同构）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NaturePanelForge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论文→面板切分→Qwen 打分→Codex 复现精修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8,385 面板 / 5 领域；SciFigure2Code P0/P1/P2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MIT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采用维度表并重写为确定性评分（score.py）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DeTi*k*Zify</w:t>
            </w:r>
          </w:p>
        </w:tc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8B 多模态模型 + MCTS（ImageSim 奖励）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ImageSim / CrystalBLEU / KID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Apache-2.0（mcts 包 MIT）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vendor MCTS 作探索策略；奖励换为我们的确定性度量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Math-VR-CodePlot-CoT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代码生成图像作为「视觉思考」再输入模型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178K 样本 / 5,000 题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 LICENSE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只用思想：渲染回喂；不复制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ChartCoder</w:t>
            </w:r>
          </w:p>
        </w:tc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Chart2Code-160K 自指示数据 + 图表→代码 MLLM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ChartMimic 低层 72.5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 LICENSE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只用思想：数据引擎；不复制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本仓库 figpipe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确定性测量 + 模板/组图 + 统计复现 + 自检循环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4 张复现版面 / 10 模板 / 200 测试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—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定位：可验证、可复现、CPU 可跑，不拼大模型视觉分</w:t>
            </w:r>
          </w:p>
        </w:tc>
      </w:tr>
    </w:tbl>
    <w:p>
      <w:pPr>
        <w:pStyle w:val="Heading2"/>
        <w:spacing w:before="160" w:after="80"/>
      </w:pPr>
      <w:r>
        <w:rPr>
          <w:rFonts w:ascii="Microsoft YaHei" w:hAnsi="Microsoft YaHei"/>
          <w:b/>
          <w:color w:val="2E74B5"/>
          <w:sz w:val="23"/>
        </w:rPr>
        <w:t>汲取层级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1247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154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许可依据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落地位置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代码级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DeTi*k*Zify 的 MCTS 包（未改一行）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MIT（附 LICENSE 与 NOTICE）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third_party/mcts + figpipe/search.py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方法级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NaturePanelForge 的 P0/P1/P2 维度表</w:t>
            </w:r>
          </w:p>
        </w:tc>
        <w:tc>
          <w:tcPr>
            <w:tcW w:type="dxa" w:w="215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MIT（思路重写）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figpipe/score.py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思想级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FigMirror 的 Refine 循环 / preserve list / quality floor；Math-VR 的渲染回喂；ChartCoder 的数据引擎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 LICENSE（仅引用）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文档与设计，不含代码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未吸收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ImageSim / 大模型评审（需 torch+GPU）；PlotTwin 图像（NC 许可）</w:t>
            </w:r>
          </w:p>
        </w:tc>
        <w:tc>
          <w:tcPr>
            <w:tcW w:type="dxa" w:w="215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依赖与许可约束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记录为取舍，不是遗漏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/>
          <w:b w:val="0"/>
          <w:color w:val="595959"/>
          <w:sz w:val="18"/>
        </w:rPr>
        <w:t>结论：五个同行项目中，两个可以吸收到代码/方法级（DeTi*k*Zify 的 MCTS、NaturePanelForge 的评测维度），三个只能借思想（FigMirror、Math-VR、ChartCoder，均无 LICENSE）；评测器的模型依赖与数据集许可构成第二道闸。下文的能力只建立在通过两道闸的部分之上。</w:t>
      </w:r>
    </w:p>
    <w:p>
      <w:pPr>
        <w:pStyle w:val="Heading1"/>
        <w:pageBreakBefore/>
        <w:spacing w:before="280" w:after="120"/>
      </w:pPr>
      <w:r>
        <w:rPr>
          <w:rFonts w:ascii="Microsoft YaHei" w:hAnsi="Microsoft YaHei"/>
          <w:b/>
          <w:color w:val="1F3864"/>
          <w:sz w:val="30"/>
        </w:rPr>
        <w:t>3  可转化能力：从实测风格到成图（style_transfer）</w:t>
      </w:r>
    </w:p>
    <w:p>
      <w:pPr>
        <w:spacing w:after="80" w:line="276" w:lineRule="auto"/>
      </w:pPr>
      <w:r>
        <w:rPr>
          <w:rFonts w:ascii="Microsoft YaHei" w:hAnsi="Microsoft YaHei"/>
          <w:b w:val="0"/>
          <w:sz w:val="19"/>
        </w:rPr>
        <w:t>流程：参考 PDF（任意论文）→ 实测 profile → 派生合规样式（字号档 5–7 pt、参考配色、参考宽高比）→ 8 个合规变体逐一渲染、审计、测量 → 取距离最小者 → PDF/PNG + 报告 + NPF 维度评分。输入不绑定种子论文：「--preset panel --data my.csv」 可处理任意趋势数据。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1989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_fig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98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3220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fig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22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0000" cy="11995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yle_transfer_b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99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/>
                <w:b w:val="0"/>
                <w:sz w:val="15"/>
              </w:rPr>
              <w:t>① 发表原图（PDF 矢量区域）</w:t>
            </w:r>
          </w:p>
        </w:tc>
        <w:tc>
          <w:tcPr>
            <w:tcW w:type="dxa" w:w="3213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/>
                <w:b w:val="0"/>
                <w:sz w:val="15"/>
              </w:rPr>
              <w:t>② 默认复现（距离 0.122）</w:t>
            </w:r>
          </w:p>
        </w:tc>
        <w:tc>
          <w:tcPr>
            <w:tcW w:type="dxa" w:w="3213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/>
                <w:b w:val="0"/>
                <w:sz w:val="15"/>
              </w:rPr>
              <w:t>③ 迁移后（距离 0.093）</w:t>
            </w:r>
          </w:p>
        </w:tc>
      </w:tr>
    </w:tbl>
    <w:p>
      <w:pPr>
        <w:spacing w:after="160"/>
        <w:jc w:val="center"/>
      </w:pPr>
      <w:r>
        <w:rPr>
          <w:rFonts w:ascii="Microsoft YaHei" w:hAnsi="Microsoft YaHei"/>
          <w:i/>
          <w:color w:val="595959"/>
          <w:sz w:val="16"/>
        </w:rPr>
        <w:t>种子论文 Fig. 7：同一份数据，默认样式 vs 迁移到参考风格后的成图（183 mm，Nature 规范）</w:t>
      </w:r>
    </w:p>
    <w:p>
      <w:r>
        <w:drawing>
          <wp:inline xmlns:a="http://schemas.openxmlformats.org/drawingml/2006/main" xmlns:pic="http://schemas.openxmlformats.org/drawingml/2006/picture">
            <wp:extent cx="4031999" cy="15883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_distance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1588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i/>
          <w:color w:val="595959"/>
          <w:sz w:val="16"/>
        </w:rPr>
        <w:t>八个合规变体的风格距离：rc = 默认/参考字号档，height = 默认 168 mm/参考宽高比，palette = 默认 Okabe/参考配色；红色为最优变体</w:t>
      </w:r>
    </w:p>
    <w:p>
      <w:pPr>
        <w:pStyle w:val="Heading2"/>
        <w:spacing w:before="160" w:after="80"/>
      </w:pPr>
      <w:r>
        <w:rPr>
          <w:rFonts w:ascii="Microsoft YaHei" w:hAnsi="Microsoft YaHei"/>
          <w:b/>
          <w:color w:val="2E74B5"/>
          <w:sz w:val="23"/>
        </w:rPr>
        <w:t>变体明细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3061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变体（字号 / 高度 / 配色）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风格距离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奖励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硬门槛问题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文字碰撞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default / default / default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0.122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0.878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default / default / profile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0.116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0.884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default / aspect / default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0.113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0.887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default / aspect / profile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0.106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0.894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profile / default / default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0.109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0.891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profile / default / profile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0.103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0.897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profile / aspect / default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0.099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0.901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profile / aspect / profile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0.093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0.907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← 最优</w:t>
            </w:r>
          </w:p>
        </w:tc>
      </w:tr>
    </w:tbl>
    <w:p>
      <w:pPr>
        <w:pStyle w:val="Heading2"/>
        <w:spacing w:before="160" w:after="80"/>
      </w:pPr>
      <w:r>
        <w:rPr>
          <w:rFonts w:ascii="Microsoft YaHei" w:hAnsi="Microsoft YaHei"/>
          <w:b/>
          <w:color w:val="2E74B5"/>
          <w:sz w:val="23"/>
        </w:rPr>
        <w:t>结论与度量修正</w:t>
      </w:r>
    </w:p>
    <w:p>
      <w:pPr>
        <w:spacing w:after="80" w:line="276" w:lineRule="auto"/>
      </w:pPr>
      <w:r>
        <w:rPr>
          <w:rFonts w:ascii="Microsoft YaHei" w:hAnsi="Microsoft YaHei"/>
          <w:b w:val="0"/>
          <w:sz w:val="18"/>
        </w:rPr>
        <w:t>三者叠加把距离从 0.122 降到 0.093（−24%），单看任一因素都更差，收益来自组合；八个变体全部通过栏宽/字号/碰撞硬门槛，重复运行得到同一最优变体。另修复一处度量缺陷：字号距离原为 1 pt 直方图，6.0→6.5 落入同桶，改为 CDF 上的 Wasserstein-1 后恢复单调性。</w:t>
      </w:r>
    </w:p>
    <w:p>
      <w:pPr>
        <w:pStyle w:val="Heading1"/>
        <w:pageBreakBefore/>
        <w:spacing w:before="280" w:after="120"/>
      </w:pPr>
      <w:r>
        <w:rPr>
          <w:rFonts w:ascii="Microsoft YaHei" w:hAnsi="Microsoft YaHei"/>
          <w:b/>
          <w:color w:val="1F3864"/>
          <w:sz w:val="30"/>
        </w:rPr>
        <w:t>4  权威 benchmark E2E：已完成与未完成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381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基准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许可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本仓库状态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PlotTwin-Bench（FigMirror）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参考图 + 新数据 → 同风格绘图脚本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CC BY-NC 4.0（非商业）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schema/许可已核；10 任务探针完成；E2E 未通过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SciFigure2Code（NaturePanelForge）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科学面板图 → 可执行绘图代码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仓库 MIT；数据集许可 other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维度表已吸收；image→code 与我们的数据→图方向不匹配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ChartMimic / Plot2Code / Math-VR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图像→代码 / 数学视觉推理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无 LICENSE 或未核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仅方法参考，不做 E2E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/>
          <w:b/>
          <w:color w:val="2E74B5"/>
          <w:sz w:val="19"/>
        </w:rPr>
        <w:t>PlotTwin-Bench 10 任务探针（数据集服务 API 实取）：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19"/>
        </w:rPr>
        <w:t>任务类型：Distribution × 5, Box/Violin × 3, Heatmap × 2；全部为 multi 面板任务。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19"/>
        </w:rPr>
        <w:t>目标数据：520–12,197 行、18–24 列；参考代码长度 5–20 KB 量级。</w:t>
      </w:r>
    </w:p>
    <w:p>
      <w:pPr>
        <w:pStyle w:val="ListBullet"/>
        <w:spacing w:after="40"/>
      </w:pPr>
      <w:r>
        <w:rPr>
          <w:rFonts w:ascii="Microsoft YaHei" w:hAnsi="Microsoft YaHei"/>
          <w:b w:val="0"/>
          <w:sz w:val="19"/>
        </w:rPr>
        <w:t>每条任务自带可渲染的参考绘图脚本；把它渲染为 PDF 即可精确测量参考风格（我们的强项），缺的是把任意 target_data 映射成「图表类型 + 面板布局」的那一层。</w:t>
      </w:r>
    </w:p>
    <w:p>
      <w:pPr>
        <w:pStyle w:val="Heading2"/>
        <w:spacing w:before="160" w:after="80"/>
      </w:pPr>
      <w:r>
        <w:rPr>
          <w:rFonts w:ascii="Microsoft YaHei" w:hAnsi="Microsoft YaHei"/>
          <w:b/>
          <w:color w:val="2E74B5"/>
          <w:sz w:val="23"/>
        </w:rPr>
        <w:t>E2E 协议（可验收）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907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402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工时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P0-1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数据→图表映射器：按 chart_type + 列角色（时间/类别/数值/分组）生成面板规格；先支持 Line/Scatter/Bar/Heatmap 四个子集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≥60% 探针任务生成有效面板；失败有分类原因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2–3 天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P0-2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参考脚本渲染 → profile；对每个任务测参考风格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渲染成功率 ≥95%；profile 字段完整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1 天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P0-3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20 任务端到端跑分：成功/失败、风格距离、硬门槛、NPF 维度、重复性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报告含通过率与失败分类；同输入两次结果一致；不使用自评分冒充官方分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1–2 天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P1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与官方 scorer 的非 VLM 部分对齐；取得许可后提交 leaderboard 或公开复现包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指标定义可追溯；许可合规声明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3–5 天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/>
          <w:b w:val="0"/>
          <w:color w:val="595959"/>
          <w:sz w:val="18"/>
        </w:rPr>
        <w:t>明确不做的：用视觉模型给自评分数，或把「看起来像」当通过。官方 scorer 的 VLM 部分需要外部模型；我们只报告可复算的确定性子集，并标注未覆盖项。</w:t>
      </w:r>
    </w:p>
    <w:p>
      <w:pPr>
        <w:pStyle w:val="Heading1"/>
        <w:pageBreakBefore/>
        <w:spacing w:before="280" w:after="120"/>
      </w:pPr>
      <w:r>
        <w:rPr>
          <w:rFonts w:ascii="Microsoft YaHei" w:hAnsi="Microsoft YaHei"/>
          <w:b/>
          <w:color w:val="1F3864"/>
          <w:sz w:val="30"/>
        </w:rPr>
        <w:t>5  自进化审计：自检 ≠ 自增强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26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值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运行记录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27 次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六小时调度 + 手动运行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知识变更运行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4 次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全部来自人工迁移或能力建设，非循环自主发现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知识库版本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v16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16 条规则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机器可检规则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8 / 16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其余为假设/证伪/作废或无检查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未受检规则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H01, H02, E01, E02, C01, C02, C03, C04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长期 UNCHECKED，不计入通过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/>
          <w:b w:val="0"/>
          <w:sz w:val="19"/>
        </w:rPr>
        <w:t>结论：当前循环做的是「重新验证 + 防漂移 + 记录」，没有变异、选择与能力度量，因此</w:t>
      </w:r>
      <w:r>
        <w:rPr>
          <w:rFonts w:ascii="Microsoft YaHei" w:hAnsi="Microsoft YaHei"/>
          <w:b/>
          <w:sz w:val="19"/>
        </w:rPr>
        <w:t>不是自增强</w:t>
      </w:r>
      <w:r>
        <w:rPr>
          <w:rFonts w:ascii="Microsoft YaHei" w:hAnsi="Microsoft YaHei"/>
          <w:b w:val="0"/>
          <w:sz w:val="19"/>
        </w:rPr>
        <w:t>。能力增长来自 agent 的实现工作（模板、组图、复现、风格测量/迁移、评分器、搜索），而不是循环自己发现的。下一步要把「能力快照 + 变异 + 适应度」接入循环（见第 6 节 P1）。</w:t>
      </w:r>
    </w:p>
    <w:p>
      <w:pPr>
        <w:pStyle w:val="Heading2"/>
        <w:spacing w:before="160" w:after="80"/>
      </w:pPr>
      <w:r>
        <w:rPr>
          <w:rFonts w:ascii="Microsoft YaHei" w:hAnsi="Microsoft YaHei"/>
          <w:b/>
          <w:color w:val="2E74B5"/>
          <w:sz w:val="23"/>
        </w:rPr>
        <w:t>现存逻辑缺陷（按严重度）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94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缺陷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严重度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状态 / 下一步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能力未接线（search/score 只被脚本调用）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grep 仅自身文件导入；复现/报告未调用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P0：接入复现报告与 CRON 能力快照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风格度量可被优化而失义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权重手设；搜索只优化距离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中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P1：人工标注 30 图校验相关性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静默信息损失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_short 截断表头、frame 丢行、caption 区域近似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P0：改为显式报错或记录丢弃数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统计口径可更换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Fig 1b raw/log 未解决；score 接受任意 dict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中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P1：报告强制声明 estimator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几何先验偏差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73 图仅 29 组图通过分割验证；仅用中位数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中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P2：加入分位数/不确定度，扩大验证集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检查器未独立验证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glyph 阈值、组件检测均为启发式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中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P1：构建 20–30 图人工标注验证集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CRON 无能力指标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latest_run 只有规则/测试/发布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高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P0：capability snapshot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文档与事实偏差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曾手写「14 项」实为 15；overstated「integrate」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低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已修：报告数字全部脚本生成 + 测试核对</w:t>
            </w:r>
          </w:p>
        </w:tc>
      </w:tr>
    </w:tbl>
    <w:p>
      <w:pPr>
        <w:pStyle w:val="Heading1"/>
        <w:pageBreakBefore/>
        <w:spacing w:before="280" w:after="120"/>
      </w:pPr>
      <w:r>
        <w:rPr>
          <w:rFonts w:ascii="Microsoft YaHei" w:hAnsi="Microsoft YaHei"/>
          <w:b/>
          <w:color w:val="1F3864"/>
          <w:sz w:val="30"/>
        </w:rPr>
        <w:t>6  下一步路线图（可验收）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907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P0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能力接线：复现报告调用 score；CRON 记录 capability snapshot（模板数/测试数/统计数/风格距离/搜索最优），与上一次比较并报告变化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latest_run.json.capabilities 非空且 delta 可读；无变化时显式写「无变化」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P0</w:t>
            </w:r>
          </w:p>
        </w:tc>
        <w:tc>
          <w:tcPr>
            <w:tcW w:type="dxa" w:w="4989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修复静默信息损失：截断/丢行/近似区域必须显式记录或报错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测试覆盖三类；报告中出现「dropped: N」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P0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PlotTwin-Bench E2E 三阶段（映射器 → 参考 profile → 20 任务跑分）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通过率、失败分类、平均距离、重复性全部入报告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P1</w:t>
            </w:r>
          </w:p>
        </w:tc>
        <w:tc>
          <w:tcPr>
            <w:tcW w:type="dxa" w:w="4989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度量验证：30 图人工标注，检验风格距离与专家排序的相关性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Spearman ≥0.7 或明确阈值；否则改权重并重测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P1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自进化加变异：从新增参考图生成候选规则，按保留集测量后晋升/淘汰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至少一条假设由测量改变状态，或被明确标为不可测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P2</w:t>
            </w:r>
          </w:p>
        </w:tc>
        <w:tc>
          <w:tcPr>
            <w:tcW w:type="dxa" w:w="4989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与官方 scorer 非 VLM 部分对齐；发表方法短文（确定性 vs VLM 评审）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指标定义/许可/复现命令齐全</w:t>
            </w:r>
          </w:p>
        </w:tc>
      </w:tr>
    </w:tbl>
    <w:p>
      <w:pPr>
        <w:pStyle w:val="Heading1"/>
        <w:spacing w:before="280" w:after="120"/>
      </w:pPr>
      <w:r>
        <w:rPr>
          <w:rFonts w:ascii="Microsoft YaHei" w:hAnsi="Microsoft YaHei"/>
          <w:b/>
          <w:color w:val="1F3864"/>
          <w:sz w:val="30"/>
        </w:rPr>
        <w:t>附录：证据、命令与许可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061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产物</w:t>
            </w:r>
          </w:p>
        </w:tc>
        <w:tc>
          <w:tcPr>
            <w:tcW w:type="dxa" w:w="6236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/>
                <w:color w:val="FFFFFF"/>
                <w:sz w:val="17"/>
              </w:rPr>
              <w:t>路径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风格迁移报告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templates/transfer/style_transfer_report.json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迁移最佳图 / 默认图 / 发表原图</w:t>
            </w:r>
          </w:p>
        </w:tc>
        <w:tc>
          <w:tcPr>
            <w:tcW w:type="dxa" w:w="6236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templates/transfer/style_transfer_best.pdf|png, baseline_fig7.png, published_fig7.png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风格画像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corpus/style/published_fig7.json, best_variant_profile.json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搜索轨迹</w:t>
            </w:r>
          </w:p>
        </w:tc>
        <w:tc>
          <w:tcPr>
            <w:tcW w:type="dxa" w:w="6236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templates/search/style_search_trace.json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复现报告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templates/seed/report.json（15 项统计、审计、偏差）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知识库与运行记录</w:t>
            </w:r>
          </w:p>
        </w:tc>
        <w:tc>
          <w:tcPr>
            <w:tcW w:type="dxa" w:w="6236"/>
            <w:shd w:val="clear" w:color="auto" w:fill="F2F5FA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knowledge/layout_rules.json, knowledge/latest_run.json, knowledge/runs/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PlotTwin-Bench 探针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Microsoft YaHei" w:hAnsi="Microsoft YaHei"/>
                <w:b w:val="0"/>
                <w:sz w:val="17"/>
              </w:rPr>
              <w:t>corpus/e2e/probe_rows.json（仅 id/类型/形状，不含数据集图像）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/>
          <w:b w:val="0"/>
          <w:color w:val="595959"/>
          <w:sz w:val="17"/>
        </w:rPr>
        <w:t>复现命令：python scripts/style_transfer.py --preset fig7；python scripts/reproduce_seed.py --stage derive &amp;&amp; --stage render；python scripts/build_capability_report.py</w:t>
      </w:r>
    </w:p>
    <w:p>
      <w:pPr>
        <w:spacing w:after="80" w:line="276" w:lineRule="auto"/>
      </w:pPr>
      <w:r>
        <w:rPr>
          <w:rFonts w:ascii="Microsoft YaHei" w:hAnsi="Microsoft YaHei"/>
          <w:b w:val="0"/>
          <w:color w:val="595959"/>
          <w:sz w:val="17"/>
        </w:rPr>
        <w:t>许可与引用：PlotTwin-Bench 数据 CC BY-NC 4.0（仅本地非商业评测，不随仓库分发）；MCTS 包 MIT（third_party/mcts/LICENSE + NOTICE）；NaturePanelForge MIT（仅维度表思路重写）；FigMirror / Math-VR / ChartCoder 无 LICENSE，仅思想引用。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FigPipeline · 能力验证报告 · 2026-10-18    第 </w:t>
    </w:r>
    <w:fldSimple w:instr="PAGE"/>
    <w:r>
      <w:rPr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