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valores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Metodología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536004"/>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proofErr w:type="spellStart"/>
      <w:r>
        <w:rPr>
          <w:lang w:val="es-ES_tradnl"/>
        </w:rPr>
        <w:t>limite</w:t>
      </w:r>
      <w:proofErr w:type="spellEnd"/>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536016"/>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536017"/>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Pr>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4DBAA8BD" w14:textId="64C96171" w:rsidR="007D2266" w:rsidRDefault="00537C80" w:rsidP="007D2266">
      <w:pPr>
        <w:pStyle w:val="Ttulo2"/>
        <w:rPr>
          <w:lang w:val="es-ES_tradnl"/>
        </w:rPr>
      </w:pPr>
      <w:bookmarkStart w:id="122" w:name="_Toc169536018"/>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1955ADD1" w14:textId="1E71E08F" w:rsidR="000D1E1C" w:rsidRDefault="000D1E1C">
      <w:pPr>
        <w:pStyle w:val="Prrafodelista"/>
        <w:numPr>
          <w:ilvl w:val="0"/>
          <w:numId w:val="13"/>
        </w:numPr>
        <w:rPr>
          <w:lang w:val="es-ES_tradnl"/>
        </w:rPr>
      </w:pPr>
      <w:r w:rsidRPr="000D1E1C">
        <w:rPr>
          <w:lang w:val="es-ES"/>
        </w:rPr>
        <w:t xml:space="preserve">El análisis multivariante de los datos de expertos identificó como anómalas 38 funciones con nombres cortos (3,8 caracteres de media frente a 17,7 de media en las demás definiciones), </w:t>
      </w:r>
      <w:r w:rsidRPr="000D1E1C">
        <w:rPr>
          <w:lang w:val="es-ES"/>
        </w:rPr>
        <w:lastRenderedPageBreak/>
        <w:t>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r>
        <w:rPr>
          <w:lang w:val="es-ES_tradnl"/>
        </w:rPr>
        <w:t xml:space="preserve"> </w:t>
      </w:r>
    </w:p>
    <w:p w14:paraId="352C38AA" w14:textId="47C60E90" w:rsidR="007D2266" w:rsidRDefault="00537C80" w:rsidP="007D2266">
      <w:pPr>
        <w:pStyle w:val="Ttulo2"/>
        <w:rPr>
          <w:lang w:val="es-ES_tradnl"/>
        </w:rPr>
      </w:pPr>
      <w:bookmarkStart w:id="123" w:name="_Toc169536019"/>
      <w:proofErr w:type="spellStart"/>
      <w:r>
        <w:rPr>
          <w:lang w:val="es-ES_tradnl"/>
        </w:rPr>
        <w:t>Statements</w:t>
      </w:r>
      <w:bookmarkEnd w:id="123"/>
      <w:proofErr w:type="spellEnd"/>
    </w:p>
    <w:p w14:paraId="7C868FB8" w14:textId="27D7C576" w:rsidR="007D2266" w:rsidRDefault="0040589F">
      <w:pPr>
        <w:pStyle w:val="Prrafodelista"/>
        <w:numPr>
          <w:ilvl w:val="0"/>
          <w:numId w:val="14"/>
        </w:numPr>
        <w:rPr>
          <w:lang w:val="es-ES_tradnl"/>
        </w:rPr>
      </w:pPr>
      <w:r>
        <w:rPr>
          <w:lang w:val="es-ES_tradnl"/>
        </w:rPr>
        <w:t>Se consideras anómalas las sentencias con una profundidad superior a 13 tanto en principiantes como en expertos. Se han detectado un total 1722 sentencias que cumplen dicha anomalía. Además, s</w:t>
      </w:r>
      <w:r w:rsidR="007D2266">
        <w:rPr>
          <w:lang w:val="es-ES_tradnl"/>
        </w:rPr>
        <w:t>e han detectado 6 sentencias con valores de profundidad superior a 80,</w:t>
      </w:r>
      <w:r>
        <w:rPr>
          <w:lang w:val="es-ES_tradnl"/>
        </w:rPr>
        <w:t xml:space="preserve"> siendo valores muy superiores al resto</w:t>
      </w:r>
      <w:r w:rsidR="007D2266">
        <w:rPr>
          <w:lang w:val="es-ES_tradnl"/>
        </w:rPr>
        <w:t>.</w:t>
      </w:r>
    </w:p>
    <w:p w14:paraId="51448E5D" w14:textId="78AC8FD8" w:rsidR="007D2266" w:rsidRDefault="0040589F">
      <w:pPr>
        <w:pStyle w:val="Prrafodelista"/>
        <w:numPr>
          <w:ilvl w:val="0"/>
          <w:numId w:val="14"/>
        </w:numPr>
        <w:rPr>
          <w:lang w:val="es-ES_tradnl"/>
        </w:rPr>
      </w:pPr>
      <w:r>
        <w:rPr>
          <w:lang w:val="es-ES_tradnl"/>
        </w:rPr>
        <w:t>Se consideran anómalas las sentencias con más de 49 sentencias o expresiones en su cuerpo. Se han detectado 52 sentencias anómalas. Cabe destacar que se ha detectado una sentencia con 276 sentencias o expresiones en el cuerpo, siendo este valor muy superior al siguiente más alto.</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53BF27D7" w:rsidR="007D2266" w:rsidRDefault="0040589F">
      <w:pPr>
        <w:pStyle w:val="Prrafodelista"/>
        <w:numPr>
          <w:ilvl w:val="0"/>
          <w:numId w:val="15"/>
        </w:numPr>
        <w:rPr>
          <w:lang w:val="es-ES_tradnl"/>
        </w:rPr>
      </w:pPr>
      <w:r>
        <w:rPr>
          <w:lang w:val="es-ES_tradnl"/>
        </w:rPr>
        <w:t>Se considera anómala cualquier sentencia Match con más de 10 cases. Tan solo 2 sentencias Match han sido detectadas como anómalas.</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575FB425" w:rsidR="007D2266" w:rsidRDefault="007D2266" w:rsidP="007D2266">
      <w:pPr>
        <w:pStyle w:val="Ttulo2"/>
        <w:rPr>
          <w:lang w:val="es-ES_tradnl"/>
        </w:rPr>
      </w:pPr>
      <w:bookmarkStart w:id="125" w:name="_Toc169536021"/>
      <w:proofErr w:type="spellStart"/>
      <w:r>
        <w:rPr>
          <w:lang w:val="es-ES_tradnl"/>
        </w:rPr>
        <w:t>Handler</w:t>
      </w:r>
      <w:r w:rsidR="00537C80">
        <w:rPr>
          <w:lang w:val="es-ES_tradnl"/>
        </w:rPr>
        <w:t>s</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Default="007D2266" w:rsidP="007D2266">
      <w:pPr>
        <w:pStyle w:val="Ttulo2"/>
        <w:rPr>
          <w:lang w:val="es-ES_tradnl"/>
        </w:rPr>
      </w:pPr>
      <w:bookmarkStart w:id="126" w:name="_Toc169536022"/>
      <w:proofErr w:type="spellStart"/>
      <w:r>
        <w:rPr>
          <w:lang w:val="es-ES_tradnl"/>
        </w:rPr>
        <w:t>Expres</w:t>
      </w:r>
      <w:r w:rsidR="00537C80">
        <w:rPr>
          <w:lang w:val="es-ES_tradnl"/>
        </w:rPr>
        <w:t>s</w:t>
      </w:r>
      <w:r>
        <w:rPr>
          <w:lang w:val="es-ES_tradnl"/>
        </w:rPr>
        <w:t>ion</w:t>
      </w:r>
      <w:r w:rsidR="00537C80">
        <w:rPr>
          <w:lang w:val="es-ES_tradnl"/>
        </w:rPr>
        <w:t>s</w:t>
      </w:r>
      <w:bookmarkEnd w:id="126"/>
      <w:proofErr w:type="spellEnd"/>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1C8DD9A8"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9536023"/>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Default="00537C80" w:rsidP="007D2266">
      <w:pPr>
        <w:pStyle w:val="Ttulo2"/>
        <w:rPr>
          <w:lang w:val="es-ES_tradnl"/>
        </w:rPr>
      </w:pPr>
      <w:bookmarkStart w:id="128" w:name="_Toc169536024"/>
      <w:proofErr w:type="spellStart"/>
      <w:r>
        <w:rPr>
          <w:lang w:val="es-ES_tradnl"/>
        </w:rPr>
        <w:t>CallArgs</w:t>
      </w:r>
      <w:bookmarkEnd w:id="128"/>
      <w:proofErr w:type="spellEnd"/>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3EB7718D" w:rsidR="007D2266" w:rsidRDefault="00537C80" w:rsidP="007D2266">
      <w:pPr>
        <w:pStyle w:val="Ttulo2"/>
        <w:rPr>
          <w:lang w:val="es-ES_tradnl"/>
        </w:rPr>
      </w:pPr>
      <w:bookmarkStart w:id="129" w:name="_Toc169536025"/>
      <w:proofErr w:type="spellStart"/>
      <w:r>
        <w:rPr>
          <w:lang w:val="es-ES_tradnl"/>
        </w:rPr>
        <w:t>FStrings</w:t>
      </w:r>
      <w:bookmarkEnd w:id="129"/>
      <w:proofErr w:type="spellEnd"/>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13D2A805" w:rsidR="007D2266" w:rsidRDefault="007D2266" w:rsidP="007D2266">
      <w:pPr>
        <w:pStyle w:val="Ttulo2"/>
        <w:rPr>
          <w:lang w:val="es-ES_tradnl"/>
        </w:rPr>
      </w:pPr>
      <w:bookmarkStart w:id="131" w:name="_Toc169536027"/>
      <w:proofErr w:type="spellStart"/>
      <w:r>
        <w:rPr>
          <w:lang w:val="es-ES_tradnl"/>
        </w:rPr>
        <w:t>Vectors</w:t>
      </w:r>
      <w:bookmarkEnd w:id="131"/>
      <w:proofErr w:type="spellEnd"/>
    </w:p>
    <w:p w14:paraId="4E96DF43" w14:textId="30EE7085" w:rsidR="007D2266" w:rsidRPr="00167E5C" w:rsidRDefault="0040589F">
      <w:pPr>
        <w:pStyle w:val="Prrafodelista"/>
        <w:numPr>
          <w:ilvl w:val="0"/>
          <w:numId w:val="22"/>
        </w:numPr>
        <w:rPr>
          <w:lang w:val="es-ES_tradnl"/>
        </w:rPr>
      </w:pPr>
      <w:r>
        <w:rPr>
          <w:rFonts w:asciiTheme="minorHAnsi" w:hAnsiTheme="minorHAnsi" w:cstheme="minorHAnsi"/>
          <w:lang w:val="es-ES"/>
        </w:rPr>
        <w:t xml:space="preserve">Se consideran anómalos los vectores con un número de elementos superior a 81 o inferior a 2. Se han detectado como anómalos 69688 vectores. Cade </w:t>
      </w:r>
      <w:proofErr w:type="gramStart"/>
      <w:r>
        <w:rPr>
          <w:rFonts w:asciiTheme="minorHAnsi" w:hAnsiTheme="minorHAnsi" w:cstheme="minorHAnsi"/>
          <w:lang w:val="es-ES"/>
        </w:rPr>
        <w:t>destacar</w:t>
      </w:r>
      <w:proofErr w:type="gramEnd"/>
      <w:r>
        <w:rPr>
          <w:rFonts w:asciiTheme="minorHAnsi" w:hAnsiTheme="minorHAnsi" w:cstheme="minorHAnsi"/>
          <w:lang w:val="es-ES"/>
        </w:rPr>
        <w:t xml:space="preserve"> que s</w:t>
      </w:r>
      <w:r w:rsidR="007D2266">
        <w:rPr>
          <w:rFonts w:asciiTheme="minorHAnsi" w:hAnsiTheme="minorHAnsi" w:cstheme="minorHAnsi"/>
          <w:lang w:val="es-ES"/>
        </w:rPr>
        <w:t>e ha detectado un vector con poco más de 14500 elementos, escrito por un experto, mientras que la media es de 4,37 elementos en cada vector.</w:t>
      </w:r>
    </w:p>
    <w:p w14:paraId="0CFFEF20" w14:textId="649B2D56" w:rsidR="007D2266" w:rsidRDefault="00537C80" w:rsidP="007D2266">
      <w:pPr>
        <w:pStyle w:val="Ttulo2"/>
        <w:rPr>
          <w:lang w:val="es-ES_tradnl"/>
        </w:rPr>
      </w:pPr>
      <w:bookmarkStart w:id="132" w:name="_Toc169536028"/>
      <w:proofErr w:type="spellStart"/>
      <w:r>
        <w:rPr>
          <w:lang w:val="es-ES_tradnl"/>
        </w:rPr>
        <w:t>Parameters</w:t>
      </w:r>
      <w:bookmarkEnd w:id="132"/>
      <w:proofErr w:type="spellEnd"/>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25F3B"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B25F3B"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25F3B"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B25F3B"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25F3B"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B25F3B"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B25F3B"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B25F3B"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B25F3B"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B25F3B"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B25F3B"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B25F3B"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9pt;height:389.95pt" o:ole="">
            <v:imagedata r:id="rId23" o:title=""/>
          </v:shape>
          <o:OLEObject Type="Embed" ProgID="Visio.Drawing.15" ShapeID="_x0000_i1025" DrawAspect="Content" ObjectID="_1780157705"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proofErr w:type="spellStart"/>
      <w:r>
        <w:rPr>
          <w:lang w:val="es-ES"/>
        </w:rPr>
        <w:t>Class</w:t>
      </w:r>
      <w:proofErr w:type="spellEnd"/>
      <w:r>
        <w:rPr>
          <w:lang w:val="es-ES"/>
        </w:rPr>
        <w:t xml:space="preserve"> </w:t>
      </w:r>
      <w:proofErr w:type="spellStart"/>
      <w:r>
        <w:rPr>
          <w:lang w:val="es-ES"/>
        </w:rPr>
        <w:t>Definitions</w:t>
      </w:r>
      <w:bookmarkEnd w:id="233"/>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proofErr w:type="spellStart"/>
      <w:r>
        <w:rPr>
          <w:lang w:val="es-ES"/>
        </w:rPr>
        <w:t>Method</w:t>
      </w:r>
      <w:proofErr w:type="spellEnd"/>
      <w:r>
        <w:rPr>
          <w:lang w:val="es-ES"/>
        </w:rPr>
        <w:t xml:space="preserve"> </w:t>
      </w:r>
      <w:proofErr w:type="spellStart"/>
      <w:r>
        <w:rPr>
          <w:lang w:val="es-ES"/>
        </w:rPr>
        <w:t>Definitions</w:t>
      </w:r>
      <w:bookmarkEnd w:id="235"/>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proofErr w:type="spellStart"/>
      <w:r>
        <w:rPr>
          <w:lang w:val="es-ES"/>
        </w:rPr>
        <w:t>Statements</w:t>
      </w:r>
      <w:bookmarkEnd w:id="236"/>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proofErr w:type="spellStart"/>
      <w:r>
        <w:rPr>
          <w:lang w:val="es-ES"/>
        </w:rPr>
        <w:t>Expressions</w:t>
      </w:r>
      <w:bookmarkEnd w:id="239"/>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38C0403C" w:rsidR="00184322" w:rsidRPr="002F0451" w:rsidRDefault="00537C80" w:rsidP="00184322">
      <w:pPr>
        <w:pStyle w:val="Ttulo3"/>
      </w:pPr>
      <w:bookmarkStart w:id="241" w:name="_Toc169536058"/>
      <w:r>
        <w:t xml:space="preserve">Call </w:t>
      </w:r>
      <w:proofErr w:type="spellStart"/>
      <w:r>
        <w:t>Args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proofErr w:type="spellStart"/>
      <w:r>
        <w:rPr>
          <w:lang w:val="es-ES"/>
        </w:rPr>
        <w:t>FStrings</w:t>
      </w:r>
      <w:bookmarkEnd w:id="242"/>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proofErr w:type="spellStart"/>
      <w:r>
        <w:rPr>
          <w:lang w:val="es-ES"/>
        </w:rPr>
        <w:t>Vectors</w:t>
      </w:r>
      <w:bookmarkEnd w:id="244"/>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proofErr w:type="spellStart"/>
      <w:r>
        <w:rPr>
          <w:lang w:val="es-ES"/>
        </w:rPr>
        <w:t>Parameters</w:t>
      </w:r>
      <w:bookmarkEnd w:id="245"/>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2315E" w14:textId="77777777" w:rsidR="00A87875" w:rsidRDefault="00A87875" w:rsidP="00956A5C">
      <w:pPr>
        <w:spacing w:after="0" w:line="240" w:lineRule="auto"/>
      </w:pPr>
      <w:r>
        <w:separator/>
      </w:r>
    </w:p>
  </w:endnote>
  <w:endnote w:type="continuationSeparator" w:id="0">
    <w:p w14:paraId="4228C533" w14:textId="77777777" w:rsidR="00A87875" w:rsidRDefault="00A8787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D045EB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247E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247E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F8DA967"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D1E1C">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D1E1C">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D13DF" w14:textId="77777777" w:rsidR="00A87875" w:rsidRDefault="00A87875" w:rsidP="00956A5C">
      <w:pPr>
        <w:spacing w:after="0" w:line="240" w:lineRule="auto"/>
      </w:pPr>
      <w:r>
        <w:separator/>
      </w:r>
    </w:p>
  </w:footnote>
  <w:footnote w:type="continuationSeparator" w:id="0">
    <w:p w14:paraId="6E721271" w14:textId="77777777" w:rsidR="00A87875" w:rsidRDefault="00A8787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69</Pages>
  <Words>23924</Words>
  <Characters>131587</Characters>
  <Application>Microsoft Office Word</Application>
  <DocSecurity>0</DocSecurity>
  <Lines>1096</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330</cp:revision>
  <cp:lastPrinted>2024-06-08T16:45:00Z</cp:lastPrinted>
  <dcterms:created xsi:type="dcterms:W3CDTF">2021-07-06T07:31:00Z</dcterms:created>
  <dcterms:modified xsi:type="dcterms:W3CDTF">2024-06-17T17:29:00Z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