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eb8281e692270e905bbea2e3a90f6cd2d3a409"/>
    <w:p>
      <w:pPr>
        <w:pStyle w:val="Heading2"/>
      </w:pPr>
      <w:r>
        <w:t xml:space="preserve">ANEXO</w:t>
      </w:r>
      <w:r>
        <w:t xml:space="preserve"> </w:t>
      </w:r>
      <w:r>
        <w:t xml:space="preserve">“</w:t>
      </w:r>
      <w:r>
        <w:t xml:space="preserve">A</w:t>
      </w:r>
      <w:r>
        <w:t xml:space="preserve">”</w:t>
      </w:r>
      <w:r>
        <w:t xml:space="preserve"> </w:t>
      </w:r>
      <w:r>
        <w:t xml:space="preserve">— DESCRIPCIÓN DE ACTIVIDADES, MANEJO DE EFECTIVO Y RESPONSABILIDAD POR MERCANCÍA</w:t>
      </w:r>
    </w:p>
    <w:bookmarkStart w:id="28" w:name="puesto-base-repartidor-repartidora"/>
    <w:p>
      <w:pPr>
        <w:pStyle w:val="Heading3"/>
      </w:pPr>
      <w:r>
        <w:t xml:space="preserve">Puesto base: REPARTIDOR / REPARTIDORA</w:t>
      </w:r>
    </w:p>
    <w:p>
      <w:pPr>
        <w:pStyle w:val="FirstParagraph"/>
      </w:pPr>
      <w:r>
        <w:rPr>
          <w:iCs/>
          <w:i/>
        </w:rPr>
        <w:t xml:space="preserve">(Este Anexo se firma junto con la Carátula cuando el puesto asignado sea el de repartidor y forma parte integrante del contrato. Para otros puestos, sustitúyase por el Anexo de actividades correspondiente.)</w:t>
      </w:r>
    </w:p>
    <w:p>
      <w:pPr>
        <w:pStyle w:val="BodyText"/>
      </w:pPr>
      <w:r>
        <w:rPr>
          <w:bCs/>
          <w:b/>
        </w:rPr>
        <w:t xml:space="preserve">A) Actividades específicas del puesto</w:t>
      </w:r>
    </w:p>
    <w:p>
      <w:pPr>
        <w:numPr>
          <w:ilvl w:val="0"/>
          <w:numId w:val="1014"/>
        </w:numPr>
        <w:pStyle w:val="Compact"/>
      </w:pPr>
      <w:r>
        <w:t xml:space="preserve">Recolectar, transportar y entregar en tiempo y forma la mercancía/paquetería asignada por</w:t>
      </w:r>
      <w:r>
        <w:t xml:space="preserve"> </w:t>
      </w:r>
      <w:r>
        <w:t xml:space="preserve">“</w:t>
      </w:r>
      <w:r>
        <w:t xml:space="preserve">EL PATRÓN</w:t>
      </w:r>
      <w:r>
        <w:t xml:space="preserve">”</w:t>
      </w:r>
      <w:r>
        <w:t xml:space="preserve"> </w:t>
      </w:r>
      <w:r>
        <w:t xml:space="preserve">en la(s) ruta(s) y horario señalados en la Carátula.</w:t>
      </w:r>
    </w:p>
    <w:p>
      <w:pPr>
        <w:numPr>
          <w:ilvl w:val="0"/>
          <w:numId w:val="1014"/>
        </w:numPr>
        <w:pStyle w:val="Compact"/>
      </w:pPr>
      <w:r>
        <w:t xml:space="preserve">Operar la motocicleta señalada en la Carátula (propia o proporcionada por</w:t>
      </w:r>
      <w:r>
        <w:t xml:space="preserve"> </w:t>
      </w:r>
      <w:r>
        <w:t xml:space="preserve">“</w:t>
      </w:r>
      <w:r>
        <w:t xml:space="preserve">EL PATRÓN</w:t>
      </w:r>
      <w:r>
        <w:t xml:space="preserve">”</w:t>
      </w:r>
      <w:r>
        <w:t xml:space="preserve">, conforme a la Cláusula Décima Primera Bis), portando en todo momento licencia de conducir vigente, tarjeta de circulación y demás documentación exigida por la normatividad de tránsito de la CDMX y del Estado de México.</w:t>
      </w:r>
    </w:p>
    <w:p>
      <w:pPr>
        <w:numPr>
          <w:ilvl w:val="0"/>
          <w:numId w:val="1014"/>
        </w:numPr>
        <w:pStyle w:val="Compact"/>
      </w:pPr>
      <w:r>
        <w:t xml:space="preserve">Utilizar la aplicación/sistema de ruteo, cobro y control de entregas designado por</w:t>
      </w:r>
      <w:r>
        <w:t xml:space="preserve"> </w:t>
      </w:r>
      <w:r>
        <w:t xml:space="preserve">“</w:t>
      </w:r>
      <w:r>
        <w:t xml:space="preserve">EL PATRÓN</w:t>
      </w:r>
      <w:r>
        <w:t xml:space="preserve">”</w:t>
      </w:r>
      <w:r>
        <w:t xml:space="preserve">, registrando evidencia de cada entrega (firma del cliente, fotografía o folio de confirmación, según el protocolo vigente).</w:t>
      </w:r>
    </w:p>
    <w:p>
      <w:pPr>
        <w:numPr>
          <w:ilvl w:val="0"/>
          <w:numId w:val="1014"/>
        </w:numPr>
        <w:pStyle w:val="Compact"/>
      </w:pPr>
      <w:r>
        <w:t xml:space="preserve">Cobrar en efectivo o por los medios electrónicos autorizados el importe de las ventas contra entrega (</w:t>
      </w:r>
      <w:r>
        <w:t xml:space="preserve">“</w:t>
      </w:r>
      <w:r>
        <w:t xml:space="preserve">pago contra entrega</w:t>
      </w:r>
      <w:r>
        <w:t xml:space="preserve">”</w:t>
      </w:r>
      <w:r>
        <w:t xml:space="preserve"> </w:t>
      </w:r>
      <w:r>
        <w:t xml:space="preserve">/ COD) que le sean asignadas, conforme al procedimiento de corte de caja de</w:t>
      </w:r>
      <w:r>
        <w:t xml:space="preserve"> </w:t>
      </w:r>
      <w:r>
        <w:t xml:space="preserve">“</w:t>
      </w:r>
      <w:r>
        <w:t xml:space="preserve">EL PATRÓN</w:t>
      </w:r>
      <w:r>
        <w:t xml:space="preserve">”</w:t>
      </w:r>
      <w:r>
        <w:t xml:space="preserve">.</w:t>
      </w:r>
    </w:p>
    <w:p>
      <w:pPr>
        <w:numPr>
          <w:ilvl w:val="0"/>
          <w:numId w:val="1014"/>
        </w:numPr>
        <w:pStyle w:val="Compact"/>
      </w:pPr>
      <w:r>
        <w:t xml:space="preserve">Entregar diariamente a</w:t>
      </w:r>
      <w:r>
        <w:t xml:space="preserve"> </w:t>
      </w:r>
      <w:r>
        <w:t xml:space="preserve">“</w:t>
      </w:r>
      <w:r>
        <w:t xml:space="preserve">EL PATRÓN</w:t>
      </w:r>
      <w:r>
        <w:t xml:space="preserve">”</w:t>
      </w:r>
      <w:r>
        <w:t xml:space="preserve">, dentro del plazo y por el medio que éste determine, el efectivo cobrado junto con el corte/reporte correspondiente.</w:t>
      </w:r>
    </w:p>
    <w:p>
      <w:pPr>
        <w:numPr>
          <w:ilvl w:val="0"/>
          <w:numId w:val="1014"/>
        </w:numPr>
        <w:pStyle w:val="Compact"/>
      </w:pPr>
      <w:r>
        <w:t xml:space="preserve">Reportar de inmediato a</w:t>
      </w:r>
      <w:r>
        <w:t xml:space="preserve"> </w:t>
      </w:r>
      <w:r>
        <w:t xml:space="preserve">“</w:t>
      </w:r>
      <w:r>
        <w:t xml:space="preserve">EL PATRÓN</w:t>
      </w:r>
      <w:r>
        <w:t xml:space="preserve">”</w:t>
      </w:r>
      <w:r>
        <w:t xml:space="preserve"> </w:t>
      </w:r>
      <w:r>
        <w:t xml:space="preserve">cualquier incidencia, accidente, robo, asalto, extravío o daño relacionado con la mercancía, el efectivo o el vehículo/equipo asignado, y levantar la denuncia correspondiente ante el Ministerio Público cuando se trate de un hecho probablemente delictivo.</w:t>
      </w:r>
    </w:p>
    <w:p>
      <w:pPr>
        <w:numPr>
          <w:ilvl w:val="0"/>
          <w:numId w:val="1014"/>
        </w:numPr>
        <w:pStyle w:val="Compact"/>
      </w:pPr>
      <w:r>
        <w:t>[ACTIVIDADES_ADICIONALES]</w:t>
      </w:r>
    </w:p>
    <w:p>
      <w:pPr>
        <w:pStyle w:val="FirstParagraph"/>
      </w:pPr>
      <w:r>
        <w:rPr>
          <w:bCs/>
          <w:b/>
        </w:rPr>
        <w:t xml:space="preserve">B) Manejo de efectivo (cobros contra entrega)</w:t>
      </w:r>
    </w:p>
    <w:p>
      <w:pPr>
        <w:numPr>
          <w:ilvl w:val="0"/>
          <w:numId w:val="1015"/>
        </w:numPr>
        <w:pStyle w:val="Compact"/>
      </w:pPr>
      <w:r>
        <w:t xml:space="preserve">“</w:t>
      </w:r>
      <w:r>
        <w:t xml:space="preserve">EL TRABAJADOR</w:t>
      </w:r>
      <w:r>
        <w:t xml:space="preserve">”</w:t>
      </w:r>
      <w:r>
        <w:t xml:space="preserve"> </w:t>
      </w:r>
      <w:r>
        <w:t xml:space="preserve">es depositario del efectivo que cobre por cuenta de</w:t>
      </w:r>
      <w:r>
        <w:t xml:space="preserve"> </w:t>
      </w:r>
      <w:r>
        <w:t xml:space="preserve">“</w:t>
      </w:r>
      <w:r>
        <w:t xml:space="preserve">EL PATRÓN</w:t>
      </w:r>
      <w:r>
        <w:t xml:space="preserve">”</w:t>
      </w:r>
      <w:r>
        <w:t xml:space="preserve"> </w:t>
      </w:r>
      <w:r>
        <w:t xml:space="preserve">y se obliga a entregarlo íntegramente, junto con el corte de caja firmado, dentro de [PLAZO_ENTREGA_EFECTIVO] siguientes a cada cobro/ruta.</w:t>
      </w:r>
    </w:p>
    <w:p>
      <w:pPr>
        <w:numPr>
          <w:ilvl w:val="0"/>
          <w:numId w:val="1015"/>
        </w:numPr>
        <w:pStyle w:val="Compact"/>
      </w:pPr>
      <w:r>
        <w:t xml:space="preserve">Cualquier faltante de efectivo se aclarará primero mediante el procedimiento interno de conciliación de</w:t>
      </w:r>
      <w:r>
        <w:t xml:space="preserve"> </w:t>
      </w:r>
      <w:r>
        <w:t xml:space="preserve">“</w:t>
      </w:r>
      <w:r>
        <w:t xml:space="preserve">EL PATRÓN</w:t>
      </w:r>
      <w:r>
        <w:t xml:space="preserve">”</w:t>
      </w:r>
      <w:r>
        <w:t xml:space="preserve"> </w:t>
      </w:r>
      <w:r>
        <w:t xml:space="preserve">(cotejo de la app de cobros, recibos y corte de caja) antes de atribuir responsabilidad alguna a</w:t>
      </w:r>
      <w:r>
        <w:t xml:space="preserve"> </w:t>
      </w:r>
      <w:r>
        <w:t xml:space="preserve">“</w:t>
      </w:r>
      <w:r>
        <w:t xml:space="preserve">EL TRABAJADOR</w:t>
      </w:r>
      <w:r>
        <w:t xml:space="preserve">”</w:t>
      </w:r>
      <w:r>
        <w:t xml:space="preserve">.</w:t>
      </w:r>
    </w:p>
    <w:p>
      <w:pPr>
        <w:numPr>
          <w:ilvl w:val="0"/>
          <w:numId w:val="1015"/>
        </w:numPr>
        <w:pStyle w:val="Compact"/>
      </w:pPr>
      <w:r>
        <w:t xml:space="preserve">Solo procederá un descuento vía nómina por un faltante cuando: (i) se acredite que deriva de un error, negligencia o conducta imputable a</w:t>
      </w:r>
      <w:r>
        <w:t xml:space="preserve"> </w:t>
      </w:r>
      <w:r>
        <w:t xml:space="preserve">“</w:t>
      </w:r>
      <w:r>
        <w:t xml:space="preserve">EL TRABAJADOR</w:t>
      </w:r>
      <w:r>
        <w:t xml:space="preserve">”</w:t>
      </w:r>
      <w:r>
        <w:t xml:space="preserve"> </w:t>
      </w:r>
      <w:r>
        <w:t xml:space="preserve">y no de causas ajenas a su voluntad (robo con violencia, asalto, caso fortuito o fuerza mayor); y (ii)</w:t>
      </w:r>
      <w:r>
        <w:t xml:space="preserve"> </w:t>
      </w:r>
      <w:r>
        <w:t xml:space="preserve">“</w:t>
      </w:r>
      <w:r>
        <w:t xml:space="preserve">EL TRABAJADOR</w:t>
      </w:r>
      <w:r>
        <w:t xml:space="preserve">”</w:t>
      </w:r>
      <w:r>
        <w:t xml:space="preserve"> </w:t>
      </w:r>
      <w:r>
        <w:t xml:space="preserve">reconozca por escrito el adeudo (carta responsiva o convenio de pago) o exista determinación de la autoridad laboral competente.</w:t>
      </w:r>
    </w:p>
    <w:p>
      <w:pPr>
        <w:numPr>
          <w:ilvl w:val="0"/>
          <w:numId w:val="1015"/>
        </w:numPr>
        <w:pStyle w:val="Compact"/>
      </w:pPr>
      <w:r>
        <w:t xml:space="preserve">En todo caso, el descuento respetará el límite del Artículo 110 de la LFT: no podrá exceder del 30% del excedente del salario percibido sobre el salario mínimo, ni convertirse en una garantía automática que vulnere el salario mínimo del trabajador.</w:t>
      </w:r>
    </w:p>
    <w:p>
      <w:pPr>
        <w:pStyle w:val="FirstParagraph"/>
      </w:pPr>
      <w:r>
        <w:rPr>
          <w:bCs/>
          <w:b/>
        </w:rPr>
        <w:t xml:space="preserve">C) Responsabilidad por mercancía extraviada, dañada o robada</w:t>
      </w:r>
    </w:p>
    <w:p>
      <w:pPr>
        <w:numPr>
          <w:ilvl w:val="0"/>
          <w:numId w:val="1016"/>
        </w:numPr>
        <w:pStyle w:val="Compact"/>
      </w:pPr>
      <w:r>
        <w:t xml:space="preserve">“</w:t>
      </w:r>
      <w:r>
        <w:t xml:space="preserve">EL TRABAJADOR</w:t>
      </w:r>
      <w:r>
        <w:t xml:space="preserve">”</w:t>
      </w:r>
      <w:r>
        <w:t xml:space="preserve"> </w:t>
      </w:r>
      <w:r>
        <w:t xml:space="preserve">pondrá el mayor cuidado en la conservación, transporte y entrega de la mercancía que le sea confiada, conforme a la obligación general del Artículo 134 de la LFT.</w:t>
      </w:r>
    </w:p>
    <w:p>
      <w:pPr>
        <w:numPr>
          <w:ilvl w:val="0"/>
          <w:numId w:val="1016"/>
        </w:numPr>
        <w:pStyle w:val="Compact"/>
      </w:pPr>
      <w:r>
        <w:t xml:space="preserve">“</w:t>
      </w:r>
      <w:r>
        <w:t xml:space="preserve">EL TRABAJADOR</w:t>
      </w:r>
      <w:r>
        <w:t xml:space="preserve">”</w:t>
      </w:r>
      <w:r>
        <w:t xml:space="preserve"> </w:t>
      </w:r>
      <w:r>
        <w:t xml:space="preserve">será responsable, en los términos y con los límites de la sección B) anterior, por la pérdida, extravío o daño de mercancía que resulte de negligencia comprobada, incumplimiento de los protocolos de entrega (falta de evidencia de entrega, desvío de ruta no autorizado, entrega a persona no autorizada) o conducta dolosa.</w:t>
      </w:r>
    </w:p>
    <w:p>
      <w:pPr>
        <w:numPr>
          <w:ilvl w:val="0"/>
          <w:numId w:val="1016"/>
        </w:numPr>
        <w:pStyle w:val="Compact"/>
      </w:pPr>
      <w:r>
        <w:rPr>
          <w:bCs/>
          <w:b/>
        </w:rPr>
        <w:t xml:space="preserve">No será responsable</w:t>
      </w:r>
      <w:r>
        <w:t xml:space="preserve"> </w:t>
      </w:r>
      <w:r>
        <w:t xml:space="preserve">“</w:t>
      </w:r>
      <w:r>
        <w:t xml:space="preserve">EL TRABAJADOR</w:t>
      </w:r>
      <w:r>
        <w:t xml:space="preserve">”</w:t>
      </w:r>
      <w:r>
        <w:t xml:space="preserve"> </w:t>
      </w:r>
      <w:r>
        <w:t xml:space="preserve">por pérdidas derivadas de caso fortuito, fuerza mayor, o de robo o asalto sufrido durante el desempeño de sus funciones, siempre que lo reporte de inmediato y, en su caso, presente la denuncia correspondiente — dichos eventos son un riesgo propio de la actividad empresarial de</w:t>
      </w:r>
      <w:r>
        <w:t xml:space="preserve"> </w:t>
      </w:r>
      <w:r>
        <w:t xml:space="preserve">“</w:t>
      </w:r>
      <w:r>
        <w:t xml:space="preserve">EL PATRÓN</w:t>
      </w:r>
      <w:r>
        <w:t xml:space="preserve">”</w:t>
      </w:r>
      <w:r>
        <w:t xml:space="preserve"> </w:t>
      </w:r>
      <w:r>
        <w:t xml:space="preserve">y no pueden trasladarse automáticamente al trabajador.</w:t>
      </w:r>
    </w:p>
    <w:p>
      <w:pPr>
        <w:numPr>
          <w:ilvl w:val="0"/>
          <w:numId w:val="1016"/>
        </w:numPr>
        <w:pStyle w:val="Compact"/>
      </w:pPr>
      <w:r>
        <w:t xml:space="preserve">“</w:t>
      </w:r>
      <w:r>
        <w:t xml:space="preserve">EL PATRÓN</w:t>
      </w:r>
      <w:r>
        <w:t xml:space="preserve">”</w:t>
      </w:r>
      <w:r>
        <w:t xml:space="preserve"> </w:t>
      </w:r>
      <w:r>
        <w:t>podrá optar por contratar una fianza de fidelidad o un seguro de manejo de efectivo y mercancía, en sustitución o complemento del esquema de responsabilidad directa descrito en este Anexo.</w:t>
      </w:r>
    </w:p>
    <w:p>
      <w:pPr>
        <w:pStyle w:val="FirstParagraph"/>
      </w:pPr>
      <w:r>
        <w:rPr>
          <w:bCs/>
          <w:b/>
        </w:rPr>
        <w:t xml:space="preserve">D) Restitución de vehículo, equipo y paquetería en caso de inasistencia</w:t>
      </w:r>
    </w:p>
    <w:p>
      <w:pPr>
        <w:numPr>
          <w:ilvl w:val="0"/>
          <w:numId w:val="1017"/>
        </w:numPr>
        <w:pStyle w:val="Compact"/>
      </w:pPr>
      <w:r>
        <w:t xml:space="preserve">En caso de que</w:t>
      </w:r>
      <w:r>
        <w:t xml:space="preserve"> </w:t>
      </w:r>
      <w:r>
        <w:t xml:space="preserve">“</w:t>
      </w:r>
      <w:r>
        <w:t xml:space="preserve">EL TRABAJADOR</w:t>
      </w:r>
      <w:r>
        <w:t xml:space="preserve">”</w:t>
      </w:r>
      <w:r>
        <w:t xml:space="preserve"> </w:t>
      </w:r>
      <w:r>
        <w:t xml:space="preserve">falte a laborar y tenga en su poder la motocicleta, equipo o mercancía/paquetería asignada por</w:t>
      </w:r>
      <w:r>
        <w:t xml:space="preserve"> </w:t>
      </w:r>
      <w:r>
        <w:t xml:space="preserve">“</w:t>
      </w:r>
      <w:r>
        <w:t xml:space="preserve">EL PATRÓN</w:t>
      </w:r>
      <w:r>
        <w:t xml:space="preserve">”</w:t>
      </w:r>
      <w:r>
        <w:t xml:space="preserve"> </w:t>
      </w:r>
      <w:r>
        <w:t xml:space="preserve">(incluyendo paquetes pendientes de entrega del día anterior), deberá presentarse en las instalaciones de</w:t>
      </w:r>
      <w:r>
        <w:t xml:space="preserve"> </w:t>
      </w:r>
      <w:r>
        <w:t xml:space="preserve">“</w:t>
      </w:r>
      <w:r>
        <w:t xml:space="preserve">EL PATRÓN</w:t>
      </w:r>
      <w:r>
        <w:t xml:space="preserve">”</w:t>
      </w:r>
      <w:r>
        <w:t xml:space="preserve"> </w:t>
      </w:r>
      <w:r>
        <w:t xml:space="preserve">a hacer entrega física de dichos bienes a más tardar a las</w:t>
      </w:r>
      <w:r>
        <w:t xml:space="preserve"> </w:t>
      </w:r>
      <w:r>
        <w:rPr>
          <w:bCs/>
          <w:b/>
        </w:rPr>
        <w:t xml:space="preserve">12:00 horas</w:t>
      </w:r>
      <w:r>
        <w:t xml:space="preserve"> </w:t>
      </w:r>
      <w:r>
        <w:t xml:space="preserve">del día de la inasistencia, salvo que ésta obedezca a una causa de fuerza mayor, incapacidad médica u otra circunstancia que se lo impida físicamente, en cuyo caso deberá notificarlo a</w:t>
      </w:r>
      <w:r>
        <w:t xml:space="preserve"> </w:t>
      </w:r>
      <w:r>
        <w:t xml:space="preserve">“</w:t>
      </w:r>
      <w:r>
        <w:t xml:space="preserve">EL PATRÓN</w:t>
      </w:r>
      <w:r>
        <w:t xml:space="preserve">”</w:t>
      </w:r>
      <w:r>
        <w:t xml:space="preserve"> </w:t>
      </w:r>
      <w:r>
        <w:t xml:space="preserve">a la brevedad posible para coordinar conjuntamente la forma y el momento de la recolección.</w:t>
      </w:r>
    </w:p>
    <w:p>
      <w:pPr>
        <w:numPr>
          <w:ilvl w:val="0"/>
          <w:numId w:val="1017"/>
        </w:numPr>
        <w:pStyle w:val="Compact"/>
      </w:pPr>
      <w:r>
        <w:t xml:space="preserve">Si</w:t>
      </w:r>
      <w:r>
        <w:t xml:space="preserve"> </w:t>
      </w:r>
      <w:r>
        <w:t xml:space="preserve">“</w:t>
      </w:r>
      <w:r>
        <w:t xml:space="preserve">EL TRABAJADOR</w:t>
      </w:r>
      <w:r>
        <w:t xml:space="preserve">”</w:t>
      </w:r>
      <w:r>
        <w:t xml:space="preserve"> </w:t>
      </w:r>
      <w:r>
        <w:t xml:space="preserve">no cumple con la entrega en el plazo señalado sin causa justificada que se lo impida,</w:t>
      </w:r>
      <w:r>
        <w:t xml:space="preserve"> </w:t>
      </w:r>
      <w:r>
        <w:t xml:space="preserve">“</w:t>
      </w:r>
      <w:r>
        <w:t xml:space="preserve">EL PATRÓN</w:t>
      </w:r>
      <w:r>
        <w:t xml:space="preserve">”</w:t>
      </w:r>
      <w:r>
        <w:t xml:space="preserve"> </w:t>
      </w:r>
      <w:r>
        <w:t xml:space="preserve">podrá acudir al domicilio registrado de</w:t>
      </w:r>
      <w:r>
        <w:t xml:space="preserve"> </w:t>
      </w:r>
      <w:r>
        <w:t xml:space="preserve">“</w:t>
      </w:r>
      <w:r>
        <w:t xml:space="preserve">EL TRABAJADOR</w:t>
      </w:r>
      <w:r>
        <w:t xml:space="preserve">”</w:t>
      </w:r>
      <w:r>
        <w:t xml:space="preserve"> </w:t>
      </w:r>
      <w:r>
        <w:t xml:space="preserve">para recuperar dichos bienes. En ese supuesto,</w:t>
      </w:r>
      <w:r>
        <w:t xml:space="preserve"> </w:t>
      </w:r>
      <w:r>
        <w:t xml:space="preserve">“</w:t>
      </w:r>
      <w:r>
        <w:t xml:space="preserve">EL TRABAJADOR</w:t>
      </w:r>
      <w:r>
        <w:t xml:space="preserve">”</w:t>
      </w:r>
      <w:r>
        <w:t xml:space="preserve"> </w:t>
      </w:r>
      <w:r>
        <w:t xml:space="preserve">se obliga a reembolsar el gasto real y comprobable en que incurra</w:t>
      </w:r>
      <w:r>
        <w:t xml:space="preserve"> </w:t>
      </w:r>
      <w:r>
        <w:t xml:space="preserve">“</w:t>
      </w:r>
      <w:r>
        <w:t xml:space="preserve">EL PATRÓN</w:t>
      </w:r>
      <w:r>
        <w:t xml:space="preserve">”</w:t>
      </w:r>
      <w:r>
        <w:t xml:space="preserve"> </w:t>
      </w:r>
      <w:r>
        <w:t xml:space="preserve">por dicha gestión (traslado, combustible, tiempo de la persona designada), siguiendo el mismo procedimiento y límites señalados en la sección B) de este Anexo: acreditación del gasto, reconocimiento por escrito del adeudo, y tope del Artículo 110 de la LFT en caso de que el cobro se realice vía descuento de nómina.</w:t>
      </w:r>
    </w:p>
    <w:p>
      <w:pPr>
        <w:numPr>
          <w:ilvl w:val="0"/>
          <w:numId w:val="1017"/>
        </w:numPr>
        <w:pStyle w:val="Compact"/>
      </w:pPr>
      <w:r>
        <w:t xml:space="preserve">Este reembolso corresponde a un gasto de gestión efectivamente erogado por</w:t>
      </w:r>
      <w:r>
        <w:t xml:space="preserve"> </w:t>
      </w:r>
      <w:r>
        <w:t xml:space="preserve">“</w:t>
      </w:r>
      <w:r>
        <w:t xml:space="preserve">EL PATRÓN</w:t>
      </w:r>
      <w:r>
        <w:t xml:space="preserve">”</w:t>
      </w:r>
      <w:r>
        <w:t xml:space="preserve"> </w:t>
      </w:r>
      <w:r>
        <w:t xml:space="preserve">para recuperar sus propios bienes, y</w:t>
      </w:r>
      <w:r>
        <w:t xml:space="preserve"> </w:t>
      </w:r>
      <w:r>
        <w:rPr>
          <w:bCs/>
          <w:b/>
        </w:rPr>
        <w:t xml:space="preserve">no constituye una multa ni una sanción económica por la inasistencia en sí misma</w:t>
      </w:r>
      <w:r>
        <w:t xml:space="preserve"> </w:t>
      </w:r>
      <w:r>
        <w:t xml:space="preserve">— las multas a trabajadores, cualquiera que sea su causa o concepto, están expresamente prohibidas por el Artículo 107 de la LFT. Si la inasistencia estuvo justificada (por ejemplo, enfermedad con incapacidad, riesgo de trabajo o causa de fuerza mayor comprobable) y ello impidió razonablemente la entrega oportuna,</w:t>
      </w:r>
      <w:r>
        <w:t xml:space="preserve"> </w:t>
      </w:r>
      <w:r>
        <w:t xml:space="preserve">“</w:t>
      </w:r>
      <w:r>
        <w:t xml:space="preserve">EL PATRÓN</w:t>
      </w:r>
      <w:r>
        <w:t xml:space="preserve">”</w:t>
      </w:r>
      <w:r>
        <w:t xml:space="preserve"> </w:t>
      </w:r>
      <w:r>
        <w:t xml:space="preserve">no podrá cobrar este reembolso ni utilizarlo como sanción disciplinaria.</w:t>
      </w:r>
    </w:p>
    <w:p>
      <w:pPr>
        <w:numPr>
          <w:ilvl w:val="0"/>
          <w:numId w:val="1017"/>
        </w:numPr>
        <w:pStyle w:val="Compact"/>
      </w:pPr>
      <w:r>
        <w:t xml:space="preserve">La falta reiterada e injustificada de entrega oportuna del vehículo, equipo o mercancía podrá valorarse, junto con otros elementos, dentro del expediente disciplinario del trabajador conforme a la nota de la sección E) siguiente.</w:t>
      </w:r>
    </w:p>
    <w:p>
      <w:pPr>
        <w:pStyle w:val="FirstParagraph"/>
      </w:pPr>
      <w:r>
        <w:rPr>
          <w:bCs/>
          <w:b/>
        </w:rPr>
        <w:t xml:space="preserve">E) Indicadores de desempeño (KPIs) y niveles de servicio (SLAs)</w:t>
      </w:r>
    </w:p>
    <w:p>
      <w:pPr>
        <w:pStyle w:val="BodyText"/>
      </w:pPr>
      <w:r>
        <w:t xml:space="preserve">“</w:t>
      </w:r>
      <w:r>
        <w:t xml:space="preserve">EL TRABAJADOR</w:t>
      </w:r>
      <w:r>
        <w:t xml:space="preserve">”</w:t>
      </w:r>
      <w:r>
        <w:t xml:space="preserve"> </w:t>
      </w:r>
      <w:r>
        <w:t xml:space="preserve">se obliga a cumplir con los siguientes indicadores de desempeño, mismos que</w:t>
      </w:r>
      <w:r>
        <w:t xml:space="preserve"> </w:t>
      </w:r>
      <w:r>
        <w:t xml:space="preserve">“</w:t>
      </w:r>
      <w:r>
        <w:t xml:space="preserve">EL PATRÓN</w:t>
      </w:r>
      <w:r>
        <w:t xml:space="preserve">”</w:t>
      </w:r>
      <w:r>
        <w:t xml:space="preserve"> </w:t>
      </w:r>
      <w:r>
        <w:t xml:space="preserve">medirá a través de los sistemas y aplicaciones ya referidos en este Anexo:</w:t>
      </w:r>
      <w:r>
        <w:rPr/>
      </w:r>
    </w:p>
    <w:p>
      <w:pPr>
        <w:numPr>
          <w:ilvl w:val="0"/>
          <w:numId w:val="1018"/>
        </w:numPr>
        <w:pStyle w:val="Compact"/>
      </w:pPr>
      <w:r>
        <w:rPr>
          <w:bCs/>
          <w:b/>
        </w:rPr>
        <w:t xml:space="preserve">Entregas exitosas.</w:t>
      </w:r>
      <w:r>
        <w:t xml:space="preserve"> </w:t>
      </w:r>
      <w:r>
        <w:t xml:space="preserve">Mantener un mínimo de</w:t>
      </w:r>
      <w:r>
        <w:t xml:space="preserve"> </w:t>
      </w:r>
      <w:r>
        <w:rPr>
          <w:bCs/>
          <w:b/>
        </w:rPr>
        <w:t xml:space="preserve">97% de entregas exitosas</w:t>
      </w:r>
      <w:r>
        <w:t xml:space="preserve"> </w:t>
      </w:r>
      <w:r>
        <w:t xml:space="preserve">sobre el total de entregas asignadas en cada semana laboral, entendiendo por</w:t>
      </w:r>
      <w:r>
        <w:t xml:space="preserve"> </w:t>
      </w:r>
      <w:r>
        <w:t xml:space="preserve">“</w:t>
      </w:r>
      <w:r>
        <w:t xml:space="preserve">entrega exitosa</w:t>
      </w:r>
      <w:r>
        <w:t xml:space="preserve">”</w:t>
      </w:r>
      <w:r>
        <w:t xml:space="preserve"> </w:t>
      </w:r>
      <w:r>
        <w:t xml:space="preserve">aquella completada conforme al protocolo de la app (evidencia de entrega registrada) dentro de la ventana de tiempo asignada.</w:t>
      </w:r>
      <w:r>
        <w:t xml:space="preserve"> </w:t>
      </w:r>
      <w:r>
        <w:rPr>
          <w:bCs/>
          <w:b/>
        </w:rPr>
        <w:t xml:space="preserve">No se computarán en contra de este indicador</w:t>
      </w:r>
      <w:r>
        <w:t xml:space="preserve"> </w:t>
      </w:r>
      <w:r>
        <w:t xml:space="preserve">las entregas no completadas por causas no imputables a</w:t>
      </w:r>
      <w:r>
        <w:t xml:space="preserve"> </w:t>
      </w:r>
      <w:r>
        <w:t xml:space="preserve">“</w:t>
      </w:r>
      <w:r>
        <w:t xml:space="preserve">EL TRABAJADOR</w:t>
      </w:r>
      <w:r>
        <w:t xml:space="preserve">”</w:t>
      </w:r>
      <w:r>
        <w:t xml:space="preserve">, tales como ausencia del destinatario, domicilio erróneo o inaccesible proporcionado por el cliente, cierre de vialidades, manifestaciones, condiciones climáticas severas, fallas del sistema/app de</w:t>
      </w:r>
      <w:r>
        <w:t xml:space="preserve"> </w:t>
      </w:r>
      <w:r>
        <w:t xml:space="preserve">“</w:t>
      </w:r>
      <w:r>
        <w:t xml:space="preserve">EL PATRÓN</w:t>
      </w:r>
      <w:r>
        <w:t xml:space="preserve">”</w:t>
      </w:r>
      <w:r>
        <w:t xml:space="preserve">, caso fortuito o fuerza mayor.</w:t>
      </w:r>
    </w:p>
    <w:p>
      <w:pPr>
        <w:numPr>
          <w:ilvl w:val="0"/>
          <w:numId w:val="1018"/>
        </w:numPr>
        <w:pStyle w:val="Compact"/>
      </w:pPr>
      <w:r>
        <w:rPr>
          <w:bCs/>
          <w:b/>
        </w:rPr>
        <w:t xml:space="preserve">Uso eficiente del tiempo de ruta.</w:t>
      </w:r>
      <w:r>
        <w:t xml:space="preserve"> </w:t>
      </w:r>
      <w:r>
        <w:t xml:space="preserve">Cumplir con los tiempos de ruta conforme a la planeación/optimización asignada, evitando tiempos muertos injustificados. Queda expresamente prohibido prolongar o simular de forma dolosa la duración de la ruta, marcar entregas fuera del horario real, o manipular los registros de la app con la finalidad de generar o inflar artificialmente tiempo extraordinario no efectivamente trabajado. La comprobación de esta conducta, mediante los registros de geolocalización y de la app, se considerará una falta de probidad u honradez para los efectos de la Cláusula Décima Séptima (Art. 47, fracción II de la LFT), con independencia de que, conforme a la Cláusula Sexta, el tiempo no justificado tampoco se reconocerá ni pagará como tiempo extraordinario.</w:t>
      </w:r>
    </w:p>
    <w:p>
      <w:pPr>
        <w:numPr>
          <w:ilvl w:val="0"/>
          <w:numId w:val="1018"/>
        </w:numPr>
        <w:pStyle w:val="Compact"/>
      </w:pPr>
      <w:r>
        <w:rPr>
          <w:bCs/>
          <w:b/>
        </w:rPr>
        <w:t xml:space="preserve">Apego al proceso operativo en aplicaciones.</w:t>
      </w:r>
      <w:r>
        <w:t xml:space="preserve"> </w:t>
      </w:r>
      <w:r>
        <w:t xml:space="preserve">Seguir en su totalidad los pasos establecidos por</w:t>
      </w:r>
      <w:r>
        <w:t xml:space="preserve"> </w:t>
      </w:r>
      <w:r>
        <w:t xml:space="preserve">“</w:t>
      </w:r>
      <w:r>
        <w:t xml:space="preserve">EL PATRÓN</w:t>
      </w:r>
      <w:r>
        <w:t xml:space="preserve">”</w:t>
      </w:r>
      <w:r>
        <w:t xml:space="preserve"> </w:t>
      </w:r>
      <w:r>
        <w:t xml:space="preserve">en la o las aplicaciones de recolección y entrega (registro de recolección, evidencia fotográfica, firma o confirmación de entrega, actualización de estatus), como parte de sus obligaciones conforme al Artículo 134 de la LFT.</w:t>
      </w:r>
    </w:p>
    <w:p>
      <w:pPr>
        <w:numPr>
          <w:ilvl w:val="0"/>
          <w:numId w:val="1018"/>
        </w:numPr>
        <w:pStyle w:val="Compact"/>
      </w:pPr>
      <w:r>
        <w:rPr>
          <w:bCs/>
          <w:b/>
        </w:rPr>
        <w:t xml:space="preserve">Consumo responsable de combustible.</w:t>
      </w:r>
      <w:r>
        <w:t xml:space="preserve"> </w:t>
      </w:r>
      <w:r>
        <w:t xml:space="preserve">Mantener el consumo real de combustible dentro de un margen de variación de hasta</w:t>
      </w:r>
      <w:r>
        <w:t xml:space="preserve"> </w:t>
      </w:r>
      <w:r>
        <w:rPr>
          <w:bCs/>
          <w:b/>
        </w:rPr>
        <w:t xml:space="preserve">15% por encima del estimado</w:t>
      </w:r>
      <w:r>
        <w:t xml:space="preserve"> </w:t>
      </w:r>
      <w:r>
        <w:t xml:space="preserve">calculado por el sistema de ruteo con base en los kilómetros recorridos en cada ruta o periodo. Un consumo que exceda dicho margen podrá dar lugar al procedimiento de aclaración y, en su caso, al esquema de responsabilidad condicionada y descuento con los mismos requisitos y límites de la sección B) de este Anexo (acreditación de causa imputable, reconocimiento por escrito y tope del Artículo 110 de la LFT) — nunca un descuento automático.</w:t>
      </w:r>
    </w:p>
    <w:p>
      <w:pPr>
        <w:numPr>
          <w:ilvl w:val="0"/>
          <w:numId w:val="1018"/>
        </w:numPr>
        <w:pStyle w:val="Compact"/>
      </w:pPr>
      <w:r>
        <w:rPr>
          <w:bCs/>
          <w:b w:val="0"/>
        </w:rPr>
        <w:t>El incumplimiento de uno o más de los indicadores anteriores, por sí solo, no constituye una causal autónoma de rescisión en términos del Artículo 47 de la LFT; se utilizará principalmente como base de retroalimentación, capacitación o esquemas de incentivos, y como evidencia documental que, junto con llamadas de atención previas, actas administrativas y reincidencia, podrá sustentar una causal de rescisión ya reconocida por la ley. El tratamiento de los datos de geolocalización utilizados para medir estos indicadores se rige por el Aviso de Privacidad que “EL PATRÓN” pone a disposición de “EL TRABAJADOR” desde su ingreso, conforme a la Ley Federal de Protección de Datos Personales en Posesión de los Particulares.</w:t>
      </w:r>
    </w:p>
    <w:p>
      <w:pPr>
        <w:pStyle w:val="FirstParagraph"/>
      </w:pPr>
      <w:r>
        <w:rPr>
          <w:bCs/>
          <w:b/>
        </w:rPr>
        <w:t xml:space="preserve">F) Responsabilidad por infracciones de tránsito</w:t>
      </w:r>
    </w:p>
    <w:p>
      <w:pPr>
        <w:numPr>
          <w:ilvl w:val="0"/>
          <w:numId w:val="1019"/>
        </w:numPr>
        <w:pStyle w:val="Compact"/>
      </w:pPr>
      <w:r>
        <w:t xml:space="preserve">Las multas, infracciones o sanciones de tránsito (por ejemplo, exceso de velocidad, pase de semáforo en rojo, estacionamiento indebido, fotomultas) que se generen con motivo de una conducción negligente o en incumplimiento del reglamento de tránsito aplicable, imputable directamente a</w:t>
      </w:r>
      <w:r>
        <w:t xml:space="preserve"> </w:t>
      </w:r>
      <w:r>
        <w:t xml:space="preserve">“</w:t>
      </w:r>
      <w:r>
        <w:t xml:space="preserve">EL TRABAJADOR</w:t>
      </w:r>
      <w:r>
        <w:t xml:space="preserve">”</w:t>
      </w:r>
      <w:r>
        <w:t xml:space="preserve"> </w:t>
      </w:r>
      <w:r>
        <w:t xml:space="preserve">durante la prestación del servicio, serán responsabilidad de</w:t>
      </w:r>
      <w:r>
        <w:t xml:space="preserve"> </w:t>
      </w:r>
      <w:r>
        <w:t xml:space="preserve">“</w:t>
      </w:r>
      <w:r>
        <w:t xml:space="preserve">EL TRABAJADOR</w:t>
      </w:r>
      <w:r>
        <w:t xml:space="preserve">”</w:t>
      </w:r>
      <w:r>
        <w:t xml:space="preserve">.</w:t>
      </w:r>
    </w:p>
    <w:p>
      <w:pPr>
        <w:numPr>
          <w:ilvl w:val="0"/>
          <w:numId w:val="1019"/>
        </w:numPr>
        <w:pStyle w:val="Compact"/>
      </w:pPr>
      <w:r>
        <w:t xml:space="preserve">“</w:t>
      </w:r>
      <w:r>
        <w:t xml:space="preserve">EL PATRÓN</w:t>
      </w:r>
      <w:r>
        <w:t xml:space="preserve">”</w:t>
      </w:r>
      <w:r>
        <w:t xml:space="preserve"> </w:t>
      </w:r>
      <w:r>
        <w:t xml:space="preserve">podrá cobrarse el costo de dichas multas conforme al mismo procedimiento y límites señalados en la sección B) de este Anexo (acreditación de la infracción, reconocimiento por escrito y tope del Artículo 110 de la LFT), salvo que la infracción derive de condiciones imputables a</w:t>
      </w:r>
      <w:r>
        <w:t xml:space="preserve"> </w:t>
      </w:r>
      <w:r>
        <w:t xml:space="preserve">“</w:t>
      </w:r>
      <w:r>
        <w:t xml:space="preserve">EL PATRÓN</w:t>
      </w:r>
      <w:r>
        <w:t xml:space="preserve">”</w:t>
      </w:r>
      <w:r>
        <w:t xml:space="preserve"> </w:t>
      </w:r>
      <w:r>
        <w:t xml:space="preserve">(por ejemplo, documentación o verificación del vehículo vencida por causas no atribuibles a</w:t>
      </w:r>
      <w:r>
        <w:t xml:space="preserve"> </w:t>
      </w:r>
      <w:r>
        <w:t xml:space="preserve">“</w:t>
      </w:r>
      <w:r>
        <w:t xml:space="preserve">EL TRABAJADOR</w:t>
      </w:r>
      <w:r>
        <w:t xml:space="preserve">”</w:t>
      </w:r>
      <w:r>
        <w:t xml:space="preserve">).</w:t>
      </w:r>
    </w:p>
    <w:p>
      <w:pPr>
        <w:numPr>
          <w:ilvl w:val="0"/>
          <w:numId w:val="1019"/>
        </w:numPr>
        <w:pStyle w:val="Compact"/>
      </w:pPr>
      <w:r>
        <w:t xml:space="preserve">“</w:t>
      </w:r>
      <w:r>
        <w:t xml:space="preserve">EL TRABAJADOR</w:t>
      </w:r>
      <w:r>
        <w:t xml:space="preserve">”</w:t>
      </w:r>
      <w:r>
        <w:t xml:space="preserve"> </w:t>
      </w:r>
      <w:r>
        <w:t xml:space="preserve">se obliga a conducir con apego a la normativa de tránsito de la CDMX y del Estado de México, como parte de sus obligaciones conforme al Artículo 134 de la LFT y del indicador de uso eficiente y seguro de la ruta de la sección E).</w:t>
      </w:r>
    </w:p>
    <w:p>
      <w:pPr>
        <w:pStyle w:val="FirstParagraph"/>
      </w:pPr>
      <w:r>
        <w:rPr>
          <w:bCs/>
          <w:b/>
        </w:rPr>
        <w:t xml:space="preserve">Firma de conformidad con este Anexo:</w:t>
      </w:r>
    </w:p>
    <w:p>
      <w:pPr>
        <w:pStyle w:val="BodyText"/>
      </w:pPr>
    </w:p>
    <w:tbl>
      <w:tblPr>
        <w:tblStyle w:val="Anexo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5233"/>
        <w:gridCol w:w="5233"/>
      </w:tblGrid>
      <w:tr>
        <w:trPr>
          <w:tblHeader w:val="true"/>
        </w:trPr>
        <w:tc>
          <w:tcPr>
            <w:shd w:val="clear" w:color="auto" w:fill="DCE6F1"/>
            <w:tcBorders>
              <w:bottom w:val="single" w:sz="8" w:space="0" w:color="1F3864"/>
            </w:tcBorders>
          </w:tcPr>
          <w:p>
            <w:pPr>
              <w:pStyle w:val="Compact"/>
              <w:jc w:val="center"/>
            </w:pPr>
            <w:r>
              <w:rPr>
                <w:b/>
                <w:color w:val="1F3864"/>
              </w:rPr>
              <w:t xml:space="preserve">EL PATRÓN</w:t>
            </w:r>
          </w:p>
        </w:tc>
        <w:tc>
          <w:tcPr>
            <w:shd w:val="clear" w:color="auto" w:fill="DCE6F1"/>
            <w:tcBorders>
              <w:bottom w:val="single" w:sz="8" w:space="0" w:color="1F3864"/>
            </w:tcBorders>
          </w:tcPr>
          <w:p>
            <w:pPr>
              <w:pStyle w:val="Compact"/>
              <w:jc w:val="center"/>
            </w:pPr>
            <w:r>
              <w:rPr>
                <w:b/>
                <w:color w:val="1F3864"/>
              </w:rPr>
              <w:t xml:space="preserve">EL TRABAJADOR</w:t>
            </w:r>
          </w:p>
        </w:tc>
      </w:tr>
      <w:tr>
        <w:tc>
          <w:tcPr/>
          <w:p>
            <w:pPr>
              <w:pStyle w:val="Compact"/>
              <w:jc w:val="left"/>
            </w:pPr>
            <w:r>
              <w:t xml:space="preserve">_____________________________</w:t>
            </w:r>
          </w:p>
        </w:tc>
        <w:tc>
          <w:tcPr/>
          <w:p>
            <w:pPr>
              <w:pStyle w:val="Compact"/>
              <w:jc w:val="left"/>
            </w:pPr>
            <w:r>
              <w:t xml:space="preserve">_____________________________</w:t>
            </w:r>
          </w:p>
        </w:tc>
      </w:tr>
      <w:tr>
        <w:tc>
          <w:tcPr/>
          <w:p>
            <w:pPr>
              <w:pStyle w:val="Compact"/>
              <w:jc w:val="left"/>
            </w:pPr>
            <w:r>
              <w:t xml:space="preserve">[NOMBRE_O_RAZON_SOCIAL_PATRON] / [NOMBRE_REPRESENTANTE_LEGAL]</w:t>
            </w:r>
          </w:p>
        </w:tc>
        <w:tc>
          <w:tcPr/>
          <w:p>
            <w:pPr>
              <w:pStyle w:val="Compact"/>
              <w:jc w:val="left"/>
            </w:pPr>
            <w:r>
              <w:t xml:space="preserve">[NOMBRE_DEL_EMPLEADO]</w:t>
            </w:r>
          </w:p>
        </w:tc>
      </w:tr>
    </w:tbl>
    <w:p>
      <w:r>
        <w:pict>
          <v:rect style="width:0;height:1.5pt" o:hralign="center" o:hrstd="t" o:hr="t"/>
        </w:pict>
      </w:r>
    </w:p>
    <w:sectPr>
      <w:headerReference w:type="default" r:id="rId9"/>
      <w:footerReference w:type="default" r:id="rId10"/>
      <w:pgSz w:w="11906" w:h="16838"/>
      <w:pgMar w:top="720" w:bottom="720" w:left="720" w:right="72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4" w:color="BFBFBF"/>
      </w:pBdr>
    </w:pPr>
    <w:r>
      <w:rPr>
        <w:rFonts w:ascii="Calibri" w:hAnsi="Calibri"/>
        <w:color w:val="595959"/>
        <w:sz w:val="16"/>
      </w:rPr>
      <w:t xml:space="preserve">Página </w:t>
    </w:r>
    <w:fldSimple w:instr="PAGE">
      <w:r>
        <w:rPr>
          <w:rFonts w:ascii="Calibri" w:hAnsi="Calibri"/>
          <w:color w:val="595959"/>
          <w:sz w:val="16"/>
        </w:rPr>
        <w:t>1</w:t>
      </w:r>
    </w:fldSimple>
    <w:r>
      <w:rPr>
        <w:rFonts w:ascii="Calibri" w:hAnsi="Calibri"/>
        <w:color w:val="595959"/>
        <w:sz w:val="16"/>
      </w:rPr>
      <w:t xml:space="preserve"> de </w:t>
    </w:r>
    <w:fldSimple w:instr="NUMPAGES">
      <w:r>
        <w:rPr>
          <w:rFonts w:ascii="Calibri" w:hAnsi="Calibri"/>
          <w:color w:val="595959"/>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tabs/>
      <w:pBdr>
        <w:bottom w:val="single" w:sz="6" w:space="6" w:color="1F3864"/>
      </w:pBdr>
    </w:pPr>
    <w:r>
      <w:drawing>
        <wp:inline xmlns:a="http://schemas.openxmlformats.org/drawingml/2006/main" xmlns:pic="http://schemas.openxmlformats.org/drawingml/2006/picture">
          <wp:extent cx="306000" cy="306000"/>
          <wp:docPr id="1" name="Picture 1"/>
          <wp:cNvGraphicFramePr>
            <a:graphicFrameLocks noChangeAspect="1"/>
          </wp:cNvGraphicFramePr>
          <a:graphic>
            <a:graphicData uri="http://schemas.openxmlformats.org/drawingml/2006/picture">
              <pic:pic>
                <pic:nvPicPr>
                  <pic:cNvPr id="0" name="logo_computenga.png"/>
                  <pic:cNvPicPr/>
                </pic:nvPicPr>
                <pic:blipFill>
                  <a:blip r:embed="rId1"/>
                  <a:stretch>
                    <a:fillRect/>
                  </a:stretch>
                </pic:blipFill>
                <pic:spPr>
                  <a:xfrm>
                    <a:off x="0" y="0"/>
                    <a:ext cx="306000" cy="306000"/>
                  </a:xfrm>
                  <a:prstGeom prst="rect"/>
                </pic:spPr>
              </pic:pic>
            </a:graphicData>
          </a:graphic>
        </wp:inline>
      </w:drawing>
    </w:r>
    <w:r>
      <w:rPr>
        <w:rFonts w:ascii="Calibri" w:hAnsi="Calibri"/>
        <w:b/>
        <w:color w:val="1F3864"/>
        <w:sz w:val="18"/>
      </w:rPr>
      <w:t xml:space="preserve">  COMERCIALIZADORA COMPUTENGA, S.A. DE C.V.</w:t>
    </w:r>
    <w:r>
      <w:rPr>
        <w:rFonts w:ascii="Calibri" w:hAnsi="Calibri"/>
        <w:i/>
        <w:color w:val="595959"/>
        <w:sz w:val="18"/>
      </w:rPr>
      <w:t xml:space="preserve">   ·   Anexo “A” — Actividades, Manejo de Efectivo y Responsabilidad</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jc w:val="center"/>
      <w:pBdr>
        <w:bottom w:val="single" w:sz="12" w:space="8" w:color="1F3864"/>
      </w:pBdr>
    </w:pPr>
    <w:rPr>
      <w:rFonts w:asciiTheme="majorHAnsi" w:cstheme="majorBidi" w:eastAsiaTheme="majorEastAsia" w:hAnsiTheme="majorHAnsi"/>
      <w:b/>
      <w:bCs/>
      <w:color w:val="1F3864"/>
      <w:sz w:val="32"/>
      <w:szCs w:val="32"/>
    </w:rPr>
  </w:style>
  <w:style w:styleId="Heading2" w:type="paragraph">
    <w:name w:val="Heading 2"/>
    <w:basedOn w:val="Normal"/>
    <w:next w:val="BodyText"/>
    <w:uiPriority w:val="9"/>
    <w:unhideWhenUsed/>
    <w:qFormat/>
    <w:pPr>
      <w:keepNext/>
      <w:keepLines/>
      <w:spacing w:after="160" w:before="280" w:line="360" w:lineRule="auto"/>
      <w:outlineLvl w:val="1"/>
      <w:shd w:val="clear" w:color="auto" w:fill="1F3864"/>
    </w:pPr>
    <w:rPr>
      <w:rFonts w:asciiTheme="majorHAnsi" w:cstheme="majorBidi" w:eastAsiaTheme="majorEastAsia" w:hAnsiTheme="majorHAnsi"/>
      <w:b/>
      <w:bCs/>
      <w:color w:val="FFFFFF"/>
      <w:sz w:val="28"/>
      <w:szCs w:val="28"/>
    </w:rPr>
  </w:style>
  <w:style w:styleId="Heading3" w:type="paragraph">
    <w:name w:val="Heading 3"/>
    <w:basedOn w:val="Normal"/>
    <w:next w:val="BodyText"/>
    <w:uiPriority w:val="9"/>
    <w:unhideWhenUsed/>
    <w:qFormat/>
    <w:pPr>
      <w:keepNext/>
      <w:keepLines/>
      <w:spacing w:after="0" w:before="200"/>
      <w:outlineLvl w:val="2"/>
      <w:pBdr>
        <w:left w:val="single" w:sz="18" w:space="6" w:color="1F3864"/>
      </w:pBdr>
      <w:ind w:left="170"/>
    </w:pPr>
    <w:rPr>
      <w:rFonts w:asciiTheme="majorHAnsi" w:cstheme="majorBidi" w:eastAsiaTheme="majorEastAsia" w:hAnsiTheme="majorHAns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Bdr>
        <w:left w:val="single" w:sz="18" w:space="8" w:color="BFBFBF"/>
      </w:pBdr>
      <w:shd w:val="clear" w:color="auto" w:fill="E7ECF4"/>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customStyle="1" w:styleId="AnexoTable">
    <w:name w:val="AnexoTable"/>
    <w:basedOn w:val="TableNormal"/>
    <w:tblPr>
      <w:tblCellMar>
        <w:top w:w="60" w:type="dxa"/>
        <w:left w:w="140" w:type="dxa"/>
        <w:bottom w:w="60" w:type="dxa"/>
        <w:right w:w="140"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comunicacionsocial.senado.gob.mx/informacion/comunicados/14915-aprueba-pleno-del-senado-reforma-a-ley-federal-del-trabajo-para-reducir-la-jornada-laboral-a-40-horas-semanales" TargetMode="External"/><Relationship Id="rId40" Type="http://schemas.openxmlformats.org/officeDocument/2006/relationships/hyperlink" Target="https://consolide.com/blog/reparto-de-utilidades-ptu-2026/" TargetMode="External"/><Relationship Id="rId39" Type="http://schemas.openxmlformats.org/officeDocument/2006/relationships/hyperlink" Target="https://factorial.mx/blog/hostigamiento-laboral/" TargetMode="External"/><Relationship Id="rId32" Type="http://schemas.openxmlformats.org/officeDocument/2006/relationships/hyperlink" Target="https://factorial.mx/blog/reduccion-de-la-jornada-laboral/" TargetMode="External"/><Relationship Id="rId35" Type="http://schemas.openxmlformats.org/officeDocument/2006/relationships/hyperlink" Target="https://sdv.com.mx/compendio/ley-federal-trabajo/articulo-66/" TargetMode="External"/><Relationship Id="rId41" Type="http://schemas.openxmlformats.org/officeDocument/2006/relationships/hyperlink" Target="https://www.amhpac.org/es/index.php/en/informacion/comunicados/14-comunicados/1075-reforma-al-articulo-132-fraccion-v-de-la-ley-federal-del-trabajo-ley-silla" TargetMode="External"/><Relationship Id="rId37" Type="http://schemas.openxmlformats.org/officeDocument/2006/relationships/hyperlink" Target="https://www.elcontribuyente.mx/2026/04/horas-extra-al-triple-la-regla-que-la-reforma-no-dejo-clara/" TargetMode="External"/><Relationship Id="rId42" Type="http://schemas.openxmlformats.org/officeDocument/2006/relationships/hyperlink" Target="https://www.elimparcial.com/dinero/2026/07/21/el-imss-si-cubre-los-accidentes-ocurridos-camino-al-trabajo-o-de-regreso-a-casa-pagando-tu-sueldo-al-100-desde-el-primer-dia-siempre-y-cuando-demuestres-que-no-te-desviaste-de-tu-ruta-habitual-por-motivos-personales/" TargetMode="External"/><Relationship Id="rId34" Type="http://schemas.openxmlformats.org/officeDocument/2006/relationships/hyperlink" Target="https://www.garrigues.com/es_ES/noticia/mexico-entra-vigor-tercera-ultima-etapa-reforma-sistema-justicia-laboral" TargetMode="External"/><Relationship Id="rId33" Type="http://schemas.openxmlformats.org/officeDocument/2006/relationships/hyperlink" Target="https://www.gob.mx/stps/documentos/reduccion-de-la-jornada-laboral-a-40-horas-preguntas-frecuentes?state=published" TargetMode="External"/><Relationship Id="rId36" Type="http://schemas.openxmlformats.org/officeDocument/2006/relationships/hyperlink" Target="https://www.gtlaw.com/en/insights/2026/5/reforma-a-la-ley-federal-del-trabajo---reduccion" TargetMode="External"/><Relationship Id="rId31" Type="http://schemas.openxmlformats.org/officeDocument/2006/relationships/hyperlink" Target="https://www.jornada.com.mx/noticia/2026/05/01/politica/publican-en-dof-reforma-para-jornada-laboral-de-40-horas" TargetMode="External"/><Relationship Id="rId38" Type="http://schemas.openxmlformats.org/officeDocument/2006/relationships/hyperlink" Target="https://www.rhcheck.mx/blog-posts/demandas-laborales-comunes-mexico"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comunicacionsocial.senado.gob.mx/informacion/comunicados/14915-aprueba-pleno-del-senado-reforma-a-ley-federal-del-trabajo-para-reducir-la-jornada-laboral-a-40-horas-semanales" TargetMode="External"/><Relationship Id="rId40" Type="http://schemas.openxmlformats.org/officeDocument/2006/relationships/hyperlink" Target="https://consolide.com/blog/reparto-de-utilidades-ptu-2026/" TargetMode="External"/><Relationship Id="rId39" Type="http://schemas.openxmlformats.org/officeDocument/2006/relationships/hyperlink" Target="https://factorial.mx/blog/hostigamiento-laboral/" TargetMode="External"/><Relationship Id="rId32" Type="http://schemas.openxmlformats.org/officeDocument/2006/relationships/hyperlink" Target="https://factorial.mx/blog/reduccion-de-la-jornada-laboral/" TargetMode="External"/><Relationship Id="rId35" Type="http://schemas.openxmlformats.org/officeDocument/2006/relationships/hyperlink" Target="https://sdv.com.mx/compendio/ley-federal-trabajo/articulo-66/" TargetMode="External"/><Relationship Id="rId41" Type="http://schemas.openxmlformats.org/officeDocument/2006/relationships/hyperlink" Target="https://www.amhpac.org/es/index.php/en/informacion/comunicados/14-comunicados/1075-reforma-al-articulo-132-fraccion-v-de-la-ley-federal-del-trabajo-ley-silla" TargetMode="External"/><Relationship Id="rId37" Type="http://schemas.openxmlformats.org/officeDocument/2006/relationships/hyperlink" Target="https://www.elcontribuyente.mx/2026/04/horas-extra-al-triple-la-regla-que-la-reforma-no-dejo-clara/" TargetMode="External"/><Relationship Id="rId42" Type="http://schemas.openxmlformats.org/officeDocument/2006/relationships/hyperlink" Target="https://www.elimparcial.com/dinero/2026/07/21/el-imss-si-cubre-los-accidentes-ocurridos-camino-al-trabajo-o-de-regreso-a-casa-pagando-tu-sueldo-al-100-desde-el-primer-dia-siempre-y-cuando-demuestres-que-no-te-desviaste-de-tu-ruta-habitual-por-motivos-personales/" TargetMode="External"/><Relationship Id="rId34" Type="http://schemas.openxmlformats.org/officeDocument/2006/relationships/hyperlink" Target="https://www.garrigues.com/es_ES/noticia/mexico-entra-vigor-tercera-ultima-etapa-reforma-sistema-justicia-laboral" TargetMode="External"/><Relationship Id="rId33" Type="http://schemas.openxmlformats.org/officeDocument/2006/relationships/hyperlink" Target="https://www.gob.mx/stps/documentos/reduccion-de-la-jornada-laboral-a-40-horas-preguntas-frecuentes?state=published" TargetMode="External"/><Relationship Id="rId36" Type="http://schemas.openxmlformats.org/officeDocument/2006/relationships/hyperlink" Target="https://www.gtlaw.com/en/insights/2026/5/reforma-a-la-ley-federal-del-trabajo---reduccion" TargetMode="External"/><Relationship Id="rId31" Type="http://schemas.openxmlformats.org/officeDocument/2006/relationships/hyperlink" Target="https://www.jornada.com.mx/noticia/2026/05/01/politica/publican-en-dof-reforma-para-jornada-laboral-de-40-horas" TargetMode="External"/><Relationship Id="rId38" Type="http://schemas.openxmlformats.org/officeDocument/2006/relationships/hyperlink" Target="https://www.rhcheck.mx/blog-posts/demandas-laborales-comunes-mexi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2026-10-04T22:26:15Z</dcterms:created>
  <dcterms:modified xsi:type="dcterms:W3CDTF">2026-10-04T22:26:15Z</dcterms:modified>
</cp:coreProperties>
</file>

<file path=docProps/custom.xml><?xml version="1.0" encoding="utf-8"?>
<Properties xmlns="http://schemas.openxmlformats.org/officeDocument/2006/custom-properties" xmlns:vt="http://schemas.openxmlformats.org/officeDocument/2006/docPropsVTypes"/>
</file>