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D2" w:rsidRPr="00A4194A" w:rsidRDefault="00CD3AD2" w:rsidP="00CD3AD2">
      <w:pPr>
        <w:ind w:firstLine="284"/>
        <w:rPr>
          <w:b/>
          <w:sz w:val="28"/>
          <w:lang w:val="uk-UA"/>
        </w:rPr>
      </w:pPr>
      <w:r w:rsidRPr="00A4194A">
        <w:rPr>
          <w:b/>
          <w:sz w:val="28"/>
          <w:lang w:val="uk-UA"/>
        </w:rPr>
        <w:t>Друга хвиля еміграції</w:t>
      </w:r>
    </w:p>
    <w:p w:rsidR="00E6586B" w:rsidRDefault="00CD3AD2" w:rsidP="00CD3AD2">
      <w:pPr>
        <w:ind w:firstLine="284"/>
        <w:rPr>
          <w:lang w:val="uk-UA"/>
        </w:rPr>
      </w:pPr>
      <w:r w:rsidRPr="00CD3AD2">
        <w:rPr>
          <w:lang w:val="uk-UA"/>
        </w:rPr>
        <w:t>Після перерви, викликаної першою світовою війною, з 1920-го по 1930 рік за кордон ринула друга хвиля українських емігрантів. Вони виїздили до Польщі, Чехословаччини, Австрії, Болгарії, Німеччини, Франції, США і Канади.</w:t>
      </w:r>
      <w:r w:rsidR="001E279E">
        <w:rPr>
          <w:lang w:val="uk-UA"/>
        </w:rPr>
        <w:t xml:space="preserve"> </w:t>
      </w:r>
      <w:r w:rsidRPr="00CD3AD2">
        <w:rPr>
          <w:lang w:val="uk-UA"/>
        </w:rPr>
        <w:t xml:space="preserve">Ця хвиля отримала назву політично-інтелектуальної імміграції. </w:t>
      </w:r>
    </w:p>
    <w:p w:rsidR="00E6586B" w:rsidRPr="00CD3AD2" w:rsidRDefault="00E6586B" w:rsidP="00E6586B">
      <w:pPr>
        <w:ind w:firstLine="284"/>
        <w:rPr>
          <w:lang w:val="uk-UA"/>
        </w:rPr>
      </w:pPr>
      <w:r w:rsidRPr="00CD3AD2">
        <w:rPr>
          <w:lang w:val="uk-UA"/>
        </w:rPr>
        <w:t>За кордон виїжджали представники інтелігенції, робітники, учасники армії Української Народної Республіки. Склад цієї хвилі характеризується неоднорідністю: це і солдати та офіцери білогвардійських та українських самостійницьких формувань; колишні землевласники та члени їх родин, колишні володарі промислових підприємств, торговці, священнослужителі, інтелігенти та ін. Також були й ті, був змушений виїхати через утиски сталінського диктаторського режиму, нехтування українськими культурними здобутками, знищення церкви. До цієї когорти належали відомі вч</w:t>
      </w:r>
      <w:r>
        <w:rPr>
          <w:lang w:val="uk-UA"/>
        </w:rPr>
        <w:t xml:space="preserve">ені Ю. Вернадський, Ю. </w:t>
      </w:r>
      <w:proofErr w:type="spellStart"/>
      <w:r>
        <w:rPr>
          <w:lang w:val="uk-UA"/>
        </w:rPr>
        <w:t>Кистяків</w:t>
      </w:r>
      <w:r w:rsidRPr="00CD3AD2">
        <w:rPr>
          <w:lang w:val="uk-UA"/>
        </w:rPr>
        <w:t>ський</w:t>
      </w:r>
      <w:proofErr w:type="spellEnd"/>
      <w:r w:rsidRPr="00CD3AD2">
        <w:rPr>
          <w:lang w:val="uk-UA"/>
        </w:rPr>
        <w:t xml:space="preserve">, О. Грановський, В. і С. </w:t>
      </w:r>
      <w:proofErr w:type="spellStart"/>
      <w:r w:rsidRPr="00CD3AD2">
        <w:rPr>
          <w:lang w:val="uk-UA"/>
        </w:rPr>
        <w:t>Тимошенки</w:t>
      </w:r>
      <w:proofErr w:type="spellEnd"/>
      <w:r w:rsidRPr="00CD3AD2">
        <w:rPr>
          <w:lang w:val="uk-UA"/>
        </w:rPr>
        <w:t>. В еміграції опинився один з керівників Центральної Ради Володимир Винниченко, міністр освіти УНР Іван Огієнко та багато інших. Тільки за даними 1936 p., 700 українських мігрантів до США і Канади мали магістерські та докторські дипломи.</w:t>
      </w:r>
    </w:p>
    <w:p w:rsidR="00CD3AD2" w:rsidRPr="00CD3AD2" w:rsidRDefault="00CD3AD2" w:rsidP="00E6586B">
      <w:pPr>
        <w:ind w:firstLine="284"/>
        <w:rPr>
          <w:lang w:val="uk-UA"/>
        </w:rPr>
      </w:pPr>
      <w:r w:rsidRPr="00CD3AD2">
        <w:rPr>
          <w:lang w:val="uk-UA"/>
        </w:rPr>
        <w:t xml:space="preserve">Після розпаду Австро-Угорської імперії Галичина була окупована Польщею, Буковина - Румунією, а Закарпаття - Чехословаччиною. Тут також українців спіткали тяжкі економічні умови, які ще не раз призводили до масового виїзду за океан. З цією, другою хвилею, прибуло понад 67 тисяч чоловік. Вони оселилися не лише у степах Західної Канади, а й у великих промислових містах східної частини країни, де знаходили роботу на фабриках і заводах. </w:t>
      </w:r>
    </w:p>
    <w:p w:rsidR="00CD3AD2" w:rsidRPr="00CD3AD2" w:rsidRDefault="00CD3AD2" w:rsidP="00CD3AD2">
      <w:pPr>
        <w:ind w:firstLine="284"/>
        <w:rPr>
          <w:lang w:val="uk-UA"/>
        </w:rPr>
      </w:pPr>
      <w:r w:rsidRPr="00CD3AD2">
        <w:rPr>
          <w:lang w:val="uk-UA"/>
        </w:rPr>
        <w:t>У різних країнах Європи залишилося близько 80 тисяч українців. Усі решта іммігрували до США, Канади, менше - в Південну Америку та Австралію</w:t>
      </w:r>
      <w:r w:rsidR="00E6586B">
        <w:rPr>
          <w:lang w:val="uk-UA"/>
        </w:rPr>
        <w:t>.</w:t>
      </w:r>
    </w:p>
    <w:p w:rsidR="00CD3AD2" w:rsidRPr="00CD3AD2" w:rsidRDefault="00CD3AD2" w:rsidP="00CD3AD2">
      <w:pPr>
        <w:ind w:firstLine="284"/>
        <w:rPr>
          <w:lang w:val="uk-UA"/>
        </w:rPr>
      </w:pPr>
      <w:r w:rsidRPr="00CD3AD2">
        <w:rPr>
          <w:lang w:val="uk-UA"/>
        </w:rPr>
        <w:t>В</w:t>
      </w:r>
      <w:r w:rsidR="00E6586B">
        <w:rPr>
          <w:lang w:val="uk-UA"/>
        </w:rPr>
        <w:t xml:space="preserve">ідкрила їм свої двері Аргентина, що потребувала </w:t>
      </w:r>
      <w:r w:rsidRPr="00CD3AD2">
        <w:rPr>
          <w:lang w:val="uk-UA"/>
        </w:rPr>
        <w:t xml:space="preserve"> заселення в</w:t>
      </w:r>
      <w:r w:rsidR="00E6586B">
        <w:rPr>
          <w:lang w:val="uk-UA"/>
        </w:rPr>
        <w:t xml:space="preserve">еликих територій та ініціативної робочої сили для </w:t>
      </w:r>
      <w:r w:rsidRPr="00CD3AD2">
        <w:rPr>
          <w:lang w:val="uk-UA"/>
        </w:rPr>
        <w:t>свої</w:t>
      </w:r>
      <w:r w:rsidR="00E6586B">
        <w:rPr>
          <w:lang w:val="uk-UA"/>
        </w:rPr>
        <w:t>х</w:t>
      </w:r>
      <w:r w:rsidRPr="00CD3AD2">
        <w:rPr>
          <w:lang w:val="uk-UA"/>
        </w:rPr>
        <w:t xml:space="preserve"> зростаючих міст. Сюди перебралося близько сорока тис. українців. 30—40 тис. західних українців емігрували до Франції, де знайшли роботу в вугільних копальнях і заводах біля</w:t>
      </w:r>
      <w:r w:rsidR="00E6586B">
        <w:rPr>
          <w:lang w:val="uk-UA"/>
        </w:rPr>
        <w:t xml:space="preserve"> </w:t>
      </w:r>
      <w:proofErr w:type="spellStart"/>
      <w:r w:rsidRPr="00CD3AD2">
        <w:rPr>
          <w:lang w:val="uk-UA"/>
        </w:rPr>
        <w:t>Меца</w:t>
      </w:r>
      <w:proofErr w:type="spellEnd"/>
      <w:r w:rsidRPr="00CD3AD2">
        <w:rPr>
          <w:lang w:val="uk-UA"/>
        </w:rPr>
        <w:t>, північ від країни.</w:t>
      </w:r>
    </w:p>
    <w:p w:rsidR="00CD3AD2" w:rsidRPr="00CD3AD2" w:rsidRDefault="00CD3AD2" w:rsidP="00CD3AD2">
      <w:pPr>
        <w:ind w:firstLine="284"/>
        <w:rPr>
          <w:lang w:val="uk-UA"/>
        </w:rPr>
      </w:pPr>
      <w:r w:rsidRPr="00CD3AD2">
        <w:rPr>
          <w:lang w:val="uk-UA"/>
        </w:rPr>
        <w:t xml:space="preserve">За сім років вони оформилися в таборах для "переміщених осіб" в окрему спільноту. Своєрідна держава в державі. Виникли таборові школи, майстерні, кооперативи, університет, преса. Розвивалася література, образотворче мистецтво, засновувалися політичні організації. </w:t>
      </w:r>
    </w:p>
    <w:p w:rsidR="00CD3AD2" w:rsidRPr="00CD3AD2" w:rsidRDefault="00CD3AD2" w:rsidP="00CD3AD2">
      <w:pPr>
        <w:ind w:firstLine="284"/>
        <w:rPr>
          <w:lang w:val="uk-UA"/>
        </w:rPr>
      </w:pPr>
      <w:r w:rsidRPr="00CD3AD2">
        <w:rPr>
          <w:lang w:val="uk-UA"/>
        </w:rPr>
        <w:t xml:space="preserve">Це були люди переважно молодшого та середнього віку, які пройшли крізь горнило боротьби і належали до інтелігенції. Це призвело до створення в діаспорі дуже динамічної структури, яка охоплювала все: від спортивного життя до літературних гуртків та видань. Частково активна українська громада охопила і попередні генерації іммігрантів. Велику роль тут відіграли національні церкви - Українська православна й Українська греко-католицька зі своїми метрополіями, єпархіями, владиками, семінаріями. </w:t>
      </w:r>
    </w:p>
    <w:p w:rsidR="00CD3AD2" w:rsidRPr="00CD3AD2" w:rsidRDefault="00CD3AD2" w:rsidP="00CD3AD2">
      <w:pPr>
        <w:ind w:firstLine="284"/>
        <w:rPr>
          <w:lang w:val="uk-UA"/>
        </w:rPr>
      </w:pPr>
      <w:r w:rsidRPr="00CD3AD2">
        <w:rPr>
          <w:lang w:val="uk-UA"/>
        </w:rPr>
        <w:t xml:space="preserve">Однією з найбільш організованих категорій українських емігрантів у Німеччині в 20-ті роки виявилась студентська молодь. Українські студенти навчалися в університетах Лейпцига, Мюнхена, Берліна. На початку 1921 р. там було засновано спілку студентів-українців у Німеччині, яка об'єднувала майже 120 чоловік, переважно </w:t>
      </w:r>
      <w:proofErr w:type="spellStart"/>
      <w:r w:rsidRPr="00CD3AD2">
        <w:rPr>
          <w:lang w:val="uk-UA"/>
        </w:rPr>
        <w:t>наддніпрянців</w:t>
      </w:r>
      <w:proofErr w:type="spellEnd"/>
      <w:r w:rsidRPr="00CD3AD2">
        <w:rPr>
          <w:lang w:val="uk-UA"/>
        </w:rPr>
        <w:t xml:space="preserve">. Спілку фінансово підтримував </w:t>
      </w:r>
      <w:proofErr w:type="spellStart"/>
      <w:r w:rsidRPr="00CD3AD2">
        <w:rPr>
          <w:lang w:val="uk-UA"/>
        </w:rPr>
        <w:t>Допомоговий</w:t>
      </w:r>
      <w:proofErr w:type="spellEnd"/>
      <w:r w:rsidRPr="00CD3AD2">
        <w:rPr>
          <w:lang w:val="uk-UA"/>
        </w:rPr>
        <w:t xml:space="preserve"> комітет на чолі з Володимиром Винниченком і Богданом Лепким.</w:t>
      </w:r>
    </w:p>
    <w:p w:rsidR="00CD3AD2" w:rsidRPr="00CD3AD2" w:rsidRDefault="00CD3AD2" w:rsidP="00CD3AD2">
      <w:pPr>
        <w:ind w:firstLine="284"/>
        <w:rPr>
          <w:lang w:val="uk-UA"/>
        </w:rPr>
      </w:pPr>
      <w:r w:rsidRPr="00CD3AD2">
        <w:rPr>
          <w:lang w:val="uk-UA"/>
        </w:rPr>
        <w:t xml:space="preserve">Вагомим здобутком української еміграції в Німеччині став Український науковий інститут (УНІ), створений у Берліні в листопаді 1926 р. Своє основне завдання керівництво інституту вбачало у розвитку української науки за кордоном, а також у співробітництві із західноєвропейськими вченими. </w:t>
      </w:r>
    </w:p>
    <w:p w:rsidR="00CD3AD2" w:rsidRPr="00CD3AD2" w:rsidRDefault="00CD3AD2" w:rsidP="00CD3AD2">
      <w:pPr>
        <w:ind w:firstLine="284"/>
        <w:rPr>
          <w:lang w:val="uk-UA"/>
        </w:rPr>
      </w:pPr>
      <w:r w:rsidRPr="00CD3AD2">
        <w:rPr>
          <w:lang w:val="uk-UA"/>
        </w:rPr>
        <w:t xml:space="preserve">Періодові другої хвилі еміграції властиве таке явище як рееміграція, яке відбулося на початку 20-х рр. XX ст. Цей процес був зумовлений сподіваннями деякої частини емігрантів, що політичний устрій Радянської України можна змінити демократичний. </w:t>
      </w:r>
      <w:r w:rsidR="00E6586B">
        <w:rPr>
          <w:lang w:val="uk-UA"/>
        </w:rPr>
        <w:t>П</w:t>
      </w:r>
      <w:r w:rsidRPr="00CD3AD2">
        <w:rPr>
          <w:lang w:val="uk-UA"/>
        </w:rPr>
        <w:t xml:space="preserve">роте це не влаштовувало радянську владу, більшість реемігрантів у 30-х рр. </w:t>
      </w:r>
      <w:r w:rsidRPr="00CD3AD2">
        <w:rPr>
          <w:lang w:val="uk-UA"/>
        </w:rPr>
        <w:lastRenderedPageBreak/>
        <w:t>було репресовано. Проте, звичайно, були й винятки, зокрема, яскравим прикладом є рееміграція Михайла Грушевськог</w:t>
      </w:r>
      <w:r w:rsidR="00E6586B">
        <w:rPr>
          <w:lang w:val="uk-UA"/>
        </w:rPr>
        <w:t>о</w:t>
      </w:r>
      <w:r w:rsidRPr="00CD3AD2">
        <w:rPr>
          <w:lang w:val="uk-UA"/>
        </w:rPr>
        <w:t>.</w:t>
      </w:r>
    </w:p>
    <w:p w:rsidR="00CD3AD2" w:rsidRPr="00CD3AD2" w:rsidRDefault="00CD3AD2" w:rsidP="00CD3AD2">
      <w:pPr>
        <w:ind w:firstLine="284"/>
        <w:rPr>
          <w:lang w:val="uk-UA"/>
        </w:rPr>
      </w:pPr>
      <w:r w:rsidRPr="00CD3AD2">
        <w:rPr>
          <w:lang w:val="uk-UA"/>
        </w:rPr>
        <w:t>З 30-х років XX ст. виїзд емігрантів з України майже припинився через політику тогочасного керівництва СРСР.</w:t>
      </w:r>
    </w:p>
    <w:p w:rsidR="00CD3AD2" w:rsidRPr="00CD3AD2" w:rsidRDefault="00CD3AD2" w:rsidP="00CD3AD2">
      <w:pPr>
        <w:ind w:firstLine="284"/>
        <w:rPr>
          <w:lang w:val="uk-UA"/>
        </w:rPr>
      </w:pPr>
      <w:r w:rsidRPr="00CD3AD2">
        <w:rPr>
          <w:lang w:val="uk-UA"/>
        </w:rPr>
        <w:t>Цей період істотно відрізнявся від довоєнного. До 1914 р. в західний бік емігрувало понад 500 тис. українців, в міжвоєнний період лише близько 200 тис. Головною причиною спаду було безробіття, викликане Великої депресією і заборона на виїзд з СРСР.</w:t>
      </w:r>
    </w:p>
    <w:p w:rsidR="00CD3AD2" w:rsidRPr="00CD3AD2" w:rsidRDefault="00CD3AD2" w:rsidP="00CD3AD2">
      <w:pPr>
        <w:ind w:firstLine="284"/>
        <w:rPr>
          <w:lang w:val="uk-UA"/>
        </w:rPr>
      </w:pPr>
      <w:r w:rsidRPr="00CD3AD2">
        <w:rPr>
          <w:lang w:val="uk-UA"/>
        </w:rPr>
        <w:t>Таким чином українці другої хвилі української еміграції відрізнялися від перших своїх попередників тим, що були освіченими людьми. Саме цим пояснюється їх швидке пристосування до нових умов життя і праці, а також активна участь у громадському житті. У міжвоєнний період українці їхали за кордон переважно з політичних причин. Осівши і утвердившись там, вони прагнули допомогти своїй батьківщині. Однак багатьом мріям поклала край друга світова війна.</w:t>
      </w:r>
    </w:p>
    <w:p w:rsidR="00EF3BBF" w:rsidRPr="00EF3BBF" w:rsidRDefault="00843485" w:rsidP="00EF3BBF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Theme="majorHAnsi" w:eastAsia="Times New Roman" w:hAnsiTheme="majorHAnsi" w:cs="Arial"/>
          <w:b/>
          <w:color w:val="222222"/>
          <w:sz w:val="20"/>
          <w:szCs w:val="20"/>
          <w:lang w:eastAsia="ru-RU"/>
        </w:rPr>
      </w:pPr>
      <w:r>
        <w:rPr>
          <w:lang w:val="uk-UA"/>
        </w:rPr>
        <w:t xml:space="preserve"> </w:t>
      </w:r>
      <w:r w:rsidR="00EF3BBF">
        <w:rPr>
          <w:rFonts w:asciiTheme="majorHAnsi" w:eastAsia="Times New Roman" w:hAnsiTheme="majorHAnsi" w:cs="Arial"/>
          <w:b/>
          <w:color w:val="222222"/>
          <w:sz w:val="20"/>
          <w:szCs w:val="20"/>
          <w:lang w:val="uk-UA" w:eastAsia="ru-RU"/>
        </w:rPr>
        <w:t>Дати до Л</w:t>
      </w:r>
      <w:r w:rsidR="00EF3BBF" w:rsidRPr="00EF3BBF">
        <w:rPr>
          <w:rFonts w:asciiTheme="majorHAnsi" w:eastAsia="Times New Roman" w:hAnsiTheme="majorHAnsi" w:cs="Arial"/>
          <w:b/>
          <w:color w:val="222222"/>
          <w:sz w:val="20"/>
          <w:szCs w:val="20"/>
          <w:lang w:val="uk-UA" w:eastAsia="ru-RU"/>
        </w:rPr>
        <w:t>екції</w:t>
      </w:r>
      <w:r w:rsidR="00EF3BBF" w:rsidRPr="00EF3BBF">
        <w:rPr>
          <w:rFonts w:asciiTheme="majorHAnsi" w:eastAsia="Times New Roman" w:hAnsiTheme="majorHAnsi" w:cs="Arial"/>
          <w:b/>
          <w:color w:val="222222"/>
          <w:sz w:val="20"/>
          <w:szCs w:val="20"/>
          <w:lang w:val="uk-UA" w:eastAsia="ru-RU"/>
        </w:rPr>
        <w:t xml:space="preserve"> 1</w:t>
      </w:r>
      <w:r w:rsidR="00EF3BBF" w:rsidRPr="00EF3BBF">
        <w:rPr>
          <w:rFonts w:asciiTheme="majorHAnsi" w:eastAsia="Times New Roman" w:hAnsiTheme="majorHAnsi" w:cs="Arial"/>
          <w:b/>
          <w:color w:val="222222"/>
          <w:sz w:val="20"/>
          <w:szCs w:val="20"/>
          <w:lang w:val="uk-UA" w:eastAsia="ru-RU"/>
        </w:rPr>
        <w:t>: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 млн. років тому – поява першої людини на території України,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0 – народження Ісуса Христа,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467 р. – падіння Римської імперії,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1492 р. – відкриття Америки Колумбом,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1789 р. – велика Французька буржуазна революція,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1914-1918 рр. – перша світова війна,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1939-1945 рр. – друга світова війна,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Бл</w:t>
      </w:r>
      <w:proofErr w:type="spellEnd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. 482 р. - заснування Києва,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864 р. – заснування давньоруської держави з центром у м. Києві,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1340 р. – смерть останнього Г</w:t>
      </w: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алицько-Волинського князя Юрія ІІ</w:t>
      </w:r>
      <w:bookmarkStart w:id="0" w:name="_GoBack"/>
      <w:bookmarkEnd w:id="0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, Галицько-волинське князівство перейшло під владу Польщі,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1363 р. – битва на Синіх Водах, остаточне закріплення територій Київської русі за ВКЛ,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1648 р. – початок Визвольної війни під проводом Богдана Хмельницького,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1764 р. – ліквідація Гетьманства,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1775 р. – знищення Запорізької січі,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1772, 1793, 1795 рр. – Поділи Польщі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2 березня 1917 р. – зречення царя від влади,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17 березня 1917 р. – створення УЦР,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7 листопада 1917 р. – більшовицький переворот у Петрограді,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 xml:space="preserve">30 грудня 1922 р. – створення </w:t>
      </w:r>
      <w:proofErr w:type="spellStart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срср</w:t>
      </w:r>
      <w:proofErr w:type="spellEnd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 xml:space="preserve">, входження </w:t>
      </w:r>
      <w:proofErr w:type="spellStart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усрр</w:t>
      </w:r>
      <w:proofErr w:type="spellEnd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 xml:space="preserve"> до її складу,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24 серпня 1991 р. – проголошення незалежності України.</w:t>
      </w:r>
    </w:p>
    <w:p w:rsidR="00EF3BBF" w:rsidRDefault="00EF3BBF" w:rsidP="00EF3BB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28 червня 1996 р. – прийняття Конституції України</w:t>
      </w:r>
    </w:p>
    <w:p w:rsidR="00EF3BBF" w:rsidRPr="00EF3BBF" w:rsidRDefault="00EF3BBF" w:rsidP="00EF3BBF">
      <w:pPr>
        <w:spacing w:after="0" w:line="240" w:lineRule="auto"/>
        <w:rPr>
          <w:rFonts w:asciiTheme="majorHAnsi" w:eastAsia="Times New Roman" w:hAnsiTheme="majorHAnsi" w:cs="Times New Roman"/>
          <w:b/>
          <w:sz w:val="20"/>
          <w:szCs w:val="20"/>
          <w:lang w:eastAsia="ru-RU"/>
        </w:rPr>
      </w:pPr>
      <w:proofErr w:type="spellStart"/>
      <w:r w:rsidRPr="00EF3BBF">
        <w:rPr>
          <w:rFonts w:asciiTheme="majorHAnsi" w:eastAsia="Times New Roman" w:hAnsiTheme="majorHAnsi" w:cs="Arial"/>
          <w:b/>
          <w:color w:val="222222"/>
          <w:sz w:val="20"/>
          <w:szCs w:val="20"/>
          <w:shd w:val="clear" w:color="auto" w:fill="FFFFFF"/>
          <w:lang w:eastAsia="ru-RU"/>
        </w:rPr>
        <w:t>Дати</w:t>
      </w:r>
      <w:proofErr w:type="spellEnd"/>
      <w:r w:rsidRPr="00EF3BBF">
        <w:rPr>
          <w:rFonts w:asciiTheme="majorHAnsi" w:eastAsia="Times New Roman" w:hAnsiTheme="majorHAnsi" w:cs="Arial"/>
          <w:b/>
          <w:color w:val="222222"/>
          <w:sz w:val="20"/>
          <w:szCs w:val="20"/>
          <w:shd w:val="clear" w:color="auto" w:fill="FFFFFF"/>
          <w:lang w:eastAsia="ru-RU"/>
        </w:rPr>
        <w:t xml:space="preserve"> до </w:t>
      </w:r>
      <w:proofErr w:type="spellStart"/>
      <w:r>
        <w:rPr>
          <w:rFonts w:asciiTheme="majorHAnsi" w:eastAsia="Times New Roman" w:hAnsiTheme="majorHAnsi" w:cs="Arial"/>
          <w:b/>
          <w:color w:val="222222"/>
          <w:sz w:val="20"/>
          <w:szCs w:val="20"/>
          <w:shd w:val="clear" w:color="auto" w:fill="FFFFFF"/>
          <w:lang w:eastAsia="ru-RU"/>
        </w:rPr>
        <w:t>Лекці</w:t>
      </w:r>
      <w:proofErr w:type="spellEnd"/>
      <w:r>
        <w:rPr>
          <w:rFonts w:asciiTheme="majorHAnsi" w:eastAsia="Times New Roman" w:hAnsiTheme="majorHAnsi" w:cs="Arial"/>
          <w:b/>
          <w:color w:val="222222"/>
          <w:sz w:val="20"/>
          <w:szCs w:val="20"/>
          <w:shd w:val="clear" w:color="auto" w:fill="FFFFFF"/>
          <w:lang w:val="uk-UA" w:eastAsia="ru-RU"/>
        </w:rPr>
        <w:t>ї</w:t>
      </w:r>
      <w:r w:rsidRPr="00EF3BBF">
        <w:rPr>
          <w:rFonts w:asciiTheme="majorHAnsi" w:eastAsia="Times New Roman" w:hAnsiTheme="majorHAnsi" w:cs="Arial"/>
          <w:b/>
          <w:color w:val="222222"/>
          <w:sz w:val="20"/>
          <w:szCs w:val="20"/>
          <w:shd w:val="clear" w:color="auto" w:fill="FFFFFF"/>
          <w:lang w:eastAsia="ru-RU"/>
        </w:rPr>
        <w:t xml:space="preserve"> 1.1</w:t>
      </w:r>
      <w:r w:rsidRPr="00EF3BBF">
        <w:rPr>
          <w:rFonts w:asciiTheme="majorHAnsi" w:eastAsia="Times New Roman" w:hAnsiTheme="majorHAnsi" w:cs="Arial"/>
          <w:b/>
          <w:color w:val="222222"/>
          <w:sz w:val="20"/>
          <w:szCs w:val="20"/>
          <w:lang w:eastAsia="ru-RU"/>
        </w:rPr>
        <w:br/>
      </w:r>
    </w:p>
    <w:p w:rsidR="00EF3BBF" w:rsidRDefault="00EF3BBF" w:rsidP="00EF3BB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 xml:space="preserve">980-1015 рр. – князювання Володимира Великого, зібрання усіх </w:t>
      </w:r>
      <w:proofErr w:type="spellStart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східнословянських</w:t>
      </w:r>
      <w:proofErr w:type="spellEnd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 xml:space="preserve"> народів в одній державі,</w:t>
      </w:r>
    </w:p>
    <w:p w:rsidR="00EF3BBF" w:rsidRDefault="00EF3BBF" w:rsidP="00EF3BB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1223 р. – битва на р. Калці, поразка русичів.</w:t>
      </w:r>
    </w:p>
    <w:p w:rsidR="00EF3BBF" w:rsidRDefault="00EF3BBF" w:rsidP="00EF3BB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1240 р. – взяття Києва монголо-татарами.</w:t>
      </w:r>
    </w:p>
    <w:p w:rsidR="00EF3BBF" w:rsidRDefault="00EF3BBF" w:rsidP="00EF3BB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 xml:space="preserve">1485 р. – зміна титулу великого князя Московського на «Великого князя </w:t>
      </w:r>
      <w:proofErr w:type="spellStart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всія</w:t>
      </w:r>
      <w:proofErr w:type="spellEnd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 xml:space="preserve"> Русі»</w:t>
      </w:r>
    </w:p>
    <w:p w:rsidR="00EF3BBF" w:rsidRDefault="00EF3BBF" w:rsidP="00EF3BB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 xml:space="preserve">1667 р. – Андрусівське </w:t>
      </w:r>
      <w:proofErr w:type="spellStart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перемиря</w:t>
      </w:r>
      <w:proofErr w:type="spellEnd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, розподіл України між Польщею та Росією,</w:t>
      </w:r>
    </w:p>
    <w:p w:rsidR="00EF3BBF" w:rsidRDefault="00EF3BBF" w:rsidP="00EF3BB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1848-1849 рр. – епоха революцій в Європі «Весна народів».</w:t>
      </w:r>
    </w:p>
    <w:p w:rsidR="00EF3BBF" w:rsidRDefault="00EF3BBF" w:rsidP="00EF3BB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1918 р. – проголошення незалежності УНР,</w:t>
      </w:r>
    </w:p>
    <w:p w:rsidR="00EF3BBF" w:rsidRDefault="00EF3BBF" w:rsidP="00EF3BB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1925 р. – обмін територіями між РСФСР та УСРР.</w:t>
      </w:r>
    </w:p>
    <w:p w:rsidR="00EF3BBF" w:rsidRDefault="00EF3BBF" w:rsidP="00EF3BB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1934 р. – перенесення столиці з Харкова до Києва,</w:t>
      </w:r>
    </w:p>
    <w:p w:rsidR="00EF3BBF" w:rsidRDefault="00EF3BBF" w:rsidP="00EF3BB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1939 р. – приєднання до УРСР Галичини та Волині,</w:t>
      </w:r>
    </w:p>
    <w:p w:rsidR="00EF3BBF" w:rsidRDefault="00EF3BBF" w:rsidP="00EF3BB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 xml:space="preserve">1940 р. – приєднання до </w:t>
      </w:r>
      <w:proofErr w:type="spellStart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урср</w:t>
      </w:r>
      <w:proofErr w:type="spellEnd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 xml:space="preserve"> частин </w:t>
      </w:r>
      <w:proofErr w:type="spellStart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Бесарабії</w:t>
      </w:r>
      <w:proofErr w:type="spellEnd"/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 xml:space="preserve"> та Буковини, створення Молдовської РСР,</w:t>
      </w:r>
    </w:p>
    <w:p w:rsidR="00EF3BBF" w:rsidRDefault="00EF3BBF" w:rsidP="00EF3BB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1945 р. – приєднання до УРСР Закарпаття,</w:t>
      </w:r>
    </w:p>
    <w:p w:rsidR="00EF3BBF" w:rsidRDefault="00EF3BBF" w:rsidP="00EF3BB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1947 р. – акція Вісла,</w:t>
      </w:r>
    </w:p>
    <w:p w:rsidR="00EF3BBF" w:rsidRDefault="00EF3BBF" w:rsidP="00EF3BB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1951 р. – обмін територіями між УРСР та Польщею,</w:t>
      </w:r>
    </w:p>
    <w:p w:rsidR="00EF3BBF" w:rsidRDefault="00EF3BBF" w:rsidP="00EF3BB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val="uk-UA" w:eastAsia="ru-RU"/>
        </w:rPr>
        <w:t>1954 р. – приєднання до УРСР Криму.</w:t>
      </w:r>
    </w:p>
    <w:p w:rsidR="00EF3BBF" w:rsidRDefault="00EF3BBF" w:rsidP="00EF3BBF">
      <w:pPr>
        <w:rPr>
          <w:rFonts w:asciiTheme="majorHAnsi" w:hAnsiTheme="majorHAnsi"/>
          <w:sz w:val="20"/>
          <w:szCs w:val="20"/>
        </w:rPr>
      </w:pPr>
    </w:p>
    <w:sectPr w:rsidR="00EF3BBF" w:rsidSect="00EF3B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84B"/>
    <w:multiLevelType w:val="hybridMultilevel"/>
    <w:tmpl w:val="88C6B38C"/>
    <w:lvl w:ilvl="0" w:tplc="DB723B6C">
      <w:start w:val="1"/>
      <w:numFmt w:val="bullet"/>
      <w:lvlText w:val=""/>
      <w:lvlJc w:val="left"/>
      <w:pPr>
        <w:ind w:left="14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>
    <w:nsid w:val="1ED2162E"/>
    <w:multiLevelType w:val="hybridMultilevel"/>
    <w:tmpl w:val="29341118"/>
    <w:lvl w:ilvl="0" w:tplc="DB723B6C">
      <w:start w:val="1"/>
      <w:numFmt w:val="bullet"/>
      <w:lvlText w:val=""/>
      <w:lvlJc w:val="left"/>
      <w:pPr>
        <w:ind w:left="14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F4"/>
    <w:rsid w:val="001E279E"/>
    <w:rsid w:val="003E56F4"/>
    <w:rsid w:val="00843485"/>
    <w:rsid w:val="00A4194A"/>
    <w:rsid w:val="00CD3AD2"/>
    <w:rsid w:val="00D5270A"/>
    <w:rsid w:val="00D93A30"/>
    <w:rsid w:val="00E6586B"/>
    <w:rsid w:val="00ED05D2"/>
    <w:rsid w:val="00EF3BBF"/>
    <w:rsid w:val="00F6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3A30"/>
  </w:style>
  <w:style w:type="character" w:styleId="a3">
    <w:name w:val="Hyperlink"/>
    <w:basedOn w:val="a0"/>
    <w:uiPriority w:val="99"/>
    <w:semiHidden/>
    <w:unhideWhenUsed/>
    <w:rsid w:val="00D93A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F3B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3A30"/>
  </w:style>
  <w:style w:type="character" w:styleId="a3">
    <w:name w:val="Hyperlink"/>
    <w:basedOn w:val="a0"/>
    <w:uiPriority w:val="99"/>
    <w:semiHidden/>
    <w:unhideWhenUsed/>
    <w:rsid w:val="00D93A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F3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6</cp:revision>
  <dcterms:created xsi:type="dcterms:W3CDTF">2013-09-08T08:20:00Z</dcterms:created>
  <dcterms:modified xsi:type="dcterms:W3CDTF">2013-09-08T12:03:00Z</dcterms:modified>
</cp:coreProperties>
</file>