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2F6DB2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2F6DB2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8684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53736" cy="4564048"/>
            <wp:effectExtent l="19050" t="0" r="4114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26" cy="45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2F6DB2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F6DB2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89314</wp:posOffset>
            </wp:positionH>
            <wp:positionV relativeFrom="paragraph">
              <wp:posOffset>54085</wp:posOffset>
            </wp:positionV>
            <wp:extent cx="5777451" cy="3726849"/>
            <wp:effectExtent l="19050" t="0" r="0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341" cy="37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9851AB" w:rsidRPr="009851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9851AB" w:rsidRPr="00130AD2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131594" cy="1796995"/>
            <wp:effectExtent l="19050" t="0" r="200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42" cy="179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2F6DB2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2F6DB2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52.45pt;margin-top:-25.4pt;width:558.4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DD109E" w:rsidRPr="00130AD2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736" w:type="dxa"/>
        <w:tblInd w:w="-830" w:type="dxa"/>
        <w:tblLayout w:type="fixed"/>
        <w:tblLook w:val="04A0"/>
      </w:tblPr>
      <w:tblGrid>
        <w:gridCol w:w="1097"/>
        <w:gridCol w:w="567"/>
        <w:gridCol w:w="518"/>
        <w:gridCol w:w="504"/>
        <w:gridCol w:w="526"/>
        <w:gridCol w:w="514"/>
        <w:gridCol w:w="467"/>
        <w:gridCol w:w="526"/>
        <w:gridCol w:w="569"/>
        <w:gridCol w:w="489"/>
        <w:gridCol w:w="514"/>
        <w:gridCol w:w="498"/>
        <w:gridCol w:w="514"/>
        <w:gridCol w:w="498"/>
        <w:gridCol w:w="489"/>
        <w:gridCol w:w="498"/>
        <w:gridCol w:w="498"/>
        <w:gridCol w:w="498"/>
        <w:gridCol w:w="451"/>
        <w:gridCol w:w="501"/>
      </w:tblGrid>
      <w:tr w:rsidR="00130AD2" w:rsidRPr="00874D1A" w:rsidTr="00130AD2">
        <w:trPr>
          <w:trHeight w:val="1259"/>
        </w:trPr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1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25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2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S1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30AD2" w:rsidRPr="00874D1A" w:rsidTr="00130AD2">
        <w:trPr>
          <w:trHeight w:val="379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AD2" w:rsidRPr="006B6EC0" w:rsidRDefault="00130AD2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20E16">
        <w:rPr>
          <w:rFonts w:ascii="GOST 2.30481 type A" w:hAnsi="GOST 2.30481 type A"/>
          <w:b/>
          <w:i/>
          <w:sz w:val="32"/>
          <w:szCs w:val="32"/>
        </w:rPr>
        <w:t>3І, 2АБО, 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2F6DB2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2F6DB2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12ED"/>
    <w:rsid w:val="0006634A"/>
    <w:rsid w:val="00096740"/>
    <w:rsid w:val="000F76EF"/>
    <w:rsid w:val="00130AD2"/>
    <w:rsid w:val="001A717A"/>
    <w:rsid w:val="002F6DB2"/>
    <w:rsid w:val="003D7401"/>
    <w:rsid w:val="003F03BA"/>
    <w:rsid w:val="00447168"/>
    <w:rsid w:val="005C062D"/>
    <w:rsid w:val="00667A70"/>
    <w:rsid w:val="006C56DA"/>
    <w:rsid w:val="00747B00"/>
    <w:rsid w:val="00855863"/>
    <w:rsid w:val="00873751"/>
    <w:rsid w:val="00874D1A"/>
    <w:rsid w:val="008B64F7"/>
    <w:rsid w:val="009851AB"/>
    <w:rsid w:val="009B6494"/>
    <w:rsid w:val="00A07910"/>
    <w:rsid w:val="00A07B5D"/>
    <w:rsid w:val="00A56AB4"/>
    <w:rsid w:val="00A63719"/>
    <w:rsid w:val="00A67067"/>
    <w:rsid w:val="00AE12ED"/>
    <w:rsid w:val="00AF2D8B"/>
    <w:rsid w:val="00B86848"/>
    <w:rsid w:val="00CB4B11"/>
    <w:rsid w:val="00CD5FF8"/>
    <w:rsid w:val="00DA0195"/>
    <w:rsid w:val="00DA0D32"/>
    <w:rsid w:val="00DD109E"/>
    <w:rsid w:val="00ED1082"/>
    <w:rsid w:val="00F20E16"/>
    <w:rsid w:val="00F251A3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99AA0-FAA4-4ED2-9C4C-408DD402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1578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Vyacheslav Golovenko</dc:creator>
  <cp:lastModifiedBy>Vyacheslav Golovenko</cp:lastModifiedBy>
  <cp:revision>5</cp:revision>
  <cp:lastPrinted>2014-12-09T18:57:00Z</cp:lastPrinted>
  <dcterms:created xsi:type="dcterms:W3CDTF">2014-12-09T18:33:00Z</dcterms:created>
  <dcterms:modified xsi:type="dcterms:W3CDTF">2014-12-09T18:59:00Z</dcterms:modified>
</cp:coreProperties>
</file>