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74" w:rsidRDefault="00BA5016" w:rsidP="00800674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BA5016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group id="_x0000_s1026" style="position:absolute;margin-left:-27.4pt;margin-top:-20.6pt;width:524.3pt;height:810.25pt;z-index:251645952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176DA6" w:rsidRPr="00AE12ED" w:rsidRDefault="00176DA6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176DA6" w:rsidRPr="00AE12ED" w:rsidRDefault="00176DA6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176DA6" w:rsidRPr="00AE12ED" w:rsidRDefault="00176DA6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176DA6" w:rsidRPr="00AE12ED" w:rsidRDefault="00176DA6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176DA6" w:rsidRPr="00AE12ED" w:rsidRDefault="00176DA6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176DA6" w:rsidRPr="00AE12ED" w:rsidRDefault="00176DA6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76DA6" w:rsidRPr="006A5A89" w:rsidRDefault="006A5A89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176DA6" w:rsidRDefault="00176DA6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176DA6" w:rsidRPr="00AE12ED" w:rsidRDefault="00176DA6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36C21"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521D97" w:rsidRPr="002645DB" w:rsidRDefault="00800674" w:rsidP="00521D9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  <w:r w:rsidR="00521D97" w:rsidRPr="00521D97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,</w:t>
      </w:r>
    </w:p>
    <w:p w:rsidR="00FF2307" w:rsidRPr="00521D97" w:rsidRDefault="00521D97" w:rsidP="00521D9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2645DB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  </w:t>
      </w:r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Пірса та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B36C21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B36C21" w:rsidRPr="00800674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B36C21" w:rsidRPr="002645DB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E87252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B36C21" w:rsidRPr="00800674" w:rsidRDefault="00B36C21" w:rsidP="00B36C21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176DA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76DA6" w:rsidRPr="00176DA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∙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176DA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76DA6" w:rsidRPr="00176DA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  <w:r w:rsidR="00176DA6" w:rsidRPr="00176DA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176DA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76DA6" w:rsidRPr="00176DA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176DA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76DA6" w:rsidRPr="00176DA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="00176DA6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176DA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76DA6" w:rsidRPr="00176DA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176DA6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</w:p>
    <w:p w:rsidR="00B36C21" w:rsidRPr="002645DB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76DA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176DA6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="00176DA6"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="00176DA6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176DA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E87252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E87252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87252" w:rsidRPr="00E87252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B36C21" w:rsidRPr="00F72B3B" w:rsidRDefault="00B36C21" w:rsidP="00176D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f4 = ((X4/X</w:t>
      </w:r>
      <w:r w:rsidR="00176DA6">
        <w:rPr>
          <w:rFonts w:ascii="GOST 2.30481 type A" w:hAnsi="GOST 2.30481 type A" w:cs="GOST type B"/>
          <w:b/>
          <w:i/>
          <w:sz w:val="32"/>
          <w:szCs w:val="32"/>
        </w:rPr>
        <w:t>4)/(X3/X3)/(X2/X2)/X1)/((X4/X4)</w:t>
      </w:r>
      <w:r w:rsidR="00176DA6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176DA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176DA6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176DA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="00176DA6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176DA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176DA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1/</w:t>
      </w:r>
      <w:r w:rsidR="00176DA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176DA6" w:rsidRPr="00F72B3B">
        <w:rPr>
          <w:rFonts w:ascii="GOST 2.30481 type A" w:hAnsi="GOST 2.30481 type A" w:cs="GOST type B"/>
          <w:b/>
          <w:i/>
          <w:sz w:val="32"/>
          <w:szCs w:val="32"/>
        </w:rPr>
        <w:t>1))/</w:t>
      </w:r>
    </w:p>
    <w:p w:rsidR="00176DA6" w:rsidRPr="00F72B3B" w:rsidRDefault="0022430D" w:rsidP="00176D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F72B3B">
        <w:rPr>
          <w:rFonts w:ascii="GOST 2.30481 type A" w:hAnsi="GOST 2.30481 type A" w:cs="GOST type B"/>
          <w:b/>
          <w:i/>
          <w:sz w:val="32"/>
          <w:szCs w:val="32"/>
        </w:rPr>
        <w:t>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22430D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2/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Pr="0022430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1/</w:t>
      </w:r>
      <w:r w:rsidR="002B10C6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2B10C6" w:rsidRPr="00F72B3B">
        <w:rPr>
          <w:rFonts w:ascii="GOST 2.30481 type A" w:hAnsi="GOST 2.30481 type A" w:cs="GOST type B"/>
          <w:b/>
          <w:i/>
          <w:sz w:val="32"/>
          <w:szCs w:val="32"/>
        </w:rPr>
        <w:t>1))/</w:t>
      </w:r>
    </w:p>
    <w:p w:rsidR="002B10C6" w:rsidRPr="00F72B3B" w:rsidRDefault="002B10C6" w:rsidP="00176D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F72B3B">
        <w:rPr>
          <w:rFonts w:ascii="GOST 2.30481 type A" w:hAnsi="GOST 2.30481 type A" w:cs="GOST type B"/>
          <w:b/>
          <w:i/>
          <w:sz w:val="32"/>
          <w:szCs w:val="32"/>
        </w:rPr>
        <w:t>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F72B3B">
        <w:rPr>
          <w:rFonts w:ascii="GOST 2.30481 type A" w:hAnsi="GOST 2.30481 type A" w:cs="GOST type B"/>
          <w:b/>
          <w:i/>
          <w:sz w:val="32"/>
          <w:szCs w:val="32"/>
        </w:rPr>
        <w:t>1)).</w:t>
      </w: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B36C21" w:rsidRPr="00B61DF8" w:rsidRDefault="00B36C21" w:rsidP="002B10C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B61DF8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B61DF8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B61DF8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B61DF8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B61DF8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B61DF8">
        <w:rPr>
          <w:rFonts w:ascii="GOST 2.30481 type A" w:hAnsi="GOST 2.30481 type A" w:cs="Arial"/>
          <w:b/>
          <w:i/>
          <w:sz w:val="32"/>
          <w:szCs w:val="32"/>
        </w:rPr>
        <w:t>X2)</w:t>
      </w:r>
      <w:r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B61DF8">
        <w:rPr>
          <w:rFonts w:ascii="GOST 2.30481 type A" w:hAnsi="GOST 2.30481 type A" w:cs="Arial"/>
          <w:b/>
          <w:i/>
          <w:sz w:val="32"/>
          <w:szCs w:val="32"/>
        </w:rPr>
        <w:t>X1)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1))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2)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(( 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1))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4)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3)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2)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3) 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2B10C6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2B10C6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4) 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3) 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2) 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B61DF8" w:rsidRPr="00B61DF8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B61DF8" w:rsidRPr="00B61DF8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6A5A89" w:rsidRPr="006A5A89" w:rsidRDefault="00B36C21" w:rsidP="006A5A8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f4 = 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6A5A89" w:rsidRPr="006A5A89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6A5A89" w:rsidRPr="006A5A89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1)(</w:t>
      </w:r>
      <w:r w:rsidR="006A5A8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6A5A89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)(</w:t>
      </w:r>
      <w:r w:rsidR="006A5A8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="006A5A89"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="006A5A89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6A5A8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6A5A89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)(</w:t>
      </w:r>
      <w:r w:rsidR="006A5A8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6A5A89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)(</w:t>
      </w:r>
      <w:r w:rsidR="006A5A8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="006A5A8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A5A89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))</w:t>
      </w:r>
      <w:r w:rsidR="006A5A89"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="006A5A89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6A5A8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6A5A89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6A5A89"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A5A89" w:rsidRPr="006A5A89">
        <w:rPr>
          <w:rFonts w:ascii="GOST 2.30481 type A" w:hAnsi="GOST 2.30481 type A" w:cs="GOST type B"/>
          <w:b/>
          <w:i/>
          <w:sz w:val="32"/>
          <w:szCs w:val="32"/>
        </w:rPr>
        <w:t>)</w:t>
      </w:r>
    </w:p>
    <w:p w:rsidR="006A5A89" w:rsidRPr="006A5A89" w:rsidRDefault="006A5A89" w:rsidP="006A5A8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6A5A89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br/>
        <w:t>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))</w:t>
      </w:r>
      <w:r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1))</w:t>
      </w:r>
      <w:r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B36C21" w:rsidRPr="006A5A89" w:rsidRDefault="006A5A89" w:rsidP="006A5A8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6A5A89">
        <w:rPr>
          <w:rFonts w:ascii="GOST 2.30481 type A" w:hAnsi="GOST 2.30481 type A" w:cs="GOST type B"/>
          <w:b/>
          <w:i/>
          <w:sz w:val="32"/>
          <w:szCs w:val="32"/>
        </w:rPr>
        <w:t>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1) = 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2)</w:t>
      </w:r>
      <w:r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2)</w:t>
      </w:r>
      <w:r w:rsidRPr="006A5A89">
        <w:rPr>
          <w:rFonts w:ascii="Cambria Math" w:hAnsi="Cambria Math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6A5A89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800674" w:rsidRPr="00800674" w:rsidRDefault="00800674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f(0011) = f(1100) = 1 =&gt;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800674" w:rsidRPr="000C598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B36C21" w:rsidRDefault="00B36C21">
      <w:pPr>
        <w:rPr>
          <w:rFonts w:ascii="GOST 2.30481 type A" w:hAnsi="GOST 2.30481 type A"/>
          <w:b/>
          <w:i/>
          <w:sz w:val="32"/>
          <w:szCs w:val="32"/>
          <w:u w:val="single"/>
        </w:rPr>
      </w:pPr>
      <w:r>
        <w:rPr>
          <w:rFonts w:ascii="GOST 2.30481 type A" w:hAnsi="GOST 2.30481 type A"/>
          <w:b/>
          <w:i/>
          <w:sz w:val="32"/>
          <w:szCs w:val="32"/>
          <w:u w:val="single"/>
        </w:rPr>
        <w:br w:type="page"/>
      </w:r>
    </w:p>
    <w:p w:rsidR="00B36C21" w:rsidRPr="00B273F7" w:rsidRDefault="00BA5016" w:rsidP="00800674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BA5016">
        <w:rPr>
          <w:rFonts w:ascii="GOST 2.30481 type A" w:hAnsi="GOST 2.30481 type A"/>
          <w:b/>
          <w:i/>
          <w:noProof/>
          <w:sz w:val="44"/>
          <w:szCs w:val="44"/>
          <w:u w:val="single"/>
          <w:lang w:eastAsia="uk-UA"/>
        </w:rPr>
        <w:lastRenderedPageBreak/>
        <w:pict>
          <v:group id="_x0000_s1046" style="position:absolute;margin-left:-26.85pt;margin-top:-24.55pt;width:524.3pt;height:810.25pt;z-index:251667456" coordorigin="746,335" coordsize="10486,16205">
            <v:rect id="Rectangle 482" o:spid="_x0000_s104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>
              <v:line id="Line 484" o:spid="_x0000_s104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5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176DA6" w:rsidRPr="00AE12ED" w:rsidRDefault="00176DA6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5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176DA6" w:rsidRPr="00AE12ED" w:rsidRDefault="00176DA6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176DA6" w:rsidRPr="00AE12ED" w:rsidRDefault="00176DA6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176DA6" w:rsidRPr="00AE12ED" w:rsidRDefault="00176DA6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176DA6" w:rsidRPr="00AE12ED" w:rsidRDefault="00176DA6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176DA6" w:rsidRPr="00AE12ED" w:rsidRDefault="00176DA6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76DA6" w:rsidRPr="006A5A89" w:rsidRDefault="006A5A89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176DA6" w:rsidRDefault="00176DA6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176DA6" w:rsidRPr="00AE12ED" w:rsidRDefault="00176DA6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0C5981" w:rsidRPr="00800674"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</w:p>
    <w:p w:rsidR="000C5981" w:rsidRPr="00800674" w:rsidRDefault="000C5981" w:rsidP="00800674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3.3. Мінімізація функції f4</w:t>
      </w:r>
    </w:p>
    <w:p w:rsidR="000C5981" w:rsidRPr="00800674" w:rsidRDefault="000C5981" w:rsidP="000C5981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521D97" w:rsidRPr="002645DB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 xml:space="preserve">сусідніми групами </w:t>
      </w:r>
    </w:p>
    <w:p w:rsidR="006A5A89" w:rsidRPr="006A5A89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та виконаємо поглинання термів (рисунок 4.4)</w:t>
      </w:r>
    </w:p>
    <w:tbl>
      <w:tblPr>
        <w:tblpPr w:leftFromText="180" w:rightFromText="180" w:vertAnchor="page" w:horzAnchor="margin" w:tblpXSpec="center" w:tblpY="3006"/>
        <w:tblW w:w="3510" w:type="dxa"/>
        <w:tblLook w:val="04A0"/>
      </w:tblPr>
      <w:tblGrid>
        <w:gridCol w:w="1139"/>
        <w:gridCol w:w="1159"/>
        <w:gridCol w:w="1212"/>
      </w:tblGrid>
      <w:tr w:rsidR="00B273F7" w:rsidRPr="009803A5" w:rsidTr="00B273F7">
        <w:trPr>
          <w:trHeight w:val="294"/>
        </w:trPr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B273F7" w:rsidRPr="009803A5" w:rsidRDefault="00B273F7" w:rsidP="00B273F7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803A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:rsidR="00B273F7" w:rsidRPr="009803A5" w:rsidRDefault="00B273F7" w:rsidP="00B273F7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803A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3F7" w:rsidRPr="009803A5" w:rsidRDefault="00B273F7" w:rsidP="00B273F7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803A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B273F7" w:rsidRPr="009803A5" w:rsidTr="00B273F7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(1)</w:t>
            </w:r>
          </w:p>
        </w:tc>
      </w:tr>
      <w:tr w:rsidR="00B273F7" w:rsidRPr="009803A5" w:rsidTr="00B273F7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(1)</w:t>
            </w: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(1)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(1)</w:t>
            </w:r>
          </w:p>
        </w:tc>
      </w:tr>
      <w:tr w:rsidR="00B273F7" w:rsidRPr="009803A5" w:rsidTr="00B273F7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(1)</w:t>
            </w:r>
          </w:p>
        </w:tc>
      </w:tr>
      <w:tr w:rsidR="00B273F7" w:rsidRPr="009803A5" w:rsidTr="00B273F7">
        <w:trPr>
          <w:trHeight w:val="304"/>
        </w:trPr>
        <w:tc>
          <w:tcPr>
            <w:tcW w:w="113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(1)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3F7" w:rsidRPr="00F72B3B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72B3B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001X (1)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(1)</w:t>
            </w:r>
          </w:p>
        </w:tc>
      </w:tr>
      <w:tr w:rsidR="00B273F7" w:rsidRPr="009803A5" w:rsidTr="00B273F7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115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X011 (1)</w:t>
            </w: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1XX1 (1)</w:t>
            </w:r>
          </w:p>
        </w:tc>
      </w:tr>
      <w:tr w:rsidR="00B273F7" w:rsidRPr="009803A5" w:rsidTr="00B273F7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(1)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X101 (1)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1XX1 (1)</w:t>
            </w:r>
          </w:p>
        </w:tc>
      </w:tr>
      <w:tr w:rsidR="00B273F7" w:rsidRPr="009803A5" w:rsidTr="00B273F7">
        <w:trPr>
          <w:gridAfter w:val="1"/>
          <w:wAfter w:w="1212" w:type="dxa"/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10X1 (1)</w:t>
            </w:r>
          </w:p>
        </w:tc>
      </w:tr>
      <w:tr w:rsidR="00B273F7" w:rsidRPr="009803A5" w:rsidTr="00B273F7">
        <w:trPr>
          <w:gridAfter w:val="1"/>
          <w:wAfter w:w="1212" w:type="dxa"/>
          <w:trHeight w:val="294"/>
        </w:trPr>
        <w:tc>
          <w:tcPr>
            <w:tcW w:w="1139" w:type="dxa"/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(1)</w:t>
            </w:r>
          </w:p>
        </w:tc>
      </w:tr>
      <w:tr w:rsidR="00B273F7" w:rsidRPr="009803A5" w:rsidTr="00B273F7">
        <w:trPr>
          <w:gridAfter w:val="1"/>
          <w:wAfter w:w="1212" w:type="dxa"/>
          <w:trHeight w:val="294"/>
        </w:trPr>
        <w:tc>
          <w:tcPr>
            <w:tcW w:w="1139" w:type="dxa"/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1X11 (1)</w:t>
            </w:r>
          </w:p>
        </w:tc>
      </w:tr>
      <w:tr w:rsidR="00B273F7" w:rsidRPr="009803A5" w:rsidTr="00B273F7">
        <w:trPr>
          <w:gridAfter w:val="1"/>
          <w:wAfter w:w="1212" w:type="dxa"/>
          <w:trHeight w:val="294"/>
        </w:trPr>
        <w:tc>
          <w:tcPr>
            <w:tcW w:w="1139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B273F7" w:rsidRPr="009803A5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(1)</w:t>
            </w:r>
          </w:p>
        </w:tc>
      </w:tr>
      <w:tr w:rsidR="00B273F7" w:rsidRPr="009803A5" w:rsidTr="00B273F7">
        <w:trPr>
          <w:gridAfter w:val="1"/>
          <w:wAfter w:w="1212" w:type="dxa"/>
          <w:trHeight w:val="294"/>
        </w:trPr>
        <w:tc>
          <w:tcPr>
            <w:tcW w:w="1139" w:type="dxa"/>
            <w:shd w:val="clear" w:color="auto" w:fill="auto"/>
            <w:hideMark/>
          </w:tcPr>
          <w:p w:rsidR="00B273F7" w:rsidRPr="009803A5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273F7" w:rsidRPr="007313F3" w:rsidRDefault="00B273F7" w:rsidP="00B273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(1)</w:t>
            </w:r>
          </w:p>
        </w:tc>
      </w:tr>
    </w:tbl>
    <w:p w:rsidR="006A5A89" w:rsidRPr="006A5A89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0C5981" w:rsidRPr="00F72B3B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6A5A89" w:rsidRPr="00F72B3B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6A5A89" w:rsidRPr="00F72B3B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6A5A89" w:rsidRPr="00F72B3B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0840F5" w:rsidRDefault="000840F5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B273F7" w:rsidRDefault="00B273F7" w:rsidP="00B273F7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</w:t>
      </w:r>
      <w:r w:rsidRPr="00B273F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-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Склеювання і поглинання термів</w:t>
      </w:r>
    </w:p>
    <w:p w:rsidR="009803A5" w:rsidRPr="00B273F7" w:rsidRDefault="009803A5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0840F5" w:rsidRPr="00B273F7" w:rsidRDefault="000840F5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3E1961" w:rsidRPr="00B273F7" w:rsidRDefault="003E1961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3E1961" w:rsidRDefault="003E1961" w:rsidP="003E1961">
      <w:pPr>
        <w:tabs>
          <w:tab w:val="left" w:pos="1039"/>
        </w:tabs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4.3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-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покриття</w:t>
      </w:r>
    </w:p>
    <w:p w:rsidR="00800674" w:rsidRPr="00800674" w:rsidRDefault="00800674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"/>
        <w:gridCol w:w="1027"/>
        <w:gridCol w:w="1027"/>
        <w:gridCol w:w="975"/>
        <w:gridCol w:w="975"/>
        <w:gridCol w:w="975"/>
        <w:gridCol w:w="920"/>
        <w:gridCol w:w="975"/>
        <w:gridCol w:w="920"/>
        <w:gridCol w:w="868"/>
      </w:tblGrid>
      <w:tr w:rsidR="00CC5868" w:rsidRPr="007313F3" w:rsidTr="008039B4">
        <w:trPr>
          <w:tblCellSpacing w:w="0" w:type="dxa"/>
          <w:jc w:val="center"/>
        </w:trPr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449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CC5868" w:rsidRPr="007313F3" w:rsidTr="008039B4">
        <w:trPr>
          <w:tblCellSpacing w:w="0" w:type="dxa"/>
          <w:jc w:val="center"/>
        </w:trPr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001X (1)</w:t>
            </w:r>
          </w:p>
        </w:tc>
        <w:tc>
          <w:tcPr>
            <w:tcW w:w="530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30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503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49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C5868" w:rsidRPr="007313F3" w:rsidTr="008039B4">
        <w:trPr>
          <w:tblCellSpacing w:w="0" w:type="dxa"/>
          <w:jc w:val="center"/>
        </w:trPr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530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30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75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9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C5868" w:rsidRPr="007313F3" w:rsidTr="008039B4">
        <w:trPr>
          <w:tblCellSpacing w:w="0" w:type="dxa"/>
          <w:jc w:val="center"/>
        </w:trPr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(1)</w:t>
            </w:r>
          </w:p>
        </w:tc>
        <w:tc>
          <w:tcPr>
            <w:tcW w:w="530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530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475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49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C5868" w:rsidRPr="007313F3" w:rsidTr="008039B4">
        <w:trPr>
          <w:tblCellSpacing w:w="0" w:type="dxa"/>
          <w:jc w:val="center"/>
        </w:trPr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(1)</w:t>
            </w:r>
          </w:p>
        </w:tc>
        <w:tc>
          <w:tcPr>
            <w:tcW w:w="530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530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503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75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49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C5868" w:rsidRPr="007313F3" w:rsidTr="008039B4">
        <w:trPr>
          <w:tblCellSpacing w:w="0" w:type="dxa"/>
          <w:jc w:val="center"/>
        </w:trPr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7313F3" w:rsidRDefault="00CC5868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313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1XX1 (1)</w:t>
            </w:r>
          </w:p>
        </w:tc>
        <w:tc>
          <w:tcPr>
            <w:tcW w:w="530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30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503" w:type="pct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449" w:type="pct"/>
            <w:shd w:val="clear" w:color="auto" w:fill="7F7F7F" w:themeFill="text1" w:themeFillTint="80"/>
            <w:vAlign w:val="center"/>
            <w:hideMark/>
          </w:tcPr>
          <w:p w:rsidR="00CC5868" w:rsidRPr="007313F3" w:rsidRDefault="00CC5868" w:rsidP="00CC586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800674" w:rsidRDefault="00800674" w:rsidP="00800674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 w:rsidR="00CC5868"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="00CC5868"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001</w:t>
      </w:r>
      <w:r w:rsidR="00CC58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; X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</w:rPr>
        <w:t xml:space="preserve">01;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CC5868"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="00CC5868">
        <w:rPr>
          <w:rFonts w:ascii="GOST 2.30481 type A" w:hAnsi="GOST 2.30481 type A" w:cs="GOST type B"/>
          <w:b/>
          <w:i/>
          <w:sz w:val="32"/>
          <w:szCs w:val="32"/>
        </w:rPr>
        <w:t xml:space="preserve">X; </w:t>
      </w:r>
      <w:r w:rsidR="00CC58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5868">
        <w:rPr>
          <w:rFonts w:ascii="GOST 2.30481 type A" w:hAnsi="GOST 2.30481 type A" w:cs="GOST type B"/>
          <w:b/>
          <w:i/>
          <w:sz w:val="32"/>
          <w:szCs w:val="32"/>
        </w:rPr>
        <w:t>0</w:t>
      </w:r>
      <w:r w:rsidR="00CC58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5868"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4F73F1" w:rsidRPr="00521D97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8D6F91" w:rsidRPr="002645DB" w:rsidRDefault="008D6F91" w:rsidP="008D6F9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2645DB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2645DB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="00CC5868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C5868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C5868" w:rsidRPr="00CC586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/>
          <w:b/>
          <w:i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C5868" w:rsidRPr="00CC586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CC5868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C5868" w:rsidRPr="00CC586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3E1961" w:rsidRPr="00B273F7" w:rsidRDefault="003E1961" w:rsidP="008D6F91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</w:p>
    <w:p w:rsidR="003E1961" w:rsidRPr="00B273F7" w:rsidRDefault="003E1961" w:rsidP="008D6F91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</w:p>
    <w:p w:rsidR="003E1961" w:rsidRPr="003E1961" w:rsidRDefault="00BA5016" w:rsidP="003E1961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en-US"/>
        </w:rPr>
      </w:pPr>
      <w:r w:rsidRPr="00BA5016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86" style="position:absolute;left:0;text-align:left;margin-left:-26.65pt;margin-top:-24.1pt;width:524.3pt;height:810.25pt;z-index:251668480" coordorigin="746,335" coordsize="10486,16205">
            <v:rect id="Rectangle 482" o:spid="_x0000_s108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8" style="position:absolute;left:746;top:15609;width:10486;height:931" coordorigin="746,15609" coordsize="10486,931">
              <v:line id="Line 484" o:spid="_x0000_s108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9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76DA6" w:rsidRPr="00AE12ED" w:rsidRDefault="00176DA6" w:rsidP="001A01E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9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76DA6" w:rsidRPr="00AE12ED" w:rsidRDefault="00176DA6" w:rsidP="001A01E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76DA6" w:rsidRPr="00AE12ED" w:rsidRDefault="00176DA6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76DA6" w:rsidRPr="00AE12ED" w:rsidRDefault="00176DA6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76DA6" w:rsidRPr="00AE12ED" w:rsidRDefault="00176DA6" w:rsidP="001A01E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76DA6" w:rsidRPr="00AE12ED" w:rsidRDefault="00176DA6" w:rsidP="001A01E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76DA6" w:rsidRPr="000540C3" w:rsidRDefault="006A5A89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176DA6" w:rsidRDefault="00176DA6" w:rsidP="001A01E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76DA6" w:rsidRPr="00AE12ED" w:rsidRDefault="00176DA6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8D6F91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tbl>
      <w:tblPr>
        <w:tblStyle w:val="TableGrid"/>
        <w:tblpPr w:leftFromText="180" w:rightFromText="180" w:vertAnchor="page" w:horzAnchor="margin" w:tblpY="2054"/>
        <w:tblW w:w="9895" w:type="dxa"/>
        <w:shd w:val="clear" w:color="auto" w:fill="F2F2F2" w:themeFill="background1" w:themeFillShade="F2"/>
        <w:tblLook w:val="04A0"/>
      </w:tblPr>
      <w:tblGrid>
        <w:gridCol w:w="417"/>
        <w:gridCol w:w="407"/>
        <w:gridCol w:w="419"/>
        <w:gridCol w:w="389"/>
        <w:gridCol w:w="618"/>
        <w:gridCol w:w="628"/>
        <w:gridCol w:w="599"/>
        <w:gridCol w:w="618"/>
        <w:gridCol w:w="589"/>
        <w:gridCol w:w="599"/>
        <w:gridCol w:w="826"/>
        <w:gridCol w:w="797"/>
        <w:gridCol w:w="807"/>
        <w:gridCol w:w="797"/>
        <w:gridCol w:w="1007"/>
        <w:gridCol w:w="378"/>
      </w:tblGrid>
      <w:tr w:rsidR="00B273F7" w:rsidRPr="00D0055F" w:rsidTr="00B273F7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1E157E" w:rsidRDefault="00B273F7" w:rsidP="00B273F7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B273F7" w:rsidRPr="00D0055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606" type="#_x0000_t32" style="position:absolute;left:0;text-align:left;margin-left:-3.6pt;margin-top:14.6pt;width:35.4pt;height:15.3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273F7" w:rsidRPr="00D0055F" w:rsidTr="00B273F7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07" type="#_x0000_t32" style="position:absolute;left:0;text-align:left;margin-left:-4.25pt;margin-top:-.25pt;width:35.3pt;height:14.1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08" type="#_x0000_t32" style="position:absolute;left:0;text-align:left;margin-left:-4.95pt;margin-top:-.1pt;width:41.2pt;height:13.3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609" type="#_x0000_t32" style="position:absolute;left:0;text-align:left;margin-left:-3.35pt;margin-top:14pt;width:45.9pt;height:14.15pt;flip:y;z-index:251658240;mso-position-horizontal-relative:text;mso-position-vertical-relative:text" o:connectortype="straight"/>
              </w:pict>
            </w: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10" type="#_x0000_t32" style="position:absolute;left:0;text-align:left;margin-left:-3.8pt;margin-top:-.15pt;width:45.2pt;height:14.1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273F7" w:rsidRPr="00D0055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273F7" w:rsidRPr="00D0055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11" type="#_x0000_t32" style="position:absolute;left:0;text-align:left;margin-left:34.9pt;margin-top:.85pt;width:38.65pt;height:13.9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12" type="#_x0000_t32" style="position:absolute;left:0;text-align:left;margin-left:-5.4pt;margin-top:.75pt;width:39.2pt;height:14.2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13" type="#_x0000_t32" style="position:absolute;left:0;text-align:left;margin-left:-5.35pt;margin-top:.5pt;width:50.1pt;height:14.7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273F7" w:rsidRPr="00D0055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273F7" w:rsidRPr="00D0055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14" type="#_x0000_t32" style="position:absolute;left:0;text-align:left;margin-left:37.65pt;margin-top:.4pt;width:39.3pt;height:14.15pt;flip:y;z-index:251658240;mso-position-horizontal-relative:text;mso-position-vertical-relative:text" o:connectortype="straight"/>
              </w:pict>
            </w: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15" type="#_x0000_t32" style="position:absolute;left:0;text-align:left;margin-left:-4.5pt;margin-top:.4pt;width:36.65pt;height:14.1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16" type="#_x0000_t32" style="position:absolute;left:0;text-align:left;margin-left:-3.8pt;margin-top:.4pt;width:45.95pt;height:13.7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273F7" w:rsidRPr="00D0055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273F7" w:rsidRPr="00D0055F" w:rsidTr="00B273F7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273F7" w:rsidRPr="00D0055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273F7" w:rsidRPr="00D0055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hd w:val="clear" w:color="auto" w:fill="7F7F7F" w:themeFill="text1" w:themeFillTint="80"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17" type="#_x0000_t32" style="position:absolute;left:0;text-align:left;margin-left:32.2pt;margin-top:.55pt;width:38.35pt;height:14.4pt;flip:y;z-index:251658240;mso-position-horizontal-relative:text;mso-position-vertical-relative:text" o:connectortype="straight"/>
              </w:pict>
            </w: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18" type="#_x0000_t32" style="position:absolute;left:0;text-align:left;margin-left:-5.15pt;margin-top:1.5pt;width:37.8pt;height:13.3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19" type="#_x0000_t32" style="position:absolute;left:0;text-align:left;margin-left:-4.95pt;margin-top:.35pt;width:39.15pt;height:14.1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20" type="#_x0000_t32" style="position:absolute;left:0;text-align:left;margin-left:-5.35pt;margin-top:1.3pt;width:47.75pt;height:13.9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273F7" w:rsidRPr="00D0055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273F7" w:rsidRPr="00D0055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hd w:val="clear" w:color="auto" w:fill="7F7F7F" w:themeFill="text1" w:themeFillTint="80"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21" type="#_x0000_t32" style="position:absolute;left:0;text-align:left;margin-left:-4.75pt;margin-top:-.05pt;width:39.05pt;height:14.6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22" type="#_x0000_t32" style="position:absolute;left:0;text-align:left;margin-left:-5.35pt;margin-top:.85pt;width:38.95pt;height:13.7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23" type="#_x0000_t32" style="position:absolute;left:0;text-align:left;margin-left:-4.95pt;margin-top:-.05pt;width:38.95pt;height:13.7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24" type="#_x0000_t32" style="position:absolute;left:0;text-align:left;margin-left:-4.85pt;margin-top:14.95pt;width:47.25pt;height:14.3pt;flip:y;z-index:251658240;mso-position-horizontal-relative:text;mso-position-vertical-relative:text" o:connectortype="straight"/>
              </w:pict>
            </w: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25" type="#_x0000_t32" style="position:absolute;left:0;text-align:left;margin-left:-3.35pt;margin-top:-.4pt;width:45.2pt;height:14.2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273F7" w:rsidRPr="00D0055F" w:rsidTr="00B273F7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26" type="#_x0000_t32" style="position:absolute;left:0;text-align:left;margin-left:-4.75pt;margin-top:13.9pt;width:39.05pt;height:14.65pt;flip:y;z-index:251658240;mso-position-horizontal-relative:text;mso-position-vertical-relative:text" o:connectortype="straight"/>
              </w:pict>
            </w: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27" type="#_x0000_t32" style="position:absolute;left:0;text-align:left;margin-left:33.65pt;margin-top:14.65pt;width:39.05pt;height:14.65pt;flip:y;z-index:251658240;mso-position-horizontal-relative:text;mso-position-vertical-relative:text" o:connectortype="straight"/>
              </w:pict>
            </w: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28" type="#_x0000_t32" style="position:absolute;left:0;text-align:left;margin-left:-5.15pt;margin-top:14.2pt;width:39.05pt;height:14.65pt;flip:y;z-index:251658240;mso-position-horizontal-relative:text;mso-position-vertical-relative:text" o:connectortype="straight"/>
              </w:pict>
            </w: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29" type="#_x0000_t32" style="position:absolute;left:0;text-align:left;margin-left:-5.15pt;margin-top:13.6pt;width:49.9pt;height:17.9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273F7" w:rsidRPr="00D0055F" w:rsidTr="00B273F7">
        <w:trPr>
          <w:trHeight w:val="245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</w:t>
            </w:r>
            <w:r w:rsidRPr="00CC5868">
              <w:rPr>
                <w:rFonts w:ascii="GOST 2.30481 type A" w:hAnsi="GOST 2.30481 type A"/>
                <w:b/>
                <w:i/>
                <w:shd w:val="clear" w:color="auto" w:fill="7F7F7F" w:themeFill="text1" w:themeFillTint="80"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B273F7" w:rsidRPr="00D0055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630" type="#_x0000_t32" style="position:absolute;left:0;text-align:left;margin-left:-1pt;margin-top:14.4pt;width:39.05pt;height:14.6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A5016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631" type="#_x0000_t32" style="position:absolute;left:0;text-align:left;margin-left:-4.95pt;margin-top:14.4pt;width:39.05pt;height:14.6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A5016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632" type="#_x0000_t32" style="position:absolute;left:0;text-align:left;margin-left:-3.1pt;margin-top:14.9pt;width:45.4pt;height:14.15pt;flip:y;z-index:251658240;mso-position-horizontal-relative:text;mso-position-vertical-relative:text" o:connectortype="straight"/>
              </w:pict>
            </w: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273F7" w:rsidRPr="00D0055F" w:rsidTr="00B273F7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</w:t>
            </w:r>
            <w:r w:rsidRPr="00CC5868">
              <w:rPr>
                <w:rFonts w:ascii="GOST 2.30481 type A" w:hAnsi="GOST 2.30481 type A"/>
                <w:b/>
                <w:i/>
                <w:shd w:val="clear" w:color="auto" w:fill="7F7F7F" w:themeFill="text1" w:themeFillTint="80"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9070AB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070AB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CC5868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CC5868" w:rsidRDefault="00B273F7" w:rsidP="00B273F7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8D6F91" w:rsidRPr="003E1961" w:rsidRDefault="003E1961" w:rsidP="003E1961">
      <w:pPr>
        <w:tabs>
          <w:tab w:val="left" w:pos="1039"/>
        </w:tabs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3E196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4.4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Метод невизначених коефіцієнтів</w:t>
      </w:r>
    </w:p>
    <w:p w:rsidR="003E1961" w:rsidRDefault="003E1961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D6F91" w:rsidRPr="00521D97" w:rsidRDefault="008D6F91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="00521D97" w:rsidRPr="002645D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="00521D97"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</w:p>
    <w:p w:rsidR="004F73F1" w:rsidRPr="001E157E" w:rsidRDefault="00521D97" w:rsidP="00521D97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</w:t>
      </w:r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p w:rsidR="00CC5868" w:rsidRPr="004F73F1" w:rsidRDefault="00CC5868" w:rsidP="00CC586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CC5868" w:rsidRPr="004F73F1" w:rsidRDefault="00CC5868" w:rsidP="00CC586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001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; X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</w:rPr>
        <w:t xml:space="preserve">01;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X;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CC58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CC5868" w:rsidRPr="00521D97" w:rsidRDefault="00CC5868" w:rsidP="00CC586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CC5868" w:rsidRPr="002645DB" w:rsidRDefault="00CC5868" w:rsidP="00CC5868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2645DB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2645DB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C586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/>
          <w:b/>
          <w:i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C586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C586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E8725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2645DB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p w:rsidR="001E157E" w:rsidRPr="009803A5" w:rsidRDefault="001E157E" w:rsidP="00521D97">
      <w:pPr>
        <w:tabs>
          <w:tab w:val="left" w:pos="1039"/>
        </w:tabs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sectPr w:rsidR="001E157E" w:rsidRPr="009803A5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B205B"/>
    <w:multiLevelType w:val="hybridMultilevel"/>
    <w:tmpl w:val="0A8842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A5152"/>
    <w:multiLevelType w:val="hybridMultilevel"/>
    <w:tmpl w:val="AE4ADBF0"/>
    <w:lvl w:ilvl="0" w:tplc="123A83E0">
      <w:numFmt w:val="bullet"/>
      <w:lvlText w:val=""/>
      <w:lvlJc w:val="left"/>
      <w:pPr>
        <w:ind w:left="1068" w:hanging="360"/>
      </w:pPr>
      <w:rPr>
        <w:rFonts w:ascii="GOST 2.30481 type A" w:eastAsiaTheme="minorHAnsi" w:hAnsi="GOST 2.30481 type A" w:cs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F92D73"/>
    <w:multiLevelType w:val="hybridMultilevel"/>
    <w:tmpl w:val="A156D1FE"/>
    <w:lvl w:ilvl="0" w:tplc="123A83E0">
      <w:numFmt w:val="bullet"/>
      <w:lvlText w:val=""/>
      <w:lvlJc w:val="left"/>
      <w:pPr>
        <w:ind w:left="720" w:hanging="360"/>
      </w:pPr>
      <w:rPr>
        <w:rFonts w:ascii="GOST 2.30481 type A" w:eastAsiaTheme="minorHAnsi" w:hAnsi="GOST 2.30481 type A" w:cs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compat/>
  <w:rsids>
    <w:rsidRoot w:val="00B36C21"/>
    <w:rsid w:val="0001245B"/>
    <w:rsid w:val="000540C3"/>
    <w:rsid w:val="000840F5"/>
    <w:rsid w:val="000C5981"/>
    <w:rsid w:val="00176DA6"/>
    <w:rsid w:val="001A01EC"/>
    <w:rsid w:val="001E157E"/>
    <w:rsid w:val="0022430D"/>
    <w:rsid w:val="002460C3"/>
    <w:rsid w:val="002645DB"/>
    <w:rsid w:val="00275508"/>
    <w:rsid w:val="002B10C6"/>
    <w:rsid w:val="003D7401"/>
    <w:rsid w:val="003E1961"/>
    <w:rsid w:val="004F73F1"/>
    <w:rsid w:val="00521D97"/>
    <w:rsid w:val="00650B59"/>
    <w:rsid w:val="00680A65"/>
    <w:rsid w:val="006A5A89"/>
    <w:rsid w:val="00747B00"/>
    <w:rsid w:val="00800674"/>
    <w:rsid w:val="00803680"/>
    <w:rsid w:val="008D6F91"/>
    <w:rsid w:val="009070AB"/>
    <w:rsid w:val="009803A5"/>
    <w:rsid w:val="00A62368"/>
    <w:rsid w:val="00B273F7"/>
    <w:rsid w:val="00B36C21"/>
    <w:rsid w:val="00B50F36"/>
    <w:rsid w:val="00B61DF8"/>
    <w:rsid w:val="00BA5016"/>
    <w:rsid w:val="00CC5868"/>
    <w:rsid w:val="00D0055F"/>
    <w:rsid w:val="00DB4730"/>
    <w:rsid w:val="00E068D5"/>
    <w:rsid w:val="00E87252"/>
    <w:rsid w:val="00F72B3B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5" type="connector" idref="#_x0000_s1632"/>
        <o:r id="V:Rule56" type="connector" idref="#_x0000_s1627"/>
        <o:r id="V:Rule57" type="connector" idref="#_x0000_s1623"/>
        <o:r id="V:Rule58" type="connector" idref="#_x0000_s1615"/>
        <o:r id="V:Rule59" type="connector" idref="#_x0000_s1610"/>
        <o:r id="V:Rule60" type="connector" idref="#_x0000_s1606"/>
        <o:r id="V:Rule61" type="connector" idref="#_x0000_s1624"/>
        <o:r id="V:Rule62" type="connector" idref="#_x0000_s1626"/>
        <o:r id="V:Rule63" type="connector" idref="#_x0000_s1625"/>
        <o:r id="V:Rule64" type="connector" idref="#_x0000_s1629"/>
        <o:r id="V:Rule65" type="connector" idref="#_x0000_s1620"/>
        <o:r id="V:Rule66" type="connector" idref="#_x0000_s1630"/>
        <o:r id="V:Rule67" type="connector" idref="#_x0000_s1619"/>
        <o:r id="V:Rule68" type="connector" idref="#_x0000_s1613"/>
        <o:r id="V:Rule69" type="connector" idref="#_x0000_s1621"/>
        <o:r id="V:Rule70" type="connector" idref="#_x0000_s1628"/>
        <o:r id="V:Rule71" type="connector" idref="#_x0000_s1616"/>
        <o:r id="V:Rule72" type="connector" idref="#_x0000_s1611"/>
        <o:r id="V:Rule73" type="connector" idref="#_x0000_s1608"/>
        <o:r id="V:Rule74" type="connector" idref="#_x0000_s1614"/>
        <o:r id="V:Rule75" type="connector" idref="#_x0000_s1622"/>
        <o:r id="V:Rule76" type="connector" idref="#_x0000_s1609"/>
        <o:r id="V:Rule77" type="connector" idref="#_x0000_s1612"/>
        <o:r id="V:Rule78" type="connector" idref="#_x0000_s1618"/>
        <o:r id="V:Rule79" type="connector" idref="#_x0000_s1607"/>
        <o:r id="V:Rule80" type="connector" idref="#_x0000_s1617"/>
        <o:r id="V:Rule81" type="connector" idref="#_x0000_s16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21"/>
    <w:pPr>
      <w:ind w:left="720"/>
      <w:contextualSpacing/>
    </w:pPr>
  </w:style>
  <w:style w:type="table" w:styleId="TableGrid">
    <w:name w:val="Table Grid"/>
    <w:basedOn w:val="TableNormal"/>
    <w:uiPriority w:val="39"/>
    <w:rsid w:val="000840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2994</Words>
  <Characters>1708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2013-12-26T11:14:00Z</cp:lastPrinted>
  <dcterms:created xsi:type="dcterms:W3CDTF">2015-12-06T00:05:00Z</dcterms:created>
  <dcterms:modified xsi:type="dcterms:W3CDTF">2015-12-27T21:27:00Z</dcterms:modified>
</cp:coreProperties>
</file>