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  <w:bookmarkStart w:id="0" w:name="_GoBack"/>
      <w:bookmarkEnd w:id="0"/>
    </w:p>
    <w:p w:rsidR="00843D93" w:rsidRPr="00843D93" w:rsidRDefault="00843D93" w:rsidP="00843D93">
      <w:pPr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843D93" w:rsidRPr="00843D93" w:rsidRDefault="00843D93" w:rsidP="00843D93">
      <w:pPr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№4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Структурні шаблони проектування ПЗ - 2. Шаблони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Flyweight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Adapter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Bridge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Facade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Вивчення структурних шаблонів. Отримання базових навичок з застосування шаблонів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Flyweight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Adapter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Bridge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Facade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Закріпити призначення шаблонів проектування ПЗ, їх класифікацію. Знати назву і коротку характеристику кожного з шаблонів, що відносяться до певного класу.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 Повторити структурні шаблони проектування ПЗ. Знати загальну характеристику структурних шаблонів та призначення кожного з них.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3. Детально вивчити структурні шаблони проектування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Flyweight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Adapter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Bridge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Facade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 Для кожного з них:</w:t>
      </w:r>
    </w:p>
    <w:p w:rsidR="00843D93" w:rsidRPr="00843D93" w:rsidRDefault="00843D93" w:rsidP="00843D93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843D93" w:rsidRPr="00843D93" w:rsidRDefault="00843D93" w:rsidP="00843D93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843D93" w:rsidRPr="00843D93" w:rsidRDefault="00843D93" w:rsidP="00843D93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вільно володіти структурою Шаблону, призначенням його класів та відносинами між ними;</w:t>
      </w:r>
    </w:p>
    <w:p w:rsidR="00843D93" w:rsidRPr="00843D93" w:rsidRDefault="00843D93" w:rsidP="00843D93">
      <w:pPr>
        <w:numPr>
          <w:ilvl w:val="0"/>
          <w:numId w:val="1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вміти розпізнавати Шаблон в UML діаграмі класів та будувати сирцеві коди Java-класів, що реалізують шаблон.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4. В підготованому проекті (ЛР1) створити програмний пакет com.lab111.labwork4.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пов'язані з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функціюванням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void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x, 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y){</w:t>
      </w:r>
    </w:p>
    <w:p w:rsidR="00843D93" w:rsidRPr="00843D93" w:rsidRDefault="00843D93" w:rsidP="00843D93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r w:rsidRPr="004C7629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ab/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System.out.println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(“Метод 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draw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 з параметрами 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x=”+x+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 xml:space="preserve">” </w:t>
      </w:r>
      <w:proofErr w:type="spellStart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y=”+y</w:t>
      </w:r>
      <w:proofErr w:type="spellEnd"/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);</w:t>
      </w:r>
    </w:p>
    <w:p w:rsidR="00843D93" w:rsidRPr="00843D93" w:rsidRDefault="00843D93" w:rsidP="00843D93">
      <w:pPr>
        <w:ind w:left="155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Courier New" w:eastAsia="Times New Roman" w:hAnsi="Courier New" w:cs="Courier New"/>
          <w:color w:val="000000"/>
          <w:szCs w:val="24"/>
          <w:lang w:val="uk-UA" w:eastAsia="ru-RU"/>
        </w:rPr>
        <w:t>}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5. За допомогою автоматизованих засобів виконати повне документування розроблених класів (також методів і полів), при </w:t>
      </w: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lastRenderedPageBreak/>
        <w:t>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843D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843D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uk-UA" w:eastAsia="ru-RU"/>
        </w:rPr>
        <w:t>mod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r w:rsidRPr="00843D93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11</w:t>
      </w: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843D93" w:rsidRPr="00843D93" w:rsidRDefault="00843D93" w:rsidP="00843D93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 та реалізацію методів для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об'єктів-гліфів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латинського алфавіту та об'єктів-строк.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Об'єкти-гліфи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мають атрибути координат та використовуються в якості складових при побудові композитних об'єктів-строк. Забезпечити ефективне використання пам'яті при роботі з великою кількістю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об'єктів-гліфів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. Реалізувати метод виводу строки.</w:t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об'єкти у редакторі растрової графіки - примітиви (точка) та їх композиції (прямокутне зображення). Забезпечити ефективне використання пам'яті при роботі з великою кількістю графічних об'єктів. Реалізувати метод рисування графічного об'єкту.</w:t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об'єкти у редакторі векторної графіки - примітиви (лінія) та їх композиції (прямокутник, трикутник). Забезпечити ефективне використання пам'яті при роботі з великою кількістю графічних об'єктів. Реалізувати метод рисування графічного об'єкту.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об'єкти-іконки для зображення елементів файлової системи при побудові графічного інтерфейсу користувача (GUI) - примітиви (файли) та їх композиції (директорії). Забезпечити ефективне використання пам'яті при роботі з великою кількістю графічних об'єктів. Реалізувати метод рисування графічного об'єкту.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подають графічні об'єкти у редакторі векторної графіки - примітиви (точка) та їх композиції (коло). Примітиви мають атрибути координат в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декартовій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системі, а об'єкти-композиції — в полярній. Відповідно інтерфейс точки містить методи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setX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 та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а метод малювання кола може оперувати лише методами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setRo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setPhi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) примітива (які відсутні в класі точки). Забезпечити можливість використання функціональності точки при малюванні кола без зміни інтерфейсу точки та методу малювання кола.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подають графічні об'єкти у редакторі векторної графіки - примітиви (точка) та їх композиції (лінія). Примітиви мають цілочислові атрибути координат (в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пікселях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а об'єкти-композиції — раціональні (в сантиметрах). Відповідно інтерфейс точки містить методи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setX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 та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int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а метод малювання лінії може оперувати лише методами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setX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 примітива (які відсутні в класі точки). Забезпечити можливість використання функціональності точки при малюванні лінії без зміни інтерфейсу точки та методу </w:t>
      </w: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lastRenderedPageBreak/>
        <w:t>малювання лінії.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об'єкти у редакторі векторної графіки - примітиви (лінія) та їх композиції (прямокутник). Примітиви мають атрибути координат в системі з центром координат в лівому верхньому куті екрана з інверсною віссю абсцис, а об'єкти-композиції — з центром координат посередині екрана і стандартним напрямком вісі абсцис. Забезпечити можливість використання функціональності лінії при малюванні прямокутника без зміни методів точки та методу малювання лінії.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подають елементи графічного інтерфейсу користувача (GUI) — кнопка, вікно, тощо. Забезпечити розділення абстракції і реалізації таким чином, щоб елементи інтерфейсу могли мати реалізації для різних бібліотек (наприклад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Qt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та GTK) прозорі для користувача. Реалізувати метод малювання елементу.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об'єкти у редакторі векторної графіки (прямокутник) через різні інтерфейси API1 та API2. Забезпечити прозору для користувача можливість заміни реалізації графічних об'єктів. Реалізувати метод малювання елементу.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Визначити специфікації класів, які подають об'єкти для маніпулювання елементами файлової системи - файлами та директоріями. Інтерфейс файлу містить методи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open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String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path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,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boolean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createIfNotExist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close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() та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delete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String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path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 для відкриття, закриття та видалення  файлу (при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createIfNotExist==true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файл буде створений, якщо він не існує або обрізаний до нульової довжини, якщо існує). Інтерфейс директорії містить методи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create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String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path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та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rmdir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String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path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 для створення та видалення директорії. Задати підсистему з 3-ох файлів та 2-х директорій. Забезпечити можливість створення та видалення такої підсистеми через методи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create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(),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destroy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() та зміни структури підсистеми без впливу на її користувача.</w:t>
      </w:r>
      <w:r w:rsidRPr="00843D93"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  <w:br/>
      </w:r>
    </w:p>
    <w:p w:rsidR="00843D93" w:rsidRPr="00843D93" w:rsidRDefault="00843D93" w:rsidP="00843D93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Визначити специфікації класів, які подають графічні об'єкти у редакторі векторної графіки — лінія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Line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) та растрове зображення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Image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). Інтерфейс лінії містить метод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setOpacity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op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), що регулює рівень її непрозорості між повністю непрозорою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op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== 1.0) та невидимою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op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== 0.0). Інтерфейс растрового зображення містить метод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setTransparency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double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tr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), що регулює рівень її прозорості між повністю прозорою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tr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== 1.0) та повністю непрозорою 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tr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== 0.0). Задати підсистему з зображення та ліній, які його обрамляють. Забезпечити можливість вмикання/вимикання  відображення підсистеми через метод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show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(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boolean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>vis</w:t>
      </w:r>
      <w:proofErr w:type="spellEnd"/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t xml:space="preserve">), та зміни типу </w:t>
      </w:r>
      <w:r w:rsidRPr="00843D93">
        <w:rPr>
          <w:rFonts w:ascii="Verdana" w:eastAsia="Times New Roman" w:hAnsi="Verdana" w:cs="Arial"/>
          <w:color w:val="000000"/>
          <w:szCs w:val="24"/>
          <w:lang w:val="uk-UA" w:eastAsia="ru-RU"/>
        </w:rPr>
        <w:lastRenderedPageBreak/>
        <w:t>обрамлення (горизонтальне, вертикальне, повне, тощо) без впливу на користувача такої підсистеми.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 (з номером залікової книжки), завдання, роздруківку діаграми класів, розроблений сирцевий код та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1083"/>
        <w:jc w:val="center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Підготовка до лабораторної роботи здійснюється за допомогою книги: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Э. Гамма, Р. </w:t>
      </w:r>
      <w:proofErr w:type="spellStart"/>
      <w:r w:rsidRPr="00843D93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Хелм</w:t>
      </w:r>
      <w:proofErr w:type="spellEnd"/>
      <w:r w:rsidRPr="00843D93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 xml:space="preserve">, Р. Джонсон, Дж. </w:t>
      </w:r>
      <w:proofErr w:type="spellStart"/>
      <w:r w:rsidRPr="00843D93">
        <w:rPr>
          <w:rFonts w:ascii="Verdana" w:eastAsia="Times New Roman" w:hAnsi="Verdana" w:cs="Times New Roman"/>
          <w:i/>
          <w:iCs/>
          <w:color w:val="000000"/>
          <w:szCs w:val="24"/>
          <w:lang w:val="uk-UA" w:eastAsia="ru-RU"/>
        </w:rPr>
        <w:t>Влиссидес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Приемы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объектно-ориентированного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Паттерны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проектирования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=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Design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Patterns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Elements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of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Reusable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Object-Oriented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Software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— 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СПб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: </w:t>
      </w:r>
      <w:hyperlink r:id="rId6" w:history="1">
        <w:r w:rsidRPr="004C762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«</w:t>
        </w:r>
        <w:proofErr w:type="spellStart"/>
        <w:r w:rsidRPr="004C762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Питер</w:t>
        </w:r>
        <w:proofErr w:type="spellEnd"/>
        <w:r w:rsidRPr="004C762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»</w:t>
        </w:r>
      </w:hyperlink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, 2007. — С. 366. — </w:t>
      </w:r>
      <w:hyperlink r:id="rId7" w:history="1">
        <w:r w:rsidRPr="004C762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978-5-469-01136-1</w:t>
        </w:r>
      </w:hyperlink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</w:t>
      </w:r>
      <w:proofErr w:type="spellStart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также</w:t>
      </w:r>
      <w:proofErr w:type="spellEnd"/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</w:t>
      </w:r>
      <w:hyperlink r:id="rId8" w:history="1">
        <w:r w:rsidRPr="004C7629">
          <w:rPr>
            <w:rFonts w:ascii="Verdana" w:eastAsia="Times New Roman" w:hAnsi="Verdana" w:cs="Times New Roman"/>
            <w:color w:val="0000EE"/>
            <w:szCs w:val="24"/>
            <w:u w:val="single"/>
            <w:lang w:val="uk-UA" w:eastAsia="ru-RU"/>
          </w:rPr>
          <w:t>ISBN 5-272-00355-1</w:t>
        </w:r>
      </w:hyperlink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)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За необхідності додаткової інформації можливо використання матеріалів з мережі Інтернет, наприклад:</w:t>
      </w:r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Шаблони проектування програмного забезпечення</w:t>
      </w:r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Шаблони проектування програмного забезпечення</w:t>
        </w:r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Шаблон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Обзор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паттернов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Объектно-ориентированное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проектирование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,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David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Gallardo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.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Design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computer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science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)</w:t>
        </w:r>
      </w:hyperlink>
    </w:p>
    <w:p w:rsidR="00843D93" w:rsidRPr="00843D93" w:rsidRDefault="00843D93" w:rsidP="00843D93">
      <w:pPr>
        <w:numPr>
          <w:ilvl w:val="0"/>
          <w:numId w:val="3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Подготовка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к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собеседованию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по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/J2EE</w:t>
        </w:r>
        <w:r w:rsidRPr="00843D93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3D93" w:rsidRPr="00843D93" w:rsidRDefault="00843D93" w:rsidP="00843D93">
      <w:pPr>
        <w:rPr>
          <w:rFonts w:eastAsia="Times New Roman" w:cs="Times New Roman"/>
          <w:szCs w:val="24"/>
          <w:lang w:val="uk-UA" w:eastAsia="ru-RU"/>
        </w:rPr>
      </w:pPr>
    </w:p>
    <w:p w:rsidR="00843D93" w:rsidRPr="00843D93" w:rsidRDefault="00843D93" w:rsidP="00843D93">
      <w:pPr>
        <w:ind w:left="363"/>
        <w:jc w:val="both"/>
        <w:rPr>
          <w:rFonts w:eastAsia="Times New Roman" w:cs="Times New Roman"/>
          <w:szCs w:val="24"/>
          <w:lang w:val="uk-UA" w:eastAsia="ru-RU"/>
        </w:rPr>
      </w:pPr>
      <w:r w:rsidRPr="00843D93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Структурні шаблони</w:t>
      </w:r>
    </w:p>
    <w:p w:rsidR="00843D93" w:rsidRPr="00843D93" w:rsidRDefault="00843D93" w:rsidP="00843D93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Структурні шаблони</w:t>
        </w:r>
      </w:hyperlink>
    </w:p>
    <w:p w:rsidR="00843D93" w:rsidRPr="00843D93" w:rsidRDefault="00843D93" w:rsidP="00843D93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Structural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pattern</w:t>
        </w:r>
        <w:proofErr w:type="spellEnd"/>
      </w:hyperlink>
    </w:p>
    <w:p w:rsidR="00843D93" w:rsidRPr="00843D93" w:rsidRDefault="00843D93" w:rsidP="00843D93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</w:hyperlink>
    </w:p>
    <w:p w:rsidR="00843D93" w:rsidRPr="00843D93" w:rsidRDefault="00843D93" w:rsidP="00843D93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9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: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паттерны</w:t>
        </w:r>
        <w:proofErr w:type="spellEnd"/>
      </w:hyperlink>
    </w:p>
    <w:p w:rsidR="00843D93" w:rsidRPr="00843D93" w:rsidRDefault="00843D93" w:rsidP="00843D93">
      <w:pPr>
        <w:numPr>
          <w:ilvl w:val="0"/>
          <w:numId w:val="4"/>
        </w:numPr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0" w:history="1"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Структурные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шаблоны</w:t>
        </w:r>
        <w:proofErr w:type="spellEnd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Pr="004C7629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проектирования</w:t>
        </w:r>
        <w:proofErr w:type="spellEnd"/>
        <w:r w:rsidRPr="00843D93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843D93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  <w:r w:rsidRPr="00843D93">
          <w:rPr>
            <w:rFonts w:ascii="Arial" w:eastAsia="Times New Roman" w:hAnsi="Arial" w:cs="Arial"/>
            <w:color w:val="000000"/>
            <w:sz w:val="23"/>
            <w:szCs w:val="23"/>
            <w:lang w:val="uk-UA" w:eastAsia="ru-RU"/>
          </w:rPr>
          <w:br/>
        </w:r>
      </w:hyperlink>
    </w:p>
    <w:p w:rsidR="008463B7" w:rsidRPr="004C7629" w:rsidRDefault="008463B7">
      <w:pPr>
        <w:rPr>
          <w:lang w:val="uk-UA"/>
        </w:rPr>
      </w:pPr>
    </w:p>
    <w:sectPr w:rsidR="008463B7" w:rsidRPr="004C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27D"/>
    <w:multiLevelType w:val="multilevel"/>
    <w:tmpl w:val="548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5562C"/>
    <w:multiLevelType w:val="multilevel"/>
    <w:tmpl w:val="1F9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6514B"/>
    <w:multiLevelType w:val="multilevel"/>
    <w:tmpl w:val="E8E4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E1334F"/>
    <w:multiLevelType w:val="multilevel"/>
    <w:tmpl w:val="135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93"/>
    <w:rsid w:val="004C7629"/>
    <w:rsid w:val="00843D93"/>
    <w:rsid w:val="008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D9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843D93"/>
  </w:style>
  <w:style w:type="character" w:styleId="a4">
    <w:name w:val="Hyperlink"/>
    <w:basedOn w:val="a0"/>
    <w:uiPriority w:val="99"/>
    <w:semiHidden/>
    <w:unhideWhenUsed/>
    <w:rsid w:val="00843D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D93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843D93"/>
  </w:style>
  <w:style w:type="character" w:styleId="a4">
    <w:name w:val="Hyperlink"/>
    <w:basedOn w:val="a0"/>
    <w:uiPriority w:val="99"/>
    <w:semiHidden/>
    <w:unhideWhenUsed/>
    <w:rsid w:val="00843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1%83%D0%B6%D0%B5%D0%B1%D0%BD%D0%B0%D1%8F:BookSources/5272003551" TargetMode="External"/><Relationship Id="rId13" Type="http://schemas.openxmlformats.org/officeDocument/2006/relationships/hyperlink" Target="http://khpi-iip.mipk.kharkiv.edu/library/extent/prog/jdp101/index.html" TargetMode="External"/><Relationship Id="rId18" Type="http://schemas.openxmlformats.org/officeDocument/2006/relationships/hyperlink" Target="http://khpi-iip.mipk.kharkiv.edu/library/extent/prog/jdp101/part5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ru.wikipedia.org/wiki/%D0%A1%D0%BB%D1%83%D0%B6%D0%B5%D0%B1%D0%BD%D0%B0%D1%8F:BookSources/9785469011361" TargetMode="External"/><Relationship Id="rId12" Type="http://schemas.openxmlformats.org/officeDocument/2006/relationships/hyperlink" Target="http://www.javenue.info/themes/ood/" TargetMode="External"/><Relationship Id="rId17" Type="http://schemas.openxmlformats.org/officeDocument/2006/relationships/hyperlink" Target="http://en.wikipedia.org/wiki/Structural_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1%D1%82%D1%80%D1%83%D0%BA%D1%82%D1%83%D1%80%D0%BD%D1%96_%D1%88%D0%B0%D0%B1%D0%BB%D0%BE%D0%BD%D0%B8" TargetMode="External"/><Relationship Id="rId20" Type="http://schemas.openxmlformats.org/officeDocument/2006/relationships/hyperlink" Target="http://piarmedia.ru/?page_id=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://citforum.ru/SE/project/patter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oud-cuckoo.com.ua/category/java/podgotovka-k-sobesedovaniyu-po-java/j2ee" TargetMode="External"/><Relationship Id="rId10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19" Type="http://schemas.openxmlformats.org/officeDocument/2006/relationships/hyperlink" Target="http://www.pcmag.ru/solutions/detail.php?ID=344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A8%D0%B0%D0%B1%D0%BB%D0%BE%D0%BD%D0%B8_%D0%BF%D1%80%D0%BE%D0%B5%D0%BA%D1%82%D1%83%D0%B2%D0%B0%D0%BD%D0%BD%D1%8F_%D0%BF%D1%80%D0%BE%D0%B3%D1%80%D0%B0%D0%BC%D0%BD%D0%BE%D0%B3%D0%BE_%D0%B7%D0%B0%D0%B1%D0%B5%D0%B7%D0%BF%D0%B5%D1%87%D0%B5%D0%BD%D0%BD%D1%8F" TargetMode="External"/><Relationship Id="rId14" Type="http://schemas.openxmlformats.org/officeDocument/2006/relationships/hyperlink" Target="http://en.wikipedia.org/wiki/Design_pattern_%28computer_science%2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2014-09-02T13:38:00Z</dcterms:created>
  <dcterms:modified xsi:type="dcterms:W3CDTF">2014-09-02T13:40:00Z</dcterms:modified>
</cp:coreProperties>
</file>