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B66A80">
        <w:rPr>
          <w:bCs/>
          <w:sz w:val="48"/>
          <w:szCs w:val="48"/>
        </w:rPr>
        <w:t>3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>Номер підгрупи 1</w:t>
      </w:r>
      <w:r w:rsidR="00B66A80">
        <w:rPr>
          <w:b/>
          <w:bCs/>
          <w:i/>
          <w:sz w:val="32"/>
          <w:szCs w:val="32"/>
        </w:rPr>
        <w:t>5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0B438D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en-US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5E3712"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383F3D" w:rsidRDefault="000241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 w:rsidR="007B7942">
        <w:rPr>
          <w:rFonts w:ascii="Times New Roman" w:hAnsi="Times New Roman" w:cs="Times New Roman"/>
          <w:sz w:val="28"/>
        </w:rPr>
        <w:t>аріант</w:t>
      </w:r>
      <w:r w:rsidR="00E94717">
        <w:rPr>
          <w:rFonts w:ascii="Times New Roman" w:hAnsi="Times New Roman" w:cs="Times New Roman"/>
          <w:sz w:val="28"/>
        </w:rPr>
        <w:t>:</w:t>
      </w:r>
    </w:p>
    <w:p w:rsidR="00024195" w:rsidRDefault="00024195" w:rsidP="00A446D5">
      <w:pPr>
        <w:spacing w:after="0" w:line="240" w:lineRule="auto"/>
        <w:rPr>
          <w:position w:val="-80"/>
        </w:rPr>
      </w:pPr>
      <w:r w:rsidRPr="008E007B">
        <w:rPr>
          <w:position w:val="-80"/>
        </w:rPr>
        <w:object w:dxaOrig="264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04.25pt" o:ole="">
            <v:imagedata r:id="rId7" o:title=""/>
          </v:shape>
          <o:OLEObject Type="Embed" ProgID="Equation.3" ShapeID="_x0000_i1025" DrawAspect="Content" ObjectID="_1424807699" r:id="rId8"/>
        </w:object>
      </w:r>
    </w:p>
    <w:p w:rsidR="00A446D5" w:rsidRPr="00A446D5" w:rsidRDefault="00A446D5" w:rsidP="00A446D5">
      <w:pPr>
        <w:spacing w:after="0" w:line="240" w:lineRule="auto"/>
        <w:rPr>
          <w:rFonts w:ascii="Times New Roman" w:hAnsi="Times New Roman" w:cs="Times New Roman"/>
          <w:position w:val="-80"/>
          <w:sz w:val="24"/>
          <w:lang w:val="en-US"/>
        </w:rPr>
      </w:pPr>
      <w:r w:rsidRPr="00A446D5">
        <w:rPr>
          <w:rFonts w:ascii="Times New Roman" w:hAnsi="Times New Roman" w:cs="Times New Roman"/>
          <w:position w:val="-80"/>
          <w:sz w:val="24"/>
        </w:rPr>
        <w:t>Для</w:t>
      </w:r>
      <w:r>
        <w:rPr>
          <w:rFonts w:ascii="Times New Roman" w:hAnsi="Times New Roman" w:cs="Times New Roman"/>
          <w:position w:val="-80"/>
          <w:sz w:val="24"/>
        </w:rPr>
        <w:t xml:space="preserve"> побудови діаграм і графіків використовувалася програма </w:t>
      </w:r>
      <w:r>
        <w:rPr>
          <w:rFonts w:ascii="Times New Roman" w:hAnsi="Times New Roman" w:cs="Times New Roman"/>
          <w:position w:val="-80"/>
          <w:sz w:val="24"/>
          <w:lang w:val="en-US"/>
        </w:rPr>
        <w:t>Microsoft</w:t>
      </w:r>
      <w:r w:rsidR="00FB27F5">
        <w:rPr>
          <w:rFonts w:ascii="Times New Roman" w:hAnsi="Times New Roman" w:cs="Times New Roman"/>
          <w:position w:val="-80"/>
          <w:sz w:val="24"/>
          <w:lang w:val="en-US"/>
        </w:rPr>
        <w:t xml:space="preserve"> Excel</w:t>
      </w:r>
    </w:p>
    <w:p w:rsidR="00B66A80" w:rsidRPr="00A446D5" w:rsidRDefault="00B66A80" w:rsidP="00A446D5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position w:val="-80"/>
          <w:sz w:val="24"/>
        </w:rPr>
      </w:pPr>
      <w:r w:rsidRPr="00A446D5">
        <w:rPr>
          <w:rFonts w:ascii="Times New Roman" w:hAnsi="Times New Roman" w:cs="Times New Roman"/>
          <w:position w:val="-80"/>
          <w:sz w:val="24"/>
        </w:rPr>
        <w:t>Графік</w:t>
      </w:r>
    </w:p>
    <w:tbl>
      <w:tblPr>
        <w:tblW w:w="117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B66A80" w:rsidRPr="00B66A80" w:rsidTr="00B66A80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r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-5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-4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-3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-1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</w:tr>
      <w:tr w:rsidR="00B66A80" w:rsidRPr="00B66A80" w:rsidTr="00B66A80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x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16,98557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17,48557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17,98557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18,48557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18,98557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19,48557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19,98557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20,48557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20,98557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21,48557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21,98557</w:t>
            </w:r>
          </w:p>
        </w:tc>
      </w:tr>
      <w:tr w:rsidR="00B66A80" w:rsidRPr="00B66A80" w:rsidTr="00B66A80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y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29,41987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30,2859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31,15192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32,01795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32,88397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33,75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34,61603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35,48205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36,34808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37,2141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66A80" w:rsidRPr="00B66A80" w:rsidRDefault="00B66A80" w:rsidP="00B66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66A80">
              <w:rPr>
                <w:rFonts w:ascii="Calibri" w:eastAsia="Times New Roman" w:hAnsi="Calibri" w:cs="Calibri"/>
                <w:color w:val="000000"/>
                <w:lang w:eastAsia="uk-UA"/>
              </w:rPr>
              <w:t>38,08013</w:t>
            </w:r>
          </w:p>
        </w:tc>
      </w:tr>
    </w:tbl>
    <w:p w:rsidR="00B66A80" w:rsidRDefault="00B66A80">
      <w:pPr>
        <w:rPr>
          <w:rFonts w:ascii="Times New Roman" w:hAnsi="Times New Roman" w:cs="Times New Roman"/>
          <w:sz w:val="28"/>
        </w:rPr>
      </w:pPr>
    </w:p>
    <w:p w:rsidR="00B66A80" w:rsidRDefault="00B66A80">
      <w:pPr>
        <w:rPr>
          <w:rFonts w:ascii="Times New Roman" w:hAnsi="Times New Roman" w:cs="Times New Roman"/>
          <w:sz w:val="28"/>
        </w:rPr>
      </w:pPr>
      <w:r w:rsidRPr="00B66A80">
        <w:rPr>
          <w:rFonts w:ascii="Times New Roman" w:hAnsi="Times New Roman" w:cs="Times New Roman"/>
          <w:sz w:val="28"/>
        </w:rPr>
        <w:drawing>
          <wp:inline distT="0" distB="0" distL="0" distR="0">
            <wp:extent cx="4438651" cy="2663191"/>
            <wp:effectExtent l="19050" t="0" r="19049" b="3809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66A80" w:rsidRDefault="00B66A80">
      <w:pPr>
        <w:rPr>
          <w:rFonts w:ascii="Times New Roman" w:hAnsi="Times New Roman" w:cs="Times New Roman"/>
          <w:sz w:val="28"/>
        </w:rPr>
      </w:pPr>
      <w:r w:rsidRPr="00B66A80">
        <w:rPr>
          <w:rFonts w:ascii="Times New Roman" w:hAnsi="Times New Roman" w:cs="Times New Roman"/>
          <w:sz w:val="28"/>
        </w:rPr>
        <w:drawing>
          <wp:inline distT="0" distB="0" distL="0" distR="0">
            <wp:extent cx="4572000" cy="27432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6A80" w:rsidRDefault="00B66A80" w:rsidP="00B66A80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Гістограма</w:t>
      </w:r>
    </w:p>
    <w:tbl>
      <w:tblPr>
        <w:tblW w:w="11232" w:type="dxa"/>
        <w:tblInd w:w="-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FB7E1C" w:rsidRPr="00205DA7" w:rsidTr="00FB7E1C">
        <w:trPr>
          <w:trHeight w:val="30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30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40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50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70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90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100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110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120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130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140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150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160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170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180</w:t>
            </w:r>
          </w:p>
        </w:tc>
      </w:tr>
      <w:tr w:rsidR="00FB7E1C" w:rsidRPr="00205DA7" w:rsidTr="00FB7E1C">
        <w:trPr>
          <w:trHeight w:val="30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10,68327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9,769915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8,366025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6,634285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4,774547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1,511798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0,475185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6,13E-17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0,127889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0,827758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3,488972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5,102196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6,633975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7,89053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8,713655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</w:tr>
      <w:tr w:rsidR="00FB7E1C" w:rsidRPr="00205DA7" w:rsidTr="00FB7E1C">
        <w:trPr>
          <w:trHeight w:val="30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11,66808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10,70961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9,232051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7,40033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5,417334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3,5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1,853818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0,648833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1,23E-16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-0,04576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0,485737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1,5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2,846184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4,336152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5,767949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6,950837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7,728848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</w:tr>
      <w:tr w:rsidR="00FB7E1C" w:rsidRPr="00205DA7" w:rsidTr="00FB7E1C">
        <w:trPr>
          <w:trHeight w:val="30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12,65289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11,6493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10,09808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8,166374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6,060122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2,195838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0,822481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1,84E-16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-0,21941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0,143717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2,203396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3,570108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4,901924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6,011144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6,74404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  <w:tr w:rsidR="00FB7E1C" w:rsidRPr="00205DA7" w:rsidTr="00FB7E1C">
        <w:trPr>
          <w:trHeight w:val="30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13,63769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12,58899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10,9641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8,932419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6,70291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4,5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2,537858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0,99613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2,45E-16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-0,39306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-0,1983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0,5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1,560609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2,804063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4,035898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5,071452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5,759232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205DA7" w:rsidRPr="00205DA7" w:rsidRDefault="00205DA7" w:rsidP="00205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05DA7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</w:tr>
    </w:tbl>
    <w:p w:rsidR="00C14418" w:rsidRDefault="00C14418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FB7E1C" w:rsidRDefault="00FB7E1C" w:rsidP="00C14418">
      <w:pPr>
        <w:pStyle w:val="aa"/>
        <w:ind w:left="-284"/>
        <w:rPr>
          <w:rFonts w:ascii="Times New Roman" w:hAnsi="Times New Roman" w:cs="Times New Roman"/>
          <w:sz w:val="28"/>
        </w:rPr>
      </w:pPr>
      <w:r w:rsidRPr="00FB7E1C">
        <w:rPr>
          <w:rFonts w:ascii="Times New Roman" w:hAnsi="Times New Roman" w:cs="Times New Roman"/>
          <w:sz w:val="28"/>
        </w:rPr>
        <w:drawing>
          <wp:inline distT="0" distB="0" distL="0" distR="0">
            <wp:extent cx="6391275" cy="3789502"/>
            <wp:effectExtent l="19050" t="0" r="9525" b="1448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7E1C" w:rsidRDefault="00FB7E1C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572F91" w:rsidRDefault="00572F91" w:rsidP="00C14418">
      <w:pPr>
        <w:pStyle w:val="aa"/>
        <w:ind w:left="-284"/>
        <w:rPr>
          <w:rFonts w:ascii="Times New Roman" w:hAnsi="Times New Roman" w:cs="Times New Roman"/>
          <w:sz w:val="28"/>
        </w:rPr>
      </w:pPr>
    </w:p>
    <w:p w:rsidR="00FB7E1C" w:rsidRDefault="00FB7E1C" w:rsidP="00FB7E1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Кругова діаграма</w:t>
      </w:r>
    </w:p>
    <w:tbl>
      <w:tblPr>
        <w:tblW w:w="2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8"/>
        <w:gridCol w:w="1128"/>
        <w:gridCol w:w="1128"/>
      </w:tblGrid>
      <w:tr w:rsidR="00572F91" w:rsidRPr="00572F91" w:rsidTr="00572F9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41,97336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21,98557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32,9332</w:t>
            </w:r>
          </w:p>
        </w:tc>
      </w:tr>
      <w:tr w:rsidR="00572F91" w:rsidRPr="00572F91" w:rsidTr="00572F9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24,23333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38,08013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32,9332</w:t>
            </w:r>
          </w:p>
        </w:tc>
      </w:tr>
      <w:tr w:rsidR="00572F91" w:rsidRPr="00572F91" w:rsidTr="00572F9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11,64686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22,5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72F91" w:rsidRPr="00572F91" w:rsidRDefault="00572F91" w:rsidP="0057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</w:pPr>
            <w:r w:rsidRPr="00572F91">
              <w:rPr>
                <w:rFonts w:ascii="Calibri" w:eastAsia="Times New Roman" w:hAnsi="Calibri" w:cs="Calibri"/>
                <w:color w:val="000000"/>
                <w:sz w:val="24"/>
                <w:lang w:eastAsia="uk-UA"/>
              </w:rPr>
              <w:t>17,22075</w:t>
            </w:r>
          </w:p>
        </w:tc>
      </w:tr>
    </w:tbl>
    <w:p w:rsidR="00572F91" w:rsidRDefault="00572F91" w:rsidP="00121402">
      <w:pPr>
        <w:pStyle w:val="aa"/>
        <w:rPr>
          <w:rFonts w:ascii="Times New Roman" w:hAnsi="Times New Roman" w:cs="Times New Roman"/>
          <w:sz w:val="28"/>
        </w:rPr>
      </w:pPr>
    </w:p>
    <w:p w:rsidR="00572F91" w:rsidRPr="00B66A80" w:rsidRDefault="00572F91" w:rsidP="00121402">
      <w:pPr>
        <w:pStyle w:val="aa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>
            <wp:extent cx="4583260" cy="2745828"/>
            <wp:effectExtent l="19050" t="0" r="26840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4572000" cy="2748643"/>
            <wp:effectExtent l="19050" t="0" r="19050" b="0"/>
            <wp:docPr id="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4572000" cy="2748643"/>
            <wp:effectExtent l="19050" t="0" r="19050" b="0"/>
            <wp:docPr id="1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C6347" w:rsidRPr="00CE4784" w:rsidRDefault="003045A0" w:rsidP="00A40309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ab/>
      </w:r>
      <w:r w:rsidR="00AD4A54" w:rsidRPr="00AD4A54">
        <w:rPr>
          <w:rFonts w:ascii="Times New Roman" w:hAnsi="Times New Roman" w:cs="Times New Roman"/>
          <w:sz w:val="28"/>
          <w:szCs w:val="20"/>
        </w:rPr>
        <w:t>Висновок.</w:t>
      </w:r>
      <w:r w:rsidR="005E3712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Було побудовано три типи діаграм: графіки, кругові діаграми, гістограму. Під час виконання даної лабораторної роботи я набув навичок у роботі з діловою графікою. </w:t>
      </w:r>
    </w:p>
    <w:sectPr w:rsidR="003C6347" w:rsidRPr="00CE4784" w:rsidSect="00572F91">
      <w:footerReference w:type="default" r:id="rId15"/>
      <w:pgSz w:w="11906" w:h="16838"/>
      <w:pgMar w:top="709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459" w:rsidRDefault="00792459" w:rsidP="00DF4D88">
      <w:pPr>
        <w:spacing w:after="0" w:line="240" w:lineRule="auto"/>
      </w:pPr>
      <w:r>
        <w:separator/>
      </w:r>
    </w:p>
  </w:endnote>
  <w:endnote w:type="continuationSeparator" w:id="0">
    <w:p w:rsidR="00792459" w:rsidRDefault="00792459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709162"/>
      <w:docPartObj>
        <w:docPartGallery w:val="Page Numbers (Bottom of Page)"/>
        <w:docPartUnique/>
      </w:docPartObj>
    </w:sdtPr>
    <w:sdtContent>
      <w:p w:rsidR="00DF4D88" w:rsidRDefault="0054327B">
        <w:pPr>
          <w:pStyle w:val="a8"/>
          <w:jc w:val="right"/>
        </w:pPr>
        <w:fldSimple w:instr=" PAGE   \* MERGEFORMAT ">
          <w:r w:rsidR="003045A0">
            <w:rPr>
              <w:noProof/>
            </w:rPr>
            <w:t>2</w:t>
          </w:r>
        </w:fldSimple>
      </w:p>
    </w:sdtContent>
  </w:sdt>
  <w:p w:rsidR="00DF4D88" w:rsidRDefault="00DF4D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459" w:rsidRDefault="00792459" w:rsidP="00DF4D88">
      <w:pPr>
        <w:spacing w:after="0" w:line="240" w:lineRule="auto"/>
      </w:pPr>
      <w:r>
        <w:separator/>
      </w:r>
    </w:p>
  </w:footnote>
  <w:footnote w:type="continuationSeparator" w:id="0">
    <w:p w:rsidR="00792459" w:rsidRDefault="00792459" w:rsidP="00DF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18C6"/>
    <w:multiLevelType w:val="hybridMultilevel"/>
    <w:tmpl w:val="55AC3D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717"/>
    <w:rsid w:val="00024195"/>
    <w:rsid w:val="000B438D"/>
    <w:rsid w:val="00114EEF"/>
    <w:rsid w:val="00121402"/>
    <w:rsid w:val="001262E1"/>
    <w:rsid w:val="00205DA7"/>
    <w:rsid w:val="003045A0"/>
    <w:rsid w:val="00383F3D"/>
    <w:rsid w:val="003C6347"/>
    <w:rsid w:val="00435321"/>
    <w:rsid w:val="00445C78"/>
    <w:rsid w:val="00484191"/>
    <w:rsid w:val="0054327B"/>
    <w:rsid w:val="00572F91"/>
    <w:rsid w:val="005E3712"/>
    <w:rsid w:val="00792459"/>
    <w:rsid w:val="007B7942"/>
    <w:rsid w:val="007C60A9"/>
    <w:rsid w:val="00891412"/>
    <w:rsid w:val="0090693B"/>
    <w:rsid w:val="00992352"/>
    <w:rsid w:val="00A40309"/>
    <w:rsid w:val="00A446D5"/>
    <w:rsid w:val="00AD4A54"/>
    <w:rsid w:val="00B66A80"/>
    <w:rsid w:val="00C14418"/>
    <w:rsid w:val="00CE4784"/>
    <w:rsid w:val="00D31ACC"/>
    <w:rsid w:val="00DF4D88"/>
    <w:rsid w:val="00E94717"/>
    <w:rsid w:val="00F3721B"/>
    <w:rsid w:val="00FA4B71"/>
    <w:rsid w:val="00FB27F5"/>
    <w:rsid w:val="00FB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  <w:style w:type="paragraph" w:styleId="aa">
    <w:name w:val="List Paragraph"/>
    <w:basedOn w:val="a"/>
    <w:uiPriority w:val="34"/>
    <w:qFormat/>
    <w:rsid w:val="00B66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lineChart>
        <c:grouping val="stacked"/>
        <c:ser>
          <c:idx val="1"/>
          <c:order val="0"/>
          <c:tx>
            <c:strRef>
              <c:f>Лист1!$A$2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Лист1!$B$2:$L$2</c:f>
              <c:numCache>
                <c:formatCode>General</c:formatCode>
                <c:ptCount val="11"/>
                <c:pt idx="0">
                  <c:v>16.985571585149867</c:v>
                </c:pt>
                <c:pt idx="1">
                  <c:v>17.485571585149867</c:v>
                </c:pt>
                <c:pt idx="2">
                  <c:v>17.985571585149867</c:v>
                </c:pt>
                <c:pt idx="3">
                  <c:v>18.485571585149867</c:v>
                </c:pt>
                <c:pt idx="4">
                  <c:v>18.985571585149867</c:v>
                </c:pt>
                <c:pt idx="5">
                  <c:v>19.485571585149867</c:v>
                </c:pt>
                <c:pt idx="6">
                  <c:v>19.985571585149867</c:v>
                </c:pt>
                <c:pt idx="7">
                  <c:v>20.485571585149867</c:v>
                </c:pt>
                <c:pt idx="8">
                  <c:v>20.985571585149867</c:v>
                </c:pt>
                <c:pt idx="9">
                  <c:v>21.485571585149867</c:v>
                </c:pt>
                <c:pt idx="10">
                  <c:v>21.985571585149867</c:v>
                </c:pt>
              </c:numCache>
            </c:numRef>
          </c:val>
        </c:ser>
        <c:ser>
          <c:idx val="2"/>
          <c:order val="1"/>
          <c:tx>
            <c:strRef>
              <c:f>Лист1!$A$3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Лист1!$B$3:$L$3</c:f>
              <c:numCache>
                <c:formatCode>General</c:formatCode>
                <c:ptCount val="11"/>
                <c:pt idx="0">
                  <c:v>29.419872981077802</c:v>
                </c:pt>
                <c:pt idx="1">
                  <c:v>30.285898384862239</c:v>
                </c:pt>
                <c:pt idx="2">
                  <c:v>31.151923788646691</c:v>
                </c:pt>
                <c:pt idx="3">
                  <c:v>32.017949192431125</c:v>
                </c:pt>
                <c:pt idx="4">
                  <c:v>32.883974596215545</c:v>
                </c:pt>
                <c:pt idx="5">
                  <c:v>33.75</c:v>
                </c:pt>
                <c:pt idx="6">
                  <c:v>34.616025403784434</c:v>
                </c:pt>
                <c:pt idx="7">
                  <c:v>35.482050807568882</c:v>
                </c:pt>
                <c:pt idx="8">
                  <c:v>36.348076211353309</c:v>
                </c:pt>
                <c:pt idx="9">
                  <c:v>37.21410161513775</c:v>
                </c:pt>
                <c:pt idx="10">
                  <c:v>38.080127018922191</c:v>
                </c:pt>
              </c:numCache>
            </c:numRef>
          </c:val>
        </c:ser>
        <c:marker val="1"/>
        <c:axId val="125140992"/>
        <c:axId val="125142528"/>
      </c:lineChart>
      <c:catAx>
        <c:axId val="125140992"/>
        <c:scaling>
          <c:orientation val="minMax"/>
        </c:scaling>
        <c:axPos val="b"/>
        <c:numFmt formatCode="General" sourceLinked="1"/>
        <c:tickLblPos val="nextTo"/>
        <c:crossAx val="125142528"/>
        <c:crosses val="autoZero"/>
        <c:auto val="1"/>
        <c:lblAlgn val="ctr"/>
        <c:lblOffset val="100"/>
      </c:catAx>
      <c:valAx>
        <c:axId val="125142528"/>
        <c:scaling>
          <c:orientation val="minMax"/>
        </c:scaling>
        <c:axPos val="l"/>
        <c:majorGridlines/>
        <c:numFmt formatCode="General" sourceLinked="1"/>
        <c:tickLblPos val="nextTo"/>
        <c:crossAx val="1251409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view3D>
      <c:perspective val="30"/>
    </c:view3D>
    <c:plotArea>
      <c:layout/>
      <c:line3DChart>
        <c:grouping val="standard"/>
        <c:ser>
          <c:idx val="0"/>
          <c:order val="0"/>
          <c:tx>
            <c:v>x</c:v>
          </c:tx>
          <c:val>
            <c:numRef>
              <c:f>Лист1!$B$2:$L$2</c:f>
              <c:numCache>
                <c:formatCode>General</c:formatCode>
                <c:ptCount val="11"/>
                <c:pt idx="0">
                  <c:v>16.985571585149867</c:v>
                </c:pt>
                <c:pt idx="1">
                  <c:v>17.485571585149867</c:v>
                </c:pt>
                <c:pt idx="2">
                  <c:v>17.985571585149867</c:v>
                </c:pt>
                <c:pt idx="3">
                  <c:v>18.485571585149867</c:v>
                </c:pt>
                <c:pt idx="4">
                  <c:v>18.985571585149867</c:v>
                </c:pt>
                <c:pt idx="5">
                  <c:v>19.485571585149867</c:v>
                </c:pt>
                <c:pt idx="6">
                  <c:v>19.985571585149867</c:v>
                </c:pt>
                <c:pt idx="7">
                  <c:v>20.485571585149867</c:v>
                </c:pt>
                <c:pt idx="8">
                  <c:v>20.985571585149867</c:v>
                </c:pt>
                <c:pt idx="9">
                  <c:v>21.485571585149867</c:v>
                </c:pt>
                <c:pt idx="10">
                  <c:v>21.985571585149867</c:v>
                </c:pt>
              </c:numCache>
            </c:numRef>
          </c:val>
        </c:ser>
        <c:ser>
          <c:idx val="1"/>
          <c:order val="1"/>
          <c:tx>
            <c:v>y</c:v>
          </c:tx>
          <c:val>
            <c:numRef>
              <c:f>Лист1!$B$3:$L$3</c:f>
              <c:numCache>
                <c:formatCode>General</c:formatCode>
                <c:ptCount val="11"/>
                <c:pt idx="0">
                  <c:v>29.419872981077802</c:v>
                </c:pt>
                <c:pt idx="1">
                  <c:v>30.285898384862239</c:v>
                </c:pt>
                <c:pt idx="2">
                  <c:v>31.151923788646691</c:v>
                </c:pt>
                <c:pt idx="3">
                  <c:v>32.017949192431125</c:v>
                </c:pt>
                <c:pt idx="4">
                  <c:v>32.883974596215545</c:v>
                </c:pt>
                <c:pt idx="5">
                  <c:v>33.75</c:v>
                </c:pt>
                <c:pt idx="6">
                  <c:v>34.616025403784434</c:v>
                </c:pt>
                <c:pt idx="7">
                  <c:v>35.482050807568882</c:v>
                </c:pt>
                <c:pt idx="8">
                  <c:v>36.348076211353309</c:v>
                </c:pt>
                <c:pt idx="9">
                  <c:v>37.21410161513775</c:v>
                </c:pt>
                <c:pt idx="10">
                  <c:v>38.080127018922191</c:v>
                </c:pt>
              </c:numCache>
            </c:numRef>
          </c:val>
        </c:ser>
        <c:axId val="125328768"/>
        <c:axId val="125503360"/>
        <c:axId val="125216064"/>
      </c:line3DChart>
      <c:catAx>
        <c:axId val="125328768"/>
        <c:scaling>
          <c:orientation val="minMax"/>
        </c:scaling>
        <c:axPos val="b"/>
        <c:tickLblPos val="nextTo"/>
        <c:crossAx val="125503360"/>
        <c:crosses val="autoZero"/>
        <c:auto val="1"/>
        <c:lblAlgn val="ctr"/>
        <c:lblOffset val="100"/>
      </c:catAx>
      <c:valAx>
        <c:axId val="125503360"/>
        <c:scaling>
          <c:orientation val="minMax"/>
        </c:scaling>
        <c:axPos val="l"/>
        <c:majorGridlines/>
        <c:numFmt formatCode="General" sourceLinked="1"/>
        <c:tickLblPos val="nextTo"/>
        <c:crossAx val="125328768"/>
        <c:crosses val="autoZero"/>
        <c:crossBetween val="between"/>
      </c:valAx>
      <c:serAx>
        <c:axId val="125216064"/>
        <c:scaling>
          <c:orientation val="minMax"/>
        </c:scaling>
        <c:axPos val="b"/>
        <c:tickLblPos val="nextTo"/>
        <c:crossAx val="125503360"/>
        <c:crosses val="autoZero"/>
      </c:ser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view3D>
      <c:rotX val="30"/>
      <c:rotY val="30"/>
      <c:perspective val="30"/>
    </c:view3D>
    <c:plotArea>
      <c:layout/>
      <c:bar3DChart>
        <c:barDir val="col"/>
        <c:grouping val="standard"/>
        <c:ser>
          <c:idx val="0"/>
          <c:order val="0"/>
          <c:tx>
            <c:v>1</c:v>
          </c:tx>
          <c:cat>
            <c:numRef>
              <c:f>Лист1!$V$10:$AM$10</c:f>
              <c:numCache>
                <c:formatCode>General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</c:numCache>
            </c:numRef>
          </c:cat>
          <c:val>
            <c:numRef>
              <c:f>Лист1!$V$11:$AM$11</c:f>
              <c:numCache>
                <c:formatCode>General</c:formatCode>
                <c:ptCount val="18"/>
                <c:pt idx="0">
                  <c:v>10.68327085694175</c:v>
                </c:pt>
                <c:pt idx="1">
                  <c:v>9.7699148363808028</c:v>
                </c:pt>
                <c:pt idx="2">
                  <c:v>8.3660254037844393</c:v>
                </c:pt>
                <c:pt idx="3">
                  <c:v>6.6342853314536301</c:v>
                </c:pt>
                <c:pt idx="4">
                  <c:v>4.7745467213518884</c:v>
                </c:pt>
                <c:pt idx="5">
                  <c:v>3.0000000000000009</c:v>
                </c:pt>
                <c:pt idx="6">
                  <c:v>1.5117979277307791</c:v>
                </c:pt>
                <c:pt idx="7">
                  <c:v>0.47518507373738883</c:v>
                </c:pt>
                <c:pt idx="8">
                  <c:v>6.1257422745431099E-17</c:v>
                </c:pt>
                <c:pt idx="9">
                  <c:v>0.12788871840352758</c:v>
                </c:pt>
                <c:pt idx="10">
                  <c:v>0.82775764107944094</c:v>
                </c:pt>
                <c:pt idx="11">
                  <c:v>1.999999999999998</c:v>
                </c:pt>
                <c:pt idx="12">
                  <c:v>3.488971501978809</c:v>
                </c:pt>
                <c:pt idx="13">
                  <c:v>5.1021964452156716</c:v>
                </c:pt>
                <c:pt idx="14">
                  <c:v>6.6339745962155616</c:v>
                </c:pt>
                <c:pt idx="15">
                  <c:v>7.8905295948089806</c:v>
                </c:pt>
                <c:pt idx="16">
                  <c:v>8.7136553509173318</c:v>
                </c:pt>
                <c:pt idx="17">
                  <c:v>9</c:v>
                </c:pt>
              </c:numCache>
            </c:numRef>
          </c:val>
        </c:ser>
        <c:ser>
          <c:idx val="1"/>
          <c:order val="1"/>
          <c:tx>
            <c:v>2</c:v>
          </c:tx>
          <c:cat>
            <c:numRef>
              <c:f>Лист1!$V$10:$AM$10</c:f>
              <c:numCache>
                <c:formatCode>General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</c:numCache>
            </c:numRef>
          </c:cat>
          <c:val>
            <c:numRef>
              <c:f>Лист1!$V$12:$AM$12</c:f>
              <c:numCache>
                <c:formatCode>General</c:formatCode>
                <c:ptCount val="18"/>
                <c:pt idx="0">
                  <c:v>11.668078609953955</c:v>
                </c:pt>
                <c:pt idx="1">
                  <c:v>10.70960745716671</c:v>
                </c:pt>
                <c:pt idx="2">
                  <c:v>9.2320508075688785</c:v>
                </c:pt>
                <c:pt idx="3">
                  <c:v>7.4003297745726098</c:v>
                </c:pt>
                <c:pt idx="4">
                  <c:v>5.4173343310384263</c:v>
                </c:pt>
                <c:pt idx="5">
                  <c:v>3.5000000000000013</c:v>
                </c:pt>
                <c:pt idx="6">
                  <c:v>1.853818071056448</c:v>
                </c:pt>
                <c:pt idx="7">
                  <c:v>0.64883325140431924</c:v>
                </c:pt>
                <c:pt idx="8">
                  <c:v>1.2251484549086212E-16</c:v>
                </c:pt>
                <c:pt idx="9">
                  <c:v>-4.5759459263402677E-2</c:v>
                </c:pt>
                <c:pt idx="10">
                  <c:v>0.48573749775377228</c:v>
                </c:pt>
                <c:pt idx="11">
                  <c:v>1.499999999999998</c:v>
                </c:pt>
                <c:pt idx="12">
                  <c:v>2.8461838922922698</c:v>
                </c:pt>
                <c:pt idx="13">
                  <c:v>4.3361520020966937</c:v>
                </c:pt>
                <c:pt idx="14">
                  <c:v>5.7679491924311259</c:v>
                </c:pt>
                <c:pt idx="15">
                  <c:v>6.9508369740230727</c:v>
                </c:pt>
                <c:pt idx="16">
                  <c:v>7.7288475979051254</c:v>
                </c:pt>
                <c:pt idx="17">
                  <c:v>8</c:v>
                </c:pt>
              </c:numCache>
            </c:numRef>
          </c:val>
        </c:ser>
        <c:ser>
          <c:idx val="2"/>
          <c:order val="2"/>
          <c:tx>
            <c:v>3</c:v>
          </c:tx>
          <c:cat>
            <c:numRef>
              <c:f>Лист1!$V$10:$AM$10</c:f>
              <c:numCache>
                <c:formatCode>General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</c:numCache>
            </c:numRef>
          </c:cat>
          <c:val>
            <c:numRef>
              <c:f>Лист1!$V$13:$AM$13</c:f>
              <c:numCache>
                <c:formatCode>General</c:formatCode>
                <c:ptCount val="18"/>
                <c:pt idx="0">
                  <c:v>12.652886362966166</c:v>
                </c:pt>
                <c:pt idx="1">
                  <c:v>11.649300077952617</c:v>
                </c:pt>
                <c:pt idx="2">
                  <c:v>10.09807621135332</c:v>
                </c:pt>
                <c:pt idx="3">
                  <c:v>8.166374217691585</c:v>
                </c:pt>
                <c:pt idx="4">
                  <c:v>6.0601219407249669</c:v>
                </c:pt>
                <c:pt idx="5">
                  <c:v>4.0000000000000009</c:v>
                </c:pt>
                <c:pt idx="6">
                  <c:v>2.1958382143821171</c:v>
                </c:pt>
                <c:pt idx="7">
                  <c:v>0.82248142907124944</c:v>
                </c:pt>
                <c:pt idx="8">
                  <c:v>1.8377226823629315E-16</c:v>
                </c:pt>
                <c:pt idx="9">
                  <c:v>-0.21940763693033302</c:v>
                </c:pt>
                <c:pt idx="10">
                  <c:v>0.14371735442810357</c:v>
                </c:pt>
                <c:pt idx="11">
                  <c:v>0.99999999999999867</c:v>
                </c:pt>
                <c:pt idx="12">
                  <c:v>2.2033962826057314</c:v>
                </c:pt>
                <c:pt idx="13">
                  <c:v>3.5701075589777167</c:v>
                </c:pt>
                <c:pt idx="14">
                  <c:v>4.9019237886466867</c:v>
                </c:pt>
                <c:pt idx="15">
                  <c:v>6.0111443532371638</c:v>
                </c:pt>
                <c:pt idx="16">
                  <c:v>6.7440398448929155</c:v>
                </c:pt>
                <c:pt idx="17">
                  <c:v>7</c:v>
                </c:pt>
              </c:numCache>
            </c:numRef>
          </c:val>
        </c:ser>
        <c:ser>
          <c:idx val="3"/>
          <c:order val="3"/>
          <c:tx>
            <c:v>4</c:v>
          </c:tx>
          <c:cat>
            <c:numRef>
              <c:f>Лист1!$V$10:$AM$10</c:f>
              <c:numCache>
                <c:formatCode>General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</c:numCache>
            </c:numRef>
          </c:cat>
          <c:val>
            <c:numRef>
              <c:f>Лист1!$V$14:$AM$14</c:f>
              <c:numCache>
                <c:formatCode>General</c:formatCode>
                <c:ptCount val="18"/>
                <c:pt idx="0">
                  <c:v>13.637694115978373</c:v>
                </c:pt>
                <c:pt idx="1">
                  <c:v>12.588992698738524</c:v>
                </c:pt>
                <c:pt idx="2">
                  <c:v>10.964101615137755</c:v>
                </c:pt>
                <c:pt idx="3">
                  <c:v>8.932418660810562</c:v>
                </c:pt>
                <c:pt idx="4">
                  <c:v>6.7029095504115057</c:v>
                </c:pt>
                <c:pt idx="5">
                  <c:v>4.5000000000000009</c:v>
                </c:pt>
                <c:pt idx="6">
                  <c:v>2.5378583577077851</c:v>
                </c:pt>
                <c:pt idx="7">
                  <c:v>0.99612960673818018</c:v>
                </c:pt>
                <c:pt idx="8">
                  <c:v>2.450296909817242E-16</c:v>
                </c:pt>
                <c:pt idx="9">
                  <c:v>-0.39305581459726335</c:v>
                </c:pt>
                <c:pt idx="10">
                  <c:v>-0.19830278889756522</c:v>
                </c:pt>
                <c:pt idx="11">
                  <c:v>0.499999999999999</c:v>
                </c:pt>
                <c:pt idx="12">
                  <c:v>1.5606086729191908</c:v>
                </c:pt>
                <c:pt idx="13">
                  <c:v>2.8040631158587375</c:v>
                </c:pt>
                <c:pt idx="14">
                  <c:v>4.0358983848622483</c:v>
                </c:pt>
                <c:pt idx="15">
                  <c:v>5.0714517324512567</c:v>
                </c:pt>
                <c:pt idx="16">
                  <c:v>5.7592320918807092</c:v>
                </c:pt>
                <c:pt idx="17">
                  <c:v>6</c:v>
                </c:pt>
              </c:numCache>
            </c:numRef>
          </c:val>
        </c:ser>
        <c:shape val="box"/>
        <c:axId val="144045568"/>
        <c:axId val="144146816"/>
        <c:axId val="125262912"/>
      </c:bar3DChart>
      <c:catAx>
        <c:axId val="144045568"/>
        <c:scaling>
          <c:orientation val="minMax"/>
        </c:scaling>
        <c:axPos val="b"/>
        <c:numFmt formatCode="General" sourceLinked="1"/>
        <c:tickLblPos val="nextTo"/>
        <c:crossAx val="144146816"/>
        <c:crosses val="autoZero"/>
        <c:auto val="1"/>
        <c:lblAlgn val="ctr"/>
        <c:lblOffset val="100"/>
      </c:catAx>
      <c:valAx>
        <c:axId val="144146816"/>
        <c:scaling>
          <c:orientation val="minMax"/>
        </c:scaling>
        <c:axPos val="l"/>
        <c:majorGridlines/>
        <c:numFmt formatCode="General" sourceLinked="1"/>
        <c:tickLblPos val="nextTo"/>
        <c:crossAx val="144045568"/>
        <c:crosses val="autoZero"/>
        <c:crossBetween val="between"/>
      </c:valAx>
      <c:serAx>
        <c:axId val="125262912"/>
        <c:scaling>
          <c:orientation val="minMax"/>
        </c:scaling>
        <c:axPos val="b"/>
        <c:tickLblPos val="nextTo"/>
        <c:crossAx val="144146816"/>
        <c:crosses val="autoZero"/>
      </c:ser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v>30</c:v>
          </c:tx>
          <c:explosion val="25"/>
          <c:val>
            <c:numRef>
              <c:f>Лист1!$B$24:$B$26</c:f>
              <c:numCache>
                <c:formatCode>General</c:formatCode>
                <c:ptCount val="3"/>
                <c:pt idx="0">
                  <c:v>41.973360687123545</c:v>
                </c:pt>
                <c:pt idx="1">
                  <c:v>24.233331091504031</c:v>
                </c:pt>
                <c:pt idx="2">
                  <c:v>11.646857029613431</c:v>
                </c:pt>
              </c:numCache>
            </c:numRef>
          </c:val>
        </c:ser>
      </c:pie3DChart>
    </c:plotArea>
    <c:legend>
      <c:legendPos val="r"/>
      <c:txPr>
        <a:bodyPr/>
        <a:lstStyle/>
        <a:p>
          <a:pPr rtl="0">
            <a:defRPr/>
          </a:pPr>
          <a:endParaRPr lang="uk-UA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v>60</c:v>
          </c:tx>
          <c:dLbls>
            <c:showPercent val="1"/>
            <c:showLeaderLines val="1"/>
          </c:dLbls>
          <c:val>
            <c:numRef>
              <c:f>Лист1!$C$24:$C$26</c:f>
              <c:numCache>
                <c:formatCode>General</c:formatCode>
                <c:ptCount val="3"/>
                <c:pt idx="0">
                  <c:v>21.985571585149867</c:v>
                </c:pt>
                <c:pt idx="1">
                  <c:v>38.080127018922191</c:v>
                </c:pt>
                <c:pt idx="2">
                  <c:v>22.499999999999993</c:v>
                </c:pt>
              </c:numCache>
            </c:numRef>
          </c:val>
        </c:ser>
        <c:dLbls>
          <c:showPercent val="1"/>
        </c:dLbls>
      </c:pie3DChart>
    </c:plotArea>
    <c:legend>
      <c:legendPos val="t"/>
      <c:txPr>
        <a:bodyPr/>
        <a:lstStyle/>
        <a:p>
          <a:pPr rtl="0">
            <a:defRPr/>
          </a:pPr>
          <a:endParaRPr lang="uk-UA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title/>
    <c:plotArea>
      <c:layout/>
      <c:pieChart>
        <c:varyColors val="1"/>
        <c:ser>
          <c:idx val="0"/>
          <c:order val="0"/>
          <c:tx>
            <c:v>45</c:v>
          </c:tx>
          <c:val>
            <c:numRef>
              <c:f>Лист1!$D$24:$D$26</c:f>
              <c:numCache>
                <c:formatCode>General</c:formatCode>
                <c:ptCount val="3"/>
                <c:pt idx="0">
                  <c:v>32.933200615651202</c:v>
                </c:pt>
                <c:pt idx="1">
                  <c:v>32.933200615651195</c:v>
                </c:pt>
                <c:pt idx="2">
                  <c:v>17.220754456429042</c:v>
                </c:pt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 rtl="0">
            <a:defRPr/>
          </a:pPr>
          <a:endParaRPr lang="uk-UA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19</cp:revision>
  <dcterms:created xsi:type="dcterms:W3CDTF">2013-02-14T19:28:00Z</dcterms:created>
  <dcterms:modified xsi:type="dcterms:W3CDTF">2013-03-14T21:08:00Z</dcterms:modified>
</cp:coreProperties>
</file>