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93" w:rsidRPr="00685869" w:rsidRDefault="00440D93" w:rsidP="00440D93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40D93" w:rsidRPr="00685869" w:rsidRDefault="00440D93" w:rsidP="00440D93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440D93" w:rsidRPr="00685869" w:rsidRDefault="00440D93" w:rsidP="00440D93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440D93" w:rsidRDefault="00440D93" w:rsidP="00440D93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440D93" w:rsidRDefault="00440D93"/>
    <w:p w:rsidR="00440D93" w:rsidRPr="00440D93" w:rsidRDefault="00440D93" w:rsidP="00440D93"/>
    <w:p w:rsidR="00440D93" w:rsidRPr="00440D93" w:rsidRDefault="00440D93" w:rsidP="00440D93"/>
    <w:p w:rsidR="00440D93" w:rsidRPr="00440D93" w:rsidRDefault="00440D93" w:rsidP="00440D93"/>
    <w:p w:rsidR="00C76C94" w:rsidRDefault="00440D93" w:rsidP="00440D93">
      <w:pPr>
        <w:tabs>
          <w:tab w:val="left" w:pos="3675"/>
        </w:tabs>
        <w:jc w:val="center"/>
        <w:rPr>
          <w:rFonts w:ascii="Times New Roman" w:hAnsi="Times New Roman"/>
          <w:sz w:val="28"/>
          <w:szCs w:val="28"/>
        </w:rPr>
      </w:pPr>
      <w:r w:rsidRPr="00440D93">
        <w:rPr>
          <w:rFonts w:ascii="Times New Roman" w:hAnsi="Times New Roman"/>
          <w:sz w:val="28"/>
          <w:szCs w:val="28"/>
        </w:rPr>
        <w:t>Доповідь на тему:</w:t>
      </w:r>
    </w:p>
    <w:p w:rsidR="00440D93" w:rsidRPr="00440D93" w:rsidRDefault="00440D93" w:rsidP="00440D93">
      <w:pPr>
        <w:tabs>
          <w:tab w:val="left" w:pos="3675"/>
        </w:tabs>
        <w:jc w:val="center"/>
        <w:rPr>
          <w:rFonts w:ascii="Times New Roman" w:hAnsi="Times New Roman"/>
          <w:b/>
          <w:sz w:val="28"/>
          <w:szCs w:val="28"/>
        </w:rPr>
      </w:pPr>
      <w:r w:rsidRPr="00440D93">
        <w:rPr>
          <w:rFonts w:ascii="Times New Roman" w:hAnsi="Times New Roman"/>
          <w:b/>
          <w:sz w:val="28"/>
          <w:szCs w:val="28"/>
        </w:rPr>
        <w:t xml:space="preserve">«Дослідження </w:t>
      </w:r>
      <w:r w:rsidRPr="00440D93">
        <w:rPr>
          <w:rFonts w:ascii="Times New Roman" w:hAnsi="Times New Roman"/>
          <w:b/>
          <w:sz w:val="28"/>
          <w:szCs w:val="28"/>
          <w:lang w:val="ru-RU"/>
        </w:rPr>
        <w:t>“</w:t>
      </w:r>
      <w:r w:rsidRPr="00440D93">
        <w:rPr>
          <w:rFonts w:ascii="Times New Roman" w:hAnsi="Times New Roman"/>
          <w:b/>
          <w:sz w:val="28"/>
          <w:szCs w:val="28"/>
        </w:rPr>
        <w:t>феномену воєнних років</w:t>
      </w:r>
      <w:r w:rsidRPr="00440D93">
        <w:rPr>
          <w:rFonts w:ascii="Times New Roman" w:hAnsi="Times New Roman"/>
          <w:b/>
          <w:sz w:val="28"/>
          <w:szCs w:val="28"/>
          <w:lang w:val="ru-RU"/>
        </w:rPr>
        <w:t>”</w:t>
      </w:r>
      <w:r w:rsidRPr="00440D93">
        <w:rPr>
          <w:rFonts w:ascii="Times New Roman" w:hAnsi="Times New Roman"/>
          <w:b/>
          <w:sz w:val="28"/>
          <w:szCs w:val="28"/>
        </w:rPr>
        <w:t xml:space="preserve"> на прикладі Першої та Другої</w:t>
      </w:r>
    </w:p>
    <w:p w:rsidR="00440D93" w:rsidRDefault="00440D93" w:rsidP="00440D93">
      <w:pPr>
        <w:tabs>
          <w:tab w:val="left" w:pos="3675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світових</w:t>
      </w:r>
      <w:r w:rsidRPr="00440D93">
        <w:rPr>
          <w:rFonts w:ascii="Times New Roman" w:hAnsi="Times New Roman"/>
          <w:b/>
          <w:sz w:val="28"/>
          <w:szCs w:val="28"/>
        </w:rPr>
        <w:t xml:space="preserve"> воєн і АТО»</w:t>
      </w: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75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697"/>
        <w:gridCol w:w="4663"/>
      </w:tblGrid>
      <w:tr w:rsidR="00440D93" w:rsidRPr="00EF0462" w:rsidTr="00440D93">
        <w:tc>
          <w:tcPr>
            <w:tcW w:w="4697" w:type="dxa"/>
          </w:tcPr>
          <w:p w:rsidR="00440D93" w:rsidRPr="0097458F" w:rsidRDefault="00440D93" w:rsidP="00440D9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440D93" w:rsidRDefault="00440D93" w:rsidP="00440D93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Марковський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О.П.</w:t>
            </w:r>
          </w:p>
          <w:p w:rsidR="00440D93" w:rsidRPr="0097458F" w:rsidRDefault="00440D93" w:rsidP="00440D9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663" w:type="dxa"/>
          </w:tcPr>
          <w:p w:rsidR="00440D93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Підготували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440D93" w:rsidRPr="0097458F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>и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440D93" w:rsidRPr="0097458F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440D93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  <w:p w:rsidR="00440D93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  <w:p w:rsidR="00440D93" w:rsidRPr="00EF0462" w:rsidRDefault="00440D93" w:rsidP="00440D93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ru-RU"/>
              </w:rPr>
              <w:t>Гаваньчук</w:t>
            </w:r>
            <w:proofErr w:type="spellEnd"/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О.</w:t>
            </w:r>
          </w:p>
        </w:tc>
      </w:tr>
    </w:tbl>
    <w:p w:rsidR="00440D93" w:rsidRDefault="00440D93" w:rsidP="0044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І. «Феномен воєнних років»</w:t>
      </w:r>
    </w:p>
    <w:p w:rsidR="00440D93" w:rsidRPr="00440D93" w:rsidRDefault="00440D93" w:rsidP="00440D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давніх часів люди до нас дійшов міф про те, що хлопчиків перед війною народжується завжди більше хлопчиків. Насправді,</w:t>
      </w:r>
      <w:r w:rsidR="00FD2818">
        <w:rPr>
          <w:rFonts w:ascii="Times New Roman" w:hAnsi="Times New Roman"/>
          <w:sz w:val="28"/>
          <w:szCs w:val="28"/>
        </w:rPr>
        <w:t xml:space="preserve"> міф не так далеко від реальності. Як виявилося під час статистичних досліджень, відношення кількості народжених хлопчиків по відношенню до кількості народжених дівчат справді зростає (</w:t>
      </w:r>
      <w:r w:rsidR="00415C2F">
        <w:rPr>
          <w:rFonts w:ascii="Times New Roman" w:hAnsi="Times New Roman"/>
          <w:sz w:val="28"/>
          <w:szCs w:val="28"/>
        </w:rPr>
        <w:t>змінюється вторинне співвідношення статей</w:t>
      </w:r>
      <w:r w:rsidR="00FD2818">
        <w:rPr>
          <w:rFonts w:ascii="Times New Roman" w:hAnsi="Times New Roman"/>
          <w:sz w:val="28"/>
          <w:szCs w:val="28"/>
        </w:rPr>
        <w:t>). Проте відбувається це в останні роки активних воєнних дій і в перші після-військові роки</w:t>
      </w:r>
      <w:r w:rsidR="00415C2F">
        <w:rPr>
          <w:rFonts w:ascii="Times New Roman" w:hAnsi="Times New Roman"/>
          <w:sz w:val="28"/>
          <w:szCs w:val="28"/>
        </w:rPr>
        <w:t>,</w:t>
      </w:r>
      <w:r w:rsidR="00FD2818">
        <w:rPr>
          <w:rFonts w:ascii="Times New Roman" w:hAnsi="Times New Roman"/>
          <w:sz w:val="28"/>
          <w:szCs w:val="28"/>
        </w:rPr>
        <w:t xml:space="preserve"> про що згодом. Саме це досить дивне явище називають «феноменом воєнних років»</w:t>
      </w:r>
      <w:r w:rsidR="00415C2F">
        <w:rPr>
          <w:rFonts w:ascii="Times New Roman" w:hAnsi="Times New Roman"/>
          <w:sz w:val="28"/>
          <w:szCs w:val="28"/>
        </w:rPr>
        <w:t>.</w:t>
      </w:r>
    </w:p>
    <w:p w:rsidR="00440D93" w:rsidRDefault="00A81A80" w:rsidP="0044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ІІ. Перша світова війна</w:t>
      </w:r>
    </w:p>
    <w:p w:rsidR="00440D93" w:rsidRPr="00440D93" w:rsidRDefault="00440D93" w:rsidP="0044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ІІІ</w:t>
      </w:r>
      <w:r w:rsidRPr="00440D93">
        <w:rPr>
          <w:rFonts w:ascii="Times New Roman" w:hAnsi="Times New Roman"/>
          <w:b/>
          <w:sz w:val="28"/>
          <w:szCs w:val="28"/>
        </w:rPr>
        <w:t>. Друга світова війна</w:t>
      </w:r>
    </w:p>
    <w:p w:rsidR="00D277AE" w:rsidRDefault="00415C2F" w:rsidP="00415C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і в Першій світовій </w:t>
      </w:r>
      <w:r w:rsidR="00DD61F4">
        <w:rPr>
          <w:rFonts w:ascii="Times New Roman" w:hAnsi="Times New Roman"/>
          <w:sz w:val="28"/>
          <w:szCs w:val="28"/>
        </w:rPr>
        <w:t>війні, з графіками вторинного співвідношення статей відбувається та ж закономірність. Відношення народжених хлопчиків знову поповзло вверх.</w:t>
      </w:r>
      <w:r w:rsidR="007A1F4C">
        <w:rPr>
          <w:rFonts w:ascii="Times New Roman" w:hAnsi="Times New Roman"/>
          <w:sz w:val="28"/>
          <w:szCs w:val="28"/>
        </w:rPr>
        <w:t xml:space="preserve"> Так, в Франції та Великобританії це відношення підскочило на 1,5-2% на відміну від мирного часу. Теж саме відбулося і в Німеччині.  Особливо цікавим є розподіл радянських «воєнних дітей». Так, відношення «воєнних хлопчиків» до «воєнних </w:t>
      </w:r>
      <w:proofErr w:type="spellStart"/>
      <w:r w:rsidR="007A1F4C">
        <w:rPr>
          <w:rFonts w:ascii="Times New Roman" w:hAnsi="Times New Roman"/>
          <w:sz w:val="28"/>
          <w:szCs w:val="28"/>
        </w:rPr>
        <w:t>дівчаток</w:t>
      </w:r>
      <w:proofErr w:type="spellEnd"/>
      <w:r w:rsidR="007A1F4C">
        <w:rPr>
          <w:rFonts w:ascii="Times New Roman" w:hAnsi="Times New Roman"/>
          <w:sz w:val="28"/>
          <w:szCs w:val="28"/>
        </w:rPr>
        <w:t xml:space="preserve">» виявився напрочуд великим. </w:t>
      </w:r>
      <w:r w:rsidR="00D277AE">
        <w:rPr>
          <w:rFonts w:ascii="Times New Roman" w:hAnsi="Times New Roman"/>
          <w:sz w:val="28"/>
          <w:szCs w:val="28"/>
        </w:rPr>
        <w:t>Таблиця і графік розподілу наведені нижче.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AE" w:rsidTr="00D277AE">
        <w:tc>
          <w:tcPr>
            <w:tcW w:w="4675" w:type="dxa"/>
          </w:tcPr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Рік</w:t>
            </w:r>
          </w:p>
        </w:tc>
        <w:tc>
          <w:tcPr>
            <w:tcW w:w="4675" w:type="dxa"/>
          </w:tcPr>
          <w:p w:rsidR="00D277AE" w:rsidRDefault="00D277AE" w:rsidP="00415C2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100 дівчат народилося хлопчиків</w:t>
            </w:r>
          </w:p>
        </w:tc>
      </w:tr>
      <w:tr w:rsidR="00D277AE" w:rsidTr="00D277AE">
        <w:tc>
          <w:tcPr>
            <w:tcW w:w="4675" w:type="dxa"/>
          </w:tcPr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1940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1941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1942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1943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1944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1945</w:t>
            </w:r>
          </w:p>
        </w:tc>
        <w:tc>
          <w:tcPr>
            <w:tcW w:w="4675" w:type="dxa"/>
          </w:tcPr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104,4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105,8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103,3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105,2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107,1</w:t>
            </w:r>
          </w:p>
          <w:p w:rsidR="00D277AE" w:rsidRDefault="00D277AE" w:rsidP="00D277A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108,9</w:t>
            </w:r>
          </w:p>
        </w:tc>
      </w:tr>
    </w:tbl>
    <w:p w:rsidR="00440D93" w:rsidRDefault="00D277AE" w:rsidP="00415C2F">
      <w:pPr>
        <w:rPr>
          <w:rFonts w:ascii="Times New Roman" w:hAnsi="Times New Roman"/>
          <w:sz w:val="28"/>
          <w:szCs w:val="28"/>
        </w:rPr>
      </w:pPr>
      <w:r w:rsidRPr="00440D93">
        <w:rPr>
          <w:rFonts w:ascii="Times New Roman" w:hAnsi="Times New Roman"/>
          <w:sz w:val="28"/>
          <w:szCs w:val="28"/>
        </w:rPr>
        <w:t xml:space="preserve"> </w:t>
      </w:r>
    </w:p>
    <w:p w:rsidR="000101CA" w:rsidRDefault="00D277AE" w:rsidP="00415C2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01CA" w:rsidRDefault="000101CA" w:rsidP="000101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Отже, як можна бачити на діаграмі, від 1940 до 1941 року незначний сплеск народжуваності хлопчиків, що згодом падає нижче норми у 1942 році. Проте, уже в 1943 року знову спостерігається динаміка приросту чоловічого населення аж до 1945 року.</w:t>
      </w:r>
      <w:r w:rsidR="00A81A80">
        <w:rPr>
          <w:rFonts w:ascii="Times New Roman" w:hAnsi="Times New Roman"/>
          <w:sz w:val="28"/>
          <w:szCs w:val="28"/>
        </w:rPr>
        <w:t xml:space="preserve"> Цікаво й те, що графік просідає в 1942 році, чого не відбувається в країнах Європи.</w:t>
      </w:r>
    </w:p>
    <w:p w:rsidR="00A81A80" w:rsidRPr="00A81A80" w:rsidRDefault="00A81A80" w:rsidP="000101CA">
      <w:pPr>
        <w:rPr>
          <w:rFonts w:ascii="Times New Roman" w:hAnsi="Times New Roman"/>
          <w:b/>
          <w:sz w:val="28"/>
          <w:szCs w:val="28"/>
        </w:rPr>
      </w:pPr>
      <w:r w:rsidRPr="00A81A80">
        <w:rPr>
          <w:rFonts w:ascii="Times New Roman" w:hAnsi="Times New Roman"/>
          <w:b/>
          <w:sz w:val="28"/>
          <w:szCs w:val="28"/>
        </w:rPr>
        <w:t>І</w:t>
      </w:r>
      <w:r w:rsidRPr="00A81A8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81A80">
        <w:rPr>
          <w:rFonts w:ascii="Times New Roman" w:hAnsi="Times New Roman"/>
          <w:b/>
          <w:sz w:val="28"/>
          <w:szCs w:val="28"/>
        </w:rPr>
        <w:t>. АТО</w:t>
      </w:r>
    </w:p>
    <w:p w:rsidR="00A81A80" w:rsidRDefault="00A81A80" w:rsidP="000101CA">
      <w:pPr>
        <w:rPr>
          <w:rFonts w:ascii="Times New Roman" w:hAnsi="Times New Roman"/>
          <w:b/>
          <w:sz w:val="28"/>
          <w:szCs w:val="28"/>
        </w:rPr>
      </w:pPr>
      <w:r w:rsidRPr="00A81A80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81A8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Пояснення і гіпотези</w:t>
      </w:r>
    </w:p>
    <w:p w:rsidR="00A81A80" w:rsidRDefault="00A81A80" w:rsidP="000101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«Феномен воєнних років» насправді не новий і досліджувався багатьма людьми. Зокрема, С.А. </w:t>
      </w:r>
      <w:proofErr w:type="spellStart"/>
      <w:r>
        <w:rPr>
          <w:rFonts w:ascii="Times New Roman" w:hAnsi="Times New Roman"/>
          <w:sz w:val="28"/>
          <w:szCs w:val="28"/>
        </w:rPr>
        <w:t>Новосельським</w:t>
      </w:r>
      <w:proofErr w:type="spellEnd"/>
      <w:r>
        <w:rPr>
          <w:rFonts w:ascii="Times New Roman" w:hAnsi="Times New Roman"/>
          <w:sz w:val="28"/>
          <w:szCs w:val="28"/>
        </w:rPr>
        <w:t xml:space="preserve">. Було також висунуто немало теорій та гіпотез з цього приводу. Серед них: </w:t>
      </w:r>
    </w:p>
    <w:p w:rsidR="00A81A80" w:rsidRDefault="00A81A80" w:rsidP="00A81A8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«Відпочилі» жінки</w:t>
      </w:r>
    </w:p>
    <w:p w:rsidR="00A81A80" w:rsidRDefault="00A81A80" w:rsidP="00A81A8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Стресова ситуація</w:t>
      </w:r>
    </w:p>
    <w:p w:rsidR="00A81A80" w:rsidRDefault="00A81A80" w:rsidP="00A81A8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Молоді пари</w:t>
      </w:r>
    </w:p>
    <w:p w:rsidR="00A81A80" w:rsidRDefault="00A81A80" w:rsidP="00A81A8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Бракованість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чоловіків</w:t>
      </w:r>
    </w:p>
    <w:p w:rsidR="00A81A80" w:rsidRDefault="00C20F15" w:rsidP="00A81A8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A81A80">
        <w:rPr>
          <w:rFonts w:ascii="Times New Roman" w:hAnsi="Times New Roman"/>
          <w:sz w:val="28"/>
          <w:szCs w:val="28"/>
        </w:rPr>
        <w:t xml:space="preserve">На першу теорію, як основне пояснення, посилається </w:t>
      </w:r>
      <w:proofErr w:type="spellStart"/>
      <w:r w:rsidR="00A81A80">
        <w:rPr>
          <w:rFonts w:ascii="Times New Roman" w:hAnsi="Times New Roman"/>
          <w:sz w:val="28"/>
          <w:szCs w:val="28"/>
        </w:rPr>
        <w:t>Новосельський</w:t>
      </w:r>
      <w:proofErr w:type="spellEnd"/>
      <w:r w:rsidR="00A81A80">
        <w:rPr>
          <w:rFonts w:ascii="Times New Roman" w:hAnsi="Times New Roman"/>
          <w:sz w:val="28"/>
          <w:szCs w:val="28"/>
        </w:rPr>
        <w:t>.</w:t>
      </w:r>
    </w:p>
    <w:p w:rsidR="00A81A80" w:rsidRDefault="00C20F15" w:rsidP="00A81A8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A81A80">
        <w:rPr>
          <w:rFonts w:ascii="Times New Roman" w:hAnsi="Times New Roman"/>
          <w:sz w:val="28"/>
          <w:szCs w:val="28"/>
        </w:rPr>
        <w:t xml:space="preserve">За статистикою, кількість мертвонароджених хлопчиків по відношенню до мертвонароджених </w:t>
      </w:r>
      <w:proofErr w:type="spellStart"/>
      <w:r w:rsidR="00A81A80">
        <w:rPr>
          <w:rFonts w:ascii="Times New Roman" w:hAnsi="Times New Roman"/>
          <w:sz w:val="28"/>
          <w:szCs w:val="28"/>
        </w:rPr>
        <w:t>дівчаток</w:t>
      </w:r>
      <w:proofErr w:type="spellEnd"/>
      <w:r w:rsidR="00A81A80">
        <w:rPr>
          <w:rFonts w:ascii="Times New Roman" w:hAnsi="Times New Roman"/>
          <w:sz w:val="28"/>
          <w:szCs w:val="28"/>
        </w:rPr>
        <w:t xml:space="preserve"> в середньому складає 125-130 хлопчиків на </w:t>
      </w:r>
      <w:r w:rsidR="00A81A80">
        <w:rPr>
          <w:rFonts w:ascii="Times New Roman" w:hAnsi="Times New Roman"/>
          <w:sz w:val="28"/>
          <w:szCs w:val="28"/>
        </w:rPr>
        <w:lastRenderedPageBreak/>
        <w:t xml:space="preserve">100 </w:t>
      </w:r>
      <w:proofErr w:type="spellStart"/>
      <w:r w:rsidR="00A81A80">
        <w:rPr>
          <w:rFonts w:ascii="Times New Roman" w:hAnsi="Times New Roman"/>
          <w:sz w:val="28"/>
          <w:szCs w:val="28"/>
        </w:rPr>
        <w:t>дівчаток</w:t>
      </w:r>
      <w:proofErr w:type="spellEnd"/>
      <w:r w:rsidR="00A81A80">
        <w:rPr>
          <w:rFonts w:ascii="Times New Roman" w:hAnsi="Times New Roman"/>
          <w:sz w:val="28"/>
          <w:szCs w:val="28"/>
        </w:rPr>
        <w:t xml:space="preserve">. Тобто, жінці чисто фізично важче виносити і народити хлопчика, ніж дівчинку. </w:t>
      </w:r>
      <w:r w:rsidR="00F86D40">
        <w:rPr>
          <w:rFonts w:ascii="Times New Roman" w:hAnsi="Times New Roman"/>
          <w:sz w:val="28"/>
          <w:szCs w:val="28"/>
        </w:rPr>
        <w:t>А часті пологи, відповідно, «змушували» стомлений організм народжувати дівчинку. Коли ж з сім’ї йшов чоловік, то організм «відпочивав» від пологів і «дозволяв» народитися хлопчику при наступній вагітності.</w:t>
      </w:r>
    </w:p>
    <w:p w:rsidR="00F86D40" w:rsidRDefault="00994443" w:rsidP="00A81A8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Стресові ситуації, такі як війна,</w:t>
      </w:r>
      <w:r w:rsidRPr="0099444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сут</w:t>
      </w:r>
      <w:proofErr w:type="spellEnd"/>
      <w:r>
        <w:rPr>
          <w:rFonts w:ascii="Times New Roman" w:hAnsi="Times New Roman"/>
          <w:sz w:val="28"/>
          <w:szCs w:val="28"/>
        </w:rPr>
        <w:t xml:space="preserve">і є каталізатором для підвищення народжуваності. Безліч дослідів на піддослідних щурах це доводить. Проте, є одна вада і теорії, оскільки підвищення народжуваності і народжуваності хлопчиків, зокрема. Відбувалося б лише після перших 9-10 місяців після початку воєнних дій, а надалі стабілізувалося б, чого ми не можемо побачити по графіку. </w:t>
      </w:r>
      <w:r w:rsidR="00343885">
        <w:rPr>
          <w:rFonts w:ascii="Times New Roman" w:hAnsi="Times New Roman"/>
          <w:sz w:val="28"/>
          <w:szCs w:val="28"/>
        </w:rPr>
        <w:t>Тому ця гіпотеза не має ніяких ґрунтовних доказів.</w:t>
      </w:r>
    </w:p>
    <w:p w:rsidR="00343885" w:rsidRDefault="00343885" w:rsidP="00A81A8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Як вже зазначалося, «відпочилий» організм жінки здатний у </w:t>
      </w:r>
      <w:r w:rsidR="003829E2">
        <w:rPr>
          <w:rFonts w:ascii="Times New Roman" w:hAnsi="Times New Roman"/>
          <w:sz w:val="28"/>
          <w:szCs w:val="28"/>
        </w:rPr>
        <w:t xml:space="preserve">повній мірі виносити хлопчика. Можна стверджувати, що таке твердження справедливе і для </w:t>
      </w:r>
      <w:proofErr w:type="spellStart"/>
      <w:r w:rsidR="003829E2">
        <w:rPr>
          <w:rFonts w:ascii="Times New Roman" w:hAnsi="Times New Roman"/>
          <w:sz w:val="28"/>
          <w:szCs w:val="28"/>
        </w:rPr>
        <w:t>породіль</w:t>
      </w:r>
      <w:proofErr w:type="spellEnd"/>
      <w:r w:rsidR="003829E2">
        <w:rPr>
          <w:rFonts w:ascii="Times New Roman" w:hAnsi="Times New Roman"/>
          <w:sz w:val="28"/>
          <w:szCs w:val="28"/>
        </w:rPr>
        <w:t xml:space="preserve">, що вперше стають матерями. А оскільки в стресових ситуаціях кожен організм намагається зберегти потомство по собі, то кількість шлюбів, укладених між молодими людьми під час війни, зростає. Відповідно, зростає кількість і </w:t>
      </w:r>
      <w:proofErr w:type="spellStart"/>
      <w:r w:rsidR="003829E2">
        <w:rPr>
          <w:rFonts w:ascii="Times New Roman" w:hAnsi="Times New Roman"/>
          <w:sz w:val="28"/>
          <w:szCs w:val="28"/>
        </w:rPr>
        <w:t>породіль</w:t>
      </w:r>
      <w:proofErr w:type="spellEnd"/>
      <w:r w:rsidR="003829E2">
        <w:rPr>
          <w:rFonts w:ascii="Times New Roman" w:hAnsi="Times New Roman"/>
          <w:sz w:val="28"/>
          <w:szCs w:val="28"/>
        </w:rPr>
        <w:t>, що вперше народжують. А це в свою чергу</w:t>
      </w:r>
      <w:r w:rsidR="00C20F15">
        <w:rPr>
          <w:rFonts w:ascii="Times New Roman" w:hAnsi="Times New Roman"/>
          <w:sz w:val="28"/>
          <w:szCs w:val="28"/>
        </w:rPr>
        <w:t xml:space="preserve"> призводить до збільшення відношення хлопчиків у вторинному співвідношенні. </w:t>
      </w:r>
    </w:p>
    <w:p w:rsidR="00C20F15" w:rsidRPr="00BF71E6" w:rsidRDefault="00C20F15" w:rsidP="00A81A80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Найбільш цікавою і найсправедливішою, на наш погляд, є гіпотеза про «</w:t>
      </w:r>
      <w:proofErr w:type="spellStart"/>
      <w:r>
        <w:rPr>
          <w:rFonts w:ascii="Times New Roman" w:hAnsi="Times New Roman"/>
          <w:sz w:val="28"/>
          <w:szCs w:val="28"/>
        </w:rPr>
        <w:t>бракованість</w:t>
      </w:r>
      <w:proofErr w:type="spellEnd"/>
      <w:r>
        <w:rPr>
          <w:rFonts w:ascii="Times New Roman" w:hAnsi="Times New Roman"/>
          <w:sz w:val="28"/>
          <w:szCs w:val="28"/>
        </w:rPr>
        <w:t>» чоловіків. Так, біологічно доведено, що У-хромосома є мутацією Х-хромосоми. При цьому, властива У-хромосома тільки чоловікам. І більше репродуктивного матеріалу з цією хромосомо</w:t>
      </w:r>
      <w:r w:rsidR="00351910">
        <w:rPr>
          <w:rFonts w:ascii="Times New Roman" w:hAnsi="Times New Roman"/>
          <w:sz w:val="28"/>
          <w:szCs w:val="28"/>
        </w:rPr>
        <w:t>ю</w:t>
      </w:r>
      <w:r w:rsidR="00351910" w:rsidRPr="00351910">
        <w:rPr>
          <w:rFonts w:ascii="Times New Roman" w:hAnsi="Times New Roman"/>
          <w:sz w:val="28"/>
          <w:szCs w:val="28"/>
        </w:rPr>
        <w:t xml:space="preserve"> </w:t>
      </w:r>
      <w:r w:rsidR="00351910">
        <w:rPr>
          <w:rFonts w:ascii="Times New Roman" w:hAnsi="Times New Roman"/>
          <w:sz w:val="28"/>
          <w:szCs w:val="28"/>
        </w:rPr>
        <w:t>у тих</w:t>
      </w:r>
      <w:r w:rsidR="00351910">
        <w:rPr>
          <w:rFonts w:ascii="Times New Roman" w:hAnsi="Times New Roman"/>
          <w:sz w:val="28"/>
          <w:szCs w:val="28"/>
        </w:rPr>
        <w:t xml:space="preserve"> </w:t>
      </w:r>
      <w:r w:rsidR="00351910">
        <w:rPr>
          <w:rFonts w:ascii="Times New Roman" w:hAnsi="Times New Roman"/>
          <w:sz w:val="28"/>
          <w:szCs w:val="28"/>
        </w:rPr>
        <w:t>чоловіків</w:t>
      </w:r>
      <w:r>
        <w:rPr>
          <w:rFonts w:ascii="Times New Roman" w:hAnsi="Times New Roman"/>
          <w:sz w:val="28"/>
          <w:szCs w:val="28"/>
        </w:rPr>
        <w:t xml:space="preserve">, </w:t>
      </w:r>
      <w:r w:rsidR="00351910">
        <w:rPr>
          <w:rFonts w:ascii="Times New Roman" w:hAnsi="Times New Roman"/>
          <w:sz w:val="28"/>
          <w:szCs w:val="28"/>
        </w:rPr>
        <w:t xml:space="preserve">у яких зі здоров’ям не все гаразд. </w:t>
      </w:r>
      <w:r>
        <w:rPr>
          <w:rFonts w:ascii="Times New Roman" w:hAnsi="Times New Roman"/>
          <w:sz w:val="28"/>
          <w:szCs w:val="28"/>
        </w:rPr>
        <w:t xml:space="preserve">Якщо ж глянути з точки зору логіки, то треба пам’ятати, що під час війни мобілізують здорових фізично чоловіків, а не придатні до служби залишаються в тилу. </w:t>
      </w:r>
      <w:r w:rsidR="00351910">
        <w:rPr>
          <w:rFonts w:ascii="Times New Roman" w:hAnsi="Times New Roman"/>
          <w:sz w:val="28"/>
          <w:szCs w:val="28"/>
        </w:rPr>
        <w:t>Тобто, «браковані» чоловіки можуть регулярно відновлювати потомство, на відміну від мобілізованих. Як видно знову ж таки за результатами дослідження, дана гіпотеза чи не найсправедливіша з усіх</w:t>
      </w:r>
      <w:r w:rsidR="00F5167C">
        <w:rPr>
          <w:rFonts w:ascii="Times New Roman" w:hAnsi="Times New Roman"/>
          <w:sz w:val="28"/>
          <w:szCs w:val="28"/>
        </w:rPr>
        <w:t>, вище приведених. Як доказ, можна навести факт вже не з області війн, а статистики, складеної після аварії 1957 року в атомному центрі «</w:t>
      </w:r>
      <w:proofErr w:type="spellStart"/>
      <w:r w:rsidR="00F5167C">
        <w:rPr>
          <w:rFonts w:ascii="Times New Roman" w:hAnsi="Times New Roman"/>
          <w:sz w:val="28"/>
          <w:szCs w:val="28"/>
        </w:rPr>
        <w:t>Селлафілд</w:t>
      </w:r>
      <w:proofErr w:type="spellEnd"/>
      <w:r w:rsidR="00F5167C">
        <w:rPr>
          <w:rFonts w:ascii="Times New Roman" w:hAnsi="Times New Roman"/>
          <w:sz w:val="28"/>
          <w:szCs w:val="28"/>
        </w:rPr>
        <w:t xml:space="preserve">». Під час пожежі в атмосферу був викид радіоактивних </w:t>
      </w:r>
      <w:r w:rsidR="00F5167C">
        <w:rPr>
          <w:rFonts w:ascii="Times New Roman" w:hAnsi="Times New Roman"/>
          <w:sz w:val="28"/>
          <w:szCs w:val="28"/>
        </w:rPr>
        <w:lastRenderedPageBreak/>
        <w:t>речовин і багато чоловіків співробітників було опромінено. Тобто, ці чоловіки стали «</w:t>
      </w:r>
      <w:r w:rsidR="00BF71E6">
        <w:rPr>
          <w:rFonts w:ascii="Times New Roman" w:hAnsi="Times New Roman"/>
          <w:sz w:val="28"/>
          <w:szCs w:val="28"/>
        </w:rPr>
        <w:t>бракованими</w:t>
      </w:r>
      <w:r w:rsidR="00F5167C">
        <w:rPr>
          <w:rFonts w:ascii="Times New Roman" w:hAnsi="Times New Roman"/>
          <w:sz w:val="28"/>
          <w:szCs w:val="28"/>
        </w:rPr>
        <w:t>»</w:t>
      </w:r>
      <w:r w:rsidR="00BF71E6">
        <w:rPr>
          <w:rFonts w:ascii="Times New Roman" w:hAnsi="Times New Roman"/>
          <w:sz w:val="28"/>
          <w:szCs w:val="28"/>
        </w:rPr>
        <w:t xml:space="preserve">. Як виявилося, </w:t>
      </w:r>
      <w:r w:rsidR="00BC6848">
        <w:rPr>
          <w:rFonts w:ascii="Times New Roman" w:hAnsi="Times New Roman"/>
          <w:sz w:val="28"/>
          <w:szCs w:val="28"/>
        </w:rPr>
        <w:t>в даних працівників народилося 345 дітей з яких  143 було дівчинки, а 202  - хлопчики. Тобто вторинна статева пропорція значно підскочила. Навіть за 30 років у працівників зберігалася стійка статистика: на 100 дівчат народжувалося 109 хлопчиків.</w:t>
      </w:r>
      <w:bookmarkStart w:id="0" w:name="_GoBack"/>
      <w:bookmarkEnd w:id="0"/>
    </w:p>
    <w:sectPr w:rsidR="00C20F15" w:rsidRPr="00BF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43014"/>
    <w:multiLevelType w:val="hybridMultilevel"/>
    <w:tmpl w:val="C614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63"/>
    <w:rsid w:val="000101CA"/>
    <w:rsid w:val="00274E63"/>
    <w:rsid w:val="00343885"/>
    <w:rsid w:val="00351910"/>
    <w:rsid w:val="003829E2"/>
    <w:rsid w:val="00415C2F"/>
    <w:rsid w:val="00440D93"/>
    <w:rsid w:val="007A1F4C"/>
    <w:rsid w:val="00994443"/>
    <w:rsid w:val="00A81A80"/>
    <w:rsid w:val="00BC6848"/>
    <w:rsid w:val="00BF71E6"/>
    <w:rsid w:val="00C20F15"/>
    <w:rsid w:val="00C76C94"/>
    <w:rsid w:val="00D277AE"/>
    <w:rsid w:val="00DD61F4"/>
    <w:rsid w:val="00F5167C"/>
    <w:rsid w:val="00F86D40"/>
    <w:rsid w:val="00F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BBC20-D68F-4CC0-80CA-B03E898E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D93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Вторинне</a:t>
            </a:r>
            <a:r>
              <a:rPr lang="ru-RU" baseline="0"/>
              <a:t> співвідношення статей СРСР (1940-1941)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1940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104.4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1941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105.8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1942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103.3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1943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Лист1!$E$2</c:f>
              <c:numCache>
                <c:formatCode>General</c:formatCode>
                <c:ptCount val="1"/>
                <c:pt idx="0">
                  <c:v>105.2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1944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Лист1!$F$2</c:f>
              <c:numCache>
                <c:formatCode>General</c:formatCode>
                <c:ptCount val="1"/>
                <c:pt idx="0">
                  <c:v>107.1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1945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Лист1!$G$2</c:f>
              <c:numCache>
                <c:formatCode>General</c:formatCode>
                <c:ptCount val="1"/>
                <c:pt idx="0">
                  <c:v>108.9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238656"/>
        <c:axId val="1259240288"/>
      </c:barChart>
      <c:catAx>
        <c:axId val="125923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240288"/>
        <c:crosses val="autoZero"/>
        <c:auto val="1"/>
        <c:lblAlgn val="ctr"/>
        <c:lblOffset val="100"/>
        <c:noMultiLvlLbl val="0"/>
      </c:catAx>
      <c:valAx>
        <c:axId val="125924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923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3</cp:revision>
  <dcterms:created xsi:type="dcterms:W3CDTF">2015-12-23T22:50:00Z</dcterms:created>
  <dcterms:modified xsi:type="dcterms:W3CDTF">2015-12-24T15:39:00Z</dcterms:modified>
</cp:coreProperties>
</file>