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AFA" w:rsidRDefault="006A4AFA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  <w:r>
        <w:rPr>
          <w:rFonts w:cstheme="minorHAnsi"/>
          <w:lang w:val="uk-UA"/>
        </w:rPr>
        <w:t>000</w:t>
      </w:r>
    </w:p>
    <w:p w:rsidR="006A4AFA" w:rsidRDefault="00E42A65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  <w:r>
        <w:rPr>
          <w:rFonts w:cstheme="minorHAnsi"/>
          <w:noProof/>
          <w:lang w:eastAsia="ru-RU"/>
        </w:rPr>
        <w:drawing>
          <wp:inline distT="0" distB="0" distL="0" distR="0">
            <wp:extent cx="3571875" cy="1629999"/>
            <wp:effectExtent l="0" t="0" r="0" b="8890"/>
            <wp:docPr id="1" name="Рисунок 1" descr="C:\Users\Alexandr\Desktop\фил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\Desktop\фил\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26" cy="163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FA" w:rsidRDefault="006A4AFA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</w:p>
    <w:p w:rsidR="006A4AFA" w:rsidRDefault="006A4AFA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  <w:r>
        <w:rPr>
          <w:rFonts w:cstheme="minorHAnsi"/>
          <w:lang w:val="uk-UA"/>
        </w:rPr>
        <w:t>001</w:t>
      </w:r>
    </w:p>
    <w:p w:rsidR="006A4AFA" w:rsidRDefault="006A4AFA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</w:p>
    <w:p w:rsidR="006A4AFA" w:rsidRDefault="00E42A65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  <w:r>
        <w:rPr>
          <w:rFonts w:cstheme="minorHAnsi"/>
          <w:noProof/>
          <w:lang w:eastAsia="ru-RU"/>
        </w:rPr>
        <w:drawing>
          <wp:inline distT="0" distB="0" distL="0" distR="0">
            <wp:extent cx="3981450" cy="3975070"/>
            <wp:effectExtent l="0" t="0" r="0" b="6985"/>
            <wp:docPr id="2" name="Рисунок 2" descr="C:\Users\Alexandr\Desktop\фил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andr\Desktop\фил\00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681" cy="39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A65" w:rsidRDefault="00E42A65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  <w:r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3590925" cy="2397793"/>
            <wp:effectExtent l="0" t="0" r="0" b="2540"/>
            <wp:docPr id="3" name="Рисунок 3" descr="C:\Users\Alexandr\Desktop\фил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\Desktop\фил\0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697" cy="241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ru-RU"/>
        </w:rPr>
        <w:drawing>
          <wp:inline distT="0" distB="0" distL="0" distR="0">
            <wp:extent cx="3629025" cy="3180494"/>
            <wp:effectExtent l="0" t="0" r="0" b="1270"/>
            <wp:docPr id="4" name="Рисунок 4" descr="C:\Users\Alexandr\Desktop\фил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andr\Desktop\фил\0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725" cy="318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lang w:eastAsia="ru-RU"/>
        </w:rPr>
        <w:drawing>
          <wp:inline distT="0" distB="0" distL="0" distR="0">
            <wp:extent cx="3464682" cy="906490"/>
            <wp:effectExtent l="0" t="0" r="2540" b="8255"/>
            <wp:docPr id="5" name="Рисунок 5" descr="C:\Users\Alexandr\Desktop\фил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andr\Desktop\фил\00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306" cy="9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1"/>
          <w:szCs w:val="21"/>
          <w:lang w:val="uk-UA"/>
        </w:rPr>
      </w:pPr>
      <w:r w:rsidRPr="0067155B">
        <w:rPr>
          <w:rFonts w:cstheme="minorHAnsi"/>
          <w:sz w:val="21"/>
          <w:szCs w:val="21"/>
          <w:lang w:val="uk-UA"/>
        </w:rPr>
        <w:lastRenderedPageBreak/>
        <w:t>002</w:t>
      </w:r>
      <w:bookmarkStart w:id="0" w:name="_GoBack"/>
      <w:bookmarkEnd w:id="0"/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1"/>
          <w:szCs w:val="21"/>
          <w:lang w:val="uk-UA"/>
        </w:rPr>
      </w:pPr>
      <w:proofErr w:type="spellStart"/>
      <w:r w:rsidRPr="0067155B">
        <w:rPr>
          <w:rFonts w:cstheme="minorHAnsi"/>
          <w:sz w:val="21"/>
          <w:szCs w:val="21"/>
          <w:lang w:val="uk-UA"/>
        </w:rPr>
        <w:t>Готфрід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Вільгельм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(1646—1716), який прямо звинувачує Спінозу в тому, що той довів до краю вчення, котре відбирає у створінь силу діяння.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1"/>
          <w:szCs w:val="21"/>
          <w:lang w:val="uk-UA"/>
        </w:rPr>
      </w:pPr>
      <w:proofErr w:type="spellStart"/>
      <w:r w:rsidRPr="0067155B">
        <w:rPr>
          <w:rFonts w:cstheme="minorHAnsi"/>
          <w:sz w:val="21"/>
          <w:szCs w:val="21"/>
          <w:lang w:val="uk-UA"/>
        </w:rPr>
        <w:t>Ляйбніц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, погоджуючись із Спінозою в питанні про субстанціональну основу світу, а також у визнанні божественної природи цієї субстанції (Бог, згідно з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Ляйбніцом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, є первинна Єдність, або ж початкова проста субстанція), всупереч Спінозі прагне максимально врахувати індивідуальність, унікальність і неповторність реального існування. </w:t>
      </w:r>
      <w:proofErr w:type="spellStart"/>
      <w:r w:rsidRPr="0067155B">
        <w:rPr>
          <w:rFonts w:cstheme="minorHAnsi"/>
          <w:sz w:val="21"/>
          <w:szCs w:val="21"/>
          <w:lang w:val="uk-UA"/>
        </w:rPr>
        <w:t>Унітарно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-моністичній орієнтації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протиставляє плюралістичний підхід. Так виникає знаменита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Ляйбніцева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монадологія — назва, якою часто позначають філософію видатного німецького мислителя.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1"/>
          <w:szCs w:val="21"/>
          <w:lang w:val="uk-UA"/>
        </w:rPr>
      </w:pPr>
      <w:r w:rsidRPr="0067155B">
        <w:rPr>
          <w:rFonts w:cstheme="minorHAnsi"/>
          <w:sz w:val="21"/>
          <w:szCs w:val="21"/>
          <w:lang w:val="uk-UA"/>
        </w:rPr>
        <w:t xml:space="preserve">Згідно з цим ученням, реальність складається з нескінченної множини монад (своєрідних безтілесних, «простих» субстанцій — неподільних, незнищуваних, неповторних, самодостатніх, активних тощо). Монади утворюють своєрідну ієрархію — від найпримітивніших несвідомих «малих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перцепцій</w:t>
      </w:r>
      <w:proofErr w:type="spellEnd"/>
      <w:r w:rsidRPr="0067155B">
        <w:rPr>
          <w:rFonts w:cstheme="minorHAnsi"/>
          <w:sz w:val="21"/>
          <w:szCs w:val="21"/>
          <w:lang w:val="uk-UA"/>
        </w:rPr>
        <w:t>», монад-душ (розрізнені перцепції відчуття) і монад-духів (з чітко виявленою  самосвідомістю) аж до найдосконалішої монади — Бога. Монади є суто ідеальними, духовними конститутивними елементами буття. Зміст усіх наших знань продукується монадою-духом з іманентно притаманного кожній із них змісту. І хоча монади «не спілкуються» між собою (вони,</w:t>
      </w:r>
      <w:r w:rsidR="0067155B" w:rsidRPr="0067155B">
        <w:rPr>
          <w:rFonts w:cstheme="minorHAnsi"/>
          <w:sz w:val="21"/>
          <w:szCs w:val="21"/>
          <w:lang w:val="uk-UA"/>
        </w:rPr>
        <w:t xml:space="preserve"> </w:t>
      </w:r>
      <w:r w:rsidRPr="0067155B">
        <w:rPr>
          <w:rFonts w:cstheme="minorHAnsi"/>
          <w:sz w:val="21"/>
          <w:szCs w:val="21"/>
          <w:lang w:val="uk-UA"/>
        </w:rPr>
        <w:t xml:space="preserve">за висловом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Ляйбніца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, «не мають вікон»), між ними існує найтонша погодженість, що має джерелом божественну мудрість. Універсальна гармонія індивідуальних, неповторних і самодостатніх монад становить зміст одного з центральних моментів філософії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Ляйбніца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— теорії наперед встановленої гармонії.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1"/>
          <w:szCs w:val="21"/>
          <w:lang w:val="uk-UA"/>
        </w:rPr>
      </w:pPr>
      <w:r w:rsidRPr="0067155B">
        <w:rPr>
          <w:rFonts w:cstheme="minorHAnsi"/>
          <w:sz w:val="21"/>
          <w:szCs w:val="21"/>
          <w:lang w:val="uk-UA"/>
        </w:rPr>
        <w:t xml:space="preserve">Плюралістична картина світу дає можливість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Ляйбніцу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дещо глибше осмислити і проблему свободи. Розглядаючи цю проблему (як і Спіноза) у взаємовідношенні з проблемою необхідності,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водночас тлумачить досить широко зміст самої необхідності.</w:t>
      </w:r>
    </w:p>
    <w:p w:rsidR="00E222C2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1"/>
          <w:szCs w:val="21"/>
          <w:lang w:val="uk-UA"/>
        </w:rPr>
      </w:pPr>
      <w:r w:rsidRPr="0067155B">
        <w:rPr>
          <w:rFonts w:cstheme="minorHAnsi"/>
          <w:sz w:val="21"/>
          <w:szCs w:val="21"/>
          <w:lang w:val="uk-UA"/>
        </w:rPr>
        <w:t xml:space="preserve">Співвідносячи необхідність із категорією можливості, </w:t>
      </w:r>
      <w:proofErr w:type="spellStart"/>
      <w:r w:rsidRPr="0067155B">
        <w:rPr>
          <w:rFonts w:cstheme="minorHAnsi"/>
          <w:sz w:val="21"/>
          <w:szCs w:val="21"/>
          <w:lang w:val="uk-UA"/>
        </w:rPr>
        <w:t>Ляйбніц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вважає необхідним усе те, що не є можливим. Унаслідок такого підходу необхідність втрачає традиційний (фаталістичний) характер, стає множинною (а не жорстко однозначною, як вона тлумачилася традиційно). Завдяки новому підходу до розуміння необхідності (вона включає не лише «фізичну», а й «моральну» необхідність, </w:t>
      </w:r>
      <w:proofErr w:type="spellStart"/>
      <w:r w:rsidRPr="0067155B">
        <w:rPr>
          <w:rFonts w:cstheme="minorHAnsi"/>
          <w:sz w:val="21"/>
          <w:szCs w:val="21"/>
          <w:lang w:val="uk-UA"/>
        </w:rPr>
        <w:t>тобтовраховує</w:t>
      </w:r>
      <w:proofErr w:type="spellEnd"/>
      <w:r w:rsidRPr="0067155B">
        <w:rPr>
          <w:rFonts w:cstheme="minorHAnsi"/>
          <w:sz w:val="21"/>
          <w:szCs w:val="21"/>
          <w:lang w:val="uk-UA"/>
        </w:rPr>
        <w:t xml:space="preserve"> і множинність мотивації) остання допускає, навіть передбачає ситуацію вибору, без якого про жодну справжню свободу й мови не може бути. Свобода внаслідок цього тлумачиться як свобода діяння і передбачає «свої рівні та різновиди».</w:t>
      </w:r>
    </w:p>
    <w:p w:rsidR="00E42A65" w:rsidRDefault="00E42A65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</w:p>
    <w:p w:rsidR="006A4AFA" w:rsidRPr="00E42A65" w:rsidRDefault="006A4AFA" w:rsidP="00E42A65">
      <w:pPr>
        <w:autoSpaceDE w:val="0"/>
        <w:autoSpaceDN w:val="0"/>
        <w:adjustRightInd w:val="0"/>
        <w:spacing w:after="0" w:line="240" w:lineRule="auto"/>
        <w:rPr>
          <w:rFonts w:cstheme="minorHAnsi"/>
          <w:lang w:val="uk-UA"/>
        </w:rPr>
      </w:pP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3"/>
          <w:szCs w:val="23"/>
          <w:lang w:val="uk-UA"/>
        </w:rPr>
      </w:pPr>
      <w:r w:rsidRPr="0067155B">
        <w:rPr>
          <w:rFonts w:cstheme="minorHAnsi"/>
          <w:sz w:val="23"/>
          <w:szCs w:val="23"/>
          <w:lang w:val="uk-UA"/>
        </w:rPr>
        <w:t>003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 xml:space="preserve">Ще одним великим раціоналістом XVII ст. був німецький мислитель Г.-В.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, який зробив спробу синтезу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арістотелізму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та філософії Декарта.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Він намагався поєднати механістичний світогляд філософії Нового часу з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арістотелівським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вченням про конечні причини (цілі) та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субстанційні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форми.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Як відомо,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Арістотель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вчив, що речі мають цільові причини (містять в собі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свою мету, своє призначення). Тому до них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правомірно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ставити питання не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тільки «чому?», а й «для чого?», «з якою метою?». Вчення про цільові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причини стало основою телеології.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>Засновники механістичного світогляду Бекон і Декарт винесли поняття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мети за межі механіки і науки.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був першим мислителем, який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усвідомив обмеженість механістичного світогляду, його незастосовність до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пояснення органічного світу. Справді, на основі механіки можна пояснити,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«як» іде, скажімо, тварина, але «для чого» вона йде (доцільність в поведінці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тварини) з механіки вивести неможливо. Саме на подолання цієї обмеженості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спрямоване вчення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Лейбніца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>. Крім цього, всупереч домінуючому уявленню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про субстанцію як тіло, матеріальне утворення,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відродив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арістотелівське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вчення про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субстанційність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форми та її домінування над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матерією. На його думку, справжньою реальністю є не протяжність і рух, як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вважав Декарт, а певні духовні центри сили — неподільні активні духовні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одиниці, які він називав монадами (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грец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.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монос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— одиниця, неподільне).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>Матерія сама по собі пасивна, їй бракує активності, сили. Носієм цієї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активності є монади. Формами активності (атрибутами) монад є сприймання 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прагнення. Протяжність, матеріальність є лише зовнішнім виявом духовної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сутності монад. Кожна монада подібна до душі, яка вміщена в матеріальну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оболонку (тіло). Світ, за </w:t>
      </w:r>
      <w:proofErr w:type="spellStart"/>
      <w:r w:rsidR="006A4AFA" w:rsidRPr="0067155B">
        <w:rPr>
          <w:rFonts w:eastAsia="TimesNewRomanPSMT" w:cstheme="minorHAnsi"/>
          <w:sz w:val="23"/>
          <w:szCs w:val="23"/>
          <w:lang w:val="uk-UA"/>
        </w:rPr>
        <w:t>Л</w:t>
      </w:r>
      <w:r w:rsidRPr="0067155B">
        <w:rPr>
          <w:rFonts w:eastAsia="TimesNewRomanPSMT" w:cstheme="minorHAnsi"/>
          <w:sz w:val="23"/>
          <w:szCs w:val="23"/>
          <w:lang w:val="uk-UA"/>
        </w:rPr>
        <w:t>ейбніцом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>, є сукупністю монад — простих 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складних (складні є результатом сполучення простих монад).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 xml:space="preserve">Очевидно, до ідеї монади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прийшов під впливом відкриття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голландським природознавцем Антоні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Левенгуком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(1632—1723) дрібних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організмів. Це дало змогу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замістьмеханічної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(однорідної) запропонувати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біологічну (складну, різноманітну) модель світу.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lastRenderedPageBreak/>
        <w:t>Світогляд, в основі якого лежить множинність субстанцій, називається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плюралізмом.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повернувся до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арістотелівського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вчення про ієрархію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субстанційних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форм (мінералів, рослин,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тварин і людини). Кожна </w:t>
      </w:r>
      <w:r w:rsidRPr="0067155B">
        <w:rPr>
          <w:rFonts w:eastAsia="TimesNewRomanPSMT" w:cstheme="minorHAnsi"/>
          <w:sz w:val="23"/>
          <w:szCs w:val="23"/>
          <w:lang w:val="uk-UA"/>
        </w:rPr>
        <w:t>монада,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стверджував він, неділима, індивідуальна і неповторна, світ різноманітний до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безконечності. При цьому кожна монада віддзеркалює в собі весь Всесвіт.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Вона відображає, хоча і нечітко, все, що відбувається у Всесвіті, в тому числі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минуле, сучасне і майбутнє. Ця теза фактично відтворює давньогрецьке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вчення про Всесвіт як макрокосм і людину як мікрокосм. Відмінність між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монадами полягає в чіткості сприймання і прагнення. В нижчих монад вони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нечіткі й неусвідомлені. З наближенням до людини ступінь усвідомлення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зростає, але тільки людині дано розум — свідомі сприймання і прагнення.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>Щоправда, не всі сприймання і прагнення навіть людина усвідомлює,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більшість сприймань проходить поза свідо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містю. </w:t>
      </w:r>
      <w:proofErr w:type="spellStart"/>
      <w:r w:rsidR="006A4AFA"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першим дійшов ви</w:t>
      </w:r>
      <w:r w:rsidRPr="0067155B">
        <w:rPr>
          <w:rFonts w:eastAsia="TimesNewRomanPSMT" w:cstheme="minorHAnsi"/>
          <w:sz w:val="23"/>
          <w:szCs w:val="23"/>
          <w:lang w:val="uk-UA"/>
        </w:rPr>
        <w:t>сновку про наявність несвідомого в людини, випередивши на два століття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австрійського психолога Зигмунда Фрейда.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 xml:space="preserve">Як і Декарт,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опинився перед проблемою узгодження дій душі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й тіла, з яких складається кожна монада, а також обґрунтування взаємодії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монад. Він не припускав причинної взаємодії між ними, бо це породжувало б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заперечення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субстанційної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відмінності між тілом і душею. Не міг він 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заперечити факт узгодженості між дією душі й тіла. При вирішенні цієї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проблеми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цілком у дусі своїх попередників стверджував, що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гарантом такого узгодження є Бог, який синхронізував поведінку душі й тіла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подібно до двох маятників, що коливаються гармонійно без взаємодії. Ця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концепція отримала назву наперед установленої гармонії.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 xml:space="preserve">Монадологія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Лейбніца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за всієї надуманості її вихідних понять мала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несподівано плідні наслідки в критиці механістичного світогляду. Так, на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основі того, що просторовість є лише зовнішнім виявом духовної сутності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монад,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дійшов висновку, що простір і час не мають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субстанційного</w:t>
      </w:r>
      <w:proofErr w:type="spellEnd"/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характеру, як це вважали Декарт і Ньютон, а є похідними від відношення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монад. Простір і час — видимий вияв монад. Простір, зокрема, являє собою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порядок речей, їх співіснування в один і той же час, а час є послідовністю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подій. Іншими словами, простір і час породжені співвідношеннями монад, а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не є чимось вихідним,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субстанційним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. Саме </w:t>
      </w:r>
      <w:r w:rsidRPr="0067155B">
        <w:rPr>
          <w:rFonts w:eastAsia="TimesNewRomanPSMT" w:cstheme="minorHAnsi"/>
          <w:sz w:val="23"/>
          <w:szCs w:val="23"/>
          <w:lang w:val="uk-UA"/>
        </w:rPr>
        <w:lastRenderedPageBreak/>
        <w:t>такий погляд на простір і час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характерний для сучасної некласичної фіз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>ики. А якщо простір і час не аб</w:t>
      </w:r>
      <w:r w:rsidRPr="0067155B">
        <w:rPr>
          <w:rFonts w:eastAsia="TimesNewRomanPSMT" w:cstheme="minorHAnsi"/>
          <w:sz w:val="23"/>
          <w:szCs w:val="23"/>
          <w:lang w:val="uk-UA"/>
        </w:rPr>
        <w:t>солютні, то і всі закони механіки перестають бути абсолютними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математичними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істинами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. У зв’язку з цим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змушений був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узгодити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механіцизм з телеологічним підходом (з біологічною за своєю суттю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монадологічною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концепцією), адже він не міг заперечувати істинності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механіки. Він стверджував, що нижчі грубі монади (субстанції), які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характеризуються нечіткими сприйманнями і прагненнями, можна вважати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матеріальними, вони підлягають законам механіки. Бог оперує ними як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механік. Поведінку вищих монад, у яких домінує усвідомлене сприймання 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прагнення, не можна пояснити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механікою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>. Бог щодо них виступає як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господар, який все влаштував доцільно, і як законодавець.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eastAsia="TimesNewRomanPSMT"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 xml:space="preserve">У сфері пізнання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розрізняє «істини розуму» та «істини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фактів». Як і Декарт, «істини розуму» він не виводив з досвіду. Але не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приймав і концепцію «вроджених ідей». Тезу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Дж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>. Локка «нема нічого в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розумі, чого раніше не було у відчуттях» він доповнив, «крім самого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розуму». Іншими словами, сам розум, його здатності й діяльність передують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чуттєвому досвіду. Душа, на думку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Лейбніца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>, містить в собі низку понять,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таких, як буття, єдність, тотожність, причина та ін., що не можна вивести з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досвіду. Але вони наявні не в готовому вигляді, а як певні нахили, звички, які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реалізуються в процесі пізнання. До «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істин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розуму» і належать істини,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здобуті на основі понять розуму. Це насамперед правила логіки й аксіоми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математики. «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Істинами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розуму» є такі істини, протилежні яким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логічно</w:t>
      </w:r>
      <w:proofErr w:type="spellEnd"/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неможливі. Вони — необхідні й абсолютні істини. Отже, під «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істинами</w:t>
      </w:r>
      <w:proofErr w:type="spellEnd"/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розуму»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розумів сферу логі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>ко-математичного знання, яке ви</w:t>
      </w:r>
      <w:r w:rsidRPr="0067155B">
        <w:rPr>
          <w:rFonts w:eastAsia="TimesNewRomanPSMT" w:cstheme="minorHAnsi"/>
          <w:sz w:val="23"/>
          <w:szCs w:val="23"/>
          <w:lang w:val="uk-UA"/>
        </w:rPr>
        <w:t>будовується за законом заборони протиріччя в мисленні й істинність якого не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потребує звернення до чуттєвих фактів. Істини фактів — це емпіричні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випадкові істини, протилежне їм можна мислити. Ці істини носять вірогідний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характер.</w:t>
      </w:r>
    </w:p>
    <w:p w:rsidR="00E42A65" w:rsidRPr="0067155B" w:rsidRDefault="00E42A65" w:rsidP="0067155B">
      <w:pPr>
        <w:autoSpaceDE w:val="0"/>
        <w:autoSpaceDN w:val="0"/>
        <w:adjustRightInd w:val="0"/>
        <w:spacing w:after="120" w:line="240" w:lineRule="auto"/>
        <w:rPr>
          <w:rFonts w:cstheme="minorHAnsi"/>
          <w:sz w:val="23"/>
          <w:szCs w:val="23"/>
          <w:lang w:val="uk-UA"/>
        </w:rPr>
      </w:pPr>
      <w:r w:rsidRPr="0067155B">
        <w:rPr>
          <w:rFonts w:eastAsia="TimesNewRomanPSMT" w:cstheme="minorHAnsi"/>
          <w:sz w:val="23"/>
          <w:szCs w:val="23"/>
          <w:lang w:val="uk-UA"/>
        </w:rPr>
        <w:t>Раціоналізм, загалом, різко розвів чуттєвість і розум. Хоча вихідні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твердження емпіризму та раціоналізму прямо протилежні у висновках, вони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багато в чому подібні. Обидва вони визнали логіко-математичне знання</w:t>
      </w:r>
      <w:r w:rsidR="0067155B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 xml:space="preserve">абсолютним і необхідним. А їх представники — </w:t>
      </w:r>
      <w:proofErr w:type="spellStart"/>
      <w:r w:rsidRPr="0067155B">
        <w:rPr>
          <w:rFonts w:eastAsia="TimesNewRomanPSMT" w:cstheme="minorHAnsi"/>
          <w:sz w:val="23"/>
          <w:szCs w:val="23"/>
          <w:lang w:val="uk-UA"/>
        </w:rPr>
        <w:t>Лейбніц</w:t>
      </w:r>
      <w:proofErr w:type="spellEnd"/>
      <w:r w:rsidRPr="0067155B">
        <w:rPr>
          <w:rFonts w:eastAsia="TimesNewRomanPSMT" w:cstheme="minorHAnsi"/>
          <w:sz w:val="23"/>
          <w:szCs w:val="23"/>
          <w:lang w:val="uk-UA"/>
        </w:rPr>
        <w:t xml:space="preserve"> і Юм — дійшли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висновку про вірогідний (тобто не всезагальний і необхідний) характер</w:t>
      </w:r>
      <w:r w:rsidR="006A4AFA" w:rsidRPr="0067155B">
        <w:rPr>
          <w:rFonts w:eastAsia="TimesNewRomanPSMT" w:cstheme="minorHAnsi"/>
          <w:sz w:val="23"/>
          <w:szCs w:val="23"/>
          <w:lang w:val="uk-UA"/>
        </w:rPr>
        <w:t xml:space="preserve"> </w:t>
      </w:r>
      <w:r w:rsidRPr="0067155B">
        <w:rPr>
          <w:rFonts w:eastAsia="TimesNewRomanPSMT" w:cstheme="minorHAnsi"/>
          <w:sz w:val="23"/>
          <w:szCs w:val="23"/>
          <w:lang w:val="uk-UA"/>
        </w:rPr>
        <w:t>природознавчого знання.</w:t>
      </w:r>
    </w:p>
    <w:sectPr w:rsidR="00E42A65" w:rsidRPr="0067155B" w:rsidSect="006A4AFA">
      <w:pgSz w:w="16838" w:h="11906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3403" w:rsidRDefault="00C53403" w:rsidP="006A4AFA">
      <w:pPr>
        <w:spacing w:after="0" w:line="240" w:lineRule="auto"/>
      </w:pPr>
      <w:r>
        <w:separator/>
      </w:r>
    </w:p>
  </w:endnote>
  <w:endnote w:type="continuationSeparator" w:id="0">
    <w:p w:rsidR="00C53403" w:rsidRDefault="00C53403" w:rsidP="006A4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3403" w:rsidRDefault="00C53403" w:rsidP="006A4AFA">
      <w:pPr>
        <w:spacing w:after="0" w:line="240" w:lineRule="auto"/>
      </w:pPr>
      <w:r>
        <w:separator/>
      </w:r>
    </w:p>
  </w:footnote>
  <w:footnote w:type="continuationSeparator" w:id="0">
    <w:p w:rsidR="00C53403" w:rsidRDefault="00C53403" w:rsidP="006A4A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A65"/>
    <w:rsid w:val="000C164F"/>
    <w:rsid w:val="0067155B"/>
    <w:rsid w:val="006A4AFA"/>
    <w:rsid w:val="00C53403"/>
    <w:rsid w:val="00E222C2"/>
    <w:rsid w:val="00E42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CE6705-E3B5-4B02-A34D-D65966D5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4A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4AFA"/>
  </w:style>
  <w:style w:type="paragraph" w:styleId="a5">
    <w:name w:val="footer"/>
    <w:basedOn w:val="a"/>
    <w:link w:val="a6"/>
    <w:uiPriority w:val="99"/>
    <w:unhideWhenUsed/>
    <w:rsid w:val="006A4A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4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1358</Words>
  <Characters>7742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Долинный</dc:creator>
  <cp:keywords/>
  <dc:description/>
  <cp:lastModifiedBy>Долинный</cp:lastModifiedBy>
  <cp:revision>3</cp:revision>
  <dcterms:created xsi:type="dcterms:W3CDTF">2014-12-01T10:05:00Z</dcterms:created>
  <dcterms:modified xsi:type="dcterms:W3CDTF">2014-12-01T13:10:00Z</dcterms:modified>
</cp:coreProperties>
</file>