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A6C" w:rsidRPr="00AB3C76" w:rsidRDefault="00FD4A6C" w:rsidP="00FD4A6C">
      <w:pPr>
        <w:pStyle w:val="2"/>
        <w:shd w:val="clear" w:color="auto" w:fill="FFFFFF"/>
        <w:spacing w:before="30" w:beforeAutospacing="0" w:after="30" w:afterAutospacing="0"/>
        <w:ind w:firstLine="567"/>
        <w:jc w:val="both"/>
        <w:rPr>
          <w:rFonts w:ascii="Tahoma" w:hAnsi="Tahoma" w:cs="Tahoma"/>
          <w:color w:val="565656"/>
          <w:sz w:val="18"/>
          <w:szCs w:val="18"/>
        </w:rPr>
      </w:pPr>
      <w:r w:rsidRPr="00AB3C76">
        <w:rPr>
          <w:rFonts w:ascii="Tahoma" w:hAnsi="Tahoma" w:cs="Tahoma"/>
          <w:color w:val="565656"/>
          <w:sz w:val="18"/>
          <w:szCs w:val="18"/>
          <w:lang w:val="uk-UA"/>
        </w:rPr>
        <w:t>Середина І тис. до н.е. – та межа в історії розвитку людства, на якій у трьох осередках людської цивілізації –</w:t>
      </w:r>
      <w:r w:rsidRPr="00AB3C76">
        <w:rPr>
          <w:rFonts w:ascii="Tahoma" w:hAnsi="Tahoma" w:cs="Tahoma"/>
          <w:color w:val="565656"/>
          <w:sz w:val="18"/>
          <w:lang w:val="uk-UA"/>
        </w:rPr>
        <w:t> </w:t>
      </w:r>
      <w:r w:rsidRPr="00AB3C76">
        <w:rPr>
          <w:rFonts w:ascii="Tahoma" w:hAnsi="Tahoma" w:cs="Tahoma"/>
          <w:i/>
          <w:iCs/>
          <w:color w:val="565656"/>
          <w:sz w:val="18"/>
          <w:lang w:val="uk-UA"/>
        </w:rPr>
        <w:t>в Китаї, Індії та Греції</w:t>
      </w:r>
      <w:r w:rsidRPr="00AB3C76">
        <w:rPr>
          <w:rFonts w:ascii="Tahoma" w:hAnsi="Tahoma" w:cs="Tahoma"/>
          <w:color w:val="565656"/>
          <w:sz w:val="18"/>
          <w:lang w:val="uk-UA"/>
        </w:rPr>
        <w:t> </w:t>
      </w:r>
      <w:r w:rsidRPr="00AB3C76">
        <w:rPr>
          <w:rFonts w:ascii="Tahoma" w:hAnsi="Tahoma" w:cs="Tahoma"/>
          <w:color w:val="565656"/>
          <w:sz w:val="18"/>
          <w:szCs w:val="18"/>
          <w:lang w:val="uk-UA"/>
        </w:rPr>
        <w:t>– практично одночасно виникає філософія. Народження її було довгим процесом переходу від міфологічного світосприйняття до світогляду, який спирався на знання.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color w:val="565656"/>
          <w:sz w:val="18"/>
          <w:szCs w:val="18"/>
          <w:lang w:eastAsia="ru-RU"/>
        </w:rPr>
        <w:t> 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Які ж причини сприяли вибуху інтелектуальних знань саме в І тис. до н.е.?</w:t>
      </w:r>
      <w:r w:rsidRPr="00AB3C76">
        <w:rPr>
          <w:rFonts w:ascii="Tahoma" w:eastAsia="Times New Roman" w:hAnsi="Tahoma" w:cs="Tahoma"/>
          <w:color w:val="565656"/>
          <w:sz w:val="1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Насамперед треба розглядати передумови економічного, соціального, політичного і духовного плану. Стрибок у розвитку виробничих сил внаслідок переходу від бронзи до заліза, виникнення товарно-грошових відносин, послаблення родоплемінних структур, виникнення перших держав, зріст наукових знань – це лише деякі фактори, які сприяли народженню філософії.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Хоча давньосхідна та антична філософія формувалися майже одночасно,</w:t>
      </w:r>
      <w:r w:rsidRPr="00AB3C76">
        <w:rPr>
          <w:rFonts w:ascii="Tahoma" w:eastAsia="Times New Roman" w:hAnsi="Tahoma" w:cs="Tahoma"/>
          <w:color w:val="565656"/>
          <w:sz w:val="1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між ними є значні відмінності. Чим же вони визначаються?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Філософія є складовою культури, світоглядом певного народу. Вона несе на собі карб культури даного народу, властивого йому способу сприйняття світу. Цим зумовле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на відмінність однієї національної філософії, наприклад німецької, від іншої – французької. Однак, якщо євро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пейська філософська думка в своїй основі все ж таки єди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на (побудована на спільному корені – давньогрецькій фі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лософії), то відмінність між європейською філософією та індійською й китайською суттєва. Деякі філософи євро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пейської традиції стверджують, що всерйоз вести мову про китайську чи індійську філософію взагалі не можна. Вони не замислюються, що з позиції східної традиції так можна висловитись і про західну.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i/>
          <w:iCs/>
          <w:color w:val="565656"/>
          <w:sz w:val="28"/>
          <w:lang w:val="uk-UA" w:eastAsia="ru-RU"/>
        </w:rPr>
        <w:t>Основними відмінностями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між європейською філософією та східною філософією є наступні.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b/>
          <w:bCs/>
          <w:color w:val="565656"/>
          <w:sz w:val="28"/>
          <w:lang w:val="uk-UA" w:eastAsia="ru-RU"/>
        </w:rPr>
        <w:t>Перша відмінність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полягає у нечіткому розмежуванні між міфологією та філософією, релігією та філософією на Сході. Індійська філософія тривалий час перебувала в лоні міфології, пізніше тісно перепліталася з релігій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ними течіями. Зокрема, важко сказати, наприклад, чим є буддизм – філософією чи релігією. Даосизм і конфу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ціанство в Китаї, виникнувши як філософські системи, трансформувалися в релігійні течії. У Європі ж, попри те, що в певні періоди (наприклад, у середньовіччі) філо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софія була тісно пов'язана з релігією, а протягом усієї історії існують релігійні філософські течії, філософія не розчинялася в релігії, а в Давній Греції була відокрем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лена від міфології Європейська філософська традиція тісно пов'язана з наукою. На Сході такого зв'язку між філософією та наукою не існувало, Схід взагалі не знав теоретичної науки.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b/>
          <w:bCs/>
          <w:color w:val="565656"/>
          <w:sz w:val="28"/>
          <w:lang w:val="uk-UA" w:eastAsia="ru-RU"/>
        </w:rPr>
        <w:t>Друга відмінність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– домінування етичної (Індія) і со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ціально-етичної (Китай) проблематики, а в європейській філософії – вчення про світ (онтологія) і пізнання (гно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сеологія). Етичну і соціальну проблематику європейські мислителі також досліджували, але домінувала вона ли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ше на окремих етапах розвитку і не в усіх системах.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b/>
          <w:bCs/>
          <w:color w:val="565656"/>
          <w:sz w:val="28"/>
          <w:lang w:val="uk-UA" w:eastAsia="ru-RU"/>
        </w:rPr>
        <w:t>Третьою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є відмінність суб'єктів філософування. В Ки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таї та Індії в силу різних обставин особа не посідала того місця в суспільстві, як у Греції чи Римі. Тому в китайсь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кій та індійській філософії панують не особи (погляди окре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 xml:space="preserve">мих мислителів), а школи. В Європі ж школи є 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lastRenderedPageBreak/>
        <w:t>скоріше винятком, ніж правилом. Крім того, школа в європейсь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кій традиції – це не просто коментування поглядів учи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теля, а розвиток, зміна ідей.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Дослідники культури дещо умовно називають західну культуру, а отже і філософію, екстравертною – націле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ною на оволодіння зовнішнім світом. Звідси зв'язок: фі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лософія – наука – техніка. Остання і є практичним вті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ленням світоглядних ідей, спрямованих на оволодіння сві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том. Індійську і китайську культури (особливо індійську) вважають інтравертними – спрямованими на оволодін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ня внутрішнім світом. Звідси вчення про медитації, прак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тики морального самовдосконалення тощо.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Ці особливості філософських традицій можна поясню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вати специфікою духу, психології народів Європи й Азії. Але тоді постає запитання: чим зумовлена ця специфіка? Найприйнятнішим є соціально-економічне пояснення цих відмінностей.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t>Особливості соціально-економічного ладу спричинили консерватизм суспільного розвитку Індії та Китаю, де одні й ті ж соціальні структури існували протягом тисячоліть. Консерватизмом азійських суспільств можна пояснити й те, що в розвитку філософії в цих країнах малопомітні будь-які зміни. Філософські системи незмінно існують протягом століть, розвиток відбувається, в ос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новному, у формі коментарів до творів учителя – заснов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ника школи. Низький рівень товарно-грошових відносин, домінування родинно-корпоративних зв'язків, деспотич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ний тип держави зумовили й слабкий розвиток особистос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ті та її ролі в суспільному житті й культурі країн Сходу. Азійський спосіб виробництва перешкоджав і розвитку природознавства. Відомі значні досягнення китайської ме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дицини, технічні винаходи, але теоретичної науки, подіб</w:t>
      </w:r>
      <w:r w:rsidRPr="00AB3C76">
        <w:rPr>
          <w:rFonts w:ascii="Tahoma" w:eastAsia="Times New Roman" w:hAnsi="Tahoma" w:cs="Tahoma"/>
          <w:color w:val="565656"/>
          <w:sz w:val="24"/>
          <w:szCs w:val="24"/>
          <w:lang w:val="uk-UA" w:eastAsia="ru-RU"/>
        </w:rPr>
        <w:softHyphen/>
        <w:t>ної до тієї, основи якої заклала Греція і яка виникла в Європі в Новий час, Китай та Індія не знали.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Однак ця відмінність ще не свідчить про відсутність єдності, тотожності. Дослідників вражає не так відмін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ність, що цілком природно, як духовна єдність, спорідне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ність мотивів, настанов на світ, способів самоусвідомлен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ня людини, що виявилися у східній та західній філософіях, а також в близьких їм за духом релігійних течіях. Це вражає тим більше, що давньогрецька, індійська та ки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тайська культури практично не контактували, що філосо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фія не є технічним знаряддям, яке легко передається від народу до народу. Німецький філософ Карл Ясперс (1888-1969), який спеціально досліджував цю єдність, назвав</w:t>
      </w:r>
      <w:r w:rsidRPr="00AB3C76">
        <w:rPr>
          <w:rFonts w:ascii="Tahoma" w:eastAsia="Times New Roman" w:hAnsi="Tahoma" w:cs="Tahoma"/>
          <w:i/>
          <w:iCs/>
          <w:color w:val="565656"/>
          <w:sz w:val="28"/>
          <w:lang w:val="uk-UA" w:eastAsia="ru-RU"/>
        </w:rPr>
        <w:t>період появи філософських традицій між 800 і 200 рока</w:t>
      </w:r>
      <w:r w:rsidRPr="00AB3C76">
        <w:rPr>
          <w:rFonts w:ascii="Tahoma" w:eastAsia="Times New Roman" w:hAnsi="Tahoma" w:cs="Tahoma"/>
          <w:i/>
          <w:iCs/>
          <w:color w:val="565656"/>
          <w:sz w:val="28"/>
          <w:lang w:val="uk-UA" w:eastAsia="ru-RU"/>
        </w:rPr>
        <w:softHyphen/>
        <w:t>ми до н. е.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b/>
          <w:bCs/>
          <w:i/>
          <w:iCs/>
          <w:color w:val="565656"/>
          <w:sz w:val="28"/>
          <w:lang w:val="uk-UA" w:eastAsia="ru-RU"/>
        </w:rPr>
        <w:t>«вісьовим часом історії»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,</w:t>
      </w:r>
      <w:r w:rsidRPr="00AB3C76">
        <w:rPr>
          <w:rFonts w:ascii="Tahoma" w:eastAsia="Times New Roman" w:hAnsi="Tahoma" w:cs="Tahoma"/>
          <w:color w:val="565656"/>
          <w:sz w:val="28"/>
          <w:lang w:val="uk-UA" w:eastAsia="ru-RU"/>
        </w:rPr>
        <w:t> </w:t>
      </w:r>
      <w:r w:rsidRPr="00AB3C76">
        <w:rPr>
          <w:rFonts w:ascii="Tahoma" w:eastAsia="Times New Roman" w:hAnsi="Tahoma" w:cs="Tahoma"/>
          <w:i/>
          <w:iCs/>
          <w:color w:val="565656"/>
          <w:sz w:val="28"/>
          <w:lang w:val="uk-UA" w:eastAsia="ru-RU"/>
        </w:rPr>
        <w:t>тобто часом, який по</w:t>
      </w:r>
      <w:r w:rsidRPr="00AB3C76">
        <w:rPr>
          <w:rFonts w:ascii="Tahoma" w:eastAsia="Times New Roman" w:hAnsi="Tahoma" w:cs="Tahoma"/>
          <w:i/>
          <w:iCs/>
          <w:color w:val="565656"/>
          <w:sz w:val="28"/>
          <w:lang w:val="uk-UA" w:eastAsia="ru-RU"/>
        </w:rPr>
        <w:softHyphen/>
        <w:t>вернув хід історії людства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t>. На його думку, саме в цей час у різних кутках Землі в розвинутих цивілізаціях «люди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на усвідомила буття в цілому, саму себе і свої межі, їй відкривається страх перед світом і власна немічність. Стоя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чи над прірвою, вона ставить радикальні питання, вима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гає звільнення і спасіння. Усвідомлюючи свої межі, вона ставить перед собою вищі цілі...».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ind w:firstLine="567"/>
        <w:jc w:val="both"/>
        <w:rPr>
          <w:rFonts w:ascii="Tahoma" w:eastAsia="Times New Roman" w:hAnsi="Tahoma" w:cs="Tahoma"/>
          <w:color w:val="565656"/>
          <w:sz w:val="18"/>
          <w:szCs w:val="18"/>
          <w:lang w:eastAsia="ru-RU"/>
        </w:rPr>
      </w:pP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lastRenderedPageBreak/>
        <w:t>Єдність різних філософських традицій, яка дає підста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ви вважати їх саме філософіями, виявляється в тому, що всі вони тяжіють до раціонального (заснованого на розу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мі) пояснення світоглядних проблем. І структура порушу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ваних проблем (онтологічна, гносеологічна, етична, соці</w:t>
      </w:r>
      <w:r w:rsidRPr="00AB3C76">
        <w:rPr>
          <w:rFonts w:ascii="Tahoma" w:eastAsia="Times New Roman" w:hAnsi="Tahoma" w:cs="Tahoma"/>
          <w:color w:val="565656"/>
          <w:sz w:val="28"/>
          <w:szCs w:val="28"/>
          <w:lang w:val="uk-UA" w:eastAsia="ru-RU"/>
        </w:rPr>
        <w:softHyphen/>
        <w:t>альна), практично однакова.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Давньокитайський філософ Конфуцій (551-479 до н. е.) назвав мудреця двічі народженою людиною, порівняв пробудження до духовного життя з народженням. Ця ду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softHyphen/>
        <w:t>ховна відкритість, жадоба пізнання, самопізнання і є найхарактернішою рисою всіх філософських традицій, а єдність пояснюється тим, що людина (давній грек, індус і китаєць), піднявшись до рівня особи, яка керується розу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softHyphen/>
        <w:t>мом, не могла задовольнитись традиційними відповідями на світоглядні проблеми і спробувала дати власні. Те, що в XX ст. ідеї індійської філософії завдяки старанням ні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softHyphen/>
        <w:t>мецьких філософів Артура Шопенгауера (1788-1860) і Фрідріха Ніцше органічно ввійшли в європейську тради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softHyphen/>
        <w:t>цію, є ще одним свідченням їхньої суттєвої єдності.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b/>
          <w:bCs/>
          <w:color w:val="565656"/>
          <w:sz w:val="18"/>
          <w:lang w:val="uk-UA" w:eastAsia="ru-RU"/>
        </w:rPr>
        <w:t>Отже,</w:t>
      </w:r>
      <w:r w:rsidRPr="00AB3C76">
        <w:rPr>
          <w:rFonts w:ascii="Tahoma" w:eastAsia="Times New Roman" w:hAnsi="Tahoma" w:cs="Tahoma"/>
          <w:color w:val="565656"/>
          <w:sz w:val="18"/>
          <w:lang w:val="uk-UA" w:eastAsia="ru-RU"/>
        </w:rPr>
        <w:t> </w:t>
      </w: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східна філософія була тісніше переплетена із релігією, життєвою мудрістю та способами людського самовдосконалення. Внаслідок цього її вивчення сприяє кращому розумінню найперших кроків самовизначення людської думки.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jc w:val="both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  <w:t>Антична філософія вважається початком європейської філософії взагалі.</w:t>
      </w:r>
    </w:p>
    <w:p w:rsidR="00FD4A6C" w:rsidRPr="00AB3C76" w:rsidRDefault="00FD4A6C" w:rsidP="00FD4A6C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565656"/>
          <w:sz w:val="18"/>
          <w:szCs w:val="18"/>
          <w:lang w:val="uk-UA" w:eastAsia="ru-RU"/>
        </w:rPr>
      </w:pPr>
      <w:r w:rsidRPr="00AB3C76">
        <w:rPr>
          <w:rFonts w:ascii="Times New Roman" w:eastAsia="Times New Roman" w:hAnsi="Times New Roman" w:cs="Times New Roman"/>
          <w:color w:val="565656"/>
          <w:sz w:val="28"/>
          <w:szCs w:val="28"/>
          <w:lang w:val="uk-UA" w:eastAsia="ru-RU"/>
        </w:rPr>
        <w:t>В Стародавній Греції вона вперше відокремилась від інших напрямків людської життєдіяльності і завдяки збігу сприятливих умов вона набула тут унікальних властивостей:</w:t>
      </w:r>
      <w:r w:rsidRPr="00AB3C76">
        <w:rPr>
          <w:rFonts w:ascii="Times New Roman" w:eastAsia="Times New Roman" w:hAnsi="Times New Roman" w:cs="Times New Roman"/>
          <w:color w:val="565656"/>
          <w:sz w:val="28"/>
          <w:lang w:val="uk-UA" w:eastAsia="ru-RU"/>
        </w:rPr>
        <w:t> </w:t>
      </w:r>
      <w:r w:rsidRPr="00AB3C76">
        <w:rPr>
          <w:rFonts w:ascii="Times New Roman" w:eastAsia="Times New Roman" w:hAnsi="Times New Roman" w:cs="Times New Roman"/>
          <w:color w:val="565656"/>
          <w:sz w:val="28"/>
          <w:szCs w:val="28"/>
          <w:lang w:val="uk-UA" w:eastAsia="ru-RU"/>
        </w:rPr>
        <w:t>постала відкритою та доступною, толерантною, пластичною та динамічною в своєму розвитку, а тому вперше накреслила майже всі основні напрямки розвитку філософсько-світоглядної проблематики</w:t>
      </w:r>
    </w:p>
    <w:p w:rsidR="00FD4A6C" w:rsidRPr="00AB3C76" w:rsidRDefault="00FD4A6C" w:rsidP="00FD4A6C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  <w:lang w:val="uk-UA"/>
        </w:rPr>
      </w:pPr>
    </w:p>
    <w:p w:rsidR="00730197" w:rsidRPr="00FD4A6C" w:rsidRDefault="00730197">
      <w:pPr>
        <w:rPr>
          <w:lang w:val="uk-UA"/>
        </w:rPr>
      </w:pPr>
    </w:p>
    <w:sectPr w:rsidR="00730197" w:rsidRPr="00FD4A6C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D4A6C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4A6C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FD4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FD4A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1124</Words>
  <Characters>6412</Characters>
  <Application>Microsoft Office Word</Application>
  <DocSecurity>0</DocSecurity>
  <Lines>53</Lines>
  <Paragraphs>15</Paragraphs>
  <ScaleCrop>false</ScaleCrop>
  <Company>Reanimator Extreme Edition</Company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2013-01-09T17:21:00Z</dcterms:created>
  <dcterms:modified xsi:type="dcterms:W3CDTF">2013-01-09T17:22:00Z</dcterms:modified>
</cp:coreProperties>
</file>