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5FEA" w:rsidRPr="00F27D91" w:rsidRDefault="00A65FEA" w:rsidP="00A65FEA">
      <w:pPr>
        <w:spacing w:after="140" w:line="240" w:lineRule="auto"/>
        <w:rPr>
          <w:rFonts w:cstheme="minorHAnsi"/>
          <w:b/>
          <w:sz w:val="20"/>
          <w:szCs w:val="20"/>
          <w:lang w:val="uk-UA"/>
        </w:rPr>
      </w:pPr>
      <w:r w:rsidRPr="00F27D91">
        <w:rPr>
          <w:rFonts w:cstheme="minorHAnsi"/>
          <w:b/>
          <w:sz w:val="20"/>
          <w:szCs w:val="20"/>
          <w:lang w:val="uk-UA"/>
        </w:rPr>
        <w:t>Антропологічний принцип філософії Л.Фейєрбаха.</w:t>
      </w:r>
    </w:p>
    <w:p w:rsidR="00A65FEA" w:rsidRPr="00F27D91" w:rsidRDefault="00A65FEA" w:rsidP="00A65FEA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Материализм Фейербаха существенно отличается от материализма XVIII века, поскольку, в отличие от последнего, не сводит всякую реальность к механическому движению и рассматривает природу не как механизм, а скорее как организм. Он характеризуется как антропологический, так как в центре внимания Фейербаха - не отвлеченное понятие материи, как у большинства французских материалистов, а человек как психофизическое единство, единство души и тела. Исходя из такого понимания человека, Фейербах отвергает его идеалистическую трактовку, при которой человек рассматривается, прежде всего как духовное существо. Согласно Фейербаху, тело в его целостности как раз и составляет сущность человеческого ”Я”. Духовное начало в человеке не может быть отделено от телесного, дух и тело - две стороны той реальности, которая называется организмом.</w:t>
      </w:r>
    </w:p>
    <w:p w:rsidR="00A65FEA" w:rsidRPr="00F27D91" w:rsidRDefault="00A65FEA" w:rsidP="00A65FEA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Антропологический принцип Фейербаха в теории познания выражается в том, что он по-новому интерпретирует само понятие ”объект”. По Фейербаху, понятие объекта первоначально формируется в опыте человеческого общения, и поэтому первый объект для всякого человека - это другой человек, ”Ты”. Именно любовь к другому человеку есть путь к признанию его объективного существования, а тем самым к признанию существования вообще внешних вещей.</w:t>
      </w:r>
    </w:p>
    <w:p w:rsidR="00A65FEA" w:rsidRPr="00F27D91" w:rsidRDefault="00A65FEA" w:rsidP="00A65FEA">
      <w:pPr>
        <w:pStyle w:val="a3"/>
        <w:spacing w:before="0" w:beforeAutospacing="0" w:after="140" w:afterAutospacing="0"/>
        <w:jc w:val="both"/>
        <w:rPr>
          <w:rFonts w:asciiTheme="minorHAnsi" w:hAnsiTheme="minorHAnsi" w:cstheme="minorHAnsi"/>
          <w:sz w:val="20"/>
          <w:szCs w:val="20"/>
        </w:rPr>
      </w:pPr>
      <w:r w:rsidRPr="00F27D91">
        <w:rPr>
          <w:rFonts w:asciiTheme="minorHAnsi" w:hAnsiTheme="minorHAnsi" w:cstheme="minorHAnsi"/>
          <w:sz w:val="20"/>
          <w:szCs w:val="20"/>
        </w:rPr>
        <w:t>Из внутренней связи людей, основанной на чувстве любви, возникает альтруистическая мораль, которая, по убеждению Фейербаха, должна встать на место иллюзорной связи с богом. Любовь к богу, согласно немецкому философу, есть лишь отчужденная, ложная форма подлинной любви - любви к другим людям.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A65FEA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5FEA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5EA4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F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65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1368</Characters>
  <Application>Microsoft Office Word</Application>
  <DocSecurity>0</DocSecurity>
  <Lines>11</Lines>
  <Paragraphs>3</Paragraphs>
  <ScaleCrop>false</ScaleCrop>
  <Company>Reanimator Extreme Edition</Company>
  <LinksUpToDate>false</LinksUpToDate>
  <CharactersWithSpaces>1605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2013-01-09T17:22:00Z</dcterms:created>
  <dcterms:modified xsi:type="dcterms:W3CDTF">2013-01-09T17:22:00Z</dcterms:modified>
</cp:coreProperties>
</file>