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9AE" w:rsidRPr="00A12B1B" w:rsidRDefault="00AE49AE" w:rsidP="00AE49AE">
      <w:pPr>
        <w:pStyle w:val="Heading1"/>
        <w:tabs>
          <w:tab w:val="clear" w:pos="864"/>
          <w:tab w:val="left" w:pos="0"/>
        </w:tabs>
        <w:ind w:left="0" w:firstLine="0"/>
        <w:rPr>
          <w:bCs/>
          <w:i/>
          <w:sz w:val="36"/>
          <w:szCs w:val="36"/>
        </w:rPr>
      </w:pPr>
      <w:r w:rsidRPr="00A12B1B">
        <w:rPr>
          <w:bCs/>
          <w:i/>
          <w:sz w:val="36"/>
          <w:szCs w:val="36"/>
        </w:rPr>
        <w:t>Національний технічний університет України</w:t>
      </w:r>
    </w:p>
    <w:p w:rsidR="00AE49AE" w:rsidRPr="00A12B1B" w:rsidRDefault="00AE49AE" w:rsidP="00AE49AE">
      <w:pPr>
        <w:pStyle w:val="Heading1"/>
        <w:tabs>
          <w:tab w:val="clear" w:pos="864"/>
          <w:tab w:val="left" w:pos="0"/>
        </w:tabs>
        <w:ind w:left="0" w:firstLine="0"/>
        <w:rPr>
          <w:i/>
          <w:sz w:val="36"/>
          <w:szCs w:val="36"/>
        </w:rPr>
      </w:pPr>
      <w:r w:rsidRPr="00A12B1B">
        <w:rPr>
          <w:i/>
          <w:sz w:val="36"/>
          <w:szCs w:val="36"/>
        </w:rPr>
        <w:t>«Київський політехнічний інститут»</w:t>
      </w:r>
    </w:p>
    <w:p w:rsidR="00AE49AE" w:rsidRPr="00A12B1B" w:rsidRDefault="00AE49AE" w:rsidP="00AE49AE">
      <w:pPr>
        <w:pStyle w:val="Heading4"/>
        <w:tabs>
          <w:tab w:val="clear" w:pos="1573"/>
          <w:tab w:val="left" w:pos="-34"/>
        </w:tabs>
        <w:ind w:left="-17"/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Факультет інформатики та обчислювальної техніки</w:t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864"/>
          <w:tab w:val="left" w:pos="5880"/>
        </w:tabs>
        <w:jc w:val="both"/>
        <w:rPr>
          <w:bCs/>
          <w:sz w:val="28"/>
        </w:rPr>
      </w:pPr>
      <w:r w:rsidRPr="00A12B1B">
        <w:rPr>
          <w:bCs/>
          <w:sz w:val="28"/>
        </w:rPr>
        <w:tab/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  <w:r w:rsidRPr="00A12B1B">
        <w:rPr>
          <w:bCs/>
          <w:sz w:val="28"/>
        </w:rPr>
        <w:t xml:space="preserve"> </w:t>
      </w: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Standard"/>
        <w:shd w:val="clear" w:color="auto" w:fill="FFFFFF"/>
        <w:jc w:val="both"/>
        <w:rPr>
          <w:bCs/>
          <w:sz w:val="28"/>
        </w:rPr>
      </w:pPr>
    </w:p>
    <w:p w:rsidR="00AE49AE" w:rsidRPr="00A12B1B" w:rsidRDefault="00AE49AE" w:rsidP="00AE49AE">
      <w:pPr>
        <w:pStyle w:val="Heading2"/>
        <w:tabs>
          <w:tab w:val="left" w:pos="0"/>
        </w:tabs>
        <w:jc w:val="center"/>
        <w:rPr>
          <w:bCs/>
          <w:sz w:val="48"/>
          <w:szCs w:val="48"/>
        </w:rPr>
      </w:pPr>
      <w:r w:rsidRPr="00A12B1B">
        <w:rPr>
          <w:bCs/>
          <w:sz w:val="48"/>
          <w:szCs w:val="48"/>
        </w:rPr>
        <w:t>Лабораторна робота №</w:t>
      </w:r>
      <w:r>
        <w:rPr>
          <w:bCs/>
          <w:sz w:val="48"/>
          <w:szCs w:val="48"/>
        </w:rPr>
        <w:t>4</w:t>
      </w:r>
    </w:p>
    <w:p w:rsidR="00AE49AE" w:rsidRPr="00A12B1B" w:rsidRDefault="00AE49AE" w:rsidP="00AE49AE">
      <w:pPr>
        <w:pStyle w:val="Standard"/>
        <w:shd w:val="clear" w:color="auto" w:fill="FFFFFF"/>
        <w:jc w:val="center"/>
      </w:pPr>
      <w:r w:rsidRPr="00A12B1B">
        <w:rPr>
          <w:bCs/>
          <w:i/>
          <w:sz w:val="36"/>
          <w:szCs w:val="36"/>
        </w:rPr>
        <w:t>з курсу "</w:t>
      </w:r>
      <w:r>
        <w:rPr>
          <w:b/>
          <w:bCs/>
          <w:i/>
          <w:sz w:val="36"/>
          <w:szCs w:val="36"/>
        </w:rPr>
        <w:t>Комп’ютерна архітектура</w:t>
      </w:r>
      <w:r w:rsidRPr="00A12B1B">
        <w:rPr>
          <w:bCs/>
          <w:i/>
          <w:sz w:val="36"/>
          <w:szCs w:val="36"/>
        </w:rPr>
        <w:t>"</w:t>
      </w: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tabs>
          <w:tab w:val="left" w:pos="576"/>
          <w:tab w:val="left" w:pos="3514"/>
        </w:tabs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Виконав:</w:t>
      </w: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</w:pPr>
      <w:r w:rsidRPr="00A12B1B">
        <w:rPr>
          <w:bCs/>
          <w:i/>
          <w:sz w:val="32"/>
          <w:szCs w:val="32"/>
        </w:rPr>
        <w:t>Бедь А.М.</w:t>
      </w:r>
    </w:p>
    <w:p w:rsidR="00AE49AE" w:rsidRPr="00A12B1B" w:rsidRDefault="00AE49AE" w:rsidP="00AE49AE">
      <w:pPr>
        <w:pStyle w:val="Standard"/>
        <w:shd w:val="clear" w:color="auto" w:fill="FFFFFF"/>
        <w:ind w:left="6150"/>
        <w:jc w:val="both"/>
      </w:pPr>
      <w:r w:rsidRPr="00A12B1B">
        <w:rPr>
          <w:b/>
          <w:bCs/>
          <w:i/>
          <w:sz w:val="32"/>
          <w:szCs w:val="32"/>
        </w:rPr>
        <w:t xml:space="preserve">Група </w:t>
      </w:r>
      <w:r w:rsidRPr="00A12B1B">
        <w:rPr>
          <w:bCs/>
          <w:i/>
          <w:sz w:val="32"/>
          <w:szCs w:val="32"/>
        </w:rPr>
        <w:t>ІО-12,</w:t>
      </w:r>
    </w:p>
    <w:p w:rsidR="00AE49AE" w:rsidRDefault="00AE49AE" w:rsidP="00AE49AE">
      <w:pPr>
        <w:pStyle w:val="Standard"/>
        <w:shd w:val="clear" w:color="auto" w:fill="FFFFFF"/>
        <w:ind w:left="6150"/>
        <w:jc w:val="both"/>
        <w:rPr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 xml:space="preserve">Номер варіанту </w:t>
      </w:r>
      <w:r w:rsidRPr="00A12B1B">
        <w:rPr>
          <w:i/>
          <w:sz w:val="32"/>
          <w:szCs w:val="32"/>
        </w:rPr>
        <w:t>1202</w:t>
      </w:r>
    </w:p>
    <w:p w:rsidR="00AE49AE" w:rsidRPr="00A12B1B" w:rsidRDefault="00AE49AE" w:rsidP="00AE49AE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ind w:left="3060"/>
        <w:jc w:val="both"/>
        <w:rPr>
          <w:bCs/>
          <w:i/>
          <w:sz w:val="32"/>
          <w:szCs w:val="32"/>
        </w:rPr>
      </w:pPr>
    </w:p>
    <w:p w:rsidR="00AE49AE" w:rsidRPr="00A12B1B" w:rsidRDefault="00AE49AE" w:rsidP="00AE49AE">
      <w:pPr>
        <w:pStyle w:val="Standard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jc w:val="both"/>
      </w:pPr>
      <w:r w:rsidRPr="00A12B1B">
        <w:rPr>
          <w:bCs/>
          <w:i/>
          <w:sz w:val="28"/>
        </w:rPr>
        <w:t xml:space="preserve">                                                                         </w:t>
      </w:r>
      <w:r w:rsidRPr="00A12B1B">
        <w:rPr>
          <w:bCs/>
          <w:i/>
        </w:rPr>
        <w:t xml:space="preserve"> </w:t>
      </w:r>
    </w:p>
    <w:p w:rsidR="00AE49AE" w:rsidRPr="000B438D" w:rsidRDefault="00AE49AE" w:rsidP="00AE49AE">
      <w:pPr>
        <w:pStyle w:val="Standard"/>
        <w:ind w:left="3060" w:firstLine="709"/>
        <w:jc w:val="both"/>
        <w:rPr>
          <w:bCs/>
          <w:i/>
          <w:sz w:val="28"/>
          <w:lang w:val="en-US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Pr="00A12B1B" w:rsidRDefault="00AE49AE" w:rsidP="00AE49AE">
      <w:pPr>
        <w:pStyle w:val="Standard"/>
        <w:ind w:left="3060" w:firstLine="709"/>
        <w:jc w:val="both"/>
        <w:rPr>
          <w:bCs/>
          <w:i/>
          <w:sz w:val="28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</w:p>
    <w:p w:rsidR="00EA6615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b/>
          <w:bCs/>
          <w:i/>
          <w:sz w:val="32"/>
          <w:szCs w:val="32"/>
        </w:rPr>
      </w:pPr>
      <w:r w:rsidRPr="00A12B1B">
        <w:rPr>
          <w:b/>
          <w:bCs/>
          <w:i/>
          <w:sz w:val="32"/>
          <w:szCs w:val="32"/>
        </w:rPr>
        <w:t>Київ  - 201</w:t>
      </w:r>
      <w:r>
        <w:rPr>
          <w:b/>
          <w:bCs/>
          <w:i/>
          <w:sz w:val="32"/>
          <w:szCs w:val="32"/>
        </w:rPr>
        <w:t>3</w:t>
      </w:r>
      <w:r w:rsidRPr="00A12B1B">
        <w:rPr>
          <w:b/>
          <w:bCs/>
          <w:i/>
          <w:sz w:val="32"/>
          <w:szCs w:val="32"/>
        </w:rPr>
        <w:t>р.</w:t>
      </w:r>
    </w:p>
    <w:p w:rsidR="00AE49AE" w:rsidRPr="004268A3" w:rsidRDefault="00AE49AE" w:rsidP="00AE49AE">
      <w:pPr>
        <w:suppressAutoHyphens/>
        <w:autoSpaceDE w:val="0"/>
        <w:autoSpaceDN w:val="0"/>
        <w:adjustRightInd w:val="0"/>
        <w:spacing w:before="144" w:after="60"/>
        <w:jc w:val="center"/>
        <w:rPr>
          <w:b/>
          <w:sz w:val="28"/>
          <w:szCs w:val="28"/>
          <w:lang w:val="uk-UA"/>
        </w:rPr>
      </w:pPr>
      <w:r w:rsidRPr="004268A3">
        <w:rPr>
          <w:b/>
          <w:sz w:val="28"/>
          <w:szCs w:val="28"/>
          <w:lang w:val="uk-UA"/>
        </w:rPr>
        <w:lastRenderedPageBreak/>
        <w:t>ВИКОНАННЯ КОМАНД В ЕОМ</w:t>
      </w:r>
    </w:p>
    <w:p w:rsidR="00AE49AE" w:rsidRDefault="00AE49AE" w:rsidP="00AE49AE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8"/>
          <w:lang w:val="uk-UA"/>
        </w:rPr>
      </w:pPr>
      <w:r w:rsidRPr="00AE49AE">
        <w:rPr>
          <w:sz w:val="28"/>
          <w:szCs w:val="28"/>
          <w:lang w:val="uk-UA"/>
        </w:rPr>
        <w:t>Ціль роботи – вивчити етапи виконання команд в ЕОМ. Навчитися розробляти мікроалгоритми вибірки, розпакування команд, виконання операцій і формування адреси наступної команди. Одержати навички розробки мікропрограм для ЕОМ з використанням мнемонічного мікроассемблера.</w:t>
      </w:r>
    </w:p>
    <w:p w:rsidR="00AE49AE" w:rsidRPr="00AE49AE" w:rsidRDefault="00AE49AE" w:rsidP="00AE49AE">
      <w:pPr>
        <w:suppressAutoHyphens/>
        <w:autoSpaceDE w:val="0"/>
        <w:autoSpaceDN w:val="0"/>
        <w:adjustRightInd w:val="0"/>
        <w:ind w:right="88" w:firstLine="550"/>
        <w:jc w:val="both"/>
        <w:rPr>
          <w:sz w:val="28"/>
          <w:szCs w:val="28"/>
          <w:lang w:val="uk-UA"/>
        </w:rPr>
      </w:pPr>
    </w:p>
    <w:p w:rsidR="00AE49AE" w:rsidRP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  <w:r w:rsidRPr="00AE49AE">
        <w:rPr>
          <w:sz w:val="28"/>
          <w:szCs w:val="28"/>
        </w:rPr>
        <w:t>Варіант 1202</w:t>
      </w:r>
      <w:r w:rsidRPr="00AE49AE">
        <w:rPr>
          <w:sz w:val="28"/>
          <w:szCs w:val="28"/>
          <w:vertAlign w:val="subscript"/>
        </w:rPr>
        <w:t>10</w:t>
      </w:r>
      <w:r w:rsidRPr="00AE49AE">
        <w:rPr>
          <w:sz w:val="28"/>
          <w:szCs w:val="28"/>
        </w:rPr>
        <w:t xml:space="preserve"> = 10010110010</w:t>
      </w:r>
    </w:p>
    <w:p w:rsidR="00AE49AE" w:rsidRPr="00AE49AE" w:rsidRDefault="00AE49AE" w:rsidP="00AE49AE">
      <w:pPr>
        <w:pStyle w:val="Standard"/>
        <w:tabs>
          <w:tab w:val="left" w:pos="432"/>
          <w:tab w:val="left" w:pos="568"/>
          <w:tab w:val="left" w:pos="576"/>
        </w:tabs>
        <w:rPr>
          <w:sz w:val="28"/>
          <w:szCs w:val="28"/>
        </w:rPr>
      </w:pPr>
    </w:p>
    <w:p w:rsidR="00AE49AE" w:rsidRDefault="00AE49AE" w:rsidP="00AE49AE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 xml:space="preserve">           Таблиця 1.                                                                  Таблиця 2.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1233"/>
      </w:tblGrid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bottom w:val="single" w:sz="4" w:space="0" w:color="auto"/>
              <w:right w:val="nil"/>
            </w:tcBorders>
            <w:vAlign w:val="center"/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а5</w:t>
            </w:r>
          </w:p>
        </w:tc>
        <w:tc>
          <w:tcPr>
            <w:tcW w:w="505" w:type="dxa"/>
            <w:tcBorders>
              <w:left w:val="nil"/>
              <w:bottom w:val="single" w:sz="4" w:space="0" w:color="auto"/>
            </w:tcBorders>
            <w:vAlign w:val="center"/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а4</w:t>
            </w:r>
          </w:p>
        </w:tc>
        <w:tc>
          <w:tcPr>
            <w:tcW w:w="1233" w:type="dxa"/>
            <w:tcBorders>
              <w:bottom w:val="single" w:sz="4" w:space="0" w:color="auto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Спосіб</w:t>
            </w:r>
          </w:p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 xml:space="preserve"> множення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233" w:type="dxa"/>
            <w:tcBorders>
              <w:top w:val="nil"/>
              <w:left w:val="single" w:sz="4" w:space="0" w:color="auto"/>
              <w:bottom w:val="nil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2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AE" w:rsidRDefault="00AE49AE" w:rsidP="00AE49AE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rPr>
                <w:sz w:val="20"/>
                <w:lang w:val="uk-UA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9AE" w:rsidRDefault="00AE49AE" w:rsidP="00AE49AE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rPr>
                <w:sz w:val="20"/>
                <w:lang w:val="uk-UA"/>
              </w:rPr>
            </w:pPr>
          </w:p>
        </w:tc>
        <w:tc>
          <w:tcPr>
            <w:tcW w:w="1233" w:type="dxa"/>
            <w:tcBorders>
              <w:top w:val="nil"/>
              <w:left w:val="single" w:sz="4" w:space="0" w:color="auto"/>
            </w:tcBorders>
          </w:tcPr>
          <w:p w:rsidR="00AE49AE" w:rsidRDefault="00AE49AE" w:rsidP="00AE49AE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rPr>
                <w:sz w:val="20"/>
                <w:lang w:val="uk-UA"/>
              </w:rPr>
            </w:pPr>
          </w:p>
        </w:tc>
      </w:tr>
    </w:tbl>
    <w:p w:rsidR="00AE49AE" w:rsidRPr="00A341D8" w:rsidRDefault="00AE49AE" w:rsidP="00AE49AE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505"/>
        <w:gridCol w:w="720"/>
        <w:gridCol w:w="708"/>
        <w:gridCol w:w="763"/>
      </w:tblGrid>
      <w:tr w:rsidR="00AE49AE" w:rsidTr="007D36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а7</w:t>
            </w:r>
          </w:p>
        </w:tc>
        <w:tc>
          <w:tcPr>
            <w:tcW w:w="505" w:type="dxa"/>
            <w:vMerge w:val="restart"/>
            <w:tcBorders>
              <w:left w:val="nil"/>
              <w:right w:val="nil"/>
            </w:tcBorders>
            <w:vAlign w:val="center"/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а2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а3</w:t>
            </w:r>
          </w:p>
        </w:tc>
        <w:tc>
          <w:tcPr>
            <w:tcW w:w="2191" w:type="dxa"/>
            <w:gridSpan w:val="3"/>
            <w:tcBorders>
              <w:bottom w:val="single" w:sz="4" w:space="0" w:color="auto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Форма представлення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720" w:type="dxa"/>
            <w:tcBorders>
              <w:bottom w:val="single" w:sz="4" w:space="0" w:color="auto"/>
              <w:right w:val="nil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708" w:type="dxa"/>
            <w:tcBorders>
              <w:left w:val="nil"/>
              <w:bottom w:val="single" w:sz="4" w:space="0" w:color="auto"/>
              <w:right w:val="nil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</w:t>
            </w:r>
          </w:p>
        </w:tc>
        <w:tc>
          <w:tcPr>
            <w:tcW w:w="763" w:type="dxa"/>
            <w:tcBorders>
              <w:left w:val="nil"/>
              <w:bottom w:val="single" w:sz="4" w:space="0" w:color="auto"/>
            </w:tcBorders>
          </w:tcPr>
          <w:p w:rsid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Z</w:t>
            </w:r>
          </w:p>
        </w:tc>
      </w:tr>
      <w:tr w:rsidR="00AE49AE" w:rsidTr="00AE49AE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bottom w:val="single" w:sz="4" w:space="0" w:color="auto"/>
              <w:right w:val="nil"/>
            </w:tcBorders>
          </w:tcPr>
          <w:p w:rsidR="00AE49AE" w:rsidRP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9AE" w:rsidRP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</w:tcBorders>
          </w:tcPr>
          <w:p w:rsidR="00AE49AE" w:rsidRP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  <w:right w:val="nil"/>
            </w:tcBorders>
          </w:tcPr>
          <w:p w:rsidR="00AE49AE" w:rsidRPr="00AE49AE" w:rsidRDefault="00AE49AE" w:rsidP="007D3642">
            <w:pPr>
              <w:framePr w:hSpace="180" w:wrap="around" w:vAnchor="text" w:hAnchor="margin" w:xAlign="right" w:y="-1388"/>
              <w:jc w:val="center"/>
              <w:rPr>
                <w:sz w:val="28"/>
                <w:szCs w:val="28"/>
              </w:rPr>
            </w:pPr>
            <w:r w:rsidRPr="00AE49AE">
              <w:rPr>
                <w:sz w:val="28"/>
                <w:szCs w:val="28"/>
                <w:lang w:val="uk-UA"/>
              </w:rPr>
              <w:t>ПК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49AE" w:rsidRPr="00AE49AE" w:rsidRDefault="00AE49AE" w:rsidP="007D3642">
            <w:pPr>
              <w:framePr w:hSpace="180" w:wrap="around" w:vAnchor="text" w:hAnchor="margin" w:xAlign="right" w:y="-1388"/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ДК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</w:tcBorders>
          </w:tcPr>
          <w:p w:rsidR="00AE49AE" w:rsidRPr="00AE49AE" w:rsidRDefault="00AE49AE" w:rsidP="007D3642">
            <w:pPr>
              <w:framePr w:hSpace="180" w:wrap="around" w:vAnchor="text" w:hAnchor="margin" w:xAlign="right" w:y="-1388"/>
              <w:jc w:val="center"/>
              <w:rPr>
                <w:sz w:val="28"/>
                <w:szCs w:val="28"/>
              </w:rPr>
            </w:pPr>
            <w:r w:rsidRPr="00AE49AE">
              <w:rPr>
                <w:sz w:val="28"/>
                <w:szCs w:val="28"/>
                <w:lang w:val="uk-UA"/>
              </w:rPr>
              <w:t>ПК</w:t>
            </w:r>
          </w:p>
        </w:tc>
      </w:tr>
    </w:tbl>
    <w:p w:rsidR="00AE49AE" w:rsidRDefault="00AE49AE" w:rsidP="00AE49AE">
      <w:pPr>
        <w:suppressAutoHyphens/>
        <w:autoSpaceDE w:val="0"/>
        <w:autoSpaceDN w:val="0"/>
        <w:adjustRightInd w:val="0"/>
        <w:ind w:firstLine="550"/>
        <w:rPr>
          <w:sz w:val="20"/>
          <w:lang w:val="uk-UA"/>
        </w:rPr>
      </w:pPr>
      <w:r>
        <w:rPr>
          <w:sz w:val="20"/>
          <w:lang w:val="uk-UA"/>
        </w:rPr>
        <w:tab/>
      </w:r>
    </w:p>
    <w:p w:rsidR="00AE49AE" w:rsidRDefault="00AE49AE" w:rsidP="005229A2">
      <w:pPr>
        <w:suppressAutoHyphens/>
        <w:autoSpaceDE w:val="0"/>
        <w:autoSpaceDN w:val="0"/>
        <w:adjustRightInd w:val="0"/>
        <w:rPr>
          <w:sz w:val="20"/>
          <w:lang w:val="uk-UA"/>
        </w:rPr>
      </w:pPr>
      <w:r>
        <w:rPr>
          <w:sz w:val="20"/>
          <w:lang w:val="uk-UA"/>
        </w:rPr>
        <w:t xml:space="preserve">  Таблиця 3.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05"/>
        <w:gridCol w:w="505"/>
        <w:gridCol w:w="616"/>
        <w:gridCol w:w="617"/>
      </w:tblGrid>
      <w:tr w:rsidR="00AE49AE" w:rsidTr="007D3642">
        <w:tblPrEx>
          <w:tblCellMar>
            <w:top w:w="0" w:type="dxa"/>
            <w:bottom w:w="0" w:type="dxa"/>
          </w:tblCellMar>
        </w:tblPrEx>
        <w:trPr>
          <w:cantSplit/>
          <w:trHeight w:val="113"/>
        </w:trPr>
        <w:tc>
          <w:tcPr>
            <w:tcW w:w="505" w:type="dxa"/>
            <w:vMerge w:val="restart"/>
            <w:tcBorders>
              <w:right w:val="nil"/>
            </w:tcBorders>
            <w:vAlign w:val="center"/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а6</w:t>
            </w:r>
          </w:p>
        </w:tc>
        <w:tc>
          <w:tcPr>
            <w:tcW w:w="505" w:type="dxa"/>
            <w:vMerge w:val="restart"/>
            <w:tcBorders>
              <w:left w:val="nil"/>
            </w:tcBorders>
            <w:vAlign w:val="center"/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а1</w:t>
            </w:r>
          </w:p>
        </w:tc>
        <w:tc>
          <w:tcPr>
            <w:tcW w:w="1233" w:type="dxa"/>
            <w:gridSpan w:val="2"/>
            <w:tcBorders>
              <w:bottom w:val="single" w:sz="4" w:space="0" w:color="auto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Значення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505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vMerge/>
            <w:tcBorders>
              <w:left w:val="nil"/>
              <w:bottom w:val="single" w:sz="4" w:space="0" w:color="auto"/>
            </w:tcBorders>
            <w:vAlign w:val="center"/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616" w:type="dxa"/>
            <w:tcBorders>
              <w:bottom w:val="single" w:sz="4" w:space="0" w:color="auto"/>
              <w:right w:val="nil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w="617" w:type="dxa"/>
            <w:tcBorders>
              <w:left w:val="nil"/>
              <w:bottom w:val="single" w:sz="4" w:space="0" w:color="auto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Y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61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-7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</w:tcBorders>
          </w:tcPr>
          <w:p w:rsidR="00AE49AE" w:rsidRP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-5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0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  <w:tc>
          <w:tcPr>
            <w:tcW w:w="616" w:type="dxa"/>
            <w:tcBorders>
              <w:top w:val="nil"/>
              <w:left w:val="single" w:sz="4" w:space="0" w:color="auto"/>
              <w:right w:val="nil"/>
            </w:tcBorders>
          </w:tcPr>
          <w:p w:rsidR="00AE49AE" w:rsidRDefault="00AE49AE" w:rsidP="00AE49AE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rPr>
                <w:sz w:val="20"/>
                <w:lang w:val="uk-UA"/>
              </w:rPr>
            </w:pPr>
          </w:p>
        </w:tc>
        <w:tc>
          <w:tcPr>
            <w:tcW w:w="617" w:type="dxa"/>
            <w:tcBorders>
              <w:top w:val="nil"/>
              <w:left w:val="nil"/>
            </w:tcBorders>
          </w:tcPr>
          <w:p w:rsidR="00AE49AE" w:rsidRDefault="00AE49AE" w:rsidP="007D3642">
            <w:pPr>
              <w:tabs>
                <w:tab w:val="left" w:pos="4950"/>
              </w:tabs>
              <w:suppressAutoHyphens/>
              <w:autoSpaceDE w:val="0"/>
              <w:autoSpaceDN w:val="0"/>
              <w:adjustRightInd w:val="0"/>
              <w:jc w:val="center"/>
              <w:rPr>
                <w:sz w:val="20"/>
                <w:lang w:val="uk-UA"/>
              </w:rPr>
            </w:pPr>
          </w:p>
        </w:tc>
      </w:tr>
    </w:tbl>
    <w:p w:rsidR="00AE49AE" w:rsidRDefault="00AE49AE" w:rsidP="00AE49AE">
      <w:pPr>
        <w:suppressAutoHyphens/>
        <w:autoSpaceDE w:val="0"/>
        <w:autoSpaceDN w:val="0"/>
        <w:adjustRightInd w:val="0"/>
        <w:ind w:left="2200" w:right="88"/>
        <w:rPr>
          <w:b/>
          <w:i/>
          <w:sz w:val="20"/>
          <w:lang w:val="uk-UA"/>
        </w:rPr>
      </w:pPr>
    </w:p>
    <w:p w:rsidR="00AE49AE" w:rsidRDefault="00AE49AE" w:rsidP="00AE49AE">
      <w:pPr>
        <w:suppressAutoHyphens/>
        <w:autoSpaceDE w:val="0"/>
        <w:autoSpaceDN w:val="0"/>
        <w:adjustRightInd w:val="0"/>
        <w:ind w:left="2200" w:right="88"/>
        <w:rPr>
          <w:b/>
          <w:i/>
          <w:sz w:val="20"/>
          <w:lang w:val="uk-UA"/>
        </w:rPr>
      </w:pPr>
    </w:p>
    <w:p w:rsidR="00AE49AE" w:rsidRPr="000F4BC6" w:rsidRDefault="00AE49AE" w:rsidP="00AE49AE">
      <w:pPr>
        <w:suppressAutoHyphens/>
        <w:autoSpaceDE w:val="0"/>
        <w:autoSpaceDN w:val="0"/>
        <w:adjustRightInd w:val="0"/>
        <w:ind w:left="2200" w:right="88"/>
        <w:rPr>
          <w:b/>
          <w:i/>
          <w:sz w:val="20"/>
          <w:lang w:val="uk-UA"/>
        </w:rPr>
      </w:pPr>
      <w:r w:rsidRPr="000F4BC6">
        <w:rPr>
          <w:b/>
          <w:i/>
          <w:sz w:val="20"/>
          <w:lang w:val="uk-UA"/>
        </w:rPr>
        <w:t>Табл.1</w:t>
      </w:r>
    </w:p>
    <w:tbl>
      <w:tblPr>
        <w:tblW w:w="0" w:type="auto"/>
        <w:tblInd w:w="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3"/>
        <w:gridCol w:w="1566"/>
      </w:tblGrid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single" w:sz="4" w:space="0" w:color="auto"/>
            </w:tcBorders>
          </w:tcPr>
          <w:p w:rsidR="00AE49AE" w:rsidRDefault="00AE49AE" w:rsidP="007D3642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а3</w:t>
            </w:r>
          </w:p>
        </w:tc>
        <w:tc>
          <w:tcPr>
            <w:tcW w:w="1566" w:type="dxa"/>
            <w:tcBorders>
              <w:bottom w:val="single" w:sz="4" w:space="0" w:color="auto"/>
            </w:tcBorders>
          </w:tcPr>
          <w:p w:rsidR="00AE49AE" w:rsidRDefault="00AE49AE" w:rsidP="007D3642">
            <w:pPr>
              <w:suppressAutoHyphens/>
              <w:autoSpaceDE w:val="0"/>
              <w:autoSpaceDN w:val="0"/>
              <w:adjustRightInd w:val="0"/>
              <w:ind w:right="88"/>
              <w:jc w:val="center"/>
              <w:rPr>
                <w:sz w:val="20"/>
                <w:lang w:val="uk-UA"/>
              </w:rPr>
            </w:pPr>
            <w:r>
              <w:rPr>
                <w:sz w:val="20"/>
                <w:lang w:val="uk-UA"/>
              </w:rPr>
              <w:t>Тип адресації</w:t>
            </w:r>
          </w:p>
        </w:tc>
      </w:tr>
      <w:tr w:rsidR="00AE49AE" w:rsidTr="007D3642">
        <w:tblPrEx>
          <w:tblCellMar>
            <w:top w:w="0" w:type="dxa"/>
            <w:bottom w:w="0" w:type="dxa"/>
          </w:tblCellMar>
        </w:tblPrEx>
        <w:tc>
          <w:tcPr>
            <w:tcW w:w="593" w:type="dxa"/>
            <w:tcBorders>
              <w:bottom w:val="nil"/>
            </w:tcBorders>
          </w:tcPr>
          <w:p w:rsidR="00AE49AE" w:rsidRPr="00AE49AE" w:rsidRDefault="00AE49AE" w:rsidP="007D3642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0</w:t>
            </w:r>
          </w:p>
        </w:tc>
        <w:tc>
          <w:tcPr>
            <w:tcW w:w="1566" w:type="dxa"/>
            <w:tcBorders>
              <w:bottom w:val="nil"/>
            </w:tcBorders>
          </w:tcPr>
          <w:p w:rsidR="00AE49AE" w:rsidRPr="00AE49AE" w:rsidRDefault="00AE49AE" w:rsidP="007D3642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  <w:r w:rsidRPr="00AE49AE">
              <w:rPr>
                <w:sz w:val="28"/>
                <w:szCs w:val="28"/>
                <w:lang w:val="uk-UA"/>
              </w:rPr>
              <w:t>Пряма</w:t>
            </w:r>
          </w:p>
        </w:tc>
      </w:tr>
      <w:tr w:rsidR="00AE49AE" w:rsidTr="00AE49AE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593" w:type="dxa"/>
            <w:tcBorders>
              <w:top w:val="nil"/>
            </w:tcBorders>
          </w:tcPr>
          <w:p w:rsidR="00AE49AE" w:rsidRPr="00AE49AE" w:rsidRDefault="00AE49AE" w:rsidP="007D3642">
            <w:pPr>
              <w:suppressAutoHyphens/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566" w:type="dxa"/>
            <w:tcBorders>
              <w:top w:val="nil"/>
            </w:tcBorders>
          </w:tcPr>
          <w:p w:rsidR="00AE49AE" w:rsidRPr="00AE49AE" w:rsidRDefault="00AE49AE" w:rsidP="00AE49AE">
            <w:pPr>
              <w:suppressAutoHyphens/>
              <w:autoSpaceDE w:val="0"/>
              <w:autoSpaceDN w:val="0"/>
              <w:adjustRightInd w:val="0"/>
              <w:ind w:right="88"/>
              <w:rPr>
                <w:sz w:val="12"/>
                <w:szCs w:val="28"/>
                <w:lang w:val="uk-UA"/>
              </w:rPr>
            </w:pPr>
          </w:p>
        </w:tc>
      </w:tr>
    </w:tbl>
    <w:p w:rsidR="00AE49AE" w:rsidRDefault="00AE49AE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AE49AE">
      <w:pPr>
        <w:suppressAutoHyphens/>
        <w:autoSpaceDE w:val="0"/>
        <w:autoSpaceDN w:val="0"/>
        <w:adjustRightInd w:val="0"/>
        <w:ind w:left="660" w:right="88"/>
        <w:rPr>
          <w:sz w:val="20"/>
          <w:lang w:val="uk-UA"/>
        </w:rPr>
      </w:pPr>
    </w:p>
    <w:p w:rsidR="005229A2" w:rsidRDefault="005229A2" w:rsidP="005229A2">
      <w:pPr>
        <w:suppressAutoHyphens/>
        <w:autoSpaceDE w:val="0"/>
        <w:autoSpaceDN w:val="0"/>
        <w:adjustRightInd w:val="0"/>
        <w:ind w:right="88"/>
        <w:rPr>
          <w:sz w:val="20"/>
          <w:lang w:val="uk-UA"/>
        </w:rPr>
      </w:pPr>
    </w:p>
    <w:p w:rsidR="00AE49AE" w:rsidRDefault="00B14491" w:rsidP="00AE49AE">
      <w:pPr>
        <w:pStyle w:val="Standard"/>
        <w:tabs>
          <w:tab w:val="left" w:pos="432"/>
          <w:tab w:val="left" w:pos="568"/>
          <w:tab w:val="left" w:pos="576"/>
        </w:tabs>
        <w:jc w:val="center"/>
      </w:pPr>
      <w:r>
        <w:object w:dxaOrig="2464" w:dyaOrig="121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2pt;height:756pt" o:ole="">
            <v:imagedata r:id="rId4" o:title=""/>
          </v:shape>
          <o:OLEObject Type="Embed" ProgID="Visio.Drawing.11" ShapeID="_x0000_i1025" DrawAspect="Content" ObjectID="_1430265878" r:id="rId5"/>
        </w:object>
      </w: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  <w:r>
        <w:object w:dxaOrig="4549" w:dyaOrig="11722">
          <v:shape id="_x0000_i1026" type="#_x0000_t75" style="width:210.15pt;height:586.05pt" o:ole="">
            <v:imagedata r:id="rId6" o:title=""/>
          </v:shape>
          <o:OLEObject Type="Embed" ProgID="Visio.Drawing.11" ShapeID="_x0000_i1026" DrawAspect="Content" ObjectID="_1430265879" r:id="rId7"/>
        </w:object>
      </w:r>
      <w:r>
        <w:t xml:space="preserve"> </w:t>
      </w:r>
      <w:r>
        <w:object w:dxaOrig="7151" w:dyaOrig="15673">
          <v:shape id="_x0000_i1027" type="#_x0000_t75" style="width:282.15pt;height:640.45pt" o:ole="">
            <v:imagedata r:id="rId8" o:title=""/>
          </v:shape>
          <o:OLEObject Type="Embed" ProgID="Visio.Drawing.11" ShapeID="_x0000_i1027" DrawAspect="Content" ObjectID="_1430265880" r:id="rId9"/>
        </w:object>
      </w: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  <w:r>
        <w:object w:dxaOrig="5639" w:dyaOrig="7737">
          <v:shape id="_x0000_i1028" type="#_x0000_t75" style="width:282.15pt;height:386.8pt" o:ole="">
            <v:imagedata r:id="rId10" o:title=""/>
          </v:shape>
          <o:OLEObject Type="Embed" ProgID="Visio.Drawing.11" ShapeID="_x0000_i1028" DrawAspect="Content" ObjectID="_1430265881" r:id="rId11"/>
        </w:object>
      </w: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  <w:r>
        <w:object w:dxaOrig="4732" w:dyaOrig="5386">
          <v:shape id="_x0000_i1029" type="#_x0000_t75" style="width:236.95pt;height:269.6pt" o:ole="">
            <v:imagedata r:id="rId12" o:title=""/>
          </v:shape>
          <o:OLEObject Type="Embed" ProgID="Visio.Drawing.11" ShapeID="_x0000_i1029" DrawAspect="Content" ObjectID="_1430265882" r:id="rId13"/>
        </w:object>
      </w: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435992" cy="7507903"/>
            <wp:effectExtent l="19050" t="0" r="2658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0764" t="10479" r="32542" b="92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359" cy="7516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B14491" w:rsidRDefault="00B14491" w:rsidP="00B14491">
      <w:pPr>
        <w:pStyle w:val="Standard"/>
        <w:tabs>
          <w:tab w:val="left" w:pos="432"/>
          <w:tab w:val="left" w:pos="568"/>
          <w:tab w:val="left" w:pos="576"/>
        </w:tabs>
        <w:jc w:val="center"/>
        <w:rPr>
          <w:sz w:val="28"/>
          <w:szCs w:val="28"/>
        </w:rPr>
      </w:pPr>
    </w:p>
    <w:p w:rsidR="00F220EF" w:rsidRPr="00F220EF" w:rsidRDefault="00F220EF" w:rsidP="00B14491">
      <w:pPr>
        <w:pStyle w:val="Standard"/>
        <w:tabs>
          <w:tab w:val="left" w:pos="432"/>
          <w:tab w:val="left" w:pos="568"/>
          <w:tab w:val="left" w:pos="576"/>
        </w:tabs>
        <w:rPr>
          <w:b/>
          <w:sz w:val="32"/>
          <w:szCs w:val="28"/>
        </w:rPr>
      </w:pPr>
      <w:r w:rsidRPr="00F220EF">
        <w:rPr>
          <w:b/>
          <w:sz w:val="32"/>
          <w:szCs w:val="28"/>
        </w:rPr>
        <w:lastRenderedPageBreak/>
        <w:t>Лістинг коду: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\Налагодження зв'язків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link ewh: 16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link l1: ct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link l2: rdm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accept rdm_delay: 2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equ COD:5000h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\Завдання значень комірок пам'яті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dw 1000h:500fh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dw 000fh:0fffbh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\Адреса мікрокоманди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accept r7:1000h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accept r15:8007h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\Область програми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{xor nil, r11, r11; oey; ewh;}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nil, r7, z; oey; ewl;}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\Завантеження мікрокоманди з ОП у регістр R8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load_k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rdm, load_k; r; or r8, bus_d, z;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\Перевірка адресації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rm_n, double_a;}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\Перевірка операції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r12, r8, 7800h;}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{xor nil, r12, COD;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not rm_z, nMainMul;}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\Перевірка адресації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nil, r8, 0400h;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not rm_z, indirect;}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\Завантеження адреси операнда на шину даних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{xor nil, r11, r11; oey; ewh;}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r11, r11, r8;}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r11, r11, 03ffh;}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nil, r11, z; oey; ewl;}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\Завантаження операнда з ОП в R10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load_o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rdm, load_o; r; or r10, bus_d, z;}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\Множення 2-им способом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\Підготовка даних в регістрах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\r11,r10 - M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\r12 - X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lastRenderedPageBreak/>
        <w:t>{xor r11, r11, r11;}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{xor r12, r12, r12;}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r12, r12, r15;}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{xor r15, r15, r15;}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\Перевірка знаку для X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r9, r9, 8000h;}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r9, r9, r12;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r12, r12, 7fffh;}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\Перевірка знаку для M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r13, r13, 8000h;}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r13, r13, r10;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rm_z, lable1;}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{sub r10, z, r10, nz;}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\Цикл множення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lable1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r5, r5, 0001h;}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{and r5, r5, r12;load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rm_z, lable2;}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{add r15, r15, r10, z;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{add r14, r14, r11, rm_c;}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lable2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srl, r12, r12, z;}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sll, r10, r10, z;}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sl.25, r11, r11, z;}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r12, r12, z; load rm, flags;}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not rm_z, lable1;}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\Встановлення знаку результату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{xor r9, r9, r13;}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{or r14, r14, r9;}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{cjp nz, end_cmd;}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\Непряма адресація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indirect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\Двоадресна команда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double_a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\Не моя операція множення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nMainMul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{}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end_cmd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\Формування адреси наступної команди</w:t>
      </w:r>
    </w:p>
    <w:p w:rsidR="00B14491" w:rsidRPr="00F220EF" w:rsidRDefault="00B14491" w:rsidP="00B14491">
      <w:pPr>
        <w:pStyle w:val="Standard"/>
        <w:tabs>
          <w:tab w:val="left" w:pos="432"/>
          <w:tab w:val="left" w:pos="568"/>
          <w:tab w:val="left" w:pos="576"/>
        </w:tabs>
        <w:rPr>
          <w:rFonts w:asciiTheme="minorHAnsi" w:hAnsiTheme="minorHAnsi"/>
          <w:sz w:val="28"/>
          <w:szCs w:val="28"/>
        </w:rPr>
      </w:pPr>
      <w:r w:rsidRPr="00F220EF">
        <w:rPr>
          <w:rFonts w:asciiTheme="minorHAnsi" w:hAnsiTheme="minorHAnsi"/>
          <w:sz w:val="28"/>
          <w:szCs w:val="28"/>
        </w:rPr>
        <w:t>{add r7, r7, z, nz;}</w:t>
      </w:r>
    </w:p>
    <w:sectPr w:rsidR="00B14491" w:rsidRPr="00F220EF" w:rsidSect="00B14491">
      <w:pgSz w:w="11906" w:h="16838"/>
      <w:pgMar w:top="850" w:right="566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E49AE"/>
    <w:rsid w:val="004268A3"/>
    <w:rsid w:val="005229A2"/>
    <w:rsid w:val="00685931"/>
    <w:rsid w:val="00AE49AE"/>
    <w:rsid w:val="00B14491"/>
    <w:rsid w:val="00EA6615"/>
    <w:rsid w:val="00F22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E49AE"/>
    <w:pPr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Times New Roman"/>
      <w:kern w:val="3"/>
      <w:sz w:val="24"/>
      <w:szCs w:val="24"/>
      <w:lang w:eastAsia="ar-SA"/>
    </w:rPr>
  </w:style>
  <w:style w:type="paragraph" w:customStyle="1" w:styleId="Heading1">
    <w:name w:val="Heading 1"/>
    <w:basedOn w:val="Standard"/>
    <w:next w:val="a"/>
    <w:rsid w:val="00AE49AE"/>
    <w:pPr>
      <w:keepNext/>
      <w:tabs>
        <w:tab w:val="left" w:pos="864"/>
      </w:tabs>
      <w:ind w:left="432" w:hanging="432"/>
      <w:jc w:val="center"/>
      <w:outlineLvl w:val="0"/>
    </w:pPr>
    <w:rPr>
      <w:b/>
      <w:sz w:val="28"/>
    </w:rPr>
  </w:style>
  <w:style w:type="paragraph" w:customStyle="1" w:styleId="Heading2">
    <w:name w:val="Heading 2"/>
    <w:basedOn w:val="Standard"/>
    <w:next w:val="a"/>
    <w:rsid w:val="00AE49AE"/>
    <w:pPr>
      <w:keepNext/>
      <w:tabs>
        <w:tab w:val="left" w:pos="576"/>
      </w:tabs>
      <w:outlineLvl w:val="1"/>
    </w:pPr>
    <w:rPr>
      <w:b/>
    </w:rPr>
  </w:style>
  <w:style w:type="paragraph" w:customStyle="1" w:styleId="Heading4">
    <w:name w:val="Heading 4"/>
    <w:basedOn w:val="Standard"/>
    <w:next w:val="a"/>
    <w:rsid w:val="00AE49AE"/>
    <w:pPr>
      <w:keepNext/>
      <w:tabs>
        <w:tab w:val="left" w:pos="1573"/>
      </w:tabs>
      <w:spacing w:line="100" w:lineRule="atLeast"/>
      <w:ind w:left="709"/>
      <w:outlineLvl w:val="3"/>
    </w:pPr>
    <w:rPr>
      <w:rFonts w:eastAsia="Calibri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B1449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4491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1884</Words>
  <Characters>1075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4</cp:revision>
  <dcterms:created xsi:type="dcterms:W3CDTF">2013-05-16T23:10:00Z</dcterms:created>
  <dcterms:modified xsi:type="dcterms:W3CDTF">2013-05-17T00:18:00Z</dcterms:modified>
</cp:coreProperties>
</file>