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proofErr w:type="gramStart"/>
      <w:r>
        <w:rPr>
          <w:sz w:val="28"/>
          <w:szCs w:val="28"/>
        </w:rPr>
        <w:t>молод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>»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 xml:space="preserve">інформатики та 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 xml:space="preserve">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5E0311">
        <w:rPr>
          <w:b/>
          <w:sz w:val="28"/>
          <w:szCs w:val="28"/>
          <w:lang w:val="uk-UA"/>
        </w:rPr>
        <w:t xml:space="preserve"> 3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</w:p>
    <w:p w:rsidR="00156991" w:rsidRP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32"/>
          <w:szCs w:val="28"/>
        </w:rPr>
      </w:pPr>
      <w:r>
        <w:rPr>
          <w:b/>
          <w:sz w:val="28"/>
        </w:rPr>
        <w:t xml:space="preserve">Схема </w:t>
      </w:r>
      <w:r>
        <w:rPr>
          <w:b/>
          <w:sz w:val="28"/>
          <w:lang w:val="uk-UA"/>
        </w:rPr>
        <w:t>з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lang w:val="uk-UA"/>
        </w:rPr>
        <w:t>загальн</w:t>
      </w:r>
      <w:r>
        <w:rPr>
          <w:b/>
          <w:sz w:val="28"/>
        </w:rPr>
        <w:t>ою</w:t>
      </w:r>
      <w:proofErr w:type="spellEnd"/>
      <w:r>
        <w:rPr>
          <w:b/>
          <w:sz w:val="28"/>
        </w:rPr>
        <w:t xml:space="preserve"> базою та з </w:t>
      </w:r>
      <w:proofErr w:type="spellStart"/>
      <w:r>
        <w:rPr>
          <w:b/>
          <w:sz w:val="28"/>
        </w:rPr>
        <w:t>загальним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колектором</w:t>
      </w:r>
      <w:proofErr w:type="spellEnd"/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156991" w:rsidRDefault="00156991" w:rsidP="00156991">
      <w:pPr>
        <w:tabs>
          <w:tab w:val="left" w:pos="284"/>
        </w:tabs>
        <w:ind w:left="284" w:right="-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</w:t>
      </w:r>
      <w:r>
        <w:rPr>
          <w:sz w:val="28"/>
          <w:szCs w:val="28"/>
        </w:rPr>
        <w:t>студен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 ІО-32</w:t>
      </w:r>
    </w:p>
    <w:p w:rsidR="00156991" w:rsidRPr="00B240CB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5E0311">
        <w:rPr>
          <w:sz w:val="28"/>
          <w:szCs w:val="28"/>
          <w:lang w:val="uk-UA"/>
        </w:rPr>
        <w:t xml:space="preserve"> Попенко Р.Л.</w:t>
      </w: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</w:p>
    <w:p w:rsidR="00156991" w:rsidRPr="00B240CB" w:rsidRDefault="00156991" w:rsidP="00156991">
      <w:pPr>
        <w:tabs>
          <w:tab w:val="left" w:pos="284"/>
        </w:tabs>
        <w:ind w:left="284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</w:rPr>
        <w:t>:</w:t>
      </w: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Виноградов Ю. М.</w:t>
      </w:r>
    </w:p>
    <w:p w:rsidR="00156991" w:rsidRDefault="00156991" w:rsidP="00156991">
      <w:pPr>
        <w:tabs>
          <w:tab w:val="left" w:pos="284"/>
        </w:tabs>
        <w:ind w:left="76" w:right="-568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м.Київ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2015</w:t>
      </w:r>
      <w:r>
        <w:rPr>
          <w:sz w:val="28"/>
          <w:szCs w:val="28"/>
          <w:lang w:val="uk-UA"/>
        </w:rPr>
        <w:t xml:space="preserve"> р.</w:t>
      </w:r>
    </w:p>
    <w:p w:rsidR="00C72B69" w:rsidRDefault="00C72B69">
      <w:pPr>
        <w:rPr>
          <w:lang w:val="uk-UA"/>
        </w:rPr>
      </w:pPr>
    </w:p>
    <w:p w:rsidR="00156991" w:rsidRDefault="00156991">
      <w:pPr>
        <w:rPr>
          <w:lang w:val="uk-UA"/>
        </w:rPr>
      </w:pPr>
    </w:p>
    <w:p w:rsidR="00156991" w:rsidRPr="0078712D" w:rsidRDefault="00156991">
      <w:pPr>
        <w:rPr>
          <w:b/>
          <w:sz w:val="28"/>
          <w:lang w:val="uk-UA"/>
        </w:rPr>
      </w:pPr>
      <w:r w:rsidRPr="0078712D">
        <w:rPr>
          <w:b/>
          <w:sz w:val="28"/>
          <w:lang w:val="uk-UA"/>
        </w:rPr>
        <w:t xml:space="preserve">Схема с </w:t>
      </w:r>
      <w:proofErr w:type="spellStart"/>
      <w:r w:rsidRPr="0078712D">
        <w:rPr>
          <w:b/>
          <w:sz w:val="28"/>
          <w:lang w:val="uk-UA"/>
        </w:rPr>
        <w:t>общей</w:t>
      </w:r>
      <w:proofErr w:type="spellEnd"/>
      <w:r w:rsidRPr="0078712D">
        <w:rPr>
          <w:b/>
          <w:sz w:val="28"/>
          <w:lang w:val="uk-UA"/>
        </w:rPr>
        <w:t xml:space="preserve"> </w:t>
      </w:r>
      <w:proofErr w:type="spellStart"/>
      <w:r w:rsidRPr="0078712D">
        <w:rPr>
          <w:b/>
          <w:sz w:val="28"/>
          <w:lang w:val="uk-UA"/>
        </w:rPr>
        <w:t>базой</w:t>
      </w:r>
      <w:proofErr w:type="spellEnd"/>
      <w:r w:rsidRPr="0078712D">
        <w:rPr>
          <w:b/>
          <w:sz w:val="28"/>
          <w:lang w:val="uk-UA"/>
        </w:rPr>
        <w:t>:</w:t>
      </w:r>
    </w:p>
    <w:p w:rsidR="00156991" w:rsidRDefault="00156991">
      <w:pPr>
        <w:rPr>
          <w:b/>
          <w:sz w:val="28"/>
          <w:lang w:val="uk-UA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 wp14:anchorId="1372250F" wp14:editId="1D047696">
            <wp:extent cx="5188585" cy="3742690"/>
            <wp:effectExtent l="0" t="0" r="0" b="0"/>
            <wp:docPr id="2" name="Рисунок 2" descr="C:\Users\quver\Desktop\labu po elektronike\LABa3_KE\OB\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ver\Desktop\labu po elektronike\LABa3_KE\OB\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2D" w:rsidRDefault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  <w:r w:rsidRPr="00156991">
        <w:rPr>
          <w:b/>
          <w:sz w:val="28"/>
          <w:lang w:val="uk-UA"/>
        </w:rPr>
        <w:t xml:space="preserve">Схема с </w:t>
      </w:r>
      <w:proofErr w:type="spellStart"/>
      <w:r>
        <w:rPr>
          <w:b/>
          <w:sz w:val="28"/>
          <w:lang w:val="uk-UA"/>
        </w:rPr>
        <w:t>общим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коллектором</w:t>
      </w:r>
      <w:proofErr w:type="spellEnd"/>
      <w:r w:rsidRPr="00156991">
        <w:rPr>
          <w:b/>
          <w:sz w:val="28"/>
          <w:lang w:val="uk-UA"/>
        </w:rPr>
        <w:t>:</w:t>
      </w:r>
    </w:p>
    <w:p w:rsidR="0078712D" w:rsidRDefault="0078712D" w:rsidP="0078712D">
      <w:pPr>
        <w:rPr>
          <w:b/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4F460C91" wp14:editId="4D5CF9BB">
            <wp:extent cx="4657090" cy="3763645"/>
            <wp:effectExtent l="0" t="0" r="0" b="8255"/>
            <wp:docPr id="4" name="Рисунок 4" descr="C:\Users\quver\Desktop\labu po elektronike\LABa3_KE\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ver\Desktop\labu po elektronike\LABa3_KE\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Pr="0078712D" w:rsidRDefault="0078712D" w:rsidP="0078712D">
      <w:pPr>
        <w:rPr>
          <w:b/>
          <w:sz w:val="28"/>
          <w:lang w:val="uk-UA"/>
        </w:rPr>
      </w:pPr>
      <w:proofErr w:type="spellStart"/>
      <w:r w:rsidRPr="0078712D">
        <w:rPr>
          <w:b/>
          <w:sz w:val="28"/>
          <w:lang w:val="uk-UA"/>
        </w:rPr>
        <w:t>Графики</w:t>
      </w:r>
      <w:proofErr w:type="spellEnd"/>
      <w:r w:rsidRPr="0078712D">
        <w:rPr>
          <w:b/>
          <w:sz w:val="28"/>
          <w:lang w:val="uk-UA"/>
        </w:rPr>
        <w:t xml:space="preserve"> для схеми</w:t>
      </w:r>
      <w:r>
        <w:rPr>
          <w:b/>
          <w:sz w:val="28"/>
          <w:lang w:val="uk-UA"/>
        </w:rPr>
        <w:t xml:space="preserve"> </w:t>
      </w:r>
      <w:r w:rsidRPr="00156991">
        <w:rPr>
          <w:b/>
          <w:sz w:val="28"/>
          <w:lang w:val="uk-UA"/>
        </w:rPr>
        <w:t xml:space="preserve">с </w:t>
      </w:r>
      <w:proofErr w:type="spellStart"/>
      <w:r w:rsidRPr="00156991">
        <w:rPr>
          <w:b/>
          <w:sz w:val="28"/>
          <w:lang w:val="uk-UA"/>
        </w:rPr>
        <w:t>общей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 w:rsidRPr="00156991">
        <w:rPr>
          <w:b/>
          <w:sz w:val="28"/>
          <w:lang w:val="uk-UA"/>
        </w:rPr>
        <w:t>базой</w:t>
      </w:r>
      <w:proofErr w:type="spellEnd"/>
      <w:r w:rsidRPr="0078712D">
        <w:rPr>
          <w:b/>
          <w:sz w:val="28"/>
          <w:lang w:val="uk-UA"/>
        </w:rPr>
        <w:t>: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>1)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эб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2)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кб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эб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3)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к</w:t>
      </w:r>
      <w:r w:rsidRPr="0078712D">
        <w:rPr>
          <w:lang w:val="uk-UA"/>
        </w:rPr>
        <w:t>(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э</w:t>
      </w:r>
      <w:r w:rsidRPr="0078712D">
        <w:rPr>
          <w:lang w:val="uk-UA"/>
        </w:rPr>
        <w:t>);</w:t>
      </w:r>
    </w:p>
    <w:p w:rsid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4)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к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кб</w:t>
      </w:r>
      <w:proofErr w:type="spellEnd"/>
      <w:r w:rsidRPr="0078712D">
        <w:rPr>
          <w:lang w:val="uk-UA"/>
        </w:rPr>
        <w:t>);</w:t>
      </w:r>
    </w:p>
    <w:p w:rsidR="0078712D" w:rsidRDefault="0078712D" w:rsidP="0078712D">
      <w:pPr>
        <w:rPr>
          <w:lang w:val="uk-UA"/>
        </w:rPr>
      </w:pPr>
    </w:p>
    <w:p w:rsidR="0078712D" w:rsidRPr="0078712D" w:rsidRDefault="0078712D" w:rsidP="0078712D">
      <w:pPr>
        <w:rPr>
          <w:b/>
          <w:sz w:val="28"/>
          <w:lang w:val="uk-UA"/>
        </w:rPr>
      </w:pPr>
      <w:proofErr w:type="spellStart"/>
      <w:r w:rsidRPr="0078712D">
        <w:rPr>
          <w:b/>
          <w:sz w:val="28"/>
          <w:lang w:val="uk-UA"/>
        </w:rPr>
        <w:t>Графики</w:t>
      </w:r>
      <w:proofErr w:type="spellEnd"/>
      <w:r w:rsidRPr="0078712D">
        <w:rPr>
          <w:b/>
          <w:sz w:val="28"/>
          <w:lang w:val="uk-UA"/>
        </w:rPr>
        <w:t xml:space="preserve"> для схеми</w:t>
      </w:r>
      <w:r>
        <w:rPr>
          <w:b/>
          <w:sz w:val="28"/>
          <w:lang w:val="uk-UA"/>
        </w:rPr>
        <w:t xml:space="preserve"> </w:t>
      </w:r>
      <w:r w:rsidRPr="00156991">
        <w:rPr>
          <w:b/>
          <w:sz w:val="28"/>
          <w:lang w:val="uk-UA"/>
        </w:rPr>
        <w:t xml:space="preserve">с </w:t>
      </w:r>
      <w:proofErr w:type="spellStart"/>
      <w:r>
        <w:rPr>
          <w:b/>
          <w:sz w:val="28"/>
          <w:lang w:val="uk-UA"/>
        </w:rPr>
        <w:t>общим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коллектором</w:t>
      </w:r>
      <w:proofErr w:type="spellEnd"/>
      <w:r w:rsidRPr="0078712D">
        <w:rPr>
          <w:b/>
          <w:sz w:val="28"/>
          <w:lang w:val="uk-UA"/>
        </w:rPr>
        <w:t>: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>1)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б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бэ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2)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эк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бэ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3)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б</w:t>
      </w:r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78712D">
        <w:rPr>
          <w:lang w:val="uk-UA"/>
        </w:rPr>
        <w:t xml:space="preserve">4)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эк</w:t>
      </w:r>
      <w:proofErr w:type="spellEnd"/>
      <w:r w:rsidRPr="0078712D">
        <w:rPr>
          <w:lang w:val="uk-UA"/>
        </w:rPr>
        <w:t>);</w:t>
      </w:r>
      <w:r w:rsidRPr="0078712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78712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Default="0078712D" w:rsidP="0078712D">
      <w:pPr>
        <w:rPr>
          <w:sz w:val="28"/>
          <w:lang w:val="uk-UA"/>
        </w:rPr>
      </w:pPr>
      <w:bookmarkStart w:id="0" w:name="_GoBack"/>
      <w:r>
        <w:rPr>
          <w:noProof/>
          <w:sz w:val="28"/>
          <w:lang w:val="uk-UA" w:eastAsia="uk-UA"/>
        </w:rPr>
        <w:drawing>
          <wp:inline distT="0" distB="0" distL="0" distR="0" wp14:anchorId="02E559B9" wp14:editId="33AFB911">
            <wp:extent cx="5784206" cy="3723666"/>
            <wp:effectExtent l="1270" t="0" r="8890" b="8890"/>
            <wp:docPr id="3" name="Рисунок 3" descr="C:\Users\quver\Desktop\labu po elektronike\LABa3_KE\OB\OBGRAPHS@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ver\Desktop\labu po elektronike\LABa3_KE\OB\OBGRAPHS@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822501" cy="374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712D" w:rsidRDefault="0078712D" w:rsidP="0078712D">
      <w:pPr>
        <w:ind w:left="2832" w:firstLine="708"/>
        <w:rPr>
          <w:sz w:val="28"/>
          <w:lang w:val="uk-UA"/>
        </w:rPr>
      </w:pPr>
      <w:r>
        <w:rPr>
          <w:sz w:val="28"/>
          <w:lang w:val="uk-UA"/>
        </w:rPr>
        <w:t>Рис.3.1(ОБ)</w:t>
      </w:r>
    </w:p>
    <w:p w:rsidR="000C2D25" w:rsidRDefault="0078712D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7644535" cy="4761794"/>
            <wp:effectExtent l="0" t="6350" r="7620" b="7620"/>
            <wp:docPr id="5" name="Рисунок 5" descr="C:\Users\quver\Desktop\labu po elektronike\LABa3_KE\OK\OK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ver\Desktop\labu po elektronike\LABa3_KE\OK\OK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4418" cy="478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25" w:rsidRDefault="000C2D25" w:rsidP="000C2D25">
      <w:pPr>
        <w:ind w:left="2832" w:firstLine="708"/>
        <w:rPr>
          <w:sz w:val="28"/>
          <w:lang w:val="uk-UA"/>
        </w:rPr>
      </w:pPr>
      <w:r>
        <w:rPr>
          <w:sz w:val="28"/>
          <w:lang w:val="uk-UA"/>
        </w:rPr>
        <w:t>Рис.3.1(ОК)</w:t>
      </w:r>
    </w:p>
    <w:p w:rsidR="000C2D25" w:rsidRDefault="000C2D25">
      <w:pPr>
        <w:rPr>
          <w:b/>
          <w:sz w:val="28"/>
        </w:rPr>
      </w:pPr>
    </w:p>
    <w:p w:rsidR="000C2D25" w:rsidRDefault="000C2D25">
      <w:pPr>
        <w:rPr>
          <w:b/>
          <w:sz w:val="28"/>
        </w:rPr>
      </w:pPr>
      <w:r w:rsidRPr="000C2D25">
        <w:rPr>
          <w:b/>
          <w:sz w:val="28"/>
        </w:rPr>
        <w:t>Выводы:</w:t>
      </w:r>
    </w:p>
    <w:p w:rsidR="000C2D25" w:rsidRPr="000C2D25" w:rsidRDefault="000C2D25">
      <w:pPr>
        <w:rPr>
          <w:sz w:val="28"/>
        </w:rPr>
      </w:pPr>
      <w:r>
        <w:rPr>
          <w:sz w:val="28"/>
        </w:rPr>
        <w:t xml:space="preserve">В данной </w:t>
      </w:r>
      <w:proofErr w:type="spellStart"/>
      <w:r>
        <w:rPr>
          <w:sz w:val="28"/>
        </w:rPr>
        <w:t>лабараторной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роботе</w:t>
      </w:r>
      <w:proofErr w:type="gramEnd"/>
      <w:r>
        <w:rPr>
          <w:sz w:val="28"/>
        </w:rPr>
        <w:t xml:space="preserve"> нами было построено 2 цепи (с общей базой и с общим коллектором), были построены графики зависимостей (смотреть протокол) по которым можно найти </w:t>
      </w:r>
      <w:proofErr w:type="spellStart"/>
      <w:r>
        <w:rPr>
          <w:sz w:val="28"/>
        </w:rPr>
        <w:t>коэф</w:t>
      </w:r>
      <w:proofErr w:type="spellEnd"/>
      <w:r>
        <w:rPr>
          <w:sz w:val="28"/>
        </w:rPr>
        <w:t>. усиления по току или напряжению и т.п.</w:t>
      </w:r>
    </w:p>
    <w:sectPr w:rsidR="000C2D25" w:rsidRPr="000C2D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C45" w:rsidRDefault="00683C45" w:rsidP="0078712D">
      <w:r>
        <w:separator/>
      </w:r>
    </w:p>
  </w:endnote>
  <w:endnote w:type="continuationSeparator" w:id="0">
    <w:p w:rsidR="00683C45" w:rsidRDefault="00683C45" w:rsidP="0078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C45" w:rsidRDefault="00683C45" w:rsidP="0078712D">
      <w:r>
        <w:separator/>
      </w:r>
    </w:p>
  </w:footnote>
  <w:footnote w:type="continuationSeparator" w:id="0">
    <w:p w:rsidR="00683C45" w:rsidRDefault="00683C45" w:rsidP="0078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91"/>
    <w:rsid w:val="000C2D25"/>
    <w:rsid w:val="00156991"/>
    <w:rsid w:val="005E0311"/>
    <w:rsid w:val="00683C45"/>
    <w:rsid w:val="0078712D"/>
    <w:rsid w:val="00844FAD"/>
    <w:rsid w:val="00962092"/>
    <w:rsid w:val="00C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quver</dc:creator>
  <cp:lastModifiedBy>Rus</cp:lastModifiedBy>
  <cp:revision>3</cp:revision>
  <dcterms:created xsi:type="dcterms:W3CDTF">2015-03-30T16:54:00Z</dcterms:created>
  <dcterms:modified xsi:type="dcterms:W3CDTF">2015-03-30T16:57:00Z</dcterms:modified>
</cp:coreProperties>
</file>