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256" w:rsidRDefault="00391256" w:rsidP="00391256"/>
    <w:p w:rsidR="00391256" w:rsidRDefault="00391256" w:rsidP="00391256">
      <w:pPr>
        <w:rPr>
          <w:lang w:val="uk-UA"/>
        </w:rPr>
      </w:pPr>
    </w:p>
    <w:p w:rsidR="00391256" w:rsidRPr="002C3DCC" w:rsidRDefault="00391256" w:rsidP="00391256">
      <w:pPr>
        <w:jc w:val="center"/>
        <w:rPr>
          <w:b/>
          <w:i/>
          <w:sz w:val="28"/>
          <w:lang w:val="uk-UA"/>
        </w:rPr>
      </w:pPr>
      <w:r w:rsidRPr="001F7B36">
        <w:rPr>
          <w:b/>
          <w:i/>
          <w:sz w:val="28"/>
          <w:lang w:val="uk-UA"/>
        </w:rPr>
        <w:t>Тема: Ціни та цінова політика підприємств.</w:t>
      </w:r>
    </w:p>
    <w:p w:rsidR="00391256" w:rsidRDefault="00391256" w:rsidP="00391256">
      <w:pPr>
        <w:spacing w:before="120"/>
        <w:ind w:firstLine="709"/>
        <w:jc w:val="center"/>
        <w:rPr>
          <w:lang w:val="uk-UA"/>
        </w:rPr>
      </w:pPr>
      <w:r>
        <w:rPr>
          <w:lang w:val="uk-UA"/>
        </w:rPr>
        <w:t>План:</w:t>
      </w:r>
    </w:p>
    <w:p w:rsidR="00391256" w:rsidRDefault="00391256" w:rsidP="00391256">
      <w:pPr>
        <w:ind w:firstLine="720"/>
        <w:jc w:val="both"/>
        <w:rPr>
          <w:lang w:val="uk-UA"/>
        </w:rPr>
      </w:pPr>
      <w:r>
        <w:rPr>
          <w:lang w:val="uk-UA"/>
        </w:rPr>
        <w:t>1. Поняття цін. Види цін.</w:t>
      </w:r>
    </w:p>
    <w:p w:rsidR="00391256" w:rsidRDefault="00391256" w:rsidP="00391256">
      <w:pPr>
        <w:ind w:firstLine="720"/>
        <w:jc w:val="both"/>
        <w:rPr>
          <w:lang w:val="uk-UA"/>
        </w:rPr>
      </w:pPr>
      <w:r>
        <w:rPr>
          <w:lang w:val="uk-UA"/>
        </w:rPr>
        <w:t>2. Структура ціни.</w:t>
      </w:r>
    </w:p>
    <w:p w:rsidR="00391256" w:rsidRDefault="00391256" w:rsidP="00391256">
      <w:pPr>
        <w:ind w:firstLine="720"/>
        <w:jc w:val="both"/>
        <w:rPr>
          <w:lang w:val="uk-UA"/>
        </w:rPr>
      </w:pPr>
      <w:r>
        <w:rPr>
          <w:lang w:val="uk-UA"/>
        </w:rPr>
        <w:t>3. Цінова політика підприємств.</w:t>
      </w:r>
    </w:p>
    <w:p w:rsidR="00391256" w:rsidRDefault="00391256" w:rsidP="00391256">
      <w:pPr>
        <w:ind w:firstLine="720"/>
        <w:jc w:val="both"/>
        <w:rPr>
          <w:lang w:val="uk-UA"/>
        </w:rPr>
      </w:pPr>
      <w:r>
        <w:rPr>
          <w:lang w:val="uk-UA"/>
        </w:rPr>
        <w:t>4. Методика: методи ціноутворення.</w:t>
      </w:r>
    </w:p>
    <w:p w:rsidR="00391256" w:rsidRDefault="00391256" w:rsidP="00391256">
      <w:pPr>
        <w:ind w:firstLine="720"/>
        <w:jc w:val="both"/>
        <w:rPr>
          <w:lang w:val="uk-UA"/>
        </w:rPr>
      </w:pPr>
      <w:r>
        <w:rPr>
          <w:lang w:val="uk-UA"/>
        </w:rPr>
        <w:t>5. Ціна одної машино-години ПК. Ціна програмного продукту.</w:t>
      </w:r>
    </w:p>
    <w:p w:rsidR="00391256" w:rsidRDefault="00391256" w:rsidP="00391256">
      <w:pPr>
        <w:ind w:firstLine="709"/>
        <w:jc w:val="both"/>
        <w:rPr>
          <w:lang w:val="uk-UA"/>
        </w:rPr>
      </w:pP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Поняття цін. Види цін.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Ціна – грошовий вираз вартості товару; відображає суспільно необхідні затрати праці, пов’язані з виробництвом і реалізацією продукції кінцевому споживачу.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Класифікація цін:</w:t>
      </w:r>
    </w:p>
    <w:p w:rsidR="00391256" w:rsidRDefault="00391256" w:rsidP="00391256">
      <w:pPr>
        <w:ind w:firstLine="720"/>
        <w:jc w:val="both"/>
        <w:rPr>
          <w:lang w:val="uk-UA"/>
        </w:rPr>
      </w:pPr>
      <w:r>
        <w:rPr>
          <w:lang w:val="uk-UA"/>
        </w:rPr>
        <w:t>1. Внутрішній ринок.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 xml:space="preserve">За ступенем </w:t>
      </w:r>
      <w:proofErr w:type="spellStart"/>
      <w:r>
        <w:rPr>
          <w:lang w:val="uk-UA"/>
        </w:rPr>
        <w:t>регульованості</w:t>
      </w:r>
      <w:proofErr w:type="spellEnd"/>
      <w:r>
        <w:rPr>
          <w:lang w:val="uk-UA"/>
        </w:rPr>
        <w:t xml:space="preserve"> цін:</w:t>
      </w:r>
    </w:p>
    <w:p w:rsidR="00391256" w:rsidRDefault="00391256" w:rsidP="00A76D30">
      <w:pPr>
        <w:numPr>
          <w:ilvl w:val="0"/>
          <w:numId w:val="12"/>
        </w:numPr>
        <w:ind w:left="0" w:firstLine="1080"/>
        <w:jc w:val="both"/>
        <w:rPr>
          <w:lang w:val="uk-UA"/>
        </w:rPr>
      </w:pPr>
      <w:r>
        <w:rPr>
          <w:lang w:val="uk-UA"/>
        </w:rPr>
        <w:t>вільні ціни – встановлені для більшості продукції з врахуванням попиту і пропозиції в умовах ринку;</w:t>
      </w:r>
    </w:p>
    <w:p w:rsidR="00391256" w:rsidRDefault="00391256" w:rsidP="00A76D30">
      <w:pPr>
        <w:numPr>
          <w:ilvl w:val="0"/>
          <w:numId w:val="12"/>
        </w:numPr>
        <w:ind w:left="0" w:firstLine="1080"/>
        <w:jc w:val="both"/>
        <w:rPr>
          <w:lang w:val="uk-UA"/>
        </w:rPr>
      </w:pPr>
      <w:r>
        <w:rPr>
          <w:lang w:val="uk-UA"/>
        </w:rPr>
        <w:t>централізовано встановлені ціни:</w:t>
      </w:r>
    </w:p>
    <w:p w:rsidR="00391256" w:rsidRDefault="00391256" w:rsidP="00391256">
      <w:pPr>
        <w:ind w:firstLine="1080"/>
        <w:jc w:val="both"/>
        <w:rPr>
          <w:lang w:val="uk-UA"/>
        </w:rPr>
      </w:pPr>
      <w:r>
        <w:rPr>
          <w:lang w:val="uk-UA"/>
        </w:rPr>
        <w:t>а) регульовані – регулюються державою або через націнки (</w:t>
      </w:r>
      <w:r>
        <w:t xml:space="preserve"># </w:t>
      </w:r>
      <w:r>
        <w:rPr>
          <w:lang w:val="uk-UA"/>
        </w:rPr>
        <w:t xml:space="preserve">задається рентабельність </w:t>
      </w:r>
      <w:r>
        <w:rPr>
          <w:position w:val="-28"/>
        </w:rPr>
        <w:object w:dxaOrig="25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pt;height:33.2pt" o:ole="">
            <v:imagedata r:id="rId5" o:title=""/>
          </v:shape>
          <o:OLEObject Type="Embed" ProgID="Equation.DSMT4" ShapeID="_x0000_i1025" DrawAspect="Content" ObjectID="_1491718801" r:id="rId6"/>
        </w:object>
      </w:r>
      <w:r>
        <w:rPr>
          <w:lang w:val="uk-UA"/>
        </w:rPr>
        <w:t xml:space="preserve"> ; </w:t>
      </w:r>
      <w:r>
        <w:t xml:space="preserve"># </w:t>
      </w:r>
      <w:r>
        <w:rPr>
          <w:lang w:val="uk-UA"/>
        </w:rPr>
        <w:t>регулюються ціни на медикаменти).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Рентабельність – співвідношення між прибутком даної продукції та собівартістю.</w:t>
      </w:r>
    </w:p>
    <w:p w:rsidR="00391256" w:rsidRDefault="00391256" w:rsidP="00391256">
      <w:pPr>
        <w:ind w:firstLine="1080"/>
        <w:jc w:val="both"/>
        <w:rPr>
          <w:lang w:val="uk-UA"/>
        </w:rPr>
      </w:pPr>
      <w:r>
        <w:rPr>
          <w:lang w:val="uk-UA"/>
        </w:rPr>
        <w:t xml:space="preserve">б) фіксовані – жорстко встановлені державою (ціни на фундаментальні послуги і товари, найбільш необхідні для людей: </w:t>
      </w:r>
    </w:p>
    <w:p w:rsidR="00391256" w:rsidRDefault="00391256" w:rsidP="00391256">
      <w:pPr>
        <w:ind w:firstLine="1260"/>
        <w:jc w:val="both"/>
        <w:rPr>
          <w:lang w:val="uk-UA"/>
        </w:rPr>
      </w:pPr>
      <w:r>
        <w:rPr>
          <w:lang w:val="uk-UA"/>
        </w:rPr>
        <w:t>- транспортні тарифи;</w:t>
      </w:r>
    </w:p>
    <w:p w:rsidR="00391256" w:rsidRDefault="00391256" w:rsidP="00391256">
      <w:pPr>
        <w:ind w:firstLine="1260"/>
        <w:jc w:val="both"/>
        <w:rPr>
          <w:lang w:val="uk-UA"/>
        </w:rPr>
      </w:pPr>
      <w:r>
        <w:rPr>
          <w:lang w:val="uk-UA"/>
        </w:rPr>
        <w:t>- комунальні послуги.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Ціни з врахуванням етапів обігу:</w:t>
      </w:r>
    </w:p>
    <w:p w:rsidR="00391256" w:rsidRDefault="00391256" w:rsidP="00A76D30">
      <w:pPr>
        <w:numPr>
          <w:ilvl w:val="1"/>
          <w:numId w:val="1"/>
        </w:numPr>
        <w:tabs>
          <w:tab w:val="left" w:pos="1080"/>
        </w:tabs>
        <w:ind w:firstLine="320"/>
        <w:jc w:val="both"/>
        <w:rPr>
          <w:lang w:val="uk-UA"/>
        </w:rPr>
      </w:pPr>
      <w:r>
        <w:rPr>
          <w:lang w:val="uk-UA"/>
        </w:rPr>
        <w:t>Оптові ціни:</w:t>
      </w:r>
    </w:p>
    <w:p w:rsidR="00391256" w:rsidRDefault="00391256" w:rsidP="00391256">
      <w:pPr>
        <w:tabs>
          <w:tab w:val="left" w:pos="1080"/>
        </w:tabs>
        <w:ind w:left="400" w:firstLine="860"/>
        <w:jc w:val="both"/>
        <w:rPr>
          <w:lang w:val="uk-UA"/>
        </w:rPr>
      </w:pPr>
      <w:r>
        <w:rPr>
          <w:lang w:val="uk-UA"/>
        </w:rPr>
        <w:t>- підприємства-виробника;</w:t>
      </w:r>
    </w:p>
    <w:p w:rsidR="00391256" w:rsidRDefault="00391256" w:rsidP="00391256">
      <w:pPr>
        <w:tabs>
          <w:tab w:val="left" w:pos="1080"/>
        </w:tabs>
        <w:ind w:left="400" w:firstLine="860"/>
        <w:jc w:val="both"/>
        <w:rPr>
          <w:lang w:val="uk-UA"/>
        </w:rPr>
      </w:pPr>
      <w:r>
        <w:rPr>
          <w:lang w:val="uk-UA"/>
        </w:rPr>
        <w:t>- реалізації.</w:t>
      </w:r>
    </w:p>
    <w:p w:rsidR="00391256" w:rsidRDefault="00391256" w:rsidP="00A76D30">
      <w:pPr>
        <w:numPr>
          <w:ilvl w:val="1"/>
          <w:numId w:val="1"/>
        </w:numPr>
        <w:tabs>
          <w:tab w:val="left" w:pos="1080"/>
        </w:tabs>
        <w:ind w:firstLine="320"/>
        <w:jc w:val="both"/>
        <w:rPr>
          <w:lang w:val="uk-UA"/>
        </w:rPr>
      </w:pPr>
      <w:r>
        <w:rPr>
          <w:lang w:val="uk-UA"/>
        </w:rPr>
        <w:t>Роздрібні ціни.</w:t>
      </w:r>
    </w:p>
    <w:p w:rsidR="00391256" w:rsidRDefault="00391256" w:rsidP="00A76D30">
      <w:pPr>
        <w:numPr>
          <w:ilvl w:val="1"/>
          <w:numId w:val="1"/>
        </w:numPr>
        <w:tabs>
          <w:tab w:val="left" w:pos="1080"/>
        </w:tabs>
        <w:ind w:firstLine="320"/>
        <w:jc w:val="both"/>
        <w:rPr>
          <w:lang w:val="uk-UA"/>
        </w:rPr>
      </w:pPr>
      <w:r>
        <w:rPr>
          <w:lang w:val="uk-UA"/>
        </w:rPr>
        <w:t>Закупівельні.</w:t>
      </w:r>
    </w:p>
    <w:p w:rsidR="00391256" w:rsidRDefault="00391256" w:rsidP="00A76D30">
      <w:pPr>
        <w:numPr>
          <w:ilvl w:val="1"/>
          <w:numId w:val="1"/>
        </w:numPr>
        <w:tabs>
          <w:tab w:val="left" w:pos="1080"/>
        </w:tabs>
        <w:ind w:firstLine="320"/>
        <w:jc w:val="both"/>
        <w:rPr>
          <w:lang w:val="uk-UA"/>
        </w:rPr>
      </w:pPr>
      <w:r>
        <w:rPr>
          <w:lang w:val="uk-UA"/>
        </w:rPr>
        <w:t>Тарифи на комунальні послуги: побутові послуги, на оплату проїзду пасажирського та вантажного транспорту.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Відпускна ціна (оптова ціна підприємства-виробника) – це ціна, за якою підприємство продає продукцію оптово-збутовим і роздрібним торгівельним організаціям та іншим споживачам.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Вона включає:</w:t>
      </w:r>
    </w:p>
    <w:p w:rsidR="00391256" w:rsidRDefault="00391256" w:rsidP="00A76D30">
      <w:pPr>
        <w:numPr>
          <w:ilvl w:val="0"/>
          <w:numId w:val="1"/>
        </w:numPr>
        <w:tabs>
          <w:tab w:val="left" w:pos="1080"/>
        </w:tabs>
        <w:ind w:left="0" w:firstLine="1260"/>
        <w:jc w:val="both"/>
        <w:rPr>
          <w:lang w:val="uk-UA"/>
        </w:rPr>
      </w:pPr>
      <w:r>
        <w:rPr>
          <w:lang w:val="uk-UA"/>
        </w:rPr>
        <w:t>витрати на виробництво і реалізацію продукції;</w:t>
      </w:r>
    </w:p>
    <w:p w:rsidR="00391256" w:rsidRDefault="00391256" w:rsidP="00A76D30">
      <w:pPr>
        <w:numPr>
          <w:ilvl w:val="0"/>
          <w:numId w:val="1"/>
        </w:numPr>
        <w:tabs>
          <w:tab w:val="left" w:pos="1080"/>
        </w:tabs>
        <w:ind w:left="0" w:firstLine="1260"/>
        <w:jc w:val="both"/>
        <w:rPr>
          <w:lang w:val="uk-UA"/>
        </w:rPr>
      </w:pPr>
      <w:r>
        <w:rPr>
          <w:lang w:val="uk-UA"/>
        </w:rPr>
        <w:t>прибуток;</w:t>
      </w:r>
    </w:p>
    <w:p w:rsidR="00391256" w:rsidRDefault="00391256" w:rsidP="00A76D30">
      <w:pPr>
        <w:numPr>
          <w:ilvl w:val="0"/>
          <w:numId w:val="1"/>
        </w:numPr>
        <w:tabs>
          <w:tab w:val="left" w:pos="1080"/>
        </w:tabs>
        <w:ind w:left="0" w:firstLine="1260"/>
        <w:jc w:val="both"/>
        <w:rPr>
          <w:lang w:val="uk-UA"/>
        </w:rPr>
      </w:pPr>
      <w:r>
        <w:rPr>
          <w:lang w:val="uk-UA"/>
        </w:rPr>
        <w:t>ПДВ;</w:t>
      </w:r>
    </w:p>
    <w:p w:rsidR="00391256" w:rsidRDefault="00391256" w:rsidP="00A76D30">
      <w:pPr>
        <w:numPr>
          <w:ilvl w:val="0"/>
          <w:numId w:val="1"/>
        </w:numPr>
        <w:tabs>
          <w:tab w:val="left" w:pos="1080"/>
        </w:tabs>
        <w:ind w:left="0" w:firstLine="1260"/>
        <w:jc w:val="both"/>
        <w:rPr>
          <w:lang w:val="uk-UA"/>
        </w:rPr>
      </w:pPr>
      <w:r>
        <w:rPr>
          <w:lang w:val="uk-UA"/>
        </w:rPr>
        <w:t>акциз (для деяких).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Оптова ціна реалізації – ціна, за якою оптово-збутові підприємства відпускають продукцію роздрібним організаціям та іншим споживачам.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Вона включає:</w:t>
      </w:r>
    </w:p>
    <w:p w:rsidR="00391256" w:rsidRDefault="00391256" w:rsidP="00A76D30">
      <w:pPr>
        <w:numPr>
          <w:ilvl w:val="0"/>
          <w:numId w:val="1"/>
        </w:numPr>
        <w:tabs>
          <w:tab w:val="left" w:pos="1080"/>
        </w:tabs>
        <w:ind w:left="0" w:firstLine="1260"/>
        <w:jc w:val="both"/>
        <w:rPr>
          <w:lang w:val="uk-UA"/>
        </w:rPr>
      </w:pPr>
      <w:r>
        <w:rPr>
          <w:lang w:val="uk-UA"/>
        </w:rPr>
        <w:t>відпускну ціну підприємства;</w:t>
      </w:r>
    </w:p>
    <w:p w:rsidR="00391256" w:rsidRDefault="00391256" w:rsidP="00A76D30">
      <w:pPr>
        <w:numPr>
          <w:ilvl w:val="0"/>
          <w:numId w:val="1"/>
        </w:numPr>
        <w:tabs>
          <w:tab w:val="left" w:pos="1080"/>
        </w:tabs>
        <w:ind w:left="0" w:firstLine="1260"/>
        <w:jc w:val="both"/>
        <w:rPr>
          <w:lang w:val="uk-UA"/>
        </w:rPr>
      </w:pPr>
      <w:r>
        <w:rPr>
          <w:lang w:val="uk-UA"/>
        </w:rPr>
        <w:t>націнки збутові (покривають витрати на зберігання, пакування, реклама).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Роздрібна ціна – ціна, за якою роздрібні торгівельні організації продають продукцію населенню.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Вона включає:</w:t>
      </w:r>
    </w:p>
    <w:p w:rsidR="00391256" w:rsidRDefault="00391256" w:rsidP="00A76D30">
      <w:pPr>
        <w:numPr>
          <w:ilvl w:val="0"/>
          <w:numId w:val="1"/>
        </w:numPr>
        <w:tabs>
          <w:tab w:val="left" w:pos="1080"/>
        </w:tabs>
        <w:ind w:left="0" w:firstLine="1260"/>
        <w:jc w:val="both"/>
        <w:rPr>
          <w:lang w:val="uk-UA"/>
        </w:rPr>
      </w:pPr>
      <w:r>
        <w:rPr>
          <w:lang w:val="uk-UA"/>
        </w:rPr>
        <w:lastRenderedPageBreak/>
        <w:t>витрати роздрібних підприємств;</w:t>
      </w:r>
    </w:p>
    <w:p w:rsidR="00391256" w:rsidRDefault="00391256" w:rsidP="00A76D30">
      <w:pPr>
        <w:numPr>
          <w:ilvl w:val="0"/>
          <w:numId w:val="1"/>
        </w:numPr>
        <w:tabs>
          <w:tab w:val="left" w:pos="1080"/>
        </w:tabs>
        <w:ind w:left="0" w:firstLine="1260"/>
        <w:jc w:val="both"/>
        <w:rPr>
          <w:lang w:val="uk-UA"/>
        </w:rPr>
      </w:pPr>
      <w:r>
        <w:rPr>
          <w:lang w:val="uk-UA"/>
        </w:rPr>
        <w:t>націнка (ПДВ).</w:t>
      </w:r>
    </w:p>
    <w:p w:rsidR="00391256" w:rsidRDefault="00391256" w:rsidP="00391256">
      <w:pPr>
        <w:ind w:firstLine="709"/>
        <w:jc w:val="both"/>
        <w:rPr>
          <w:lang w:val="uk-UA"/>
        </w:rPr>
      </w:pP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Структури цін.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Оптова ціна реалізації: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position w:val="-12"/>
        </w:rPr>
        <w:object w:dxaOrig="2780" w:dyaOrig="360">
          <v:shape id="_x0000_i1026" type="#_x0000_t75" style="width:139pt;height:18.15pt" o:ole="">
            <v:imagedata r:id="rId7" o:title=""/>
          </v:shape>
          <o:OLEObject Type="Embed" ProgID="Equation.DSMT4" ShapeID="_x0000_i1026" DrawAspect="Content" ObjectID="_1491718802" r:id="rId8"/>
        </w:objec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Ціна роздрібна: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position w:val="-14"/>
        </w:rPr>
        <w:object w:dxaOrig="2740" w:dyaOrig="380">
          <v:shape id="_x0000_i1027" type="#_x0000_t75" style="width:137.1pt;height:18.8pt" o:ole="">
            <v:imagedata r:id="rId9" o:title=""/>
          </v:shape>
          <o:OLEObject Type="Embed" ProgID="Equation.DSMT4" ShapeID="_x0000_i1027" DrawAspect="Content" ObjectID="_1491718803" r:id="rId10"/>
        </w:object>
      </w:r>
    </w:p>
    <w:p w:rsidR="00391256" w:rsidRDefault="00391256" w:rsidP="00391256">
      <w:pPr>
        <w:jc w:val="center"/>
        <w:rPr>
          <w:lang w:val="uk-UA"/>
        </w:rPr>
      </w:pPr>
      <w:r>
        <w:object w:dxaOrig="9943" w:dyaOrig="7047">
          <v:shape id="_x0000_i1028" type="#_x0000_t75" style="width:442pt;height:299.9pt" o:ole="">
            <v:imagedata r:id="rId11" o:title=""/>
          </v:shape>
          <o:OLEObject Type="Embed" ProgID="Visio.Drawing.11" ShapeID="_x0000_i1028" DrawAspect="Content" ObjectID="_1491718804" r:id="rId12"/>
        </w:object>
      </w:r>
    </w:p>
    <w:p w:rsidR="00391256" w:rsidRDefault="00391256" w:rsidP="00391256">
      <w:pPr>
        <w:spacing w:before="120"/>
        <w:ind w:firstLine="709"/>
        <w:jc w:val="both"/>
        <w:rPr>
          <w:lang w:val="uk-UA"/>
        </w:rPr>
      </w:pPr>
      <w:r>
        <w:rPr>
          <w:lang w:val="uk-UA"/>
        </w:rPr>
        <w:t>Закупівельні ціни – використовуються заготівельними, оптово-посередницькими організаціями.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Франкування цін – враховуються витрати на страхування, доставку, вказується в договорі.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Франко – станція призначення.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ІНКОТЕРМС – умови в зовнішньоекономічних відносинах (імпорт, експорт), тобто перелік міжнародних цін.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en-US"/>
        </w:rPr>
        <w:t>FCB</w:t>
      </w:r>
      <w:r>
        <w:t xml:space="preserve"> – </w:t>
      </w:r>
      <w:r>
        <w:rPr>
          <w:lang w:val="uk-UA"/>
        </w:rPr>
        <w:t>вільний на борту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en-US"/>
        </w:rPr>
        <w:t>CIF</w:t>
      </w:r>
      <w:r>
        <w:t xml:space="preserve"> </w:t>
      </w:r>
      <w:r>
        <w:rPr>
          <w:lang w:val="uk-UA"/>
        </w:rPr>
        <w:t>– вартість страхування</w:t>
      </w:r>
    </w:p>
    <w:p w:rsidR="00391256" w:rsidRDefault="00391256" w:rsidP="00A76D30">
      <w:pPr>
        <w:numPr>
          <w:ilvl w:val="0"/>
          <w:numId w:val="11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Зовнішній ринок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Врахування світових цін: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Світова ціна на товар – характеризує домінуючий рівень цін на світових товарних ринках.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t xml:space="preserve"># </w:t>
      </w:r>
      <w:r>
        <w:rPr>
          <w:lang w:val="uk-UA"/>
        </w:rPr>
        <w:t>пшениця – ціна встановлюється в Канаді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Регульовані ціни на зовнішньому ринку:</w:t>
      </w:r>
    </w:p>
    <w:p w:rsidR="00391256" w:rsidRDefault="00391256" w:rsidP="00A76D30">
      <w:pPr>
        <w:numPr>
          <w:ilvl w:val="0"/>
          <w:numId w:val="13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Індикативні ціни – ціни на товари, які склались на ринку експорту (в першу чергу) і імпорту, з врахуванням умов поставки. Н: арматура, </w:t>
      </w:r>
      <w:proofErr w:type="spellStart"/>
      <w:r>
        <w:rPr>
          <w:lang w:val="uk-UA"/>
        </w:rPr>
        <w:t>карбоміт</w:t>
      </w:r>
      <w:proofErr w:type="spellEnd"/>
      <w:r>
        <w:rPr>
          <w:lang w:val="uk-UA"/>
        </w:rPr>
        <w:t>, шкіра, насіння льону.</w:t>
      </w:r>
    </w:p>
    <w:p w:rsidR="00391256" w:rsidRDefault="00391256" w:rsidP="00A76D30">
      <w:pPr>
        <w:numPr>
          <w:ilvl w:val="0"/>
          <w:numId w:val="13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Квоти – величина партії, яка буде реалізовуватись.</w:t>
      </w:r>
    </w:p>
    <w:p w:rsidR="00391256" w:rsidRDefault="00391256" w:rsidP="00A76D30">
      <w:pPr>
        <w:numPr>
          <w:ilvl w:val="0"/>
          <w:numId w:val="13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Мінімальна митна вартість – при імпорті вартість продукції, яку завозять, не повинна бути нижча, ніж ця мінімальна митна вартість.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Цінове положення – рішення підприємства, </w:t>
      </w:r>
      <w:proofErr w:type="spellStart"/>
      <w:r>
        <w:rPr>
          <w:lang w:val="uk-UA"/>
        </w:rPr>
        <w:t>пов</w:t>
      </w:r>
      <w:proofErr w:type="spellEnd"/>
      <w:r>
        <w:t>’</w:t>
      </w:r>
      <w:proofErr w:type="spellStart"/>
      <w:r>
        <w:rPr>
          <w:lang w:val="uk-UA"/>
        </w:rPr>
        <w:t>язане</w:t>
      </w:r>
      <w:proofErr w:type="spellEnd"/>
      <w:r>
        <w:rPr>
          <w:lang w:val="uk-UA"/>
        </w:rPr>
        <w:t xml:space="preserve"> з визначенням цін.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Воно включає:</w:t>
      </w:r>
    </w:p>
    <w:p w:rsidR="00391256" w:rsidRDefault="00391256" w:rsidP="00A76D30">
      <w:pPr>
        <w:numPr>
          <w:ilvl w:val="0"/>
          <w:numId w:val="1"/>
        </w:numPr>
        <w:tabs>
          <w:tab w:val="left" w:pos="1080"/>
        </w:tabs>
        <w:ind w:left="0" w:firstLine="1080"/>
        <w:jc w:val="both"/>
        <w:rPr>
          <w:lang w:val="uk-UA"/>
        </w:rPr>
      </w:pPr>
      <w:r>
        <w:rPr>
          <w:lang w:val="uk-UA"/>
        </w:rPr>
        <w:t>вибір цінової стратегії;</w:t>
      </w:r>
    </w:p>
    <w:p w:rsidR="00391256" w:rsidRDefault="00391256" w:rsidP="00A76D30">
      <w:pPr>
        <w:numPr>
          <w:ilvl w:val="0"/>
          <w:numId w:val="1"/>
        </w:numPr>
        <w:tabs>
          <w:tab w:val="left" w:pos="1080"/>
        </w:tabs>
        <w:ind w:left="0" w:firstLine="1080"/>
        <w:jc w:val="both"/>
        <w:rPr>
          <w:lang w:val="uk-UA"/>
        </w:rPr>
      </w:pPr>
      <w:r>
        <w:rPr>
          <w:lang w:val="uk-UA"/>
        </w:rPr>
        <w:t>вибір методу ціноутворення.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Стратегії характеризують діяльність підприємства на перспективу.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Стратегії бувають (розглянемо лише деякі):</w:t>
      </w:r>
    </w:p>
    <w:p w:rsidR="00391256" w:rsidRDefault="00391256" w:rsidP="00A76D30">
      <w:pPr>
        <w:numPr>
          <w:ilvl w:val="0"/>
          <w:numId w:val="14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Стратегія високих цін (підприємство ставить ціну високого рівня, коли попит не еластичний, відсутня конкуренція).</w:t>
      </w:r>
    </w:p>
    <w:p w:rsidR="00391256" w:rsidRDefault="00391256" w:rsidP="00A76D30">
      <w:pPr>
        <w:numPr>
          <w:ilvl w:val="0"/>
          <w:numId w:val="14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Стратегія вилучення (продовження попередньої стратегії, коли є небезпека появи конкурентів) коли високі прибутки, торгівельна марка досить відома, хороший імідж, тоді можна </w:t>
      </w:r>
      <w:proofErr w:type="spellStart"/>
      <w:r>
        <w:rPr>
          <w:lang w:val="uk-UA"/>
        </w:rPr>
        <w:t>занижчити</w:t>
      </w:r>
      <w:proofErr w:type="spellEnd"/>
      <w:r>
        <w:rPr>
          <w:lang w:val="uk-UA"/>
        </w:rPr>
        <w:t xml:space="preserve"> ціну.</w:t>
      </w:r>
    </w:p>
    <w:p w:rsidR="00391256" w:rsidRDefault="00391256" w:rsidP="00A76D30">
      <w:pPr>
        <w:numPr>
          <w:ilvl w:val="0"/>
          <w:numId w:val="14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Стратегія низьких цін (еластичний попит – від зниження цін зростає об’єм </w:t>
      </w:r>
      <w:proofErr w:type="spellStart"/>
      <w:r>
        <w:rPr>
          <w:lang w:val="uk-UA"/>
        </w:rPr>
        <w:t>реалізіції</w:t>
      </w:r>
      <w:proofErr w:type="spellEnd"/>
      <w:r>
        <w:rPr>
          <w:lang w:val="uk-UA"/>
        </w:rPr>
        <w:t>) максимальний прибуток за рахунок максимального об</w:t>
      </w:r>
      <w:r>
        <w:t>’</w:t>
      </w:r>
      <w:proofErr w:type="spellStart"/>
      <w:r>
        <w:rPr>
          <w:lang w:val="uk-UA"/>
        </w:rPr>
        <w:t>єму</w:t>
      </w:r>
      <w:proofErr w:type="spellEnd"/>
      <w:r>
        <w:rPr>
          <w:lang w:val="uk-UA"/>
        </w:rPr>
        <w:t xml:space="preserve"> реалізації.</w:t>
      </w:r>
    </w:p>
    <w:p w:rsidR="00391256" w:rsidRDefault="00391256" w:rsidP="00A76D30">
      <w:pPr>
        <w:numPr>
          <w:ilvl w:val="0"/>
          <w:numId w:val="14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Стратегія проникнення (проникнути в маси, завоювати популярність, почати з низької ціни, а потім можна підвищити ціну, коли населення звикне до товару).</w:t>
      </w:r>
    </w:p>
    <w:p w:rsidR="00391256" w:rsidRDefault="00391256" w:rsidP="00A76D30">
      <w:pPr>
        <w:numPr>
          <w:ilvl w:val="0"/>
          <w:numId w:val="14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Стратегія пульсації (систематичні зміни), товари, зв</w:t>
      </w:r>
      <w:r>
        <w:t>’</w:t>
      </w:r>
      <w:proofErr w:type="spellStart"/>
      <w:r>
        <w:rPr>
          <w:lang w:val="uk-UA"/>
        </w:rPr>
        <w:t>язані</w:t>
      </w:r>
      <w:proofErr w:type="spellEnd"/>
      <w:r>
        <w:rPr>
          <w:lang w:val="uk-UA"/>
        </w:rPr>
        <w:t xml:space="preserve"> з сезоном (Н: овочі, фрукти).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Методи ціноутворення:</w:t>
      </w:r>
    </w:p>
    <w:p w:rsidR="00391256" w:rsidRDefault="00391256" w:rsidP="00A76D30">
      <w:pPr>
        <w:numPr>
          <w:ilvl w:val="0"/>
          <w:numId w:val="1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Об’єктивні – в їх основі – калькуляція ціни, тобто її розрахунок на основі витрат на виробництво і реалізацію:</w:t>
      </w:r>
    </w:p>
    <w:p w:rsidR="00391256" w:rsidRDefault="00391256" w:rsidP="00A76D30">
      <w:pPr>
        <w:numPr>
          <w:ilvl w:val="0"/>
          <w:numId w:val="16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метод середніх витрат + прибуток;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position w:val="-14"/>
        </w:rPr>
        <w:object w:dxaOrig="2020" w:dyaOrig="380">
          <v:shape id="_x0000_i1029" type="#_x0000_t75" style="width:101.45pt;height:18.8pt" o:ole="">
            <v:imagedata r:id="rId13" o:title=""/>
          </v:shape>
          <o:OLEObject Type="Embed" ProgID="Equation.DSMT4" ShapeID="_x0000_i1029" DrawAspect="Content" ObjectID="_1491718805" r:id="rId14"/>
        </w:object>
      </w:r>
      <w:r>
        <w:rPr>
          <w:lang w:val="uk-UA"/>
        </w:rPr>
        <w:t xml:space="preserve"> , 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position w:val="-14"/>
        </w:rPr>
        <w:object w:dxaOrig="420" w:dyaOrig="380">
          <v:shape id="_x0000_i1030" type="#_x0000_t75" style="width:21.3pt;height:18.8pt" o:ole="">
            <v:imagedata r:id="rId15" o:title=""/>
          </v:shape>
          <o:OLEObject Type="Embed" ProgID="Equation.DSMT4" ShapeID="_x0000_i1030" DrawAspect="Content" ObjectID="_1491718806" r:id="rId16"/>
        </w:object>
      </w:r>
      <w:r>
        <w:rPr>
          <w:lang w:val="uk-UA"/>
        </w:rPr>
        <w:t xml:space="preserve"> - собівартість середня,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position w:val="-4"/>
        </w:rPr>
        <w:object w:dxaOrig="279" w:dyaOrig="260">
          <v:shape id="_x0000_i1031" type="#_x0000_t75" style="width:14.4pt;height:12.5pt" o:ole="">
            <v:imagedata r:id="rId17" o:title=""/>
          </v:shape>
          <o:OLEObject Type="Embed" ProgID="Equation.DSMT4" ShapeID="_x0000_i1031" DrawAspect="Content" ObjectID="_1491718807" r:id="rId18"/>
        </w:object>
      </w:r>
      <w:r>
        <w:rPr>
          <w:lang w:val="uk-UA"/>
        </w:rPr>
        <w:t xml:space="preserve"> - прибуток.</w:t>
      </w:r>
    </w:p>
    <w:p w:rsidR="00391256" w:rsidRDefault="00391256" w:rsidP="00A76D30">
      <w:pPr>
        <w:numPr>
          <w:ilvl w:val="0"/>
          <w:numId w:val="16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метод оснований на розрахунку ціни на підставі цільового фіксованого прибутку.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Аналізується графік беззбитковості:</w:t>
      </w:r>
    </w:p>
    <w:p w:rsidR="00391256" w:rsidRDefault="00391256" w:rsidP="00391256">
      <w:pPr>
        <w:ind w:left="360"/>
        <w:jc w:val="center"/>
        <w:rPr>
          <w:lang w:val="uk-UA"/>
        </w:rPr>
      </w:pPr>
      <w:r>
        <w:object w:dxaOrig="7388" w:dyaOrig="4110">
          <v:shape id="_x0000_i1032" type="#_x0000_t75" style="width:325.55pt;height:190.35pt" o:ole="">
            <v:imagedata r:id="rId19" o:title=""/>
          </v:shape>
          <o:OLEObject Type="Embed" ProgID="Visio.Drawing.11" ShapeID="_x0000_i1032" DrawAspect="Content" ObjectID="_1491718808" r:id="rId20"/>
        </w:objec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position w:val="-10"/>
        </w:rPr>
        <w:object w:dxaOrig="200" w:dyaOrig="260">
          <v:shape id="_x0000_i1033" type="#_x0000_t75" style="width:10pt;height:12.5pt" o:ole="">
            <v:imagedata r:id="rId21" o:title=""/>
          </v:shape>
          <o:OLEObject Type="Embed" ProgID="Equation.DSMT4" ShapeID="_x0000_i1033" DrawAspect="Content" ObjectID="_1491718809" r:id="rId22"/>
        </w:object>
      </w:r>
      <w:r>
        <w:rPr>
          <w:lang w:val="uk-UA"/>
        </w:rPr>
        <w:t xml:space="preserve"> - об’єм продукції.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position w:val="-12"/>
        </w:rPr>
        <w:object w:dxaOrig="1540" w:dyaOrig="360">
          <v:shape id="_x0000_i1034" type="#_x0000_t75" style="width:77pt;height:18.15pt" o:ole="">
            <v:imagedata r:id="rId23" o:title=""/>
          </v:shape>
          <o:OLEObject Type="Embed" ProgID="Equation.DSMT4" ShapeID="_x0000_i1034" DrawAspect="Content" ObjectID="_1491718810" r:id="rId24"/>
        </w:object>
      </w:r>
      <w:r>
        <w:rPr>
          <w:lang w:val="uk-UA"/>
        </w:rPr>
        <w:t xml:space="preserve"> (собівартість включає змінні і постійні витрати).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 xml:space="preserve">Виручка від реалізації = </w:t>
      </w:r>
      <w:r>
        <w:rPr>
          <w:position w:val="-10"/>
        </w:rPr>
        <w:object w:dxaOrig="540" w:dyaOrig="320">
          <v:shape id="_x0000_i1035" type="#_x0000_t75" style="width:26.9pt;height:15.65pt" o:ole="">
            <v:imagedata r:id="rId25" o:title=""/>
          </v:shape>
          <o:OLEObject Type="Embed" ProgID="Equation.DSMT4" ShapeID="_x0000_i1035" DrawAspect="Content" ObjectID="_1491718811" r:id="rId26"/>
        </w:object>
      </w:r>
      <w:r>
        <w:rPr>
          <w:lang w:val="uk-UA"/>
        </w:rPr>
        <w:t xml:space="preserve"> (для однорідної продукції).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Т. А – ціна = собівартість, немає прибутку, немає збитків, називається точкою беззбитковості.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position w:val="-12"/>
        </w:rPr>
        <w:object w:dxaOrig="2500" w:dyaOrig="380">
          <v:shape id="_x0000_i1036" type="#_x0000_t75" style="width:125.2pt;height:18.8pt" o:ole="">
            <v:imagedata r:id="rId27" o:title=""/>
          </v:shape>
          <o:OLEObject Type="Embed" ProgID="Equation.DSMT4" ShapeID="_x0000_i1036" DrawAspect="Content" ObjectID="_1491718812" r:id="rId28"/>
        </w:object>
      </w:r>
      <w:r>
        <w:rPr>
          <w:lang w:val="uk-UA"/>
        </w:rPr>
        <w:t xml:space="preserve"> , де </w:t>
      </w:r>
      <w:r>
        <w:rPr>
          <w:position w:val="-12"/>
        </w:rPr>
        <w:object w:dxaOrig="580" w:dyaOrig="380">
          <v:shape id="_x0000_i1037" type="#_x0000_t75" style="width:29.45pt;height:18.8pt" o:ole="">
            <v:imagedata r:id="rId29" o:title=""/>
          </v:shape>
          <o:OLEObject Type="Embed" ProgID="Equation.DSMT4" ShapeID="_x0000_i1037" DrawAspect="Content" ObjectID="_1491718813" r:id="rId30"/>
        </w:object>
      </w:r>
      <w:r>
        <w:rPr>
          <w:lang w:val="uk-UA"/>
        </w:rPr>
        <w:t xml:space="preserve"> - змінні витрати на одиницю продукції.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position w:val="-30"/>
        </w:rPr>
        <w:object w:dxaOrig="1540" w:dyaOrig="680">
          <v:shape id="_x0000_i1038" type="#_x0000_t75" style="width:77pt;height:33.8pt" o:ole="">
            <v:imagedata r:id="rId31" o:title=""/>
          </v:shape>
          <o:OLEObject Type="Embed" ProgID="Equation.DSMT4" ShapeID="_x0000_i1038" DrawAspect="Content" ObjectID="_1491718814" r:id="rId32"/>
        </w:object>
      </w:r>
      <w:r>
        <w:rPr>
          <w:lang w:val="uk-UA"/>
        </w:rPr>
        <w:t xml:space="preserve"> - мінімальна кількість виробів, щоб не було збитків. 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Н: такі розрахунки проводяться в бізнес-плані.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lastRenderedPageBreak/>
        <w:t>Ця схема багатоваріантна, так як показники можуть бути різні в різних умовах або змінюватись за часом.</w:t>
      </w:r>
    </w:p>
    <w:p w:rsidR="00391256" w:rsidRDefault="00391256" w:rsidP="00A76D30">
      <w:pPr>
        <w:numPr>
          <w:ilvl w:val="0"/>
          <w:numId w:val="15"/>
        </w:numPr>
        <w:tabs>
          <w:tab w:val="left" w:pos="1080"/>
        </w:tabs>
        <w:ind w:left="0" w:firstLine="709"/>
        <w:jc w:val="both"/>
        <w:rPr>
          <w:lang w:val="uk-UA"/>
        </w:rPr>
      </w:pPr>
      <w:proofErr w:type="spellStart"/>
      <w:r>
        <w:rPr>
          <w:lang w:val="uk-UA"/>
        </w:rPr>
        <w:t>Суб</w:t>
      </w:r>
      <w:proofErr w:type="spellEnd"/>
      <w:r>
        <w:t>’</w:t>
      </w:r>
      <w:proofErr w:type="spellStart"/>
      <w:r>
        <w:rPr>
          <w:lang w:val="uk-UA"/>
        </w:rPr>
        <w:t>єктивні</w:t>
      </w:r>
      <w:proofErr w:type="spellEnd"/>
      <w:r>
        <w:rPr>
          <w:lang w:val="uk-UA"/>
        </w:rPr>
        <w:t xml:space="preserve"> – ґрунтуються на досвіді аналітиків, на вивченні ринку збуту:</w:t>
      </w:r>
    </w:p>
    <w:p w:rsidR="00391256" w:rsidRDefault="00391256" w:rsidP="00A76D30">
      <w:pPr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врахування </w:t>
      </w:r>
      <w:proofErr w:type="spellStart"/>
      <w:r>
        <w:rPr>
          <w:lang w:val="uk-UA"/>
        </w:rPr>
        <w:t>суб</w:t>
      </w:r>
      <w:proofErr w:type="spellEnd"/>
      <w:r w:rsidRPr="00137965">
        <w:t>’</w:t>
      </w:r>
      <w:proofErr w:type="spellStart"/>
      <w:r>
        <w:rPr>
          <w:lang w:val="uk-UA"/>
        </w:rPr>
        <w:t>єктивно</w:t>
      </w:r>
      <w:proofErr w:type="spellEnd"/>
      <w:r>
        <w:rPr>
          <w:lang w:val="uk-UA"/>
        </w:rPr>
        <w:t>-відчутної цінності виробу;</w:t>
      </w:r>
    </w:p>
    <w:p w:rsidR="00391256" w:rsidRDefault="00391256" w:rsidP="00A76D30">
      <w:pPr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встановлення цін за результатами пробних продажів;</w:t>
      </w:r>
    </w:p>
    <w:p w:rsidR="00391256" w:rsidRDefault="00391256" w:rsidP="00A76D30">
      <w:pPr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проведення закритих торгів (аукціони);</w:t>
      </w:r>
    </w:p>
    <w:p w:rsidR="00391256" w:rsidRDefault="00391256" w:rsidP="00A76D30">
      <w:pPr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використання інформації про ціни на вироби-аналоги (маркетинговий аналіз).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З метою впливу на реалізацію продукції застосовуються знижки:</w:t>
      </w:r>
    </w:p>
    <w:p w:rsidR="00391256" w:rsidRDefault="00391256" w:rsidP="00391256">
      <w:pPr>
        <w:ind w:firstLine="900"/>
        <w:jc w:val="both"/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бонусні</w:t>
      </w:r>
      <w:proofErr w:type="spellEnd"/>
      <w:r>
        <w:rPr>
          <w:lang w:val="uk-UA"/>
        </w:rPr>
        <w:t xml:space="preserve"> (постійним покупцям);</w:t>
      </w:r>
    </w:p>
    <w:p w:rsidR="00391256" w:rsidRDefault="00391256" w:rsidP="00391256">
      <w:pPr>
        <w:ind w:firstLine="900"/>
        <w:jc w:val="both"/>
        <w:rPr>
          <w:lang w:val="uk-UA"/>
        </w:rPr>
      </w:pPr>
      <w:r>
        <w:rPr>
          <w:lang w:val="uk-UA"/>
        </w:rPr>
        <w:t>- кількісні (коли збільшується об’єм покупки);</w:t>
      </w:r>
    </w:p>
    <w:p w:rsidR="00391256" w:rsidRDefault="00391256" w:rsidP="00391256">
      <w:pPr>
        <w:ind w:firstLine="900"/>
        <w:jc w:val="both"/>
        <w:rPr>
          <w:lang w:val="uk-UA"/>
        </w:rPr>
      </w:pPr>
      <w:r>
        <w:rPr>
          <w:lang w:val="uk-UA"/>
        </w:rPr>
        <w:t>- знижки-сконто (за термінову оплату готівкою);</w:t>
      </w:r>
    </w:p>
    <w:p w:rsidR="00391256" w:rsidRDefault="00391256" w:rsidP="00391256">
      <w:pPr>
        <w:ind w:firstLine="900"/>
        <w:jc w:val="both"/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декорт</w:t>
      </w:r>
      <w:proofErr w:type="spellEnd"/>
      <w:r>
        <w:rPr>
          <w:lang w:val="uk-UA"/>
        </w:rPr>
        <w:t xml:space="preserve"> (за передчасну оплату порівняно з терміном контракту).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 xml:space="preserve">Цінова політика для </w:t>
      </w:r>
      <w:proofErr w:type="spellStart"/>
      <w:r>
        <w:rPr>
          <w:lang w:val="uk-UA"/>
        </w:rPr>
        <w:t>комп</w:t>
      </w:r>
      <w:proofErr w:type="spellEnd"/>
      <w:r>
        <w:t>’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техніки.</w:t>
      </w:r>
    </w:p>
    <w:p w:rsidR="00391256" w:rsidRDefault="00391256" w:rsidP="00391256">
      <w:pPr>
        <w:rPr>
          <w:lang w:val="uk-UA"/>
        </w:rPr>
      </w:pPr>
    </w:p>
    <w:tbl>
      <w:tblPr>
        <w:tblW w:w="95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5040"/>
      </w:tblGrid>
      <w:tr w:rsidR="00391256" w:rsidTr="000B3F80">
        <w:tc>
          <w:tcPr>
            <w:tcW w:w="4500" w:type="dxa"/>
          </w:tcPr>
          <w:p w:rsidR="00391256" w:rsidRDefault="00391256" w:rsidP="000B3F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Стадії просування товару (в напрямку покупця)</w:t>
            </w:r>
          </w:p>
        </w:tc>
        <w:tc>
          <w:tcPr>
            <w:tcW w:w="5040" w:type="dxa"/>
          </w:tcPr>
          <w:p w:rsidR="00391256" w:rsidRDefault="00391256" w:rsidP="000B3F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Тенденції ціноутворення</w:t>
            </w:r>
          </w:p>
        </w:tc>
      </w:tr>
      <w:tr w:rsidR="00391256" w:rsidTr="000B3F80">
        <w:trPr>
          <w:trHeight w:val="207"/>
        </w:trPr>
        <w:tc>
          <w:tcPr>
            <w:tcW w:w="4500" w:type="dxa"/>
          </w:tcPr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1. Виведення на ринок</w:t>
            </w:r>
          </w:p>
        </w:tc>
        <w:tc>
          <w:tcPr>
            <w:tcW w:w="5040" w:type="dxa"/>
          </w:tcPr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1). Ціни завищені (створюється для іміджу якості товару)</w:t>
            </w:r>
          </w:p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2). Ціни занижені (щоб перехопити покупців)</w:t>
            </w:r>
          </w:p>
        </w:tc>
      </w:tr>
      <w:tr w:rsidR="00391256" w:rsidTr="000B3F80">
        <w:trPr>
          <w:trHeight w:val="206"/>
        </w:trPr>
        <w:tc>
          <w:tcPr>
            <w:tcW w:w="4500" w:type="dxa"/>
          </w:tcPr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2. Стабільно зростаючий попит</w:t>
            </w:r>
          </w:p>
        </w:tc>
        <w:tc>
          <w:tcPr>
            <w:tcW w:w="5040" w:type="dxa"/>
          </w:tcPr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1). Ціни максимально високі</w:t>
            </w:r>
          </w:p>
        </w:tc>
      </w:tr>
      <w:tr w:rsidR="00391256" w:rsidTr="000B3F80">
        <w:trPr>
          <w:trHeight w:val="206"/>
        </w:trPr>
        <w:tc>
          <w:tcPr>
            <w:tcW w:w="4500" w:type="dxa"/>
          </w:tcPr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3. Спад попиту</w:t>
            </w:r>
          </w:p>
        </w:tc>
        <w:tc>
          <w:tcPr>
            <w:tcW w:w="5040" w:type="dxa"/>
          </w:tcPr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1). Поступове зниження ціни</w:t>
            </w:r>
          </w:p>
        </w:tc>
      </w:tr>
      <w:tr w:rsidR="00391256" w:rsidTr="000B3F80">
        <w:trPr>
          <w:trHeight w:val="206"/>
        </w:trPr>
        <w:tc>
          <w:tcPr>
            <w:tcW w:w="4500" w:type="dxa"/>
          </w:tcPr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4. Вихід з ринку</w:t>
            </w:r>
          </w:p>
        </w:tc>
        <w:tc>
          <w:tcPr>
            <w:tcW w:w="5040" w:type="dxa"/>
          </w:tcPr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1). Розпродаж в процесі акції</w:t>
            </w:r>
          </w:p>
        </w:tc>
      </w:tr>
    </w:tbl>
    <w:p w:rsidR="00391256" w:rsidRDefault="00391256" w:rsidP="00391256">
      <w:pPr>
        <w:spacing w:before="120"/>
        <w:ind w:firstLine="709"/>
        <w:jc w:val="both"/>
        <w:rPr>
          <w:lang w:val="uk-UA"/>
        </w:rPr>
      </w:pPr>
      <w:r>
        <w:rPr>
          <w:lang w:val="uk-UA"/>
        </w:rPr>
        <w:t>Методика встановлення цін.</w:t>
      </w:r>
    </w:p>
    <w:p w:rsidR="00391256" w:rsidRDefault="00391256" w:rsidP="00A76D30">
      <w:pPr>
        <w:numPr>
          <w:ilvl w:val="0"/>
          <w:numId w:val="1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Формулювання задач, що стоять перед підприємством.</w:t>
      </w:r>
    </w:p>
    <w:p w:rsidR="00391256" w:rsidRDefault="00391256" w:rsidP="00A76D30">
      <w:pPr>
        <w:numPr>
          <w:ilvl w:val="0"/>
          <w:numId w:val="1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Визначення попиту на дану продукцію.</w:t>
      </w:r>
    </w:p>
    <w:p w:rsidR="00391256" w:rsidRDefault="00391256" w:rsidP="00A76D30">
      <w:pPr>
        <w:numPr>
          <w:ilvl w:val="0"/>
          <w:numId w:val="1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Оцінка витрат.</w:t>
      </w:r>
    </w:p>
    <w:p w:rsidR="00391256" w:rsidRDefault="00391256" w:rsidP="00A76D30">
      <w:pPr>
        <w:numPr>
          <w:ilvl w:val="0"/>
          <w:numId w:val="1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Аналіз цін і витрат на товари у підприємств-конкурентів.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Ц = С + П + ПДВ (20 % від суми С + П)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(приблизні методи).</w:t>
      </w:r>
    </w:p>
    <w:p w:rsidR="00391256" w:rsidRDefault="00391256" w:rsidP="00A76D30">
      <w:pPr>
        <w:numPr>
          <w:ilvl w:val="0"/>
          <w:numId w:val="18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Вибір методів ціноутворення.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(графік беззбитковості)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Прибуток задається відсотком від собівартості.</w:t>
      </w:r>
    </w:p>
    <w:p w:rsidR="00391256" w:rsidRDefault="00391256" w:rsidP="00A76D30">
      <w:pPr>
        <w:numPr>
          <w:ilvl w:val="0"/>
          <w:numId w:val="18"/>
        </w:numPr>
        <w:tabs>
          <w:tab w:val="left" w:pos="1080"/>
        </w:tabs>
        <w:spacing w:after="120"/>
        <w:ind w:left="0" w:firstLine="709"/>
        <w:jc w:val="both"/>
        <w:rPr>
          <w:lang w:val="uk-UA"/>
        </w:rPr>
      </w:pPr>
      <w:r>
        <w:rPr>
          <w:lang w:val="uk-UA"/>
        </w:rPr>
        <w:t>Встановлення остаточної ціни.</w:t>
      </w:r>
    </w:p>
    <w:tbl>
      <w:tblPr>
        <w:tblW w:w="930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1013"/>
        <w:gridCol w:w="1458"/>
        <w:gridCol w:w="1229"/>
        <w:gridCol w:w="3086"/>
      </w:tblGrid>
      <w:tr w:rsidR="00391256" w:rsidTr="000B3F80">
        <w:tc>
          <w:tcPr>
            <w:tcW w:w="2520" w:type="dxa"/>
          </w:tcPr>
          <w:p w:rsidR="00391256" w:rsidRDefault="00391256" w:rsidP="000B3F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Низька ціна</w:t>
            </w:r>
          </w:p>
        </w:tc>
        <w:tc>
          <w:tcPr>
            <w:tcW w:w="3700" w:type="dxa"/>
            <w:gridSpan w:val="3"/>
          </w:tcPr>
          <w:p w:rsidR="00391256" w:rsidRDefault="00391256" w:rsidP="000B3F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Можлива ціна</w:t>
            </w:r>
          </w:p>
        </w:tc>
        <w:tc>
          <w:tcPr>
            <w:tcW w:w="3086" w:type="dxa"/>
          </w:tcPr>
          <w:p w:rsidR="00391256" w:rsidRDefault="00391256" w:rsidP="000B3F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Висока ціна</w:t>
            </w:r>
          </w:p>
        </w:tc>
      </w:tr>
      <w:tr w:rsidR="00391256" w:rsidTr="000B3F80">
        <w:tc>
          <w:tcPr>
            <w:tcW w:w="2520" w:type="dxa"/>
          </w:tcPr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Отримання прибутків неможливе</w:t>
            </w:r>
          </w:p>
        </w:tc>
        <w:tc>
          <w:tcPr>
            <w:tcW w:w="1013" w:type="dxa"/>
          </w:tcPr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</w:p>
        </w:tc>
        <w:tc>
          <w:tcPr>
            <w:tcW w:w="1458" w:type="dxa"/>
          </w:tcPr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Ціни конкурентів</w:t>
            </w:r>
          </w:p>
        </w:tc>
        <w:tc>
          <w:tcPr>
            <w:tcW w:w="1229" w:type="dxa"/>
          </w:tcPr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Унікальні якості присутні в товарі</w:t>
            </w:r>
          </w:p>
        </w:tc>
        <w:tc>
          <w:tcPr>
            <w:tcW w:w="3086" w:type="dxa"/>
          </w:tcPr>
          <w:p w:rsidR="00391256" w:rsidRDefault="00391256" w:rsidP="000B3F80">
            <w:pPr>
              <w:rPr>
                <w:lang w:val="uk-UA"/>
              </w:rPr>
            </w:pPr>
            <w:r>
              <w:rPr>
                <w:lang w:val="uk-UA"/>
              </w:rPr>
              <w:t>З деякого моменту зростання попиту стає неможливим</w:t>
            </w:r>
          </w:p>
        </w:tc>
      </w:tr>
    </w:tbl>
    <w:p w:rsidR="00391256" w:rsidRDefault="00391256" w:rsidP="00391256">
      <w:pPr>
        <w:spacing w:before="120"/>
        <w:ind w:firstLine="709"/>
        <w:jc w:val="both"/>
        <w:rPr>
          <w:lang w:val="uk-UA"/>
        </w:rPr>
      </w:pPr>
      <w:r>
        <w:rPr>
          <w:lang w:val="uk-UA"/>
        </w:rPr>
        <w:t>Розрахування ціни програмного продукту.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position w:val="-12"/>
        </w:rPr>
        <w:object w:dxaOrig="2280" w:dyaOrig="360">
          <v:shape id="_x0000_i1039" type="#_x0000_t75" style="width:113.95pt;height:18.15pt" o:ole="">
            <v:imagedata r:id="rId33" o:title=""/>
          </v:shape>
          <o:OLEObject Type="Embed" ProgID="Equation.DSMT4" ShapeID="_x0000_i1039" DrawAspect="Content" ObjectID="_1491718815" r:id="rId34"/>
        </w:objec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position w:val="-14"/>
        </w:rPr>
        <w:object w:dxaOrig="3320" w:dyaOrig="380">
          <v:shape id="_x0000_i1040" type="#_x0000_t75" style="width:165.9pt;height:18.8pt" o:ole="">
            <v:imagedata r:id="rId35" o:title=""/>
          </v:shape>
          <o:OLEObject Type="Embed" ProgID="Equation.DSMT4" ShapeID="_x0000_i1040" DrawAspect="Content" ObjectID="_1491718816" r:id="rId36"/>
        </w:object>
      </w:r>
      <w:r>
        <w:rPr>
          <w:lang w:val="uk-UA"/>
        </w:rPr>
        <w:t>,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position w:val="-12"/>
        </w:rPr>
        <w:object w:dxaOrig="460" w:dyaOrig="360">
          <v:shape id="_x0000_i1041" type="#_x0000_t75" style="width:23.15pt;height:18.15pt" o:ole="">
            <v:imagedata r:id="rId37" o:title=""/>
          </v:shape>
          <o:OLEObject Type="Embed" ProgID="Equation.DSMT4" ShapeID="_x0000_i1041" DrawAspect="Content" ObjectID="_1491718817" r:id="rId38"/>
        </w:object>
      </w:r>
      <w:r>
        <w:rPr>
          <w:lang w:val="uk-UA"/>
        </w:rPr>
        <w:t xml:space="preserve"> - витрати машинного часу, 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position w:val="-12"/>
        </w:rPr>
        <w:object w:dxaOrig="740" w:dyaOrig="360">
          <v:shape id="_x0000_i1042" type="#_x0000_t75" style="width:36.95pt;height:18.15pt" o:ole="">
            <v:imagedata r:id="rId39" o:title=""/>
          </v:shape>
          <o:OLEObject Type="Embed" ProgID="Equation.DSMT4" ShapeID="_x0000_i1042" DrawAspect="Content" ObjectID="_1491718818" r:id="rId40"/>
        </w:object>
      </w:r>
      <w:r>
        <w:rPr>
          <w:lang w:val="uk-UA"/>
        </w:rPr>
        <w:t xml:space="preserve"> - витрати накладні (непрямі витрати) – витрати на оренду, оплата відрядження і т. п.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Розрахування ціни машино-години роботи ПК: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position w:val="-12"/>
        </w:rPr>
        <w:object w:dxaOrig="2299" w:dyaOrig="360">
          <v:shape id="_x0000_i1043" type="#_x0000_t75" style="width:114.55pt;height:18.15pt" o:ole="">
            <v:imagedata r:id="rId41" o:title=""/>
          </v:shape>
          <o:OLEObject Type="Embed" ProgID="Equation.DSMT4" ShapeID="_x0000_i1043" DrawAspect="Content" ObjectID="_1491718819" r:id="rId42"/>
        </w:object>
      </w:r>
      <w:r>
        <w:rPr>
          <w:lang w:val="uk-UA"/>
        </w:rPr>
        <w:t>,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position w:val="-12"/>
        </w:rPr>
        <w:object w:dxaOrig="460" w:dyaOrig="360">
          <v:shape id="_x0000_i1044" type="#_x0000_t75" style="width:23.15pt;height:18.15pt" o:ole="">
            <v:imagedata r:id="rId43" o:title=""/>
          </v:shape>
          <o:OLEObject Type="Embed" ProgID="Equation.DSMT4" ShapeID="_x0000_i1044" DrawAspect="Content" ObjectID="_1491718820" r:id="rId44"/>
        </w:object>
      </w:r>
      <w:r>
        <w:rPr>
          <w:lang w:val="uk-UA"/>
        </w:rPr>
        <w:t xml:space="preserve"> - собівартість машино-години,</w:t>
      </w:r>
    </w:p>
    <w:p w:rsidR="00391256" w:rsidRDefault="00391256" w:rsidP="00391256">
      <w:pPr>
        <w:ind w:firstLine="709"/>
        <w:jc w:val="both"/>
        <w:rPr>
          <w:lang w:val="uk-UA"/>
        </w:rPr>
      </w:pPr>
      <w:r>
        <w:rPr>
          <w:lang w:val="uk-UA"/>
        </w:rPr>
        <w:t>П – прибуток.</w:t>
      </w:r>
    </w:p>
    <w:p w:rsidR="00391256" w:rsidRDefault="00391256" w:rsidP="00BF2880">
      <w:pPr>
        <w:rPr>
          <w:lang w:val="uk-UA"/>
        </w:rPr>
      </w:pPr>
      <w:bookmarkStart w:id="0" w:name="_GoBack"/>
      <w:bookmarkEnd w:id="0"/>
    </w:p>
    <w:sectPr w:rsidR="00391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1CDD"/>
    <w:multiLevelType w:val="hybridMultilevel"/>
    <w:tmpl w:val="E46E050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5A58FD"/>
    <w:multiLevelType w:val="hybridMultilevel"/>
    <w:tmpl w:val="759EB1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731DBF"/>
    <w:multiLevelType w:val="hybridMultilevel"/>
    <w:tmpl w:val="AE2A0FCE"/>
    <w:lvl w:ilvl="0" w:tplc="C1962A5E">
      <w:start w:val="8"/>
      <w:numFmt w:val="decimal"/>
      <w:lvlText w:val="%1)"/>
      <w:lvlJc w:val="left"/>
      <w:pPr>
        <w:tabs>
          <w:tab w:val="num" w:pos="56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865062"/>
    <w:multiLevelType w:val="hybridMultilevel"/>
    <w:tmpl w:val="17902D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0868CE"/>
    <w:multiLevelType w:val="hybridMultilevel"/>
    <w:tmpl w:val="7E7006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904564"/>
    <w:multiLevelType w:val="hybridMultilevel"/>
    <w:tmpl w:val="321CB4DE"/>
    <w:lvl w:ilvl="0" w:tplc="4F5E5B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BF6384C">
      <w:start w:val="1"/>
      <w:numFmt w:val="decimal"/>
      <w:lvlText w:val="%2."/>
      <w:lvlJc w:val="left"/>
      <w:pPr>
        <w:tabs>
          <w:tab w:val="num" w:pos="567"/>
        </w:tabs>
        <w:ind w:left="400" w:firstLine="68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12568C"/>
    <w:multiLevelType w:val="hybridMultilevel"/>
    <w:tmpl w:val="C7EAF22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E26C45"/>
    <w:multiLevelType w:val="hybridMultilevel"/>
    <w:tmpl w:val="2030300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ED36C2"/>
    <w:multiLevelType w:val="hybridMultilevel"/>
    <w:tmpl w:val="53E875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7A379B"/>
    <w:multiLevelType w:val="hybridMultilevel"/>
    <w:tmpl w:val="DEC4A7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131935"/>
    <w:multiLevelType w:val="hybridMultilevel"/>
    <w:tmpl w:val="60168D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2252C0"/>
    <w:multiLevelType w:val="hybridMultilevel"/>
    <w:tmpl w:val="CB389AB4"/>
    <w:lvl w:ilvl="0" w:tplc="95488A8A">
      <w:start w:val="1"/>
      <w:numFmt w:val="decimal"/>
      <w:lvlText w:val="%1)"/>
      <w:lvlJc w:val="left"/>
      <w:pPr>
        <w:tabs>
          <w:tab w:val="num" w:pos="-153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48940B9B"/>
    <w:multiLevelType w:val="hybridMultilevel"/>
    <w:tmpl w:val="CC347206"/>
    <w:lvl w:ilvl="0" w:tplc="C9BE03D8">
      <w:start w:val="1"/>
      <w:numFmt w:val="decimal"/>
      <w:lvlText w:val="%1)"/>
      <w:lvlJc w:val="left"/>
      <w:pPr>
        <w:tabs>
          <w:tab w:val="num" w:pos="56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A41355"/>
    <w:multiLevelType w:val="hybridMultilevel"/>
    <w:tmpl w:val="732E330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A70DE1"/>
    <w:multiLevelType w:val="hybridMultilevel"/>
    <w:tmpl w:val="182A85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CE0226"/>
    <w:multiLevelType w:val="hybridMultilevel"/>
    <w:tmpl w:val="9D8812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1526CB"/>
    <w:multiLevelType w:val="hybridMultilevel"/>
    <w:tmpl w:val="5AD064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B356AF"/>
    <w:multiLevelType w:val="hybridMultilevel"/>
    <w:tmpl w:val="64547AD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B279F9"/>
    <w:multiLevelType w:val="hybridMultilevel"/>
    <w:tmpl w:val="C038A2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8E25919"/>
    <w:multiLevelType w:val="hybridMultilevel"/>
    <w:tmpl w:val="35F2ED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0E1D28"/>
    <w:multiLevelType w:val="hybridMultilevel"/>
    <w:tmpl w:val="A444568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5CB0E4">
      <w:start w:val="1"/>
      <w:numFmt w:val="decimal"/>
      <w:lvlText w:val="%2)"/>
      <w:lvlJc w:val="left"/>
      <w:pPr>
        <w:tabs>
          <w:tab w:val="num" w:pos="567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0"/>
  </w:num>
  <w:num w:numId="5">
    <w:abstractNumId w:val="6"/>
  </w:num>
  <w:num w:numId="6">
    <w:abstractNumId w:val="18"/>
  </w:num>
  <w:num w:numId="7">
    <w:abstractNumId w:val="9"/>
  </w:num>
  <w:num w:numId="8">
    <w:abstractNumId w:val="20"/>
  </w:num>
  <w:num w:numId="9">
    <w:abstractNumId w:val="3"/>
  </w:num>
  <w:num w:numId="10">
    <w:abstractNumId w:val="1"/>
  </w:num>
  <w:num w:numId="11">
    <w:abstractNumId w:val="15"/>
  </w:num>
  <w:num w:numId="12">
    <w:abstractNumId w:val="7"/>
  </w:num>
  <w:num w:numId="13">
    <w:abstractNumId w:val="17"/>
  </w:num>
  <w:num w:numId="14">
    <w:abstractNumId w:val="19"/>
  </w:num>
  <w:num w:numId="15">
    <w:abstractNumId w:val="4"/>
  </w:num>
  <w:num w:numId="16">
    <w:abstractNumId w:val="13"/>
  </w:num>
  <w:num w:numId="17">
    <w:abstractNumId w:val="0"/>
  </w:num>
  <w:num w:numId="18">
    <w:abstractNumId w:val="16"/>
  </w:num>
  <w:num w:numId="19">
    <w:abstractNumId w:val="12"/>
  </w:num>
  <w:num w:numId="20">
    <w:abstractNumId w:val="2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B2"/>
    <w:rsid w:val="00391256"/>
    <w:rsid w:val="00596C6E"/>
    <w:rsid w:val="00893A25"/>
    <w:rsid w:val="00A76D30"/>
    <w:rsid w:val="00B608B2"/>
    <w:rsid w:val="00BF2880"/>
    <w:rsid w:val="00E7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112721-300D-455C-9AC0-0D7C4C8D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91256"/>
    <w:pPr>
      <w:keepNext/>
      <w:ind w:left="1080"/>
      <w:outlineLvl w:val="0"/>
    </w:pPr>
    <w:rPr>
      <w:b/>
      <w:bCs/>
      <w:i/>
      <w:iCs/>
      <w:sz w:val="32"/>
      <w:lang w:val="uk-UA"/>
    </w:rPr>
  </w:style>
  <w:style w:type="paragraph" w:styleId="Heading2">
    <w:name w:val="heading 2"/>
    <w:basedOn w:val="Normal"/>
    <w:next w:val="Normal"/>
    <w:link w:val="Heading2Char"/>
    <w:qFormat/>
    <w:rsid w:val="00391256"/>
    <w:pPr>
      <w:keepNext/>
      <w:ind w:right="567" w:firstLine="426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91256"/>
    <w:pPr>
      <w:keepNext/>
      <w:ind w:firstLine="709"/>
      <w:jc w:val="both"/>
      <w:outlineLvl w:val="2"/>
    </w:pPr>
    <w:rPr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391256"/>
    <w:pPr>
      <w:keepNext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1256"/>
    <w:rPr>
      <w:rFonts w:ascii="Times New Roman" w:eastAsia="Times New Roman" w:hAnsi="Times New Roman" w:cs="Times New Roman"/>
      <w:b/>
      <w:bCs/>
      <w:i/>
      <w:iCs/>
      <w:sz w:val="32"/>
      <w:szCs w:val="24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39125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391256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3912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Bullet2">
    <w:name w:val="List Bullet 2"/>
    <w:basedOn w:val="Normal"/>
    <w:autoRedefine/>
    <w:rsid w:val="00391256"/>
    <w:pPr>
      <w:tabs>
        <w:tab w:val="left" w:pos="540"/>
      </w:tabs>
      <w:ind w:firstLine="720"/>
      <w:jc w:val="both"/>
    </w:pPr>
    <w:rPr>
      <w:vertAlign w:val="superscript"/>
    </w:rPr>
  </w:style>
  <w:style w:type="paragraph" w:styleId="BodyText2">
    <w:name w:val="Body Text 2"/>
    <w:basedOn w:val="Normal"/>
    <w:link w:val="BodyText2Char"/>
    <w:rsid w:val="00391256"/>
    <w:pPr>
      <w:jc w:val="center"/>
    </w:pPr>
    <w:rPr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391256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BodyText">
    <w:name w:val="Body Text"/>
    <w:basedOn w:val="Normal"/>
    <w:link w:val="BodyTextChar"/>
    <w:rsid w:val="00391256"/>
    <w:pPr>
      <w:jc w:val="center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912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3">
    <w:name w:val="Body Text 3"/>
    <w:basedOn w:val="Normal"/>
    <w:link w:val="BodyText3Char"/>
    <w:rsid w:val="00391256"/>
    <w:pPr>
      <w:jc w:val="both"/>
    </w:pPr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3912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Обычный1"/>
    <w:rsid w:val="00391256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391256"/>
    <w:pPr>
      <w:ind w:firstLine="709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912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Subtitle">
    <w:name w:val="Subtitle"/>
    <w:basedOn w:val="Normal"/>
    <w:next w:val="Normal"/>
    <w:link w:val="SubtitleChar"/>
    <w:qFormat/>
    <w:rsid w:val="00391256"/>
    <w:pPr>
      <w:spacing w:after="60"/>
      <w:ind w:firstLine="567"/>
      <w:outlineLvl w:val="1"/>
    </w:pPr>
    <w:rPr>
      <w:b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391256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ListParagraph">
    <w:name w:val="List Paragraph"/>
    <w:basedOn w:val="Normal"/>
    <w:qFormat/>
    <w:rsid w:val="00391256"/>
    <w:pPr>
      <w:ind w:left="720" w:firstLine="567"/>
      <w:jc w:val="both"/>
    </w:pPr>
    <w:rPr>
      <w:lang w:val="en-US" w:eastAsia="en-US"/>
    </w:rPr>
  </w:style>
  <w:style w:type="character" w:customStyle="1" w:styleId="5">
    <w:name w:val="Заголовок 5 Знак"/>
    <w:semiHidden/>
    <w:rsid w:val="00391256"/>
    <w:rPr>
      <w:rFonts w:cs="Times New Roman"/>
      <w:b/>
      <w:bCs/>
      <w:i/>
      <w:iCs/>
      <w:sz w:val="26"/>
      <w:szCs w:val="26"/>
    </w:rPr>
  </w:style>
  <w:style w:type="character" w:customStyle="1" w:styleId="6">
    <w:name w:val="Заголовок 6 Знак"/>
    <w:semiHidden/>
    <w:rsid w:val="00391256"/>
    <w:rPr>
      <w:rFonts w:cs="Times New Roman"/>
      <w:b/>
      <w:bCs/>
    </w:rPr>
  </w:style>
  <w:style w:type="character" w:customStyle="1" w:styleId="7">
    <w:name w:val="Заголовок 7 Знак"/>
    <w:semiHidden/>
    <w:rsid w:val="00391256"/>
    <w:rPr>
      <w:rFonts w:cs="Times New Roman"/>
      <w:sz w:val="24"/>
      <w:szCs w:val="24"/>
    </w:rPr>
  </w:style>
  <w:style w:type="character" w:customStyle="1" w:styleId="8">
    <w:name w:val="Заголовок 8 Знак"/>
    <w:semiHidden/>
    <w:rsid w:val="00391256"/>
    <w:rPr>
      <w:rFonts w:cs="Times New Roman"/>
      <w:i/>
      <w:iCs/>
      <w:sz w:val="24"/>
      <w:szCs w:val="24"/>
    </w:rPr>
  </w:style>
  <w:style w:type="character" w:customStyle="1" w:styleId="9">
    <w:name w:val="Заголовок 9 Знак"/>
    <w:semiHidden/>
    <w:rsid w:val="00391256"/>
    <w:rPr>
      <w:rFonts w:ascii="Arial" w:eastAsia="Times New Roman" w:hAnsi="Arial" w:cs="Times New Roman"/>
    </w:rPr>
  </w:style>
  <w:style w:type="character" w:customStyle="1" w:styleId="a">
    <w:name w:val="Название Знак"/>
    <w:rsid w:val="00391256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NoSpacing">
    <w:name w:val="No Spacing"/>
    <w:qFormat/>
    <w:rsid w:val="00391256"/>
    <w:pPr>
      <w:spacing w:after="0" w:line="240" w:lineRule="auto"/>
    </w:pPr>
    <w:rPr>
      <w:rFonts w:ascii="Times New Roman" w:eastAsia="Times New Roman" w:hAnsi="Times New Roman" w:cs="Times New Roman"/>
      <w:sz w:val="24"/>
      <w:szCs w:val="32"/>
      <w:lang w:val="en-US"/>
    </w:rPr>
  </w:style>
  <w:style w:type="paragraph" w:styleId="Quote">
    <w:name w:val="Quote"/>
    <w:basedOn w:val="Normal"/>
    <w:next w:val="Normal"/>
    <w:link w:val="QuoteChar"/>
    <w:qFormat/>
    <w:rsid w:val="00391256"/>
    <w:pPr>
      <w:ind w:firstLine="567"/>
      <w:jc w:val="both"/>
    </w:pPr>
    <w:rPr>
      <w:i/>
      <w:lang w:val="en-US" w:eastAsia="en-US"/>
    </w:rPr>
  </w:style>
  <w:style w:type="character" w:customStyle="1" w:styleId="QuoteChar">
    <w:name w:val="Quote Char"/>
    <w:basedOn w:val="DefaultParagraphFont"/>
    <w:link w:val="Quote"/>
    <w:rsid w:val="00391256"/>
    <w:rPr>
      <w:rFonts w:ascii="Times New Roman" w:eastAsia="Times New Roman" w:hAnsi="Times New Roman" w:cs="Times New Roman"/>
      <w:i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qFormat/>
    <w:rsid w:val="00391256"/>
    <w:pPr>
      <w:ind w:left="720" w:right="720" w:firstLine="567"/>
      <w:jc w:val="both"/>
    </w:pPr>
    <w:rPr>
      <w:b/>
      <w:i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rsid w:val="00391256"/>
    <w:rPr>
      <w:rFonts w:ascii="Times New Roman" w:eastAsia="Times New Roman" w:hAnsi="Times New Roman" w:cs="Times New Roman"/>
      <w:b/>
      <w:i/>
      <w:sz w:val="24"/>
      <w:lang w:val="en-US"/>
    </w:rPr>
  </w:style>
  <w:style w:type="character" w:styleId="SubtleEmphasis">
    <w:name w:val="Subtle Emphasis"/>
    <w:qFormat/>
    <w:rsid w:val="00391256"/>
    <w:rPr>
      <w:i/>
      <w:color w:val="5A5A5A"/>
    </w:rPr>
  </w:style>
  <w:style w:type="character" w:styleId="IntenseEmphasis">
    <w:name w:val="Intense Emphasis"/>
    <w:qFormat/>
    <w:rsid w:val="00391256"/>
    <w:rPr>
      <w:b/>
      <w:i/>
      <w:sz w:val="24"/>
      <w:szCs w:val="24"/>
      <w:u w:val="single"/>
    </w:rPr>
  </w:style>
  <w:style w:type="character" w:styleId="SubtleReference">
    <w:name w:val="Subtle Reference"/>
    <w:qFormat/>
    <w:rsid w:val="00391256"/>
    <w:rPr>
      <w:sz w:val="24"/>
      <w:szCs w:val="24"/>
      <w:u w:val="single"/>
    </w:rPr>
  </w:style>
  <w:style w:type="character" w:styleId="IntenseReference">
    <w:name w:val="Intense Reference"/>
    <w:qFormat/>
    <w:rsid w:val="00391256"/>
    <w:rPr>
      <w:b/>
      <w:sz w:val="24"/>
      <w:u w:val="single"/>
    </w:rPr>
  </w:style>
  <w:style w:type="character" w:styleId="BookTitle">
    <w:name w:val="Book Title"/>
    <w:qFormat/>
    <w:rsid w:val="00391256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qFormat/>
    <w:rsid w:val="00391256"/>
    <w:pPr>
      <w:spacing w:before="240" w:after="60"/>
      <w:ind w:left="0" w:firstLine="567"/>
      <w:jc w:val="center"/>
      <w:outlineLvl w:val="9"/>
    </w:pPr>
    <w:rPr>
      <w:i w:val="0"/>
      <w:iCs w:val="0"/>
      <w:kern w:val="32"/>
      <w:szCs w:val="32"/>
      <w:lang w:val="en-US" w:eastAsia="en-US"/>
    </w:rPr>
  </w:style>
  <w:style w:type="character" w:customStyle="1" w:styleId="a0">
    <w:name w:val="Без интервала Знак"/>
    <w:rsid w:val="00391256"/>
    <w:rPr>
      <w:rFonts w:ascii="Times New Roman" w:hAnsi="Times New Roman"/>
      <w:sz w:val="24"/>
      <w:szCs w:val="32"/>
      <w:lang w:val="en-US" w:eastAsia="en-US" w:bidi="en-US"/>
    </w:rPr>
  </w:style>
  <w:style w:type="character" w:customStyle="1" w:styleId="a1">
    <w:name w:val="Схема документа Знак"/>
    <w:semiHidden/>
    <w:rsid w:val="00391256"/>
    <w:rPr>
      <w:rFonts w:ascii="Tahoma" w:hAnsi="Tahoma" w:cs="Tahoma"/>
      <w:sz w:val="16"/>
      <w:szCs w:val="16"/>
    </w:rPr>
  </w:style>
  <w:style w:type="character" w:styleId="PlaceholderText">
    <w:name w:val="Placeholder Text"/>
    <w:semiHidden/>
    <w:rsid w:val="003912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391256"/>
    <w:pPr>
      <w:ind w:firstLine="567"/>
      <w:jc w:val="both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391256"/>
    <w:rPr>
      <w:rFonts w:ascii="Tahoma" w:eastAsia="Times New Roman" w:hAnsi="Tahoma" w:cs="Tahoma"/>
      <w:sz w:val="16"/>
      <w:szCs w:val="16"/>
      <w:lang w:val="en-US"/>
    </w:rPr>
  </w:style>
  <w:style w:type="character" w:customStyle="1" w:styleId="google-src-text1">
    <w:name w:val="google-src-text1"/>
    <w:rsid w:val="00391256"/>
    <w:rPr>
      <w:vanish/>
      <w:webHidden w:val="0"/>
      <w:specVanish w:val="0"/>
    </w:rPr>
  </w:style>
  <w:style w:type="paragraph" w:styleId="NormalWeb">
    <w:name w:val="Normal (Web)"/>
    <w:basedOn w:val="Normal"/>
    <w:rsid w:val="00391256"/>
    <w:pPr>
      <w:spacing w:before="100" w:beforeAutospacing="1" w:after="100" w:afterAutospacing="1"/>
    </w:pPr>
    <w:rPr>
      <w:rFonts w:ascii="Verdana" w:hAnsi="Verdana"/>
      <w:color w:val="626161"/>
    </w:rPr>
  </w:style>
  <w:style w:type="table" w:styleId="TableGrid">
    <w:name w:val="Table Grid"/>
    <w:basedOn w:val="TableNormal"/>
    <w:rsid w:val="003912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0" Type="http://schemas.openxmlformats.org/officeDocument/2006/relationships/oleObject" Target="embeddings/Microsoft_Visio_2003-2010_Drawing2.vsd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4358</Words>
  <Characters>2485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Volodia Kuzmenko</cp:lastModifiedBy>
  <cp:revision>4</cp:revision>
  <dcterms:created xsi:type="dcterms:W3CDTF">2012-11-12T21:25:00Z</dcterms:created>
  <dcterms:modified xsi:type="dcterms:W3CDTF">2015-04-28T06:33:00Z</dcterms:modified>
</cp:coreProperties>
</file>